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81" w:lineRule="exact"/>
        <w:rPr>
          <w:sz w:val="24"/>
          <w:szCs w:val="24"/>
          <w:color w:val="auto"/>
        </w:rPr>
      </w:pPr>
    </w:p>
    <w:p>
      <w:pPr>
        <w:ind w:left="1580" w:hanging="377"/>
        <w:spacing w:after="0"/>
        <w:tabs>
          <w:tab w:leader="none" w:pos="1580" w:val="left"/>
        </w:tabs>
        <w:numPr>
          <w:ilvl w:val="0"/>
          <w:numId w:val="1"/>
        </w:numPr>
        <w:rPr>
          <w:rFonts w:ascii="MS PGothic" w:cs="MS PGothic" w:eastAsia="MS PGothic" w:hAnsi="MS PGothic"/>
          <w:sz w:val="26"/>
          <w:szCs w:val="26"/>
          <w:color w:val="auto"/>
        </w:rPr>
      </w:pPr>
      <w:r>
        <w:rPr>
          <w:rFonts w:ascii="Arial" w:cs="Arial" w:eastAsia="Arial" w:hAnsi="Arial"/>
          <w:sz w:val="16"/>
          <w:szCs w:val="16"/>
          <w:color w:val="auto"/>
        </w:rPr>
        <w:t>QUARTERLY REPORT PURSUANT TO SECTION 13 OR 15(d) OF THE SECURITIES</w:t>
      </w:r>
    </w:p>
    <w:p>
      <w:pPr>
        <w:spacing w:after="0" w:line="40" w:lineRule="exact"/>
        <w:rPr>
          <w:sz w:val="24"/>
          <w:szCs w:val="24"/>
          <w:color w:val="auto"/>
        </w:rPr>
      </w:pPr>
    </w:p>
    <w:p>
      <w:pPr>
        <w:ind w:left="1580"/>
        <w:spacing w:after="0"/>
        <w:rPr>
          <w:sz w:val="20"/>
          <w:szCs w:val="20"/>
          <w:color w:val="auto"/>
        </w:rPr>
      </w:pPr>
      <w:r>
        <w:rPr>
          <w:rFonts w:ascii="Arial" w:cs="Arial" w:eastAsia="Arial" w:hAnsi="Arial"/>
          <w:sz w:val="18"/>
          <w:szCs w:val="18"/>
          <w:color w:val="auto"/>
        </w:rPr>
        <w:t>EXCHANGE ACT OF 1934</w:t>
      </w:r>
    </w:p>
    <w:p>
      <w:pPr>
        <w:spacing w:after="0" w:line="63"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For the quarterly period ended September 30, 2019</w:t>
      </w:r>
    </w:p>
    <w:p>
      <w:pPr>
        <w:spacing w:after="0" w:line="81" w:lineRule="exact"/>
        <w:rPr>
          <w:sz w:val="24"/>
          <w:szCs w:val="24"/>
          <w:color w:val="auto"/>
        </w:rPr>
      </w:pPr>
    </w:p>
    <w:p>
      <w:pPr>
        <w:ind w:left="1220"/>
        <w:spacing w:after="0"/>
        <w:rPr>
          <w:sz w:val="20"/>
          <w:szCs w:val="20"/>
          <w:color w:val="auto"/>
        </w:rPr>
      </w:pPr>
      <w:r>
        <w:rPr>
          <w:rFonts w:ascii="Arial" w:cs="Arial" w:eastAsia="Arial" w:hAnsi="Arial"/>
          <w:sz w:val="16"/>
          <w:szCs w:val="16"/>
          <w:color w:val="auto"/>
        </w:rPr>
        <w:t>OR</w:t>
      </w:r>
    </w:p>
    <w:p>
      <w:pPr>
        <w:spacing w:after="0" w:line="203" w:lineRule="exact"/>
        <w:rPr>
          <w:sz w:val="24"/>
          <w:szCs w:val="24"/>
          <w:color w:val="auto"/>
        </w:rPr>
      </w:pPr>
    </w:p>
    <w:p>
      <w:pPr>
        <w:ind w:left="1580" w:right="3260" w:hanging="377"/>
        <w:spacing w:after="0" w:line="244" w:lineRule="auto"/>
        <w:tabs>
          <w:tab w:leader="none" w:pos="1580" w:val="left"/>
        </w:tabs>
        <w:numPr>
          <w:ilvl w:val="0"/>
          <w:numId w:val="2"/>
        </w:numPr>
        <w:rPr>
          <w:rFonts w:ascii="MS PGothic" w:cs="MS PGothic" w:eastAsia="MS PGothic" w:hAnsi="MS PGothic"/>
          <w:sz w:val="29"/>
          <w:szCs w:val="29"/>
          <w:color w:val="auto"/>
        </w:rPr>
      </w:pPr>
      <w:r>
        <w:rPr>
          <w:rFonts w:ascii="Arial" w:cs="Arial" w:eastAsia="Arial" w:hAnsi="Arial"/>
          <w:sz w:val="18"/>
          <w:szCs w:val="18"/>
          <w:color w:val="auto"/>
        </w:rPr>
        <w:t>TRANSITION REPORT PURSUANT TO SECTION 13 OR 15(d) OF THE SECURITIES EXCHANGE ACT OF 1934</w:t>
      </w:r>
    </w:p>
    <w:p>
      <w:pPr>
        <w:spacing w:after="0" w:line="34" w:lineRule="exact"/>
        <w:rPr>
          <w:rFonts w:ascii="MS PGothic" w:cs="MS PGothic" w:eastAsia="MS PGothic" w:hAnsi="MS PGothic"/>
          <w:sz w:val="29"/>
          <w:szCs w:val="29"/>
          <w:color w:val="auto"/>
        </w:rPr>
      </w:pPr>
    </w:p>
    <w:p>
      <w:pPr>
        <w:ind w:left="1580"/>
        <w:spacing w:after="0"/>
        <w:rPr>
          <w:rFonts w:ascii="MS PGothic" w:cs="MS PGothic" w:eastAsia="MS PGothic" w:hAnsi="MS PGothic"/>
          <w:sz w:val="29"/>
          <w:szCs w:val="29"/>
          <w:color w:val="auto"/>
        </w:rPr>
      </w:pPr>
      <w:r>
        <w:rPr>
          <w:rFonts w:ascii="Arial" w:cs="Arial" w:eastAsia="Arial" w:hAnsi="Arial"/>
          <w:sz w:val="18"/>
          <w:szCs w:val="18"/>
          <w:color w:val="auto"/>
        </w:rPr>
        <w:t>For the transition period from __________ to __________.</w:t>
      </w:r>
    </w:p>
    <w:p>
      <w:pPr>
        <w:spacing w:after="0" w:line="185"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Commission File Number 001-31303</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Black Hills Corporation</w:t>
      </w:r>
    </w:p>
    <w:p>
      <w:pPr>
        <w:sectPr>
          <w:pgSz w:w="11900" w:h="16838" w:orient="portrait"/>
          <w:cols w:equalWidth="0" w:num="1">
            <w:col w:w="11420"/>
          </w:cols>
          <w:pgMar w:left="240" w:top="234" w:right="239" w:bottom="1440" w:gutter="0" w:footer="0" w:header="0"/>
        </w:sectPr>
      </w:pPr>
    </w:p>
    <w:p>
      <w:pPr>
        <w:spacing w:after="0" w:line="67"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Incorporated in</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6"/>
          <w:szCs w:val="16"/>
          <w:color w:val="auto"/>
        </w:rPr>
        <w:t>South Dakota</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6"/>
          <w:szCs w:val="16"/>
          <w:color w:val="auto"/>
        </w:rPr>
        <w:t>IRS Identification Number 46-0458824</w:t>
      </w:r>
    </w:p>
    <w:p>
      <w:pPr>
        <w:spacing w:after="0" w:line="200" w:lineRule="exact"/>
        <w:rPr>
          <w:sz w:val="24"/>
          <w:szCs w:val="24"/>
          <w:color w:val="auto"/>
        </w:rPr>
      </w:pPr>
    </w:p>
    <w:p>
      <w:pPr>
        <w:sectPr>
          <w:pgSz w:w="11900" w:h="16838" w:orient="portrait"/>
          <w:cols w:equalWidth="0" w:num="3">
            <w:col w:w="4900" w:space="380"/>
            <w:col w:w="2220" w:space="720"/>
            <w:col w:w="3200"/>
          </w:cols>
          <w:pgMar w:left="240" w:top="234" w:right="239" w:bottom="1440" w:gutter="0" w:footer="0" w:header="0"/>
          <w:type w:val="continuous"/>
        </w:sectPr>
      </w:pPr>
    </w:p>
    <w:p>
      <w:pPr>
        <w:spacing w:after="0" w:line="6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7001 Mount Rushmore Road</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Rapid City</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South Dakota</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5"/>
          <w:szCs w:val="15"/>
          <w:color w:val="auto"/>
        </w:rPr>
        <w:t>57702</w:t>
      </w:r>
    </w:p>
    <w:p>
      <w:pPr>
        <w:spacing w:after="0" w:line="211" w:lineRule="exact"/>
        <w:rPr>
          <w:sz w:val="24"/>
          <w:szCs w:val="24"/>
          <w:color w:val="auto"/>
        </w:rPr>
      </w:pPr>
    </w:p>
    <w:p>
      <w:pPr>
        <w:sectPr>
          <w:pgSz w:w="11900" w:h="16838" w:orient="portrait"/>
          <w:cols w:equalWidth="0" w:num="4">
            <w:col w:w="4500" w:space="720"/>
            <w:col w:w="1140" w:space="720"/>
            <w:col w:w="2780" w:space="720"/>
            <w:col w:w="840"/>
          </w:cols>
          <w:pgMar w:left="240" w:top="234" w:right="239" w:bottom="1440" w:gutter="0" w:footer="0" w:header="0"/>
          <w:type w:val="continuous"/>
        </w:sectPr>
      </w:pPr>
    </w:p>
    <w:p>
      <w:pPr>
        <w:spacing w:after="0" w:line="156"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Registrant’s telephone number (605)</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721-1700</w:t>
      </w:r>
    </w:p>
    <w:p>
      <w:pPr>
        <w:spacing w:after="0" w:line="86" w:lineRule="exact"/>
        <w:rPr>
          <w:sz w:val="24"/>
          <w:szCs w:val="24"/>
          <w:color w:val="auto"/>
        </w:rPr>
      </w:pPr>
    </w:p>
    <w:p>
      <w:pPr>
        <w:sectPr>
          <w:pgSz w:w="11900" w:h="16838" w:orient="portrait"/>
          <w:cols w:equalWidth="0" w:num="2">
            <w:col w:w="6720" w:space="180"/>
            <w:col w:w="4520"/>
          </w:cols>
          <w:pgMar w:left="240" w:top="23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39" w:lineRule="exact"/>
        <w:rPr>
          <w:sz w:val="24"/>
          <w:szCs w:val="24"/>
          <w:color w:val="auto"/>
        </w:rPr>
      </w:pPr>
    </w:p>
    <w:p>
      <w:pPr>
        <w:ind w:right="420"/>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3" w:lineRule="exact"/>
        <w:rPr>
          <w:sz w:val="24"/>
          <w:szCs w:val="24"/>
          <w:color w:val="auto"/>
        </w:rPr>
      </w:pPr>
    </w:p>
    <w:p>
      <w:pPr>
        <w:ind w:left="4480"/>
        <w:spacing w:after="0"/>
        <w:tabs>
          <w:tab w:leader="none" w:pos="4960" w:val="left"/>
          <w:tab w:leader="none" w:pos="672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7"/>
          <w:szCs w:val="17"/>
          <w:color w:val="auto"/>
        </w:rPr>
        <w:t>No o</w:t>
      </w:r>
    </w:p>
    <w:p>
      <w:pPr>
        <w:spacing w:after="0" w:line="239" w:lineRule="exact"/>
        <w:rPr>
          <w:sz w:val="24"/>
          <w:szCs w:val="24"/>
          <w:color w:val="auto"/>
        </w:rPr>
      </w:pPr>
    </w:p>
    <w:p>
      <w:pPr>
        <w:ind w:right="480"/>
        <w:spacing w:after="0" w:line="25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06" w:lineRule="exact"/>
        <w:rPr>
          <w:sz w:val="24"/>
          <w:szCs w:val="24"/>
          <w:color w:val="auto"/>
        </w:rPr>
      </w:pPr>
    </w:p>
    <w:p>
      <w:pPr>
        <w:ind w:left="4480"/>
        <w:spacing w:after="0"/>
        <w:tabs>
          <w:tab w:leader="none" w:pos="4960" w:val="left"/>
          <w:tab w:leader="none" w:pos="672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7"/>
          <w:szCs w:val="17"/>
          <w:color w:val="auto"/>
        </w:rPr>
        <w:t>No o</w:t>
      </w:r>
    </w:p>
    <w:p>
      <w:pPr>
        <w:spacing w:after="0" w:line="252"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2340" w:type="dxa"/>
        <w:tblCellMar>
          <w:top w:w="0" w:type="dxa"/>
          <w:left w:w="0" w:type="dxa"/>
          <w:bottom w:w="0" w:type="dxa"/>
          <w:right w:w="0" w:type="dxa"/>
        </w:tblCellMar>
      </w:tblPr>
      <w:tr>
        <w:trPr>
          <w:trHeight w:val="339"/>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60" w:type="dxa"/>
            <w:vAlign w:val="bottom"/>
          </w:tcPr>
          <w:p>
            <w:pPr>
              <w:ind w:left="520"/>
              <w:spacing w:after="0"/>
              <w:rPr>
                <w:sz w:val="20"/>
                <w:szCs w:val="20"/>
                <w:color w:val="auto"/>
              </w:rPr>
            </w:pPr>
            <w:r>
              <w:rPr>
                <w:rFonts w:ascii="Arial" w:cs="Arial" w:eastAsia="Arial" w:hAnsi="Arial"/>
                <w:sz w:val="18"/>
                <w:szCs w:val="18"/>
                <w:color w:val="auto"/>
              </w:rPr>
              <w:t>x</w:t>
            </w:r>
          </w:p>
        </w:tc>
        <w:tc>
          <w:tcPr>
            <w:tcW w:w="264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4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960" w:type="dxa"/>
            <w:vAlign w:val="bottom"/>
          </w:tcPr>
          <w:p>
            <w:pPr>
              <w:ind w:left="520"/>
              <w:spacing w:after="0" w:line="221" w:lineRule="exact"/>
              <w:rPr>
                <w:sz w:val="20"/>
                <w:szCs w:val="20"/>
                <w:color w:val="auto"/>
              </w:rPr>
            </w:pPr>
            <w:r>
              <w:rPr>
                <w:rFonts w:ascii="MS PGothic" w:cs="MS PGothic" w:eastAsia="MS PGothic" w:hAnsi="MS PGothic"/>
                <w:sz w:val="22"/>
                <w:szCs w:val="22"/>
                <w:color w:val="auto"/>
              </w:rPr>
              <w:t>☐</w:t>
            </w:r>
          </w:p>
        </w:tc>
        <w:tc>
          <w:tcPr>
            <w:tcW w:w="264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46"/>
        </w:trPr>
        <w:tc>
          <w:tcPr>
            <w:tcW w:w="2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2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9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8" w:lineRule="exact"/>
        <w:rPr>
          <w:sz w:val="24"/>
          <w:szCs w:val="24"/>
          <w:color w:val="auto"/>
        </w:rPr>
      </w:pPr>
    </w:p>
    <w:p>
      <w:pPr>
        <w:ind w:left="4580"/>
        <w:spacing w:after="0" w:line="242" w:lineRule="exact"/>
        <w:tabs>
          <w:tab w:leader="none" w:pos="63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No x</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234" w:right="239" w:bottom="1440" w:gutter="0" w:footer="0" w:header="0"/>
          <w:type w:val="continuous"/>
        </w:sectPr>
      </w:pPr>
    </w:p>
    <w:p>
      <w:pPr>
        <w:spacing w:after="0" w:line="63" w:lineRule="exact"/>
        <w:rPr>
          <w:sz w:val="24"/>
          <w:szCs w:val="24"/>
          <w:color w:val="auto"/>
        </w:rPr>
      </w:pPr>
    </w:p>
    <w:p>
      <w:pPr>
        <w:ind w:left="20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320" w:space="720"/>
            <w:col w:w="1440" w:space="720"/>
            <w:col w:w="4220"/>
          </w:cols>
          <w:pgMar w:left="240" w:top="234" w:right="2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Common stock of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22" w:lineRule="exact"/>
        <w:rPr>
          <w:sz w:val="24"/>
          <w:szCs w:val="24"/>
          <w:color w:val="auto"/>
        </w:rPr>
      </w:pPr>
    </w:p>
    <w:p>
      <w:pPr>
        <w:sectPr>
          <w:pgSz w:w="11900" w:h="16838" w:orient="portrait"/>
          <w:cols w:equalWidth="0" w:num="3">
            <w:col w:w="4820" w:space="720"/>
            <w:col w:w="1560" w:space="720"/>
            <w:col w:w="3600"/>
          </w:cols>
          <w:pgMar w:left="240" w:top="234"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ectPr>
          <w:pgSz w:w="11900" w:h="16838" w:orient="portrait"/>
          <w:cols w:equalWidth="0" w:num="1">
            <w:col w:w="11420"/>
          </w:cols>
          <w:pgMar w:left="240" w:top="234" w:right="239" w:bottom="1440" w:gutter="0" w:footer="0" w:header="0"/>
          <w:type w:val="continuous"/>
        </w:sectPr>
      </w:pPr>
    </w:p>
    <w:p>
      <w:pPr>
        <w:spacing w:after="0" w:line="194" w:lineRule="exact"/>
        <w:rPr>
          <w:sz w:val="24"/>
          <w:szCs w:val="24"/>
          <w:color w:val="auto"/>
        </w:rPr>
      </w:pPr>
    </w:p>
    <w:p>
      <w:pPr>
        <w:jc w:val="center"/>
        <w:ind w:left="600"/>
        <w:spacing w:after="0"/>
        <w:rPr>
          <w:sz w:val="20"/>
          <w:szCs w:val="20"/>
          <w:color w:val="auto"/>
        </w:rPr>
      </w:pPr>
      <w:r>
        <w:rPr>
          <w:rFonts w:ascii="Arial" w:cs="Arial" w:eastAsia="Arial" w:hAnsi="Arial"/>
          <w:sz w:val="15"/>
          <w:szCs w:val="15"/>
          <w:color w:val="auto"/>
        </w:rPr>
        <w:t>Class</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Outstanding at October 31, 2019</w:t>
      </w:r>
    </w:p>
    <w:p>
      <w:pPr>
        <w:spacing w:after="0" w:line="86" w:lineRule="exact"/>
        <w:rPr>
          <w:sz w:val="24"/>
          <w:szCs w:val="24"/>
          <w:color w:val="auto"/>
        </w:rPr>
      </w:pPr>
    </w:p>
    <w:p>
      <w:pPr>
        <w:sectPr>
          <w:pgSz w:w="11900" w:h="16838" w:orient="portrait"/>
          <w:cols w:equalWidth="0" w:num="2">
            <w:col w:w="5700" w:space="720"/>
            <w:col w:w="5000"/>
          </w:cols>
          <w:pgMar w:left="240" w:top="234" w:right="239" w:bottom="1440" w:gutter="0" w:footer="0" w:header="0"/>
          <w:type w:val="continuous"/>
        </w:sectPr>
      </w:pPr>
    </w:p>
    <w:p>
      <w:pPr>
        <w:ind w:left="2000"/>
        <w:spacing w:after="0"/>
        <w:rPr>
          <w:sz w:val="20"/>
          <w:szCs w:val="20"/>
          <w:color w:val="auto"/>
        </w:rPr>
      </w:pPr>
      <w:r>
        <w:rPr>
          <w:rFonts w:ascii="Arial" w:cs="Arial" w:eastAsia="Arial" w:hAnsi="Arial"/>
          <w:sz w:val="16"/>
          <w:szCs w:val="16"/>
          <w:color w:val="auto"/>
        </w:rPr>
        <w:t>Common stock,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61,454,071 shares</w:t>
      </w:r>
    </w:p>
    <w:p>
      <w:pPr>
        <w:sectPr>
          <w:pgSz w:w="11900" w:h="16838" w:orient="portrait"/>
          <w:cols w:equalWidth="0" w:num="2">
            <w:col w:w="5960" w:space="720"/>
            <w:col w:w="4740"/>
          </w:cols>
          <w:pgMar w:left="240" w:top="234" w:right="2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80" w:type="dxa"/>
            <w:vAlign w:val="bottom"/>
            <w:gridSpan w:val="11"/>
          </w:tcPr>
          <w:p>
            <w:pPr>
              <w:ind w:left="20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0"/>
        </w:trPr>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480" w:type="dxa"/>
            <w:vAlign w:val="bottom"/>
            <w:gridSpan w:val="3"/>
          </w:tcPr>
          <w:p>
            <w:pPr>
              <w:ind w:left="560"/>
              <w:spacing w:after="0"/>
              <w:rPr>
                <w:sz w:val="20"/>
                <w:szCs w:val="20"/>
                <w:color w:val="auto"/>
              </w:rPr>
            </w:pPr>
            <w:r>
              <w:rPr>
                <w:rFonts w:ascii="Arial" w:cs="Arial" w:eastAsia="Arial" w:hAnsi="Arial"/>
                <w:sz w:val="18"/>
                <w:szCs w:val="18"/>
                <w:color w:val="auto"/>
              </w:rPr>
              <w:t>Page</w:t>
            </w:r>
          </w:p>
        </w:tc>
      </w:tr>
      <w:tr>
        <w:trPr>
          <w:trHeight w:val="27"/>
        </w:trPr>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6"/>
        </w:trPr>
        <w:tc>
          <w:tcPr>
            <w:tcW w:w="2700" w:type="dxa"/>
            <w:vAlign w:val="bottom"/>
            <w:gridSpan w:val="7"/>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Glossary of Terms and Abbreviations</w:t>
              </w:r>
            </w:hyperlink>
          </w:p>
        </w:tc>
        <w:tc>
          <w:tcPr>
            <w:tcW w:w="7200" w:type="dxa"/>
            <w:vAlign w:val="bottom"/>
            <w:gridSpan w:val="25"/>
          </w:tcPr>
          <w:p>
            <w:pPr>
              <w:spacing w:after="0"/>
              <w:rPr>
                <w:sz w:val="17"/>
                <w:szCs w:val="17"/>
                <w:color w:val="auto"/>
              </w:rPr>
            </w:pPr>
          </w:p>
        </w:tc>
        <w:tc>
          <w:tcPr>
            <w:tcW w:w="780" w:type="dxa"/>
            <w:vAlign w:val="bottom"/>
            <w:gridSpan w:val="2"/>
          </w:tcPr>
          <w:p>
            <w:pPr>
              <w:jc w:val="center"/>
              <w:ind w:left="61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700" w:type="dxa"/>
            <w:vAlign w:val="bottom"/>
          </w:tcPr>
          <w:p>
            <w:pPr>
              <w:spacing w:after="0"/>
              <w:rPr>
                <w:sz w:val="17"/>
                <w:szCs w:val="17"/>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80"/>
        </w:trPr>
        <w:tc>
          <w:tcPr>
            <w:tcW w:w="282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PART I. FINANCIAL INFORMATION</w:t>
              </w:r>
            </w:hyperlink>
          </w:p>
        </w:tc>
        <w:tc>
          <w:tcPr>
            <w:tcW w:w="7080" w:type="dxa"/>
            <w:vAlign w:val="bottom"/>
            <w:gridSpan w:val="23"/>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80"/>
        </w:trPr>
        <w:tc>
          <w:tcPr>
            <w:tcW w:w="14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420" w:type="dxa"/>
            <w:vAlign w:val="bottom"/>
            <w:gridSpan w:val="3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 unaudited</w:t>
              </w:r>
            </w:hyperlink>
          </w:p>
        </w:tc>
        <w:tc>
          <w:tcPr>
            <w:tcW w:w="780" w:type="dxa"/>
            <w:vAlign w:val="bottom"/>
            <w:gridSpan w:val="2"/>
          </w:tcPr>
          <w:p>
            <w:pPr>
              <w:jc w:val="center"/>
              <w:ind w:left="61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70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80" w:type="dxa"/>
            <w:vAlign w:val="bottom"/>
            <w:gridSpan w:val="2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w:t>
              </w:r>
            </w:hyperlink>
          </w:p>
        </w:tc>
        <w:tc>
          <w:tcPr>
            <w:tcW w:w="780" w:type="dxa"/>
            <w:vAlign w:val="bottom"/>
            <w:gridSpan w:val="2"/>
          </w:tcPr>
          <w:p>
            <w:pPr>
              <w:jc w:val="center"/>
              <w:ind w:left="61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580" w:type="dxa"/>
            <w:vAlign w:val="bottom"/>
            <w:gridSpan w:val="27"/>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Comprehensive Income</w:t>
              </w:r>
            </w:hyperlink>
          </w:p>
        </w:tc>
        <w:tc>
          <w:tcPr>
            <w:tcW w:w="3700" w:type="dxa"/>
            <w:vAlign w:val="bottom"/>
            <w:gridSpan w:val="2"/>
          </w:tcPr>
          <w:p>
            <w:pPr>
              <w:spacing w:after="0"/>
              <w:rPr>
                <w:sz w:val="21"/>
                <w:szCs w:val="21"/>
                <w:color w:val="auto"/>
              </w:rPr>
            </w:pPr>
          </w:p>
        </w:tc>
        <w:tc>
          <w:tcPr>
            <w:tcW w:w="780" w:type="dxa"/>
            <w:vAlign w:val="bottom"/>
            <w:gridSpan w:val="2"/>
          </w:tcPr>
          <w:p>
            <w:pPr>
              <w:jc w:val="center"/>
              <w:ind w:left="61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00" w:type="dxa"/>
            <w:vAlign w:val="bottom"/>
            <w:gridSpan w:val="18"/>
          </w:tcPr>
          <w:p>
            <w:pPr>
              <w:spacing w:after="0"/>
              <w:rPr>
                <w:rFonts w:ascii="Arial" w:cs="Arial" w:eastAsia="Arial" w:hAnsi="Arial"/>
                <w:sz w:val="18"/>
                <w:szCs w:val="18"/>
                <w:color w:val="0000EE"/>
                <w:w w:val="85"/>
              </w:rPr>
            </w:pPr>
            <w:hyperlink w:anchor="page7">
              <w:r>
                <w:rPr>
                  <w:rFonts w:ascii="Arial" w:cs="Arial" w:eastAsia="Arial" w:hAnsi="Arial"/>
                  <w:sz w:val="18"/>
                  <w:szCs w:val="18"/>
                  <w:color w:val="0000EE"/>
                  <w:w w:val="85"/>
                </w:rPr>
                <w:t>Condensed Consolidated Balance Sheets</w:t>
              </w:r>
            </w:hyperlink>
          </w:p>
        </w:tc>
        <w:tc>
          <w:tcPr>
            <w:tcW w:w="1680" w:type="dxa"/>
            <w:vAlign w:val="bottom"/>
            <w:gridSpan w:val="9"/>
          </w:tcPr>
          <w:p>
            <w:pPr>
              <w:spacing w:after="0"/>
              <w:rPr>
                <w:sz w:val="21"/>
                <w:szCs w:val="21"/>
                <w:color w:val="auto"/>
              </w:rPr>
            </w:pPr>
          </w:p>
        </w:tc>
        <w:tc>
          <w:tcPr>
            <w:tcW w:w="3700" w:type="dxa"/>
            <w:vAlign w:val="bottom"/>
            <w:gridSpan w:val="2"/>
          </w:tcPr>
          <w:p>
            <w:pPr>
              <w:spacing w:after="0"/>
              <w:rPr>
                <w:sz w:val="21"/>
                <w:szCs w:val="21"/>
                <w:color w:val="auto"/>
              </w:rPr>
            </w:pPr>
          </w:p>
        </w:tc>
        <w:tc>
          <w:tcPr>
            <w:tcW w:w="780" w:type="dxa"/>
            <w:vAlign w:val="bottom"/>
            <w:gridSpan w:val="2"/>
          </w:tcPr>
          <w:p>
            <w:pPr>
              <w:jc w:val="center"/>
              <w:ind w:left="61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20" w:type="dxa"/>
            <w:vAlign w:val="bottom"/>
            <w:gridSpan w:val="22"/>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Condensed Consolidated Statements of Cash Flows</w:t>
              </w:r>
            </w:hyperlink>
          </w:p>
        </w:tc>
        <w:tc>
          <w:tcPr>
            <w:tcW w:w="4560" w:type="dxa"/>
            <w:vAlign w:val="bottom"/>
            <w:gridSpan w:val="7"/>
          </w:tcPr>
          <w:p>
            <w:pPr>
              <w:spacing w:after="0"/>
              <w:rPr>
                <w:sz w:val="21"/>
                <w:szCs w:val="21"/>
                <w:color w:val="auto"/>
              </w:rPr>
            </w:pPr>
          </w:p>
        </w:tc>
        <w:tc>
          <w:tcPr>
            <w:tcW w:w="780" w:type="dxa"/>
            <w:vAlign w:val="bottom"/>
            <w:gridSpan w:val="2"/>
          </w:tcPr>
          <w:p>
            <w:pPr>
              <w:jc w:val="center"/>
              <w:ind w:left="61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20" w:type="dxa"/>
            <w:vAlign w:val="bottom"/>
            <w:gridSpan w:val="22"/>
          </w:tcPr>
          <w:p>
            <w:pP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Condensed Consolidated Statements of Equity</w:t>
              </w:r>
            </w:hyperlink>
          </w:p>
        </w:tc>
        <w:tc>
          <w:tcPr>
            <w:tcW w:w="4560" w:type="dxa"/>
            <w:vAlign w:val="bottom"/>
            <w:gridSpan w:val="7"/>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0" w:type="dxa"/>
            <w:vAlign w:val="bottom"/>
            <w:gridSpan w:val="24"/>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Notes to Condensed Consolidated Financial Statements</w:t>
              </w:r>
            </w:hyperlink>
          </w:p>
        </w:tc>
        <w:tc>
          <w:tcPr>
            <w:tcW w:w="4280" w:type="dxa"/>
            <w:vAlign w:val="bottom"/>
            <w:gridSpan w:val="5"/>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12</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00" w:type="dxa"/>
            <w:vAlign w:val="bottom"/>
            <w:gridSpan w:val="2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Note 1. Management’s Statement</w:t>
              </w:r>
            </w:hyperlink>
          </w:p>
        </w:tc>
        <w:tc>
          <w:tcPr>
            <w:tcW w:w="4280" w:type="dxa"/>
            <w:vAlign w:val="bottom"/>
            <w:gridSpan w:val="5"/>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12</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gridSpan w:val="1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Note 2. Revenue</w:t>
              </w:r>
            </w:hyperlink>
          </w:p>
        </w:tc>
        <w:tc>
          <w:tcPr>
            <w:tcW w:w="5780" w:type="dxa"/>
            <w:vAlign w:val="bottom"/>
            <w:gridSpan w:val="15"/>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14</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0" w:type="dxa"/>
            <w:vAlign w:val="bottom"/>
            <w:gridSpan w:val="17"/>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Note 3. Business Segment Information</w:t>
              </w:r>
            </w:hyperlink>
          </w:p>
        </w:tc>
        <w:tc>
          <w:tcPr>
            <w:tcW w:w="5380" w:type="dxa"/>
            <w:vAlign w:val="bottom"/>
            <w:gridSpan w:val="11"/>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16</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Note 4. Accounts Receivable</w:t>
              </w:r>
            </w:hyperlink>
          </w:p>
        </w:tc>
        <w:tc>
          <w:tcPr>
            <w:tcW w:w="5380" w:type="dxa"/>
            <w:vAlign w:val="bottom"/>
            <w:gridSpan w:val="11"/>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180" w:type="dxa"/>
            <w:vAlign w:val="bottom"/>
            <w:gridSpan w:val="2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Note 5. Regulatory Accounting</w:t>
              </w:r>
            </w:hyperlink>
          </w:p>
        </w:tc>
        <w:tc>
          <w:tcPr>
            <w:tcW w:w="780" w:type="dxa"/>
            <w:vAlign w:val="bottom"/>
            <w:gridSpan w:val="2"/>
          </w:tcPr>
          <w:p>
            <w:pPr>
              <w:jc w:val="center"/>
              <w:ind w:left="51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40" w:type="dxa"/>
            <w:vAlign w:val="bottom"/>
            <w:gridSpan w:val="15"/>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Note 6. Materials, Supplies and Fuel</w:t>
              </w:r>
            </w:hyperlink>
          </w:p>
        </w:tc>
        <w:tc>
          <w:tcPr>
            <w:tcW w:w="5540" w:type="dxa"/>
            <w:vAlign w:val="bottom"/>
            <w:gridSpan w:val="13"/>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9"/>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Note 7. Earnings Per Share</w:t>
              </w:r>
            </w:hyperlink>
          </w:p>
        </w:tc>
        <w:tc>
          <w:tcPr>
            <w:tcW w:w="680" w:type="dxa"/>
            <w:vAlign w:val="bottom"/>
            <w:gridSpan w:val="6"/>
          </w:tcPr>
          <w:p>
            <w:pPr>
              <w:spacing w:after="0"/>
              <w:rPr>
                <w:sz w:val="21"/>
                <w:szCs w:val="21"/>
                <w:color w:val="auto"/>
              </w:rPr>
            </w:pPr>
          </w:p>
        </w:tc>
        <w:tc>
          <w:tcPr>
            <w:tcW w:w="5540" w:type="dxa"/>
            <w:vAlign w:val="bottom"/>
            <w:gridSpan w:val="13"/>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40" w:type="dxa"/>
            <w:vAlign w:val="bottom"/>
            <w:gridSpan w:val="22"/>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Note 8. Notes Payable, Current Maturities and Debt</w:t>
              </w:r>
            </w:hyperlink>
          </w:p>
        </w:tc>
        <w:tc>
          <w:tcPr>
            <w:tcW w:w="4440" w:type="dxa"/>
            <w:vAlign w:val="bottom"/>
            <w:gridSpan w:val="6"/>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4"/>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Note 9. Equity</w:t>
              </w:r>
            </w:hyperlink>
          </w:p>
        </w:tc>
        <w:tc>
          <w:tcPr>
            <w:tcW w:w="2680" w:type="dxa"/>
            <w:vAlign w:val="bottom"/>
            <w:gridSpan w:val="18"/>
          </w:tcPr>
          <w:p>
            <w:pPr>
              <w:spacing w:after="0"/>
              <w:rPr>
                <w:sz w:val="21"/>
                <w:szCs w:val="21"/>
                <w:color w:val="auto"/>
              </w:rPr>
            </w:pPr>
          </w:p>
        </w:tc>
        <w:tc>
          <w:tcPr>
            <w:tcW w:w="4440" w:type="dxa"/>
            <w:vAlign w:val="bottom"/>
            <w:gridSpan w:val="6"/>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180" w:type="dxa"/>
            <w:vAlign w:val="bottom"/>
            <w:gridSpan w:val="2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Note 10. Risk Management Activities</w:t>
              </w:r>
            </w:hyperlink>
          </w:p>
        </w:tc>
        <w:tc>
          <w:tcPr>
            <w:tcW w:w="780" w:type="dxa"/>
            <w:vAlign w:val="bottom"/>
            <w:gridSpan w:val="2"/>
          </w:tcPr>
          <w:p>
            <w:pPr>
              <w:jc w:val="center"/>
              <w:ind w:left="51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gridSpan w:val="16"/>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Note 11. Fair Value Measurements</w:t>
              </w:r>
            </w:hyperlink>
          </w:p>
        </w:tc>
        <w:tc>
          <w:tcPr>
            <w:tcW w:w="5460" w:type="dxa"/>
            <w:vAlign w:val="bottom"/>
            <w:gridSpan w:val="12"/>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20" w:type="dxa"/>
            <w:vAlign w:val="bottom"/>
            <w:gridSpan w:val="19"/>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Note 12. Fair Value of Financial Instruments</w:t>
              </w:r>
            </w:hyperlink>
          </w:p>
        </w:tc>
        <w:tc>
          <w:tcPr>
            <w:tcW w:w="4960" w:type="dxa"/>
            <w:vAlign w:val="bottom"/>
            <w:gridSpan w:val="9"/>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29</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180" w:type="dxa"/>
            <w:vAlign w:val="bottom"/>
            <w:gridSpan w:val="2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Note 13. Other Comprehensive Income (Loss)</w:t>
              </w:r>
            </w:hyperlink>
          </w:p>
        </w:tc>
        <w:tc>
          <w:tcPr>
            <w:tcW w:w="780" w:type="dxa"/>
            <w:vAlign w:val="bottom"/>
            <w:gridSpan w:val="2"/>
          </w:tcPr>
          <w:p>
            <w:pPr>
              <w:jc w:val="center"/>
              <w:ind w:left="51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29</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0" w:type="dxa"/>
            <w:vAlign w:val="bottom"/>
            <w:gridSpan w:val="25"/>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Note 14. Supplemental Disclosure of Cash Flow Information</w:t>
              </w:r>
            </w:hyperlink>
          </w:p>
        </w:tc>
        <w:tc>
          <w:tcPr>
            <w:tcW w:w="3780" w:type="dxa"/>
            <w:vAlign w:val="bottom"/>
            <w:gridSpan w:val="3"/>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30</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0" w:type="dxa"/>
            <w:vAlign w:val="bottom"/>
            <w:gridSpan w:val="2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Note 15. Employee Benefit Plans</w:t>
              </w:r>
            </w:hyperlink>
          </w:p>
        </w:tc>
        <w:tc>
          <w:tcPr>
            <w:tcW w:w="3780" w:type="dxa"/>
            <w:vAlign w:val="bottom"/>
            <w:gridSpan w:val="3"/>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31</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180" w:type="dxa"/>
            <w:vAlign w:val="bottom"/>
            <w:gridSpan w:val="2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Note 16. Commitments and Contingencies</w:t>
              </w:r>
            </w:hyperlink>
          </w:p>
        </w:tc>
        <w:tc>
          <w:tcPr>
            <w:tcW w:w="780" w:type="dxa"/>
            <w:vAlign w:val="bottom"/>
            <w:gridSpan w:val="2"/>
          </w:tcPr>
          <w:p>
            <w:pPr>
              <w:jc w:val="center"/>
              <w:ind w:left="51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32</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Note 17. Discontinued Operations</w:t>
              </w:r>
            </w:hyperlink>
          </w:p>
        </w:tc>
        <w:tc>
          <w:tcPr>
            <w:tcW w:w="5120" w:type="dxa"/>
            <w:vAlign w:val="bottom"/>
            <w:gridSpan w:val="10"/>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8"/>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Note 18. Income Taxes</w:t>
              </w:r>
            </w:hyperlink>
          </w:p>
        </w:tc>
        <w:tc>
          <w:tcPr>
            <w:tcW w:w="720" w:type="dxa"/>
            <w:vAlign w:val="bottom"/>
            <w:gridSpan w:val="5"/>
          </w:tcPr>
          <w:p>
            <w:pPr>
              <w:spacing w:after="0"/>
              <w:rPr>
                <w:sz w:val="21"/>
                <w:szCs w:val="21"/>
                <w:color w:val="auto"/>
              </w:rPr>
            </w:pPr>
          </w:p>
        </w:tc>
        <w:tc>
          <w:tcPr>
            <w:tcW w:w="5780" w:type="dxa"/>
            <w:vAlign w:val="bottom"/>
            <w:gridSpan w:val="15"/>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20" w:type="dxa"/>
            <w:vAlign w:val="bottom"/>
            <w:gridSpan w:val="14"/>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10"/>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Note 19. Accrued Liabilities</w:t>
              </w:r>
            </w:hyperlink>
          </w:p>
        </w:tc>
        <w:tc>
          <w:tcPr>
            <w:tcW w:w="6140" w:type="dxa"/>
            <w:vAlign w:val="bottom"/>
            <w:gridSpan w:val="18"/>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14"/>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5"/>
          </w:tcPr>
          <w:p>
            <w:pPr>
              <w:spacing w:after="0"/>
              <w:rPr>
                <w:rFonts w:ascii="Arial" w:cs="Arial" w:eastAsia="Arial" w:hAnsi="Arial"/>
                <w:sz w:val="18"/>
                <w:szCs w:val="18"/>
                <w:color w:val="0000EE"/>
                <w:w w:val="80"/>
              </w:rPr>
            </w:pPr>
            <w:hyperlink w:anchor="page35">
              <w:r>
                <w:rPr>
                  <w:rFonts w:ascii="Arial" w:cs="Arial" w:eastAsia="Arial" w:hAnsi="Arial"/>
                  <w:sz w:val="18"/>
                  <w:szCs w:val="18"/>
                  <w:color w:val="0000EE"/>
                  <w:w w:val="80"/>
                </w:rPr>
                <w:t>Note 20. Leases</w:t>
              </w:r>
            </w:hyperlink>
          </w:p>
        </w:tc>
        <w:tc>
          <w:tcPr>
            <w:tcW w:w="940" w:type="dxa"/>
            <w:vAlign w:val="bottom"/>
            <w:gridSpan w:val="5"/>
          </w:tcPr>
          <w:p>
            <w:pPr>
              <w:spacing w:after="0"/>
              <w:rPr>
                <w:sz w:val="21"/>
                <w:szCs w:val="21"/>
                <w:color w:val="auto"/>
              </w:rPr>
            </w:pPr>
          </w:p>
        </w:tc>
        <w:tc>
          <w:tcPr>
            <w:tcW w:w="6140" w:type="dxa"/>
            <w:vAlign w:val="bottom"/>
            <w:gridSpan w:val="18"/>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34</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20" w:type="dxa"/>
            <w:vAlign w:val="bottom"/>
            <w:gridSpan w:val="14"/>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7"/>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Note 21. Investments</w:t>
              </w:r>
            </w:hyperlink>
          </w:p>
        </w:tc>
        <w:tc>
          <w:tcPr>
            <w:tcW w:w="6640" w:type="dxa"/>
            <w:vAlign w:val="bottom"/>
            <w:gridSpan w:val="21"/>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36</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14"/>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10"/>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Note 22. Subsequent Events</w:t>
              </w:r>
            </w:hyperlink>
          </w:p>
        </w:tc>
        <w:tc>
          <w:tcPr>
            <w:tcW w:w="6140" w:type="dxa"/>
            <w:vAlign w:val="bottom"/>
            <w:gridSpan w:val="18"/>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37</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14"/>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14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29"/>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Management’s Discussion and Analysis of Financial Condition and Results of Operations</w:t>
              </w:r>
            </w:hyperlink>
          </w:p>
        </w:tc>
        <w:tc>
          <w:tcPr>
            <w:tcW w:w="1960" w:type="dxa"/>
            <w:vAlign w:val="bottom"/>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37</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520" w:type="dxa"/>
            <w:vAlign w:val="bottom"/>
            <w:tcBorders>
              <w:left w:val="single" w:sz="8" w:color="0000EE"/>
            </w:tcBorders>
            <w:gridSpan w:val="17"/>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14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2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Disclosures about Market Risk</w:t>
              </w:r>
            </w:hyperlink>
          </w:p>
        </w:tc>
        <w:tc>
          <w:tcPr>
            <w:tcW w:w="1960" w:type="dxa"/>
            <w:vAlign w:val="bottom"/>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58</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520" w:type="dxa"/>
            <w:vAlign w:val="bottom"/>
            <w:tcBorders>
              <w:left w:val="single" w:sz="8" w:color="0000EE"/>
            </w:tcBorders>
            <w:gridSpan w:val="17"/>
            <w:shd w:val="clear" w:color="auto" w:fill="0000EE"/>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14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9"/>
          </w:tcPr>
          <w:p>
            <w:pPr>
              <w:spacing w:after="0"/>
              <w:rPr>
                <w:rFonts w:ascii="Arial" w:cs="Arial" w:eastAsia="Arial" w:hAnsi="Arial"/>
                <w:sz w:val="18"/>
                <w:szCs w:val="18"/>
                <w:color w:val="0000EE"/>
                <w:w w:val="87"/>
              </w:rPr>
            </w:pPr>
            <w:hyperlink w:anchor="page59">
              <w:r>
                <w:rPr>
                  <w:rFonts w:ascii="Arial" w:cs="Arial" w:eastAsia="Arial" w:hAnsi="Arial"/>
                  <w:sz w:val="18"/>
                  <w:szCs w:val="18"/>
                  <w:color w:val="0000EE"/>
                  <w:w w:val="87"/>
                </w:rPr>
                <w:t>Controls and Procedures</w:t>
              </w:r>
            </w:hyperlink>
          </w:p>
        </w:tc>
        <w:tc>
          <w:tcPr>
            <w:tcW w:w="2520" w:type="dxa"/>
            <w:vAlign w:val="bottom"/>
            <w:gridSpan w:val="17"/>
          </w:tcPr>
          <w:p>
            <w:pPr>
              <w:spacing w:after="0"/>
              <w:rPr>
                <w:sz w:val="21"/>
                <w:szCs w:val="21"/>
                <w:color w:val="auto"/>
              </w:rPr>
            </w:pPr>
          </w:p>
        </w:tc>
        <w:tc>
          <w:tcPr>
            <w:tcW w:w="4120" w:type="dxa"/>
            <w:vAlign w:val="bottom"/>
            <w:gridSpan w:val="4"/>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59</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640" w:type="dxa"/>
            <w:vAlign w:val="bottom"/>
            <w:gridSpan w:val="21"/>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480"/>
        </w:trPr>
        <w:tc>
          <w:tcPr>
            <w:tcW w:w="9900" w:type="dxa"/>
            <w:vAlign w:val="bottom"/>
            <w:gridSpan w:val="3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PART II. OTHER INFORMATION</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080" w:type="dxa"/>
            <w:vAlign w:val="bottom"/>
            <w:gridSpan w:val="2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80"/>
        </w:trPr>
        <w:tc>
          <w:tcPr>
            <w:tcW w:w="14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gridSpan w:val="7"/>
          </w:tcPr>
          <w:p>
            <w:pPr>
              <w:spacing w:after="0"/>
              <w:rPr>
                <w:rFonts w:ascii="Arial" w:cs="Arial" w:eastAsia="Arial" w:hAnsi="Arial"/>
                <w:sz w:val="18"/>
                <w:szCs w:val="18"/>
                <w:color w:val="0000EE"/>
                <w:w w:val="87"/>
              </w:rPr>
            </w:pPr>
            <w:hyperlink w:anchor="page60">
              <w:r>
                <w:rPr>
                  <w:rFonts w:ascii="Arial" w:cs="Arial" w:eastAsia="Arial" w:hAnsi="Arial"/>
                  <w:sz w:val="18"/>
                  <w:szCs w:val="18"/>
                  <w:color w:val="0000EE"/>
                  <w:w w:val="87"/>
                </w:rPr>
                <w:t>Legal Proceedings</w:t>
              </w:r>
            </w:hyperlink>
          </w:p>
        </w:tc>
        <w:tc>
          <w:tcPr>
            <w:tcW w:w="7080" w:type="dxa"/>
            <w:vAlign w:val="bottom"/>
            <w:gridSpan w:val="23"/>
          </w:tcPr>
          <w:p>
            <w:pPr>
              <w:spacing w:after="0"/>
              <w:rPr>
                <w:sz w:val="24"/>
                <w:szCs w:val="24"/>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59</w:t>
              </w:r>
            </w:hyperlink>
          </w:p>
        </w:tc>
        <w:tc>
          <w:tcPr>
            <w:tcW w:w="70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7080" w:type="dxa"/>
            <w:vAlign w:val="bottom"/>
            <w:gridSpan w:val="23"/>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14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9"/>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Mine Safety Disclosures</w:t>
              </w:r>
            </w:hyperlink>
          </w:p>
        </w:tc>
        <w:tc>
          <w:tcPr>
            <w:tcW w:w="6640" w:type="dxa"/>
            <w:vAlign w:val="bottom"/>
            <w:gridSpan w:val="21"/>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59</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6640" w:type="dxa"/>
            <w:vAlign w:val="bottom"/>
            <w:gridSpan w:val="21"/>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250"/>
        </w:trPr>
        <w:tc>
          <w:tcPr>
            <w:tcW w:w="14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80" w:type="dxa"/>
            <w:vAlign w:val="bottom"/>
            <w:gridSpan w:val="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Exhibits</w:t>
              </w:r>
            </w:hyperlink>
          </w:p>
        </w:tc>
        <w:tc>
          <w:tcPr>
            <w:tcW w:w="6640" w:type="dxa"/>
            <w:vAlign w:val="bottom"/>
            <w:gridSpan w:val="21"/>
          </w:tcPr>
          <w:p>
            <w:pPr>
              <w:spacing w:after="0"/>
              <w:rPr>
                <w:sz w:val="21"/>
                <w:szCs w:val="21"/>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59</w:t>
              </w:r>
            </w:hyperlink>
          </w:p>
        </w:tc>
        <w:tc>
          <w:tcPr>
            <w:tcW w:w="70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r>
        <w:trPr>
          <w:trHeight w:val="480"/>
        </w:trPr>
        <w:tc>
          <w:tcPr>
            <w:tcW w:w="760" w:type="dxa"/>
            <w:vAlign w:val="bottom"/>
          </w:tcPr>
          <w:p>
            <w:pPr>
              <w:spacing w:after="0"/>
              <w:rPr>
                <w:rFonts w:ascii="Arial" w:cs="Arial" w:eastAsia="Arial" w:hAnsi="Arial"/>
                <w:sz w:val="18"/>
                <w:szCs w:val="18"/>
                <w:color w:val="0000EE"/>
                <w:w w:val="85"/>
              </w:rPr>
            </w:pPr>
            <w:hyperlink w:anchor="page62">
              <w:r>
                <w:rPr>
                  <w:rFonts w:ascii="Arial" w:cs="Arial" w:eastAsia="Arial" w:hAnsi="Arial"/>
                  <w:sz w:val="18"/>
                  <w:szCs w:val="18"/>
                  <w:color w:val="0000EE"/>
                  <w:w w:val="85"/>
                </w:rPr>
                <w:t>Signatures</w:t>
              </w:r>
            </w:hyperlink>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80" w:type="dxa"/>
            <w:vAlign w:val="bottom"/>
            <w:gridSpan w:val="2"/>
          </w:tcPr>
          <w:p>
            <w:pPr>
              <w:jc w:val="center"/>
              <w:ind w:left="510"/>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61</w:t>
              </w:r>
            </w:hyperlink>
          </w:p>
        </w:tc>
        <w:tc>
          <w:tcPr>
            <w:tcW w:w="700" w:type="dxa"/>
            <w:vAlign w:val="bottom"/>
          </w:tcPr>
          <w:p>
            <w:pPr>
              <w:spacing w:after="0"/>
              <w:rPr>
                <w:sz w:val="24"/>
                <w:szCs w:val="24"/>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6" w:right="2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GLOSSARY OF TERMS AND ABBREVIATIONS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and abbreviations appear in the text of this report and have the definitions described below:</w:t>
      </w:r>
    </w:p>
    <w:p>
      <w:pPr>
        <w:spacing w:after="0" w:line="171"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AFUDC</w:t>
      </w:r>
      <w:r>
        <w:rPr>
          <w:sz w:val="20"/>
          <w:szCs w:val="20"/>
          <w:color w:val="auto"/>
        </w:rPr>
        <w:tab/>
      </w:r>
      <w:r>
        <w:rPr>
          <w:rFonts w:ascii="Arial" w:cs="Arial" w:eastAsia="Arial" w:hAnsi="Arial"/>
          <w:sz w:val="18"/>
          <w:szCs w:val="18"/>
          <w:color w:val="auto"/>
        </w:rPr>
        <w:t>Allowance for Funds Used During Construction</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AOCI</w:t>
      </w:r>
      <w:r>
        <w:rPr>
          <w:sz w:val="20"/>
          <w:szCs w:val="20"/>
          <w:color w:val="auto"/>
        </w:rPr>
        <w:tab/>
      </w:r>
      <w:r>
        <w:rPr>
          <w:rFonts w:ascii="Arial" w:cs="Arial" w:eastAsia="Arial" w:hAnsi="Arial"/>
          <w:sz w:val="18"/>
          <w:szCs w:val="18"/>
          <w:color w:val="auto"/>
        </w:rPr>
        <w:t>Accumulated Other Comprehensive Income (Loss)</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Arkansas Gas</w:t>
      </w:r>
      <w:r>
        <w:rPr>
          <w:sz w:val="20"/>
          <w:szCs w:val="20"/>
          <w:color w:val="auto"/>
        </w:rPr>
        <w:tab/>
      </w:r>
      <w:r>
        <w:rPr>
          <w:rFonts w:ascii="Arial" w:cs="Arial" w:eastAsia="Arial" w:hAnsi="Arial"/>
          <w:sz w:val="16"/>
          <w:szCs w:val="16"/>
          <w:color w:val="auto"/>
        </w:rPr>
        <w:t>Black Hills Energy Arkansas, Inc., a direct, wholly-owned subsidiary of Black Hills Gas Inc.</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ASC</w:t>
      </w:r>
      <w:r>
        <w:rPr>
          <w:sz w:val="20"/>
          <w:szCs w:val="20"/>
          <w:color w:val="auto"/>
        </w:rPr>
        <w:tab/>
      </w:r>
      <w:r>
        <w:rPr>
          <w:rFonts w:ascii="Arial" w:cs="Arial" w:eastAsia="Arial" w:hAnsi="Arial"/>
          <w:sz w:val="18"/>
          <w:szCs w:val="18"/>
          <w:color w:val="auto"/>
        </w:rPr>
        <w:t>Accounting Standards Codification</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ASU</w:t>
      </w:r>
      <w:r>
        <w:rPr>
          <w:sz w:val="20"/>
          <w:szCs w:val="20"/>
          <w:color w:val="auto"/>
        </w:rPr>
        <w:tab/>
      </w:r>
      <w:r>
        <w:rPr>
          <w:rFonts w:ascii="Arial" w:cs="Arial" w:eastAsia="Arial" w:hAnsi="Arial"/>
          <w:sz w:val="18"/>
          <w:szCs w:val="18"/>
          <w:color w:val="auto"/>
        </w:rPr>
        <w:t>Accounting Standards Update issued by the FASB</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ATM</w:t>
      </w:r>
      <w:r>
        <w:rPr>
          <w:sz w:val="20"/>
          <w:szCs w:val="20"/>
          <w:color w:val="auto"/>
        </w:rPr>
        <w:tab/>
      </w:r>
      <w:r>
        <w:rPr>
          <w:rFonts w:ascii="Arial" w:cs="Arial" w:eastAsia="Arial" w:hAnsi="Arial"/>
          <w:sz w:val="18"/>
          <w:szCs w:val="18"/>
          <w:color w:val="auto"/>
        </w:rPr>
        <w:t>At-the-market equity offering program</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Availability</w:t>
      </w:r>
      <w:r>
        <w:rPr>
          <w:sz w:val="20"/>
          <w:szCs w:val="20"/>
          <w:color w:val="auto"/>
        </w:rPr>
        <w:tab/>
      </w:r>
      <w:r>
        <w:rPr>
          <w:rFonts w:ascii="Arial" w:cs="Arial" w:eastAsia="Arial" w:hAnsi="Arial"/>
          <w:sz w:val="18"/>
          <w:szCs w:val="18"/>
          <w:color w:val="auto"/>
        </w:rPr>
        <w:t>The availability factor of a power plant is the percentage of the time that it is available to provide energy.</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BHC</w:t>
      </w:r>
      <w:r>
        <w:rPr>
          <w:sz w:val="20"/>
          <w:szCs w:val="20"/>
          <w:color w:val="auto"/>
        </w:rPr>
        <w:tab/>
      </w:r>
      <w:r>
        <w:rPr>
          <w:rFonts w:ascii="Arial" w:cs="Arial" w:eastAsia="Arial" w:hAnsi="Arial"/>
          <w:sz w:val="18"/>
          <w:szCs w:val="18"/>
          <w:color w:val="auto"/>
        </w:rPr>
        <w:t>Black Hills Corporation; the Company</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Black Hills Electric Generation</w:t>
      </w:r>
      <w:r>
        <w:rPr>
          <w:sz w:val="20"/>
          <w:szCs w:val="20"/>
          <w:color w:val="auto"/>
        </w:rPr>
        <w:tab/>
      </w:r>
      <w:r>
        <w:rPr>
          <w:rFonts w:ascii="Arial" w:cs="Arial" w:eastAsia="Arial" w:hAnsi="Arial"/>
          <w:sz w:val="16"/>
          <w:szCs w:val="16"/>
          <w:color w:val="auto"/>
        </w:rPr>
        <w:t>Black Hills Electric Generation, LLC, a direct, wholly-owned subsidiary of Black Hills Non-regulated Holdings</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Black Hills Energy</w:t>
      </w:r>
      <w:r>
        <w:rPr>
          <w:sz w:val="20"/>
          <w:szCs w:val="20"/>
          <w:color w:val="auto"/>
        </w:rPr>
        <w:tab/>
      </w:r>
      <w:r>
        <w:rPr>
          <w:rFonts w:ascii="Arial" w:cs="Arial" w:eastAsia="Arial" w:hAnsi="Arial"/>
          <w:sz w:val="16"/>
          <w:szCs w:val="16"/>
          <w:color w:val="auto"/>
        </w:rPr>
        <w:t>The name used to conduct the business of our utility companies</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Black Hills Power</w:t>
      </w:r>
      <w:r>
        <w:rPr>
          <w:sz w:val="20"/>
          <w:szCs w:val="20"/>
          <w:color w:val="auto"/>
        </w:rPr>
        <w:tab/>
      </w:r>
      <w:r>
        <w:rPr>
          <w:rFonts w:ascii="Arial" w:cs="Arial" w:eastAsia="Arial" w:hAnsi="Arial"/>
          <w:sz w:val="16"/>
          <w:szCs w:val="16"/>
          <w:color w:val="auto"/>
        </w:rPr>
        <w:t>Black Hills Power, Inc., a direct, wholly-owned subsidiary of Black Hills Corporation (doing business as Black Hills</w:t>
      </w:r>
    </w:p>
    <w:p>
      <w:pPr>
        <w:spacing w:after="0" w:line="2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Energy)</w:t>
      </w:r>
    </w:p>
    <w:p>
      <w:pPr>
        <w:spacing w:after="0" w:line="49"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Black Hills Utility Holdings</w:t>
      </w:r>
      <w:r>
        <w:rPr>
          <w:sz w:val="20"/>
          <w:szCs w:val="20"/>
          <w:color w:val="auto"/>
        </w:rPr>
        <w:tab/>
      </w:r>
      <w:r>
        <w:rPr>
          <w:rFonts w:ascii="Arial" w:cs="Arial" w:eastAsia="Arial" w:hAnsi="Arial"/>
          <w:sz w:val="16"/>
          <w:szCs w:val="16"/>
          <w:color w:val="auto"/>
        </w:rPr>
        <w:t>Black Hills Utility Holdings, Inc., a direct, wholly-owned subsidiary of Black Hills Corporation (doing business as</w:t>
      </w:r>
    </w:p>
    <w:p>
      <w:pPr>
        <w:spacing w:after="0" w:line="2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Black Hills Energy)</w:t>
      </w:r>
    </w:p>
    <w:p>
      <w:pPr>
        <w:spacing w:after="0" w:line="49"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Black Hills Wyoming</w:t>
      </w:r>
      <w:r>
        <w:rPr>
          <w:sz w:val="20"/>
          <w:szCs w:val="20"/>
          <w:color w:val="auto"/>
        </w:rPr>
        <w:tab/>
      </w:r>
      <w:r>
        <w:rPr>
          <w:rFonts w:ascii="Arial" w:cs="Arial" w:eastAsia="Arial" w:hAnsi="Arial"/>
          <w:sz w:val="16"/>
          <w:szCs w:val="16"/>
          <w:color w:val="auto"/>
        </w:rPr>
        <w:t>Black Hills Wyoming, LLC, a direct, wholly-owned subsidiary of Black Hills Electric Generation</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Busch Ranch I</w:t>
      </w:r>
      <w:r>
        <w:rPr>
          <w:sz w:val="20"/>
          <w:szCs w:val="20"/>
          <w:color w:val="auto"/>
        </w:rPr>
        <w:tab/>
      </w:r>
      <w:r>
        <w:rPr>
          <w:rFonts w:ascii="Arial" w:cs="Arial" w:eastAsia="Arial" w:hAnsi="Arial"/>
          <w:sz w:val="16"/>
          <w:szCs w:val="16"/>
          <w:color w:val="auto"/>
        </w:rPr>
        <w:t>Busch Ranch Wind Farm is a 29 MW wind farm near Pueblo, Colorado, jointly owned</w:t>
      </w:r>
    </w:p>
    <w:p>
      <w:pPr>
        <w:spacing w:after="0" w:line="23" w:lineRule="exact"/>
        <w:rPr>
          <w:sz w:val="20"/>
          <w:szCs w:val="20"/>
          <w:color w:val="auto"/>
        </w:rPr>
      </w:pPr>
    </w:p>
    <w:p>
      <w:pPr>
        <w:ind w:left="2900" w:right="2240"/>
        <w:spacing w:after="0" w:line="323" w:lineRule="auto"/>
        <w:rPr>
          <w:sz w:val="20"/>
          <w:szCs w:val="20"/>
          <w:color w:val="auto"/>
        </w:rPr>
      </w:pPr>
      <w:r>
        <w:rPr>
          <w:rFonts w:ascii="Arial" w:cs="Arial" w:eastAsia="Arial" w:hAnsi="Arial"/>
          <w:sz w:val="16"/>
          <w:szCs w:val="16"/>
          <w:color w:val="auto"/>
        </w:rPr>
        <w:t>by Colorado Electric and Black Hills Electric Generation. Colorado Electric and Black Hills Electric Generation each have a 50% ownership interest in the wind farm.</w:t>
      </w:r>
    </w:p>
    <w:p>
      <w:pPr>
        <w:spacing w:after="0" w:line="19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Busch Ranch II</w:t>
      </w:r>
      <w:r>
        <w:rPr>
          <w:sz w:val="20"/>
          <w:szCs w:val="20"/>
          <w:color w:val="auto"/>
        </w:rPr>
        <w:tab/>
      </w:r>
      <w:r>
        <w:rPr>
          <w:rFonts w:ascii="Arial" w:cs="Arial" w:eastAsia="Arial" w:hAnsi="Arial"/>
          <w:sz w:val="16"/>
          <w:szCs w:val="16"/>
          <w:color w:val="auto"/>
        </w:rPr>
        <w:t>Busch Ranch II wind project will be a 60 MW wind farm near Pueblo, Colorado, built by Black Hills Electric</w:t>
      </w:r>
    </w:p>
    <w:p>
      <w:pPr>
        <w:spacing w:after="0" w:line="2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Generation to provide wind energy to Colorado Electric through a 25-year power purchase agreement.</w:t>
      </w:r>
    </w:p>
    <w:p>
      <w:pPr>
        <w:spacing w:after="0" w:line="49"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CAPP</w:t>
      </w:r>
      <w:r>
        <w:rPr>
          <w:sz w:val="20"/>
          <w:szCs w:val="20"/>
          <w:color w:val="auto"/>
        </w:rPr>
        <w:tab/>
      </w:r>
      <w:r>
        <w:rPr>
          <w:rFonts w:ascii="Arial" w:cs="Arial" w:eastAsia="Arial" w:hAnsi="Arial"/>
          <w:sz w:val="18"/>
          <w:szCs w:val="18"/>
          <w:color w:val="auto"/>
        </w:rPr>
        <w:t>Customer Appliance Protection Plan</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Cheyenne Light</w:t>
      </w:r>
      <w:r>
        <w:rPr>
          <w:sz w:val="20"/>
          <w:szCs w:val="20"/>
          <w:color w:val="auto"/>
        </w:rPr>
        <w:tab/>
      </w:r>
      <w:r>
        <w:rPr>
          <w:rFonts w:ascii="Arial" w:cs="Arial" w:eastAsia="Arial" w:hAnsi="Arial"/>
          <w:sz w:val="16"/>
          <w:szCs w:val="16"/>
          <w:color w:val="auto"/>
        </w:rPr>
        <w:t>Cheyenne Light, Fuel and Power Company, a direct, wholly-owned subsidiary of Black Hills Corporation (doing</w:t>
      </w:r>
    </w:p>
    <w:p>
      <w:pPr>
        <w:spacing w:after="0" w:line="2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business as Black Hills Energy and providing electric service)</w:t>
      </w:r>
    </w:p>
    <w:p>
      <w:pPr>
        <w:spacing w:after="0" w:line="49"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Choice Gas Program</w:t>
      </w:r>
      <w:r>
        <w:rPr>
          <w:sz w:val="20"/>
          <w:szCs w:val="20"/>
          <w:color w:val="auto"/>
        </w:rPr>
        <w:tab/>
      </w:r>
      <w:r>
        <w:rPr>
          <w:rFonts w:ascii="Arial" w:cs="Arial" w:eastAsia="Arial" w:hAnsi="Arial"/>
          <w:sz w:val="16"/>
          <w:szCs w:val="16"/>
          <w:color w:val="auto"/>
        </w:rPr>
        <w:t>The unbundling of the natural gas service from the distribution component, which opens up the gas supply for</w:t>
      </w:r>
    </w:p>
    <w:p>
      <w:pPr>
        <w:spacing w:after="0" w:line="23" w:lineRule="exact"/>
        <w:rPr>
          <w:sz w:val="20"/>
          <w:szCs w:val="20"/>
          <w:color w:val="auto"/>
        </w:rPr>
      </w:pPr>
    </w:p>
    <w:p>
      <w:pPr>
        <w:ind w:left="2900"/>
        <w:spacing w:after="0" w:line="255" w:lineRule="auto"/>
        <w:rPr>
          <w:sz w:val="20"/>
          <w:szCs w:val="20"/>
          <w:color w:val="auto"/>
        </w:rPr>
      </w:pPr>
      <w:r>
        <w:rPr>
          <w:rFonts w:ascii="Arial" w:cs="Arial" w:eastAsia="Arial" w:hAnsi="Arial"/>
          <w:sz w:val="18"/>
          <w:szCs w:val="18"/>
          <w:color w:val="auto"/>
        </w:rPr>
        <w:t>competition allowing customers to choose from different natural gas suppliers. Black Hills Gas Distribution and Wyoming Gas distribute the gas and Black Hills Energy Services, Wyoming Gas and Black Hills Gas Distribution are Choice Gas suppliers.</w:t>
      </w:r>
    </w:p>
    <w:p>
      <w:pPr>
        <w:spacing w:after="0" w:line="28"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CIAC</w:t>
      </w:r>
      <w:r>
        <w:rPr>
          <w:sz w:val="20"/>
          <w:szCs w:val="20"/>
          <w:color w:val="auto"/>
        </w:rPr>
        <w:tab/>
      </w:r>
      <w:r>
        <w:rPr>
          <w:rFonts w:ascii="Arial" w:cs="Arial" w:eastAsia="Arial" w:hAnsi="Arial"/>
          <w:sz w:val="18"/>
          <w:szCs w:val="18"/>
          <w:color w:val="auto"/>
        </w:rPr>
        <w:t>Contribution In Aid of Construction</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City of Gillette</w:t>
      </w:r>
      <w:r>
        <w:rPr>
          <w:sz w:val="20"/>
          <w:szCs w:val="20"/>
          <w:color w:val="auto"/>
        </w:rPr>
        <w:tab/>
      </w:r>
      <w:r>
        <w:rPr>
          <w:rFonts w:ascii="Arial" w:cs="Arial" w:eastAsia="Arial" w:hAnsi="Arial"/>
          <w:sz w:val="17"/>
          <w:szCs w:val="17"/>
          <w:color w:val="auto"/>
        </w:rPr>
        <w:t>Gillette, Wyoming</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City of Cheyenne</w:t>
      </w:r>
      <w:r>
        <w:rPr>
          <w:sz w:val="20"/>
          <w:szCs w:val="20"/>
          <w:color w:val="auto"/>
        </w:rPr>
        <w:tab/>
      </w:r>
      <w:r>
        <w:rPr>
          <w:rFonts w:ascii="Arial" w:cs="Arial" w:eastAsia="Arial" w:hAnsi="Arial"/>
          <w:sz w:val="16"/>
          <w:szCs w:val="16"/>
          <w:color w:val="auto"/>
        </w:rPr>
        <w:t>Cheyenne, Wyoming</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Chief Operating Decision Maker</w:t>
      </w:r>
      <w:r>
        <w:rPr>
          <w:sz w:val="20"/>
          <w:szCs w:val="20"/>
          <w:color w:val="auto"/>
        </w:rPr>
        <w:tab/>
      </w:r>
      <w:r>
        <w:rPr>
          <w:rFonts w:ascii="Arial" w:cs="Arial" w:eastAsia="Arial" w:hAnsi="Arial"/>
          <w:sz w:val="16"/>
          <w:szCs w:val="16"/>
          <w:color w:val="auto"/>
        </w:rPr>
        <w:t>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(CODM)</w:t>
      </w:r>
    </w:p>
    <w:p>
      <w:pPr>
        <w:spacing w:after="0" w:line="49"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Colorado Electric</w:t>
      </w:r>
      <w:r>
        <w:rPr>
          <w:sz w:val="20"/>
          <w:szCs w:val="20"/>
          <w:color w:val="auto"/>
        </w:rPr>
        <w:tab/>
      </w:r>
      <w:r>
        <w:rPr>
          <w:rFonts w:ascii="Arial" w:cs="Arial" w:eastAsia="Arial" w:hAnsi="Arial"/>
          <w:sz w:val="17"/>
          <w:szCs w:val="17"/>
          <w:color w:val="auto"/>
        </w:rPr>
        <w:t>Black Hills Colorado Electric, LLC, an indirect, wholly-owned subsidiary of Black Hills</w:t>
      </w:r>
    </w:p>
    <w:p>
      <w:pPr>
        <w:spacing w:after="0" w:line="2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Utility Holdings (doing business as Black Hills Energy)</w:t>
      </w:r>
    </w:p>
    <w:p>
      <w:pPr>
        <w:spacing w:after="0" w:line="49"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Colorado Gas</w:t>
      </w:r>
      <w:r>
        <w:rPr>
          <w:sz w:val="20"/>
          <w:szCs w:val="20"/>
          <w:color w:val="auto"/>
        </w:rPr>
        <w:tab/>
      </w:r>
      <w:r>
        <w:rPr>
          <w:rFonts w:ascii="Arial" w:cs="Arial" w:eastAsia="Arial" w:hAnsi="Arial"/>
          <w:sz w:val="16"/>
          <w:szCs w:val="16"/>
          <w:color w:val="auto"/>
        </w:rPr>
        <w:t>Black Hills Colorado Gas, Inc., an indirect, wholly-owned subsidiary of Black Hills Utility Holdings (doing business</w:t>
      </w:r>
    </w:p>
    <w:p>
      <w:pPr>
        <w:spacing w:after="0" w:line="23"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as Black Hills Energy)</w:t>
      </w:r>
    </w:p>
    <w:p>
      <w:pPr>
        <w:spacing w:after="0" w:line="49"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Colorado IPP</w:t>
      </w:r>
      <w:r>
        <w:rPr>
          <w:sz w:val="20"/>
          <w:szCs w:val="20"/>
          <w:color w:val="auto"/>
        </w:rPr>
        <w:tab/>
      </w:r>
      <w:r>
        <w:rPr>
          <w:rFonts w:ascii="Arial" w:cs="Arial" w:eastAsia="Arial" w:hAnsi="Arial"/>
          <w:sz w:val="16"/>
          <w:szCs w:val="16"/>
          <w:color w:val="auto"/>
        </w:rPr>
        <w:t>Black Hills Colorado IPP, LLC a 50.1% owned subsidiary of Black Hills Electric Generation</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Consolidated Indebtedness to</w:t>
      </w:r>
      <w:r>
        <w:rPr>
          <w:sz w:val="20"/>
          <w:szCs w:val="20"/>
          <w:color w:val="auto"/>
        </w:rPr>
        <w:tab/>
      </w:r>
      <w:r>
        <w:rPr>
          <w:rFonts w:ascii="Arial" w:cs="Arial" w:eastAsia="Arial" w:hAnsi="Arial"/>
          <w:sz w:val="16"/>
          <w:szCs w:val="16"/>
          <w:color w:val="auto"/>
        </w:rPr>
        <w:t>Any indebtedness outstanding at such time, divided by capital at such time. Capital being consolidated net-worth</w:t>
      </w:r>
    </w:p>
    <w:p>
      <w:pPr>
        <w:spacing w:after="0" w:line="2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Capitalization Ratio</w:t>
      </w:r>
      <w:r>
        <w:rPr>
          <w:sz w:val="20"/>
          <w:szCs w:val="20"/>
          <w:color w:val="auto"/>
        </w:rPr>
        <w:tab/>
      </w:r>
      <w:r>
        <w:rPr>
          <w:rFonts w:ascii="Arial" w:cs="Arial" w:eastAsia="Arial" w:hAnsi="Arial"/>
          <w:sz w:val="16"/>
          <w:szCs w:val="16"/>
          <w:color w:val="auto"/>
        </w:rPr>
        <w:t>(excluding noncontrolling interest) plus consolidated indebtedness (including letters of credit and certain guarantees</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issued) as defined within the current Revolving Credit Facility.</w:t>
      </w:r>
    </w:p>
    <w:p>
      <w:pPr>
        <w:spacing w:after="0" w:line="49"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Cooling Degree Day (CDD)</w:t>
      </w:r>
      <w:r>
        <w:rPr>
          <w:sz w:val="20"/>
          <w:szCs w:val="20"/>
          <w:color w:val="auto"/>
        </w:rPr>
        <w:tab/>
      </w:r>
      <w:r>
        <w:rPr>
          <w:rFonts w:ascii="Arial" w:cs="Arial" w:eastAsia="Arial" w:hAnsi="Arial"/>
          <w:sz w:val="16"/>
          <w:szCs w:val="16"/>
          <w:color w:val="auto"/>
        </w:rPr>
        <w:t>A cooling degree day is equivalent to each degree that the average of the high and low temperatures for a day is</w:t>
      </w:r>
    </w:p>
    <w:p>
      <w:pPr>
        <w:spacing w:after="0" w:line="23" w:lineRule="exact"/>
        <w:rPr>
          <w:sz w:val="20"/>
          <w:szCs w:val="20"/>
          <w:color w:val="auto"/>
        </w:rPr>
      </w:pPr>
    </w:p>
    <w:p>
      <w:pPr>
        <w:ind w:left="2900" w:right="140"/>
        <w:spacing w:after="0" w:line="254" w:lineRule="auto"/>
        <w:rPr>
          <w:sz w:val="20"/>
          <w:szCs w:val="20"/>
          <w:color w:val="auto"/>
        </w:rPr>
      </w:pPr>
      <w:r>
        <w:rPr>
          <w:rFonts w:ascii="Arial" w:cs="Arial" w:eastAsia="Arial" w:hAnsi="Arial"/>
          <w:sz w:val="18"/>
          <w:szCs w:val="18"/>
          <w:color w:val="auto"/>
        </w:rPr>
        <w:t>above 65 degrees. The warmer the climate, the greater the number of cooling degree days. Cooling degree days are used in the utility industry to measure the relative warmth of weather and to compare relative temperatures between one geographic area and another. Normal degree days are based on the National Weather Service data for selected locations.</w:t>
      </w:r>
    </w:p>
    <w:p>
      <w:pPr>
        <w:spacing w:after="0" w:line="28"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CPCN</w:t>
      </w:r>
      <w:r>
        <w:rPr>
          <w:sz w:val="20"/>
          <w:szCs w:val="20"/>
          <w:color w:val="auto"/>
        </w:rPr>
        <w:tab/>
      </w:r>
      <w:r>
        <w:rPr>
          <w:rFonts w:ascii="Arial" w:cs="Arial" w:eastAsia="Arial" w:hAnsi="Arial"/>
          <w:sz w:val="18"/>
          <w:szCs w:val="18"/>
          <w:color w:val="auto"/>
        </w:rPr>
        <w:t>Certificate of Public Convenience and Necessity</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CP Program</w:t>
      </w:r>
      <w:r>
        <w:rPr>
          <w:sz w:val="20"/>
          <w:szCs w:val="20"/>
          <w:color w:val="auto"/>
        </w:rPr>
        <w:tab/>
      </w:r>
      <w:r>
        <w:rPr>
          <w:rFonts w:ascii="Arial" w:cs="Arial" w:eastAsia="Arial" w:hAnsi="Arial"/>
          <w:sz w:val="16"/>
          <w:szCs w:val="16"/>
          <w:color w:val="auto"/>
        </w:rPr>
        <w:t>Commercial Paper Program</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CPUC</w:t>
      </w:r>
      <w:r>
        <w:rPr>
          <w:sz w:val="20"/>
          <w:szCs w:val="20"/>
          <w:color w:val="auto"/>
        </w:rPr>
        <w:tab/>
      </w:r>
      <w:r>
        <w:rPr>
          <w:rFonts w:ascii="Arial" w:cs="Arial" w:eastAsia="Arial" w:hAnsi="Arial"/>
          <w:sz w:val="18"/>
          <w:szCs w:val="18"/>
          <w:color w:val="auto"/>
        </w:rPr>
        <w:t>Colorado Public Utilities Commission</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CT</w:t>
      </w:r>
      <w:r>
        <w:rPr>
          <w:sz w:val="20"/>
          <w:szCs w:val="20"/>
          <w:color w:val="auto"/>
        </w:rPr>
        <w:tab/>
      </w:r>
      <w:r>
        <w:rPr>
          <w:rFonts w:ascii="Arial" w:cs="Arial" w:eastAsia="Arial" w:hAnsi="Arial"/>
          <w:sz w:val="18"/>
          <w:szCs w:val="18"/>
          <w:color w:val="auto"/>
        </w:rPr>
        <w:t>Combustion turbine</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CVA</w:t>
      </w:r>
      <w:r>
        <w:rPr>
          <w:sz w:val="20"/>
          <w:szCs w:val="20"/>
          <w:color w:val="auto"/>
        </w:rPr>
        <w:tab/>
      </w:r>
      <w:r>
        <w:rPr>
          <w:rFonts w:ascii="Arial" w:cs="Arial" w:eastAsia="Arial" w:hAnsi="Arial"/>
          <w:sz w:val="18"/>
          <w:szCs w:val="18"/>
          <w:color w:val="auto"/>
        </w:rPr>
        <w:t>Credit Valuation Adjustment</w:t>
      </w:r>
    </w:p>
    <w:p>
      <w:pPr>
        <w:spacing w:after="0" w:line="63" w:lineRule="exact"/>
        <w:rPr>
          <w:sz w:val="20"/>
          <w:szCs w:val="20"/>
          <w:color w:val="auto"/>
        </w:rPr>
      </w:pPr>
    </w:p>
    <w:p>
      <w:pPr>
        <w:ind w:left="40"/>
        <w:spacing w:after="0"/>
        <w:tabs>
          <w:tab w:leader="none" w:pos="2880" w:val="left"/>
        </w:tabs>
        <w:rPr>
          <w:sz w:val="20"/>
          <w:szCs w:val="20"/>
          <w:color w:val="auto"/>
        </w:rPr>
      </w:pPr>
      <w:r>
        <w:rPr>
          <w:rFonts w:ascii="Arial" w:cs="Arial" w:eastAsia="Arial" w:hAnsi="Arial"/>
          <w:sz w:val="18"/>
          <w:szCs w:val="18"/>
          <w:color w:val="auto"/>
        </w:rPr>
        <w:t>Dodd-Frank</w:t>
      </w:r>
      <w:r>
        <w:rPr>
          <w:sz w:val="20"/>
          <w:szCs w:val="20"/>
          <w:color w:val="auto"/>
        </w:rPr>
        <w:tab/>
      </w:r>
      <w:r>
        <w:rPr>
          <w:rFonts w:ascii="Arial" w:cs="Arial" w:eastAsia="Arial" w:hAnsi="Arial"/>
          <w:sz w:val="16"/>
          <w:szCs w:val="16"/>
          <w:color w:val="auto"/>
        </w:rPr>
        <w:t>Dodd-Frank Wall Street Reform and Consumer Protection Act</w:t>
      </w:r>
    </w:p>
    <w:p>
      <w:pPr>
        <w:sectPr>
          <w:pgSz w:w="11900" w:h="16838" w:orient="portrait"/>
          <w:cols w:equalWidth="0" w:num="1">
            <w:col w:w="11380"/>
          </w:cols>
          <w:pgMar w:left="240" w:top="126" w:right="279" w:bottom="1440" w:gutter="0" w:footer="0" w:header="0"/>
        </w:sect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126" w:right="2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270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8660" w:type="dxa"/>
            <w:vAlign w:val="bottom"/>
          </w:tcPr>
          <w:p>
            <w:pPr>
              <w:spacing w:after="0"/>
              <w:rPr>
                <w:sz w:val="16"/>
                <w:szCs w:val="16"/>
                <w:color w:val="auto"/>
              </w:rPr>
            </w:pPr>
          </w:p>
        </w:tc>
      </w:tr>
      <w:tr>
        <w:trPr>
          <w:trHeight w:val="628"/>
        </w:trPr>
        <w:tc>
          <w:tcPr>
            <w:tcW w:w="122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Dth</w:t>
            </w:r>
          </w:p>
        </w:tc>
        <w:tc>
          <w:tcPr>
            <w:tcW w:w="1480" w:type="dxa"/>
            <w:vAlign w:val="bottom"/>
          </w:tcPr>
          <w:p>
            <w:pPr>
              <w:spacing w:after="0"/>
              <w:rPr>
                <w:sz w:val="24"/>
                <w:szCs w:val="24"/>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Dekatherm. A unit of energy equal to 10 therms or one million British thermal units (MMBtu)</w:t>
            </w:r>
          </w:p>
        </w:tc>
      </w:tr>
      <w:tr>
        <w:trPr>
          <w:trHeight w:val="256"/>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Equity Unit</w:t>
            </w:r>
          </w:p>
        </w:tc>
        <w:tc>
          <w:tcPr>
            <w:tcW w:w="8660" w:type="dxa"/>
            <w:vAlign w:val="bottom"/>
          </w:tcPr>
          <w:p>
            <w:pPr>
              <w:ind w:left="200"/>
              <w:spacing w:after="0"/>
              <w:rPr>
                <w:sz w:val="20"/>
                <w:szCs w:val="20"/>
                <w:color w:val="auto"/>
              </w:rPr>
            </w:pPr>
            <w:r>
              <w:rPr>
                <w:rFonts w:ascii="Arial" w:cs="Arial" w:eastAsia="Arial" w:hAnsi="Arial"/>
                <w:sz w:val="18"/>
                <w:szCs w:val="18"/>
                <w:color w:val="auto"/>
                <w:w w:val="90"/>
              </w:rPr>
              <w:t>Each Equity Unit had a stated amount of $50, consisting of a purchase contract issued by BHC to purchase shares of</w:t>
            </w:r>
          </w:p>
        </w:tc>
      </w:tr>
      <w:tr>
        <w:trPr>
          <w:trHeight w:val="216"/>
        </w:trPr>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3"/>
              </w:rPr>
              <w:t>BHC common stock and a 1/20, or 5% undivided beneficial ownership interest in $1,000 principal amount of BHC</w:t>
            </w:r>
          </w:p>
        </w:tc>
      </w:tr>
      <w:tr>
        <w:trPr>
          <w:trHeight w:val="216"/>
        </w:trPr>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1"/>
              </w:rPr>
              <w:t>RSNs that were formerly due 2028. On November 1, 2018, we completed settlement of the stock purchase contracts</w:t>
            </w:r>
          </w:p>
        </w:tc>
      </w:tr>
      <w:tr>
        <w:trPr>
          <w:trHeight w:val="230"/>
        </w:trPr>
        <w:tc>
          <w:tcPr>
            <w:tcW w:w="1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that are components of the Equity Units issued in November 2015.</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FASB</w:t>
            </w:r>
          </w:p>
        </w:tc>
        <w:tc>
          <w:tcPr>
            <w:tcW w:w="8660" w:type="dxa"/>
            <w:vAlign w:val="bottom"/>
          </w:tcPr>
          <w:p>
            <w:pPr>
              <w:ind w:left="20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FERC</w:t>
            </w:r>
          </w:p>
        </w:tc>
        <w:tc>
          <w:tcPr>
            <w:tcW w:w="8660" w:type="dxa"/>
            <w:vAlign w:val="bottom"/>
          </w:tcPr>
          <w:p>
            <w:pPr>
              <w:ind w:left="200"/>
              <w:spacing w:after="0"/>
              <w:rPr>
                <w:sz w:val="20"/>
                <w:szCs w:val="20"/>
                <w:color w:val="auto"/>
              </w:rPr>
            </w:pPr>
            <w:r>
              <w:rPr>
                <w:rFonts w:ascii="Arial" w:cs="Arial" w:eastAsia="Arial" w:hAnsi="Arial"/>
                <w:sz w:val="18"/>
                <w:szCs w:val="18"/>
                <w:color w:val="auto"/>
              </w:rPr>
              <w:t>United States Federal Energy Regulatory Commission</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Fitch</w:t>
            </w:r>
          </w:p>
        </w:tc>
        <w:tc>
          <w:tcPr>
            <w:tcW w:w="8660" w:type="dxa"/>
            <w:vAlign w:val="bottom"/>
          </w:tcPr>
          <w:p>
            <w:pPr>
              <w:ind w:left="200"/>
              <w:spacing w:after="0"/>
              <w:rPr>
                <w:sz w:val="20"/>
                <w:szCs w:val="20"/>
                <w:color w:val="auto"/>
              </w:rPr>
            </w:pPr>
            <w:r>
              <w:rPr>
                <w:rFonts w:ascii="Arial" w:cs="Arial" w:eastAsia="Arial" w:hAnsi="Arial"/>
                <w:sz w:val="18"/>
                <w:szCs w:val="18"/>
                <w:color w:val="auto"/>
              </w:rPr>
              <w:t>Fitch Ratings</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GAAP</w:t>
            </w:r>
          </w:p>
        </w:tc>
        <w:tc>
          <w:tcPr>
            <w:tcW w:w="8660" w:type="dxa"/>
            <w:vAlign w:val="bottom"/>
          </w:tcPr>
          <w:p>
            <w:pPr>
              <w:ind w:left="20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56"/>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Heating Degree Day (HDD)</w:t>
            </w:r>
          </w:p>
        </w:tc>
        <w:tc>
          <w:tcPr>
            <w:tcW w:w="8660" w:type="dxa"/>
            <w:vAlign w:val="bottom"/>
          </w:tcPr>
          <w:p>
            <w:pPr>
              <w:ind w:left="200"/>
              <w:spacing w:after="0"/>
              <w:rPr>
                <w:sz w:val="20"/>
                <w:szCs w:val="20"/>
                <w:color w:val="auto"/>
              </w:rPr>
            </w:pPr>
            <w:r>
              <w:rPr>
                <w:rFonts w:ascii="Arial" w:cs="Arial" w:eastAsia="Arial" w:hAnsi="Arial"/>
                <w:sz w:val="18"/>
                <w:szCs w:val="18"/>
                <w:color w:val="auto"/>
                <w:w w:val="91"/>
              </w:rPr>
              <w:t>A heating degree day is equivalent to each degree that the average of the high and the low temperatures for a day is</w:t>
            </w:r>
          </w:p>
        </w:tc>
      </w:tr>
      <w:tr>
        <w:trPr>
          <w:trHeight w:val="216"/>
        </w:trPr>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1"/>
              </w:rPr>
              <w:t>below 65 degrees. The colder the climate, the greater the number of heating degree days. Heating degree days are</w:t>
            </w:r>
          </w:p>
        </w:tc>
      </w:tr>
      <w:tr>
        <w:trPr>
          <w:trHeight w:val="216"/>
        </w:trPr>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0"/>
              </w:rPr>
              <w:t>used in the utility industry to measure the relative coldness of weather and to compare relative temperatures between</w:t>
            </w:r>
          </w:p>
        </w:tc>
      </w:tr>
      <w:tr>
        <w:trPr>
          <w:trHeight w:val="216"/>
        </w:trPr>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1"/>
              </w:rPr>
              <w:t>one geographic area and another. Normal degree days are based on the National Weather Service data for selected</w:t>
            </w:r>
          </w:p>
        </w:tc>
      </w:tr>
      <w:tr>
        <w:trPr>
          <w:trHeight w:val="230"/>
        </w:trPr>
        <w:tc>
          <w:tcPr>
            <w:tcW w:w="1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locations.</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IPP</w:t>
            </w:r>
          </w:p>
        </w:tc>
        <w:tc>
          <w:tcPr>
            <w:tcW w:w="8660" w:type="dxa"/>
            <w:vAlign w:val="bottom"/>
          </w:tcPr>
          <w:p>
            <w:pPr>
              <w:ind w:left="200"/>
              <w:spacing w:after="0"/>
              <w:rPr>
                <w:sz w:val="20"/>
                <w:szCs w:val="20"/>
                <w:color w:val="auto"/>
              </w:rPr>
            </w:pPr>
            <w:r>
              <w:rPr>
                <w:rFonts w:ascii="Arial" w:cs="Arial" w:eastAsia="Arial" w:hAnsi="Arial"/>
                <w:sz w:val="18"/>
                <w:szCs w:val="18"/>
                <w:color w:val="auto"/>
              </w:rPr>
              <w:t>Independent power producer</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IRS</w:t>
            </w:r>
          </w:p>
        </w:tc>
        <w:tc>
          <w:tcPr>
            <w:tcW w:w="8660" w:type="dxa"/>
            <w:vAlign w:val="bottom"/>
          </w:tcPr>
          <w:p>
            <w:pPr>
              <w:ind w:left="200"/>
              <w:spacing w:after="0"/>
              <w:rPr>
                <w:sz w:val="20"/>
                <w:szCs w:val="20"/>
                <w:color w:val="auto"/>
              </w:rPr>
            </w:pPr>
            <w:r>
              <w:rPr>
                <w:rFonts w:ascii="Arial" w:cs="Arial" w:eastAsia="Arial" w:hAnsi="Arial"/>
                <w:sz w:val="18"/>
                <w:szCs w:val="18"/>
                <w:color w:val="auto"/>
              </w:rPr>
              <w:t>United States Internal Revenue Service</w:t>
            </w:r>
          </w:p>
        </w:tc>
      </w:tr>
      <w:tr>
        <w:trPr>
          <w:trHeight w:val="256"/>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Kansas Gas</w:t>
            </w:r>
          </w:p>
        </w:tc>
        <w:tc>
          <w:tcPr>
            <w:tcW w:w="8660" w:type="dxa"/>
            <w:vAlign w:val="bottom"/>
          </w:tcPr>
          <w:p>
            <w:pPr>
              <w:ind w:left="200"/>
              <w:spacing w:after="0"/>
              <w:rPr>
                <w:sz w:val="20"/>
                <w:szCs w:val="20"/>
                <w:color w:val="auto"/>
              </w:rPr>
            </w:pPr>
            <w:r>
              <w:rPr>
                <w:rFonts w:ascii="Arial" w:cs="Arial" w:eastAsia="Arial" w:hAnsi="Arial"/>
                <w:sz w:val="18"/>
                <w:szCs w:val="18"/>
                <w:color w:val="auto"/>
                <w:w w:val="97"/>
              </w:rPr>
              <w:t>Black Hills Kansas Gas Utility Company, LLC, a direct, wholly-owned subsidiary of Black Hills Utility Holdings</w:t>
            </w:r>
          </w:p>
        </w:tc>
      </w:tr>
      <w:tr>
        <w:trPr>
          <w:trHeight w:val="230"/>
        </w:trPr>
        <w:tc>
          <w:tcPr>
            <w:tcW w:w="1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(doing business as Black Hills Energy)</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MMBtu</w:t>
            </w:r>
          </w:p>
        </w:tc>
        <w:tc>
          <w:tcPr>
            <w:tcW w:w="8660" w:type="dxa"/>
            <w:vAlign w:val="bottom"/>
          </w:tcPr>
          <w:p>
            <w:pPr>
              <w:ind w:left="200"/>
              <w:spacing w:after="0"/>
              <w:rPr>
                <w:sz w:val="20"/>
                <w:szCs w:val="20"/>
                <w:color w:val="auto"/>
              </w:rPr>
            </w:pPr>
            <w:r>
              <w:rPr>
                <w:rFonts w:ascii="Arial" w:cs="Arial" w:eastAsia="Arial" w:hAnsi="Arial"/>
                <w:sz w:val="18"/>
                <w:szCs w:val="18"/>
                <w:color w:val="auto"/>
              </w:rPr>
              <w:t>Million British thermal units</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Moody’s</w:t>
            </w:r>
          </w:p>
        </w:tc>
        <w:tc>
          <w:tcPr>
            <w:tcW w:w="8660" w:type="dxa"/>
            <w:vAlign w:val="bottom"/>
          </w:tcPr>
          <w:p>
            <w:pPr>
              <w:ind w:left="200"/>
              <w:spacing w:after="0"/>
              <w:rPr>
                <w:sz w:val="20"/>
                <w:szCs w:val="20"/>
                <w:color w:val="auto"/>
              </w:rPr>
            </w:pPr>
            <w:r>
              <w:rPr>
                <w:rFonts w:ascii="Arial" w:cs="Arial" w:eastAsia="Arial" w:hAnsi="Arial"/>
                <w:sz w:val="18"/>
                <w:szCs w:val="18"/>
                <w:color w:val="auto"/>
              </w:rPr>
              <w:t>Moody’s Investors Service, Inc.</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MW</w:t>
            </w:r>
          </w:p>
        </w:tc>
        <w:tc>
          <w:tcPr>
            <w:tcW w:w="8660" w:type="dxa"/>
            <w:vAlign w:val="bottom"/>
          </w:tcPr>
          <w:p>
            <w:pPr>
              <w:ind w:left="200"/>
              <w:spacing w:after="0"/>
              <w:rPr>
                <w:sz w:val="20"/>
                <w:szCs w:val="20"/>
                <w:color w:val="auto"/>
              </w:rPr>
            </w:pPr>
            <w:r>
              <w:rPr>
                <w:rFonts w:ascii="Arial" w:cs="Arial" w:eastAsia="Arial" w:hAnsi="Arial"/>
                <w:sz w:val="18"/>
                <w:szCs w:val="18"/>
                <w:color w:val="auto"/>
              </w:rPr>
              <w:t>Megawatts</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MWh</w:t>
            </w:r>
          </w:p>
        </w:tc>
        <w:tc>
          <w:tcPr>
            <w:tcW w:w="8660" w:type="dxa"/>
            <w:vAlign w:val="bottom"/>
          </w:tcPr>
          <w:p>
            <w:pPr>
              <w:ind w:left="200"/>
              <w:spacing w:after="0"/>
              <w:rPr>
                <w:sz w:val="20"/>
                <w:szCs w:val="20"/>
                <w:color w:val="auto"/>
              </w:rPr>
            </w:pPr>
            <w:r>
              <w:rPr>
                <w:rFonts w:ascii="Arial" w:cs="Arial" w:eastAsia="Arial" w:hAnsi="Arial"/>
                <w:sz w:val="18"/>
                <w:szCs w:val="18"/>
                <w:color w:val="auto"/>
              </w:rPr>
              <w:t>Megawatt-hours</w:t>
            </w:r>
          </w:p>
        </w:tc>
      </w:tr>
      <w:tr>
        <w:trPr>
          <w:trHeight w:val="256"/>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Nebraska Gas</w:t>
            </w:r>
          </w:p>
        </w:tc>
        <w:tc>
          <w:tcPr>
            <w:tcW w:w="8660" w:type="dxa"/>
            <w:vAlign w:val="bottom"/>
          </w:tcPr>
          <w:p>
            <w:pPr>
              <w:ind w:left="200"/>
              <w:spacing w:after="0"/>
              <w:rPr>
                <w:sz w:val="20"/>
                <w:szCs w:val="20"/>
                <w:color w:val="auto"/>
              </w:rPr>
            </w:pPr>
            <w:r>
              <w:rPr>
                <w:rFonts w:ascii="Arial" w:cs="Arial" w:eastAsia="Arial" w:hAnsi="Arial"/>
                <w:sz w:val="18"/>
                <w:szCs w:val="18"/>
                <w:color w:val="auto"/>
                <w:w w:val="95"/>
              </w:rPr>
              <w:t>Black Hills Nebraska Gas Utility Company, LLC, a direct, wholly-owned subsidiary of Black Hills Utility Holdings</w:t>
            </w:r>
          </w:p>
        </w:tc>
      </w:tr>
      <w:tr>
        <w:trPr>
          <w:trHeight w:val="230"/>
        </w:trPr>
        <w:tc>
          <w:tcPr>
            <w:tcW w:w="1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(doing business as Black Hills Energy)</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NPSC</w:t>
            </w:r>
          </w:p>
        </w:tc>
        <w:tc>
          <w:tcPr>
            <w:tcW w:w="8660" w:type="dxa"/>
            <w:vAlign w:val="bottom"/>
          </w:tcPr>
          <w:p>
            <w:pPr>
              <w:ind w:left="200"/>
              <w:spacing w:after="0"/>
              <w:rPr>
                <w:sz w:val="20"/>
                <w:szCs w:val="20"/>
                <w:color w:val="auto"/>
              </w:rPr>
            </w:pPr>
            <w:r>
              <w:rPr>
                <w:rFonts w:ascii="Arial" w:cs="Arial" w:eastAsia="Arial" w:hAnsi="Arial"/>
                <w:sz w:val="18"/>
                <w:szCs w:val="18"/>
                <w:color w:val="auto"/>
              </w:rPr>
              <w:t>Nebraska Public Service Commission</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PPA</w:t>
            </w:r>
          </w:p>
        </w:tc>
        <w:tc>
          <w:tcPr>
            <w:tcW w:w="8660" w:type="dxa"/>
            <w:vAlign w:val="bottom"/>
          </w:tcPr>
          <w:p>
            <w:pPr>
              <w:ind w:left="200"/>
              <w:spacing w:after="0"/>
              <w:rPr>
                <w:sz w:val="20"/>
                <w:szCs w:val="20"/>
                <w:color w:val="auto"/>
              </w:rPr>
            </w:pPr>
            <w:r>
              <w:rPr>
                <w:rFonts w:ascii="Arial" w:cs="Arial" w:eastAsia="Arial" w:hAnsi="Arial"/>
                <w:sz w:val="18"/>
                <w:szCs w:val="18"/>
                <w:color w:val="auto"/>
              </w:rPr>
              <w:t>Power Purchase Agreement</w:t>
            </w:r>
          </w:p>
        </w:tc>
      </w:tr>
      <w:tr>
        <w:trPr>
          <w:trHeight w:val="256"/>
        </w:trPr>
        <w:tc>
          <w:tcPr>
            <w:tcW w:w="2700" w:type="dxa"/>
            <w:vAlign w:val="bottom"/>
            <w:gridSpan w:val="2"/>
          </w:tcPr>
          <w:p>
            <w:pPr>
              <w:ind w:left="40"/>
              <w:spacing w:after="0"/>
              <w:rPr>
                <w:sz w:val="20"/>
                <w:szCs w:val="20"/>
                <w:color w:val="auto"/>
              </w:rPr>
            </w:pPr>
            <w:r>
              <w:rPr>
                <w:rFonts w:ascii="Arial" w:cs="Arial" w:eastAsia="Arial" w:hAnsi="Arial"/>
                <w:sz w:val="18"/>
                <w:szCs w:val="18"/>
                <w:color w:val="auto"/>
                <w:w w:val="98"/>
              </w:rPr>
              <w:t>Pueblo Airport Generation Station</w:t>
            </w:r>
          </w:p>
        </w:tc>
        <w:tc>
          <w:tcPr>
            <w:tcW w:w="8660" w:type="dxa"/>
            <w:vAlign w:val="bottom"/>
          </w:tcPr>
          <w:p>
            <w:pPr>
              <w:ind w:left="200"/>
              <w:spacing w:after="0"/>
              <w:rPr>
                <w:sz w:val="20"/>
                <w:szCs w:val="20"/>
                <w:color w:val="auto"/>
              </w:rPr>
            </w:pPr>
            <w:r>
              <w:rPr>
                <w:rFonts w:ascii="Arial" w:cs="Arial" w:eastAsia="Arial" w:hAnsi="Arial"/>
                <w:sz w:val="18"/>
                <w:szCs w:val="18"/>
                <w:color w:val="auto"/>
                <w:w w:val="91"/>
              </w:rPr>
              <w:t>Two 100 MW combined cycle gas-fired power generation plants owned by Colorado IPP and located at a site shared</w:t>
            </w:r>
          </w:p>
        </w:tc>
      </w:tr>
      <w:tr>
        <w:trPr>
          <w:trHeight w:val="230"/>
        </w:trPr>
        <w:tc>
          <w:tcPr>
            <w:tcW w:w="1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with Colorado Electric. The plants commenced operation on January 1, 2012.</w:t>
            </w:r>
          </w:p>
        </w:tc>
      </w:tr>
      <w:tr>
        <w:trPr>
          <w:trHeight w:val="472"/>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Revolving Credit Facility</w:t>
            </w:r>
          </w:p>
        </w:tc>
        <w:tc>
          <w:tcPr>
            <w:tcW w:w="8660" w:type="dxa"/>
            <w:vAlign w:val="bottom"/>
          </w:tcPr>
          <w:p>
            <w:pPr>
              <w:ind w:left="200"/>
              <w:spacing w:after="0"/>
              <w:rPr>
                <w:sz w:val="20"/>
                <w:szCs w:val="20"/>
                <w:color w:val="auto"/>
              </w:rPr>
            </w:pPr>
            <w:r>
              <w:rPr>
                <w:rFonts w:ascii="Arial" w:cs="Arial" w:eastAsia="Arial" w:hAnsi="Arial"/>
                <w:sz w:val="18"/>
                <w:szCs w:val="18"/>
                <w:color w:val="auto"/>
                <w:w w:val="94"/>
              </w:rPr>
              <w:t>Our $750 million credit facility used to fund working capital needs, letters of credit and other corporate purposes,</w:t>
            </w:r>
          </w:p>
        </w:tc>
      </w:tr>
      <w:tr>
        <w:trPr>
          <w:trHeight w:val="230"/>
        </w:trPr>
        <w:tc>
          <w:tcPr>
            <w:tcW w:w="1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which was amended and restated on July 30, 2018 and now terminates on July 30, 2023.</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RSNs</w:t>
            </w:r>
          </w:p>
        </w:tc>
        <w:tc>
          <w:tcPr>
            <w:tcW w:w="8660" w:type="dxa"/>
            <w:vAlign w:val="bottom"/>
          </w:tcPr>
          <w:p>
            <w:pPr>
              <w:ind w:left="200"/>
              <w:spacing w:after="0"/>
              <w:rPr>
                <w:sz w:val="20"/>
                <w:szCs w:val="20"/>
                <w:color w:val="auto"/>
              </w:rPr>
            </w:pPr>
            <w:r>
              <w:rPr>
                <w:rFonts w:ascii="Arial" w:cs="Arial" w:eastAsia="Arial" w:hAnsi="Arial"/>
                <w:sz w:val="18"/>
                <w:szCs w:val="18"/>
                <w:color w:val="auto"/>
              </w:rPr>
              <w:t>Remarketable junior subordinated notes, issued on November 23, 2015 and retired on August 17, 2018.</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SDPUC</w:t>
            </w:r>
          </w:p>
        </w:tc>
        <w:tc>
          <w:tcPr>
            <w:tcW w:w="8660" w:type="dxa"/>
            <w:vAlign w:val="bottom"/>
          </w:tcPr>
          <w:p>
            <w:pPr>
              <w:ind w:left="200"/>
              <w:spacing w:after="0"/>
              <w:rPr>
                <w:sz w:val="20"/>
                <w:szCs w:val="20"/>
                <w:color w:val="auto"/>
              </w:rPr>
            </w:pPr>
            <w:r>
              <w:rPr>
                <w:rFonts w:ascii="Arial" w:cs="Arial" w:eastAsia="Arial" w:hAnsi="Arial"/>
                <w:sz w:val="18"/>
                <w:szCs w:val="18"/>
                <w:color w:val="auto"/>
              </w:rPr>
              <w:t>South Dakota Public Utilities Commission</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SEC</w:t>
            </w:r>
          </w:p>
        </w:tc>
        <w:tc>
          <w:tcPr>
            <w:tcW w:w="8660" w:type="dxa"/>
            <w:vAlign w:val="bottom"/>
          </w:tcPr>
          <w:p>
            <w:pPr>
              <w:ind w:left="200"/>
              <w:spacing w:after="0"/>
              <w:rPr>
                <w:sz w:val="20"/>
                <w:szCs w:val="20"/>
                <w:color w:val="auto"/>
              </w:rPr>
            </w:pPr>
            <w:r>
              <w:rPr>
                <w:rFonts w:ascii="Arial" w:cs="Arial" w:eastAsia="Arial" w:hAnsi="Arial"/>
                <w:sz w:val="18"/>
                <w:szCs w:val="18"/>
                <w:color w:val="auto"/>
              </w:rPr>
              <w:t>U. S. Securities and Exchange Commission</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S&amp;P</w:t>
            </w:r>
          </w:p>
        </w:tc>
        <w:tc>
          <w:tcPr>
            <w:tcW w:w="8660" w:type="dxa"/>
            <w:vAlign w:val="bottom"/>
          </w:tcPr>
          <w:p>
            <w:pPr>
              <w:ind w:left="200"/>
              <w:spacing w:after="0"/>
              <w:rPr>
                <w:sz w:val="20"/>
                <w:szCs w:val="20"/>
                <w:color w:val="auto"/>
              </w:rPr>
            </w:pPr>
            <w:r>
              <w:rPr>
                <w:rFonts w:ascii="Arial" w:cs="Arial" w:eastAsia="Arial" w:hAnsi="Arial"/>
                <w:sz w:val="18"/>
                <w:szCs w:val="18"/>
                <w:color w:val="auto"/>
              </w:rPr>
              <w:t>Standard and Poor’s, a division of The McGraw-Hill Companies, Inc.</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South Dakota Electric</w:t>
            </w:r>
          </w:p>
        </w:tc>
        <w:tc>
          <w:tcPr>
            <w:tcW w:w="8660" w:type="dxa"/>
            <w:vAlign w:val="bottom"/>
          </w:tcPr>
          <w:p>
            <w:pPr>
              <w:ind w:left="200"/>
              <w:spacing w:after="0"/>
              <w:rPr>
                <w:sz w:val="20"/>
                <w:szCs w:val="20"/>
                <w:color w:val="auto"/>
              </w:rPr>
            </w:pPr>
            <w:r>
              <w:rPr>
                <w:rFonts w:ascii="Arial" w:cs="Arial" w:eastAsia="Arial" w:hAnsi="Arial"/>
                <w:sz w:val="18"/>
                <w:szCs w:val="18"/>
                <w:color w:val="auto"/>
              </w:rPr>
              <w:t>Black Hills Power, which includes operations in South Dakota, Wyoming and Montana</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SSIR</w:t>
            </w:r>
          </w:p>
        </w:tc>
        <w:tc>
          <w:tcPr>
            <w:tcW w:w="8660" w:type="dxa"/>
            <w:vAlign w:val="bottom"/>
          </w:tcPr>
          <w:p>
            <w:pPr>
              <w:ind w:left="200"/>
              <w:spacing w:after="0"/>
              <w:rPr>
                <w:sz w:val="20"/>
                <w:szCs w:val="20"/>
                <w:color w:val="auto"/>
              </w:rPr>
            </w:pPr>
            <w:r>
              <w:rPr>
                <w:rFonts w:ascii="Arial" w:cs="Arial" w:eastAsia="Arial" w:hAnsi="Arial"/>
                <w:sz w:val="18"/>
                <w:szCs w:val="18"/>
                <w:color w:val="auto"/>
              </w:rPr>
              <w:t>System Safety and Integrity Rider</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TCJA</w:t>
            </w:r>
          </w:p>
        </w:tc>
        <w:tc>
          <w:tcPr>
            <w:tcW w:w="8660" w:type="dxa"/>
            <w:vAlign w:val="bottom"/>
          </w:tcPr>
          <w:p>
            <w:pPr>
              <w:ind w:left="200"/>
              <w:spacing w:after="0"/>
              <w:rPr>
                <w:sz w:val="20"/>
                <w:szCs w:val="20"/>
                <w:color w:val="auto"/>
              </w:rPr>
            </w:pPr>
            <w:r>
              <w:rPr>
                <w:rFonts w:ascii="Arial" w:cs="Arial" w:eastAsia="Arial" w:hAnsi="Arial"/>
                <w:sz w:val="18"/>
                <w:szCs w:val="18"/>
                <w:color w:val="auto"/>
              </w:rPr>
              <w:t>Tax Cuts and Jobs Act enacted on December 22, 2017</w:t>
            </w:r>
          </w:p>
        </w:tc>
      </w:tr>
      <w:tr>
        <w:trPr>
          <w:trHeight w:val="256"/>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Tech Services</w:t>
            </w:r>
          </w:p>
        </w:tc>
        <w:tc>
          <w:tcPr>
            <w:tcW w:w="8660" w:type="dxa"/>
            <w:vAlign w:val="bottom"/>
          </w:tcPr>
          <w:p>
            <w:pPr>
              <w:ind w:left="200"/>
              <w:spacing w:after="0"/>
              <w:rPr>
                <w:sz w:val="20"/>
                <w:szCs w:val="20"/>
                <w:color w:val="auto"/>
              </w:rPr>
            </w:pPr>
            <w:r>
              <w:rPr>
                <w:rFonts w:ascii="Arial" w:cs="Arial" w:eastAsia="Arial" w:hAnsi="Arial"/>
                <w:sz w:val="18"/>
                <w:szCs w:val="18"/>
                <w:color w:val="auto"/>
                <w:w w:val="92"/>
              </w:rPr>
              <w:t>Non-regulated product lines within Black Hills Corporation that 1) provide electrical system construction services to</w:t>
            </w:r>
          </w:p>
        </w:tc>
      </w:tr>
      <w:tr>
        <w:trPr>
          <w:trHeight w:val="216"/>
        </w:trPr>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3"/>
              </w:rPr>
              <w:t>large industrial customers of our electric utilities, and 2) serve gas transportation customers throughout its service</w:t>
            </w:r>
          </w:p>
        </w:tc>
      </w:tr>
      <w:tr>
        <w:trPr>
          <w:trHeight w:val="216"/>
        </w:trPr>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5"/>
              </w:rPr>
              <w:t>territory by constructing and maintaining customer-owner gas infrastructure facilities, typically through one-time</w:t>
            </w:r>
          </w:p>
        </w:tc>
      </w:tr>
      <w:tr>
        <w:trPr>
          <w:trHeight w:val="230"/>
        </w:trPr>
        <w:tc>
          <w:tcPr>
            <w:tcW w:w="1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contracts.</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Wind Capacity Factor</w:t>
            </w:r>
          </w:p>
        </w:tc>
        <w:tc>
          <w:tcPr>
            <w:tcW w:w="8660" w:type="dxa"/>
            <w:vAlign w:val="bottom"/>
          </w:tcPr>
          <w:p>
            <w:pPr>
              <w:ind w:left="200"/>
              <w:spacing w:after="0"/>
              <w:rPr>
                <w:sz w:val="20"/>
                <w:szCs w:val="20"/>
                <w:color w:val="auto"/>
              </w:rPr>
            </w:pPr>
            <w:r>
              <w:rPr>
                <w:rFonts w:ascii="Arial" w:cs="Arial" w:eastAsia="Arial" w:hAnsi="Arial"/>
                <w:sz w:val="18"/>
                <w:szCs w:val="18"/>
                <w:color w:val="auto"/>
                <w:w w:val="92"/>
              </w:rPr>
              <w:t>Measures the amount of electricity a wind turbine produces in a given time period relative to its maximum potential</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WPSC</w:t>
            </w:r>
          </w:p>
        </w:tc>
        <w:tc>
          <w:tcPr>
            <w:tcW w:w="8660" w:type="dxa"/>
            <w:vAlign w:val="bottom"/>
          </w:tcPr>
          <w:p>
            <w:pPr>
              <w:ind w:left="200"/>
              <w:spacing w:after="0"/>
              <w:rPr>
                <w:sz w:val="20"/>
                <w:szCs w:val="20"/>
                <w:color w:val="auto"/>
              </w:rPr>
            </w:pPr>
            <w:r>
              <w:rPr>
                <w:rFonts w:ascii="Arial" w:cs="Arial" w:eastAsia="Arial" w:hAnsi="Arial"/>
                <w:sz w:val="18"/>
                <w:szCs w:val="18"/>
                <w:color w:val="auto"/>
              </w:rPr>
              <w:t>Wyoming Public Service Commission</w:t>
            </w:r>
          </w:p>
        </w:tc>
      </w:tr>
      <w:tr>
        <w:trPr>
          <w:trHeight w:val="256"/>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WRDC</w:t>
            </w:r>
          </w:p>
        </w:tc>
        <w:tc>
          <w:tcPr>
            <w:tcW w:w="8660" w:type="dxa"/>
            <w:vAlign w:val="bottom"/>
          </w:tcPr>
          <w:p>
            <w:pPr>
              <w:ind w:left="200"/>
              <w:spacing w:after="0"/>
              <w:rPr>
                <w:sz w:val="20"/>
                <w:szCs w:val="20"/>
                <w:color w:val="auto"/>
              </w:rPr>
            </w:pPr>
            <w:r>
              <w:rPr>
                <w:rFonts w:ascii="Arial" w:cs="Arial" w:eastAsia="Arial" w:hAnsi="Arial"/>
                <w:sz w:val="18"/>
                <w:szCs w:val="18"/>
                <w:color w:val="auto"/>
                <w:w w:val="97"/>
              </w:rPr>
              <w:t>Wyodak Resources Development Corporation, a direct, wholly-owned subsidiary of Black Hills Non-regulated</w:t>
            </w:r>
          </w:p>
        </w:tc>
      </w:tr>
      <w:tr>
        <w:trPr>
          <w:trHeight w:val="230"/>
        </w:trPr>
        <w:tc>
          <w:tcPr>
            <w:tcW w:w="1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Holdings</w:t>
            </w:r>
          </w:p>
        </w:tc>
      </w:tr>
      <w:tr>
        <w:trPr>
          <w:trHeight w:val="256"/>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Wyodak Plant</w:t>
            </w:r>
          </w:p>
        </w:tc>
        <w:tc>
          <w:tcPr>
            <w:tcW w:w="8660" w:type="dxa"/>
            <w:vAlign w:val="bottom"/>
          </w:tcPr>
          <w:p>
            <w:pPr>
              <w:ind w:left="200"/>
              <w:spacing w:after="0"/>
              <w:rPr>
                <w:sz w:val="20"/>
                <w:szCs w:val="20"/>
                <w:color w:val="auto"/>
              </w:rPr>
            </w:pPr>
            <w:r>
              <w:rPr>
                <w:rFonts w:ascii="Arial" w:cs="Arial" w:eastAsia="Arial" w:hAnsi="Arial"/>
                <w:sz w:val="18"/>
                <w:szCs w:val="18"/>
                <w:color w:val="auto"/>
                <w:w w:val="92"/>
              </w:rPr>
              <w:t>Wyodak, a 362 MW mine-mouth coal-fired plant in Gillette, Wyoming, owned 80% by PacifiCorp and 20% by Black</w:t>
            </w:r>
          </w:p>
        </w:tc>
      </w:tr>
      <w:tr>
        <w:trPr>
          <w:trHeight w:val="230"/>
        </w:trPr>
        <w:tc>
          <w:tcPr>
            <w:tcW w:w="1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Hills Energy South Dakota. Our WRDC mine supplies all of the fuel for the plant.</w:t>
            </w:r>
          </w:p>
        </w:tc>
      </w:tr>
      <w:tr>
        <w:trPr>
          <w:trHeight w:val="270"/>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Wyoming Electric</w:t>
            </w:r>
          </w:p>
        </w:tc>
        <w:tc>
          <w:tcPr>
            <w:tcW w:w="8660" w:type="dxa"/>
            <w:vAlign w:val="bottom"/>
          </w:tcPr>
          <w:p>
            <w:pPr>
              <w:ind w:left="200"/>
              <w:spacing w:after="0"/>
              <w:rPr>
                <w:sz w:val="20"/>
                <w:szCs w:val="20"/>
                <w:color w:val="auto"/>
              </w:rPr>
            </w:pPr>
            <w:r>
              <w:rPr>
                <w:rFonts w:ascii="Arial" w:cs="Arial" w:eastAsia="Arial" w:hAnsi="Arial"/>
                <w:sz w:val="18"/>
                <w:szCs w:val="18"/>
                <w:color w:val="auto"/>
              </w:rPr>
              <w:t>Includes Cheyenne Light’s electric utility operations</w:t>
            </w:r>
          </w:p>
        </w:tc>
      </w:tr>
      <w:tr>
        <w:trPr>
          <w:trHeight w:val="472"/>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Wyoming Gas</w:t>
            </w:r>
          </w:p>
        </w:tc>
        <w:tc>
          <w:tcPr>
            <w:tcW w:w="8660" w:type="dxa"/>
            <w:vAlign w:val="bottom"/>
          </w:tcPr>
          <w:p>
            <w:pPr>
              <w:ind w:left="200"/>
              <w:spacing w:after="0"/>
              <w:rPr>
                <w:sz w:val="20"/>
                <w:szCs w:val="20"/>
                <w:color w:val="auto"/>
              </w:rPr>
            </w:pPr>
            <w:r>
              <w:rPr>
                <w:rFonts w:ascii="Arial" w:cs="Arial" w:eastAsia="Arial" w:hAnsi="Arial"/>
                <w:sz w:val="18"/>
                <w:szCs w:val="18"/>
                <w:color w:val="auto"/>
                <w:w w:val="98"/>
              </w:rPr>
              <w:t>Black Hills Wyoming Gas, LLC, an indirect and wholly-owned subsidiary of Black Hills Utility Holdings (doing</w:t>
            </w:r>
          </w:p>
        </w:tc>
      </w:tr>
      <w:tr>
        <w:trPr>
          <w:trHeight w:val="230"/>
        </w:trPr>
        <w:tc>
          <w:tcPr>
            <w:tcW w:w="1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business as Black Hills Energy)</w:t>
            </w:r>
          </w:p>
        </w:tc>
      </w:tr>
    </w:tbl>
    <w:p>
      <w:pPr>
        <w:spacing w:after="0" w:line="200" w:lineRule="exact"/>
        <w:rPr>
          <w:sz w:val="20"/>
          <w:szCs w:val="20"/>
          <w:color w:val="auto"/>
        </w:rPr>
      </w:pPr>
    </w:p>
    <w:p>
      <w:pPr>
        <w:sectPr>
          <w:pgSz w:w="11900" w:h="16838" w:orient="portrait"/>
          <w:cols w:equalWidth="0" w:num="1">
            <w:col w:w="11360"/>
          </w:cols>
          <w:pgMar w:left="240" w:top="118" w:right="29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118" w:right="29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444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466"/>
        </w:trPr>
        <w:tc>
          <w:tcPr>
            <w:tcW w:w="122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2460" w:type="dxa"/>
            <w:vAlign w:val="bottom"/>
            <w:gridSpan w:val="4"/>
          </w:tcPr>
          <w:p>
            <w:pPr>
              <w:jc w:val="right"/>
              <w:spacing w:after="0"/>
              <w:rPr>
                <w:sz w:val="20"/>
                <w:szCs w:val="20"/>
                <w:color w:val="auto"/>
              </w:rPr>
            </w:pPr>
            <w:r>
              <w:rPr>
                <w:rFonts w:ascii="Arial" w:cs="Arial" w:eastAsia="Arial" w:hAnsi="Arial"/>
                <w:sz w:val="16"/>
                <w:szCs w:val="16"/>
                <w:b w:val="1"/>
                <w:bCs w:val="1"/>
                <w:color w:val="auto"/>
              </w:rPr>
              <w:t>BLACK HILLS CORPORATION</w:t>
            </w: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0"/>
        </w:trPr>
        <w:tc>
          <w:tcPr>
            <w:tcW w:w="1220" w:type="dxa"/>
            <w:vAlign w:val="bottom"/>
          </w:tcPr>
          <w:p>
            <w:pPr>
              <w:spacing w:after="0"/>
              <w:rPr>
                <w:sz w:val="18"/>
                <w:szCs w:val="18"/>
                <w:color w:val="auto"/>
              </w:rPr>
            </w:pPr>
          </w:p>
        </w:tc>
        <w:tc>
          <w:tcPr>
            <w:tcW w:w="7020" w:type="dxa"/>
            <w:vAlign w:val="bottom"/>
            <w:gridSpan w:val="6"/>
          </w:tcPr>
          <w:p>
            <w:pPr>
              <w:jc w:val="right"/>
              <w:ind w:right="199"/>
              <w:spacing w:after="0"/>
              <w:rPr>
                <w:sz w:val="20"/>
                <w:szCs w:val="20"/>
                <w:color w:val="auto"/>
              </w:rPr>
            </w:pPr>
            <w:r>
              <w:rPr>
                <w:rFonts w:ascii="Arial" w:cs="Arial" w:eastAsia="Arial" w:hAnsi="Arial"/>
                <w:sz w:val="16"/>
                <w:szCs w:val="16"/>
                <w:b w:val="1"/>
                <w:bCs w:val="1"/>
                <w:color w:val="auto"/>
              </w:rPr>
              <w:t>CONDENSED CONSOLIDATED STATEMENTS OF INCOME</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65"/>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(unaudited)</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3"/>
          </w:tcPr>
          <w:p>
            <w:pPr>
              <w:jc w:val="right"/>
              <w:ind w:right="319"/>
              <w:spacing w:after="0"/>
              <w:rPr>
                <w:sz w:val="20"/>
                <w:szCs w:val="20"/>
                <w:color w:val="auto"/>
              </w:rPr>
            </w:pPr>
            <w:r>
              <w:rPr>
                <w:rFonts w:ascii="Arial" w:cs="Arial" w:eastAsia="Arial" w:hAnsi="Arial"/>
                <w:sz w:val="16"/>
                <w:szCs w:val="16"/>
                <w:color w:val="auto"/>
                <w:w w:val="96"/>
              </w:rPr>
              <w:t>Three Months Ended September 30,</w:t>
            </w:r>
          </w:p>
        </w:tc>
        <w:tc>
          <w:tcPr>
            <w:tcW w:w="300" w:type="dxa"/>
            <w:vAlign w:val="bottom"/>
          </w:tcPr>
          <w:p>
            <w:pPr>
              <w:spacing w:after="0"/>
              <w:rPr>
                <w:sz w:val="24"/>
                <w:szCs w:val="24"/>
                <w:color w:val="auto"/>
              </w:rPr>
            </w:pPr>
          </w:p>
        </w:tc>
        <w:tc>
          <w:tcPr>
            <w:tcW w:w="2880" w:type="dxa"/>
            <w:vAlign w:val="bottom"/>
            <w:gridSpan w:val="3"/>
          </w:tcPr>
          <w:p>
            <w:pPr>
              <w:jc w:val="right"/>
              <w:ind w:right="339"/>
              <w:spacing w:after="0"/>
              <w:rPr>
                <w:sz w:val="20"/>
                <w:szCs w:val="20"/>
                <w:color w:val="auto"/>
              </w:rPr>
            </w:pPr>
            <w:r>
              <w:rPr>
                <w:rFonts w:ascii="Arial" w:cs="Arial" w:eastAsia="Arial" w:hAnsi="Arial"/>
                <w:sz w:val="16"/>
                <w:szCs w:val="16"/>
                <w:color w:val="auto"/>
                <w:w w:val="97"/>
              </w:rPr>
              <w:t>Nine Months Ended September 30,</w:t>
            </w:r>
          </w:p>
        </w:tc>
      </w:tr>
      <w:tr>
        <w:trPr>
          <w:trHeight w:val="270"/>
        </w:trPr>
        <w:tc>
          <w:tcPr>
            <w:tcW w:w="122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right"/>
              <w:ind w:right="559"/>
              <w:spacing w:after="0"/>
              <w:rPr>
                <w:sz w:val="20"/>
                <w:szCs w:val="20"/>
                <w:color w:val="auto"/>
              </w:rPr>
            </w:pPr>
            <w:r>
              <w:rPr>
                <w:rFonts w:ascii="Arial" w:cs="Arial" w:eastAsia="Arial" w:hAnsi="Arial"/>
                <w:sz w:val="16"/>
                <w:szCs w:val="16"/>
                <w:color w:val="auto"/>
              </w:rPr>
              <w:t>2019</w:t>
            </w:r>
          </w:p>
        </w:tc>
        <w:tc>
          <w:tcPr>
            <w:tcW w:w="260" w:type="dxa"/>
            <w:vAlign w:val="bottom"/>
          </w:tcPr>
          <w:p>
            <w:pPr>
              <w:spacing w:after="0"/>
              <w:rPr>
                <w:sz w:val="23"/>
                <w:szCs w:val="23"/>
                <w:color w:val="auto"/>
              </w:rPr>
            </w:pPr>
          </w:p>
        </w:tc>
        <w:tc>
          <w:tcPr>
            <w:tcW w:w="1340" w:type="dxa"/>
            <w:vAlign w:val="bottom"/>
          </w:tcPr>
          <w:p>
            <w:pPr>
              <w:jc w:val="right"/>
              <w:ind w:right="539"/>
              <w:spacing w:after="0"/>
              <w:rPr>
                <w:sz w:val="20"/>
                <w:szCs w:val="20"/>
                <w:color w:val="auto"/>
              </w:rPr>
            </w:pPr>
            <w:r>
              <w:rPr>
                <w:rFonts w:ascii="Arial" w:cs="Arial" w:eastAsia="Arial" w:hAnsi="Arial"/>
                <w:sz w:val="16"/>
                <w:szCs w:val="16"/>
                <w:color w:val="auto"/>
              </w:rPr>
              <w:t>2018</w:t>
            </w:r>
          </w:p>
        </w:tc>
        <w:tc>
          <w:tcPr>
            <w:tcW w:w="300" w:type="dxa"/>
            <w:vAlign w:val="bottom"/>
          </w:tcPr>
          <w:p>
            <w:pPr>
              <w:spacing w:after="0"/>
              <w:rPr>
                <w:sz w:val="23"/>
                <w:szCs w:val="23"/>
                <w:color w:val="auto"/>
              </w:rPr>
            </w:pPr>
          </w:p>
        </w:tc>
        <w:tc>
          <w:tcPr>
            <w:tcW w:w="1280" w:type="dxa"/>
            <w:vAlign w:val="bottom"/>
          </w:tcPr>
          <w:p>
            <w:pPr>
              <w:jc w:val="right"/>
              <w:ind w:right="519"/>
              <w:spacing w:after="0"/>
              <w:rPr>
                <w:sz w:val="20"/>
                <w:szCs w:val="20"/>
                <w:color w:val="auto"/>
              </w:rPr>
            </w:pPr>
            <w:r>
              <w:rPr>
                <w:rFonts w:ascii="Arial" w:cs="Arial" w:eastAsia="Arial" w:hAnsi="Arial"/>
                <w:sz w:val="16"/>
                <w:szCs w:val="16"/>
                <w:color w:val="auto"/>
              </w:rPr>
              <w:t>2019</w:t>
            </w:r>
          </w:p>
        </w:tc>
        <w:tc>
          <w:tcPr>
            <w:tcW w:w="380" w:type="dxa"/>
            <w:vAlign w:val="bottom"/>
          </w:tcPr>
          <w:p>
            <w:pPr>
              <w:spacing w:after="0"/>
              <w:rPr>
                <w:sz w:val="23"/>
                <w:szCs w:val="23"/>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color w:val="auto"/>
              </w:rPr>
              <w:t>2018</w:t>
            </w:r>
          </w:p>
        </w:tc>
      </w:tr>
      <w:tr>
        <w:trPr>
          <w:trHeight w:val="33"/>
        </w:trPr>
        <w:tc>
          <w:tcPr>
            <w:tcW w:w="1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3"/>
          </w:tcPr>
          <w:p>
            <w:pPr>
              <w:jc w:val="right"/>
              <w:ind w:right="179"/>
              <w:spacing w:after="0"/>
              <w:rPr>
                <w:sz w:val="20"/>
                <w:szCs w:val="20"/>
                <w:color w:val="auto"/>
              </w:rPr>
            </w:pPr>
            <w:r>
              <w:rPr>
                <w:rFonts w:ascii="Arial" w:cs="Arial" w:eastAsia="Arial" w:hAnsi="Arial"/>
                <w:sz w:val="16"/>
                <w:szCs w:val="16"/>
                <w:color w:val="auto"/>
                <w:w w:val="89"/>
              </w:rPr>
              <w:t>(in thousands, except per share amounts)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12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7"/>
        </w:trPr>
        <w:tc>
          <w:tcPr>
            <w:tcW w:w="44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Revenue</w:t>
            </w:r>
          </w:p>
        </w:tc>
        <w:tc>
          <w:tcPr>
            <w:tcW w:w="880" w:type="dxa"/>
            <w:vAlign w:val="bottom"/>
            <w:tcBorders>
              <w:bottom w:val="single" w:sz="8" w:color="CEFFE7"/>
            </w:tcBorders>
            <w:gridSpan w:val="2"/>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325,548</w:t>
            </w:r>
          </w:p>
        </w:tc>
        <w:tc>
          <w:tcPr>
            <w:tcW w:w="2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321,979</w:t>
            </w:r>
          </w:p>
        </w:tc>
        <w:tc>
          <w:tcPr>
            <w:tcW w:w="3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1,257,246</w:t>
            </w:r>
          </w:p>
        </w:tc>
        <w:tc>
          <w:tcPr>
            <w:tcW w:w="3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1,253,072</w:t>
            </w:r>
          </w:p>
        </w:tc>
      </w:tr>
      <w:tr>
        <w:trPr>
          <w:trHeight w:val="183"/>
        </w:trPr>
        <w:tc>
          <w:tcPr>
            <w:tcW w:w="12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250"/>
        </w:trPr>
        <w:tc>
          <w:tcPr>
            <w:tcW w:w="44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Operating expenses:</w:t>
            </w:r>
          </w:p>
        </w:tc>
        <w:tc>
          <w:tcPr>
            <w:tcW w:w="6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24"/>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Fuel, purchased power and cost of natural gas sold</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73,090</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80,244</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411,695</w:t>
            </w: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432,544</w:t>
            </w:r>
          </w:p>
        </w:tc>
      </w:tr>
      <w:tr>
        <w:trPr>
          <w:trHeight w:val="33"/>
        </w:trPr>
        <w:tc>
          <w:tcPr>
            <w:tcW w:w="1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4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Operations and maintenance</w:t>
            </w:r>
          </w:p>
        </w:tc>
        <w:tc>
          <w:tcPr>
            <w:tcW w:w="600" w:type="dxa"/>
            <w:vAlign w:val="bottom"/>
            <w:tcBorders>
              <w:bottom w:val="single" w:sz="8" w:color="CEFFE7"/>
            </w:tcBorders>
            <w:shd w:val="clear" w:color="auto" w:fill="CEFFE7"/>
          </w:tcPr>
          <w:p>
            <w:pPr>
              <w:spacing w:after="0"/>
              <w:rPr>
                <w:sz w:val="20"/>
                <w:szCs w:val="20"/>
                <w:color w:val="auto"/>
              </w:rPr>
            </w:pPr>
          </w:p>
        </w:tc>
        <w:tc>
          <w:tcPr>
            <w:tcW w:w="280" w:type="dxa"/>
            <w:vAlign w:val="bottom"/>
            <w:tcBorders>
              <w:bottom w:val="single" w:sz="8" w:color="CEFFE7"/>
            </w:tcBorders>
            <w:shd w:val="clear" w:color="auto" w:fill="CEFFE7"/>
          </w:tcPr>
          <w:p>
            <w:pPr>
              <w:spacing w:after="0"/>
              <w:rPr>
                <w:sz w:val="20"/>
                <w:szCs w:val="20"/>
                <w:color w:val="auto"/>
              </w:rPr>
            </w:pP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117,037</w:t>
            </w:r>
          </w:p>
        </w:tc>
        <w:tc>
          <w:tcPr>
            <w:tcW w:w="260" w:type="dxa"/>
            <w:vAlign w:val="bottom"/>
            <w:tcBorders>
              <w:bottom w:val="single" w:sz="8" w:color="CEFFE7"/>
            </w:tcBorders>
            <w:shd w:val="clear" w:color="auto" w:fill="CEFFE7"/>
          </w:tcPr>
          <w:p>
            <w:pPr>
              <w:spacing w:after="0"/>
              <w:rPr>
                <w:sz w:val="20"/>
                <w:szCs w:val="20"/>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115,699</w:t>
            </w:r>
          </w:p>
        </w:tc>
        <w:tc>
          <w:tcPr>
            <w:tcW w:w="300" w:type="dxa"/>
            <w:vAlign w:val="bottom"/>
            <w:tcBorders>
              <w:bottom w:val="single" w:sz="8" w:color="CEFFE7"/>
            </w:tcBorders>
            <w:shd w:val="clear" w:color="auto" w:fill="CEFFE7"/>
          </w:tcPr>
          <w:p>
            <w:pPr>
              <w:spacing w:after="0"/>
              <w:rPr>
                <w:sz w:val="20"/>
                <w:szCs w:val="20"/>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366,907</w:t>
            </w:r>
          </w:p>
        </w:tc>
        <w:tc>
          <w:tcPr>
            <w:tcW w:w="380" w:type="dxa"/>
            <w:vAlign w:val="bottom"/>
            <w:tcBorders>
              <w:bottom w:val="single" w:sz="8" w:color="CEFFE7"/>
            </w:tcBorders>
            <w:shd w:val="clear" w:color="auto" w:fill="CEFFE7"/>
          </w:tcPr>
          <w:p>
            <w:pPr>
              <w:spacing w:after="0"/>
              <w:rPr>
                <w:sz w:val="20"/>
                <w:szCs w:val="20"/>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352,092</w:t>
            </w:r>
          </w:p>
        </w:tc>
      </w:tr>
      <w:tr>
        <w:trPr>
          <w:trHeight w:val="224"/>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Depreciation, depletion and amortization</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51,884</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49,046</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154,507</w:t>
            </w: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146,345</w:t>
            </w:r>
          </w:p>
        </w:tc>
      </w:tr>
      <w:tr>
        <w:trPr>
          <w:trHeight w:val="33"/>
        </w:trPr>
        <w:tc>
          <w:tcPr>
            <w:tcW w:w="1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44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Taxes - property and production</w:t>
            </w:r>
          </w:p>
        </w:tc>
        <w:tc>
          <w:tcPr>
            <w:tcW w:w="60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spacing w:after="0"/>
              <w:rPr>
                <w:sz w:val="22"/>
                <w:szCs w:val="22"/>
                <w:color w:val="auto"/>
              </w:rPr>
            </w:pP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12,986</w:t>
            </w:r>
          </w:p>
        </w:tc>
        <w:tc>
          <w:tcPr>
            <w:tcW w:w="260" w:type="dxa"/>
            <w:vAlign w:val="bottom"/>
            <w:tcBorders>
              <w:bottom w:val="single" w:sz="8" w:color="CEFFE7"/>
            </w:tcBorders>
            <w:shd w:val="clear" w:color="auto" w:fill="CEFFE7"/>
          </w:tcPr>
          <w:p>
            <w:pPr>
              <w:spacing w:after="0"/>
              <w:rPr>
                <w:sz w:val="22"/>
                <w:szCs w:val="22"/>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11,905</w:t>
            </w:r>
          </w:p>
        </w:tc>
        <w:tc>
          <w:tcPr>
            <w:tcW w:w="300" w:type="dxa"/>
            <w:vAlign w:val="bottom"/>
            <w:tcBorders>
              <w:bottom w:val="single" w:sz="8" w:color="CEFFE7"/>
            </w:tcBorders>
            <w:shd w:val="clear" w:color="auto" w:fill="CEFFE7"/>
          </w:tcPr>
          <w:p>
            <w:pPr>
              <w:spacing w:after="0"/>
              <w:rPr>
                <w:sz w:val="22"/>
                <w:szCs w:val="22"/>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39,454</w:t>
            </w:r>
          </w:p>
        </w:tc>
        <w:tc>
          <w:tcPr>
            <w:tcW w:w="38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39,181</w:t>
            </w:r>
          </w:p>
        </w:tc>
      </w:tr>
      <w:tr>
        <w:trPr>
          <w:trHeight w:val="217"/>
        </w:trPr>
        <w:tc>
          <w:tcPr>
            <w:tcW w:w="4440" w:type="dxa"/>
            <w:vAlign w:val="bottom"/>
            <w:gridSpan w:val="2"/>
          </w:tcPr>
          <w:p>
            <w:pPr>
              <w:ind w:left="500"/>
              <w:spacing w:after="0"/>
              <w:rPr>
                <w:sz w:val="20"/>
                <w:szCs w:val="20"/>
                <w:color w:val="auto"/>
              </w:rPr>
            </w:pPr>
            <w:r>
              <w:rPr>
                <w:rFonts w:ascii="Arial" w:cs="Arial" w:eastAsia="Arial" w:hAnsi="Arial"/>
                <w:sz w:val="16"/>
                <w:szCs w:val="16"/>
                <w:color w:val="auto"/>
              </w:rPr>
              <w:t>Total operating expenses</w:t>
            </w:r>
          </w:p>
        </w:tc>
        <w:tc>
          <w:tcPr>
            <w:tcW w:w="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254,997</w:t>
            </w: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256,894</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972,563</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970,162</w:t>
            </w:r>
          </w:p>
        </w:tc>
      </w:tr>
      <w:tr>
        <w:trPr>
          <w:trHeight w:val="33"/>
        </w:trPr>
        <w:tc>
          <w:tcPr>
            <w:tcW w:w="1220" w:type="dxa"/>
            <w:vAlign w:val="bottom"/>
            <w:tcBorders>
              <w:bottom w:val="single" w:sz="8" w:color="CEFFE7"/>
            </w:tcBorders>
          </w:tcPr>
          <w:p>
            <w:pPr>
              <w:spacing w:after="0"/>
              <w:rPr>
                <w:sz w:val="2"/>
                <w:szCs w:val="2"/>
                <w:color w:val="auto"/>
              </w:rPr>
            </w:pPr>
          </w:p>
        </w:tc>
        <w:tc>
          <w:tcPr>
            <w:tcW w:w="3220" w:type="dxa"/>
            <w:vAlign w:val="bottom"/>
            <w:tcBorders>
              <w:bottom w:val="single" w:sz="8" w:color="CEFFE7"/>
            </w:tcBorders>
          </w:tcPr>
          <w:p>
            <w:pPr>
              <w:spacing w:after="0"/>
              <w:rPr>
                <w:sz w:val="2"/>
                <w:szCs w:val="2"/>
                <w:color w:val="auto"/>
              </w:rPr>
            </w:pPr>
          </w:p>
        </w:tc>
        <w:tc>
          <w:tcPr>
            <w:tcW w:w="6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3"/>
        </w:trPr>
        <w:tc>
          <w:tcPr>
            <w:tcW w:w="1220" w:type="dxa"/>
            <w:vAlign w:val="bottom"/>
            <w:shd w:val="clear" w:color="auto" w:fill="CEFFE7"/>
          </w:tcPr>
          <w:p>
            <w:pPr>
              <w:spacing w:after="0"/>
              <w:rPr>
                <w:sz w:val="15"/>
                <w:szCs w:val="15"/>
                <w:color w:val="auto"/>
              </w:rPr>
            </w:pPr>
          </w:p>
        </w:tc>
        <w:tc>
          <w:tcPr>
            <w:tcW w:w="3220" w:type="dxa"/>
            <w:vAlign w:val="bottom"/>
            <w:shd w:val="clear" w:color="auto" w:fill="CEFFE7"/>
          </w:tcPr>
          <w:p>
            <w:pPr>
              <w:spacing w:after="0"/>
              <w:rPr>
                <w:sz w:val="15"/>
                <w:szCs w:val="15"/>
                <w:color w:val="auto"/>
              </w:rPr>
            </w:pPr>
          </w:p>
        </w:tc>
        <w:tc>
          <w:tcPr>
            <w:tcW w:w="600" w:type="dxa"/>
            <w:vAlign w:val="bottom"/>
            <w:shd w:val="clear" w:color="auto" w:fill="CEFFE7"/>
          </w:tcPr>
          <w:p>
            <w:pPr>
              <w:spacing w:after="0"/>
              <w:rPr>
                <w:sz w:val="15"/>
                <w:szCs w:val="15"/>
                <w:color w:val="auto"/>
              </w:rPr>
            </w:pPr>
          </w:p>
        </w:tc>
        <w:tc>
          <w:tcPr>
            <w:tcW w:w="280" w:type="dxa"/>
            <w:vAlign w:val="bottom"/>
            <w:shd w:val="clear" w:color="auto" w:fill="CEFFE7"/>
          </w:tcPr>
          <w:p>
            <w:pPr>
              <w:spacing w:after="0"/>
              <w:rPr>
                <w:sz w:val="15"/>
                <w:szCs w:val="15"/>
                <w:color w:val="auto"/>
              </w:rPr>
            </w:pPr>
          </w:p>
        </w:tc>
        <w:tc>
          <w:tcPr>
            <w:tcW w:w="132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1340" w:type="dxa"/>
            <w:vAlign w:val="bottom"/>
            <w:shd w:val="clear" w:color="auto" w:fill="CEFFE7"/>
          </w:tcPr>
          <w:p>
            <w:pPr>
              <w:spacing w:after="0"/>
              <w:rPr>
                <w:sz w:val="15"/>
                <w:szCs w:val="15"/>
                <w:color w:val="auto"/>
              </w:rPr>
            </w:pPr>
          </w:p>
        </w:tc>
        <w:tc>
          <w:tcPr>
            <w:tcW w:w="300" w:type="dxa"/>
            <w:vAlign w:val="bottom"/>
            <w:shd w:val="clear" w:color="auto" w:fill="CEFFE7"/>
          </w:tcPr>
          <w:p>
            <w:pPr>
              <w:spacing w:after="0"/>
              <w:rPr>
                <w:sz w:val="15"/>
                <w:szCs w:val="15"/>
                <w:color w:val="auto"/>
              </w:rPr>
            </w:pPr>
          </w:p>
        </w:tc>
        <w:tc>
          <w:tcPr>
            <w:tcW w:w="1280" w:type="dxa"/>
            <w:vAlign w:val="bottom"/>
            <w:shd w:val="clear" w:color="auto" w:fill="CEFFE7"/>
          </w:tcPr>
          <w:p>
            <w:pPr>
              <w:spacing w:after="0"/>
              <w:rPr>
                <w:sz w:val="15"/>
                <w:szCs w:val="15"/>
                <w:color w:val="auto"/>
              </w:rPr>
            </w:pPr>
          </w:p>
        </w:tc>
        <w:tc>
          <w:tcPr>
            <w:tcW w:w="380" w:type="dxa"/>
            <w:vAlign w:val="bottom"/>
            <w:shd w:val="clear" w:color="auto" w:fill="CEFFE7"/>
          </w:tcPr>
          <w:p>
            <w:pPr>
              <w:spacing w:after="0"/>
              <w:rPr>
                <w:sz w:val="15"/>
                <w:szCs w:val="15"/>
                <w:color w:val="auto"/>
              </w:rPr>
            </w:pPr>
          </w:p>
        </w:tc>
        <w:tc>
          <w:tcPr>
            <w:tcW w:w="1220" w:type="dxa"/>
            <w:vAlign w:val="bottom"/>
            <w:shd w:val="clear" w:color="auto" w:fill="CEFFE7"/>
          </w:tcPr>
          <w:p>
            <w:pPr>
              <w:spacing w:after="0"/>
              <w:rPr>
                <w:sz w:val="15"/>
                <w:szCs w:val="15"/>
                <w:color w:val="auto"/>
              </w:rPr>
            </w:pPr>
          </w:p>
        </w:tc>
      </w:tr>
      <w:tr>
        <w:trPr>
          <w:trHeight w:val="224"/>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70,551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65,085</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284,683</w:t>
            </w: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282,910</w:t>
            </w:r>
          </w:p>
        </w:tc>
      </w:tr>
      <w:tr>
        <w:trPr>
          <w:trHeight w:val="33"/>
        </w:trPr>
        <w:tc>
          <w:tcPr>
            <w:tcW w:w="1220" w:type="dxa"/>
            <w:vAlign w:val="bottom"/>
            <w:tcBorders>
              <w:bottom w:val="single" w:sz="8" w:color="CEFFE7"/>
            </w:tcBorders>
          </w:tcPr>
          <w:p>
            <w:pPr>
              <w:spacing w:after="0"/>
              <w:rPr>
                <w:sz w:val="2"/>
                <w:szCs w:val="2"/>
                <w:color w:val="auto"/>
              </w:rPr>
            </w:pPr>
          </w:p>
        </w:tc>
        <w:tc>
          <w:tcPr>
            <w:tcW w:w="3220" w:type="dxa"/>
            <w:vAlign w:val="bottom"/>
            <w:tcBorders>
              <w:bottom w:val="single" w:sz="8" w:color="CEFFE7"/>
            </w:tcBorders>
          </w:tcPr>
          <w:p>
            <w:pPr>
              <w:spacing w:after="0"/>
              <w:rPr>
                <w:sz w:val="2"/>
                <w:szCs w:val="2"/>
                <w:color w:val="auto"/>
              </w:rPr>
            </w:pPr>
          </w:p>
        </w:tc>
        <w:tc>
          <w:tcPr>
            <w:tcW w:w="6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3"/>
        </w:trPr>
        <w:tc>
          <w:tcPr>
            <w:tcW w:w="1220" w:type="dxa"/>
            <w:vAlign w:val="bottom"/>
            <w:shd w:val="clear" w:color="auto" w:fill="CEFFE7"/>
          </w:tcPr>
          <w:p>
            <w:pPr>
              <w:spacing w:after="0"/>
              <w:rPr>
                <w:sz w:val="15"/>
                <w:szCs w:val="15"/>
                <w:color w:val="auto"/>
              </w:rPr>
            </w:pPr>
          </w:p>
        </w:tc>
        <w:tc>
          <w:tcPr>
            <w:tcW w:w="3220" w:type="dxa"/>
            <w:vAlign w:val="bottom"/>
            <w:shd w:val="clear" w:color="auto" w:fill="CEFFE7"/>
          </w:tcPr>
          <w:p>
            <w:pPr>
              <w:spacing w:after="0"/>
              <w:rPr>
                <w:sz w:val="15"/>
                <w:szCs w:val="15"/>
                <w:color w:val="auto"/>
              </w:rPr>
            </w:pPr>
          </w:p>
        </w:tc>
        <w:tc>
          <w:tcPr>
            <w:tcW w:w="600" w:type="dxa"/>
            <w:vAlign w:val="bottom"/>
            <w:shd w:val="clear" w:color="auto" w:fill="CEFFE7"/>
          </w:tcPr>
          <w:p>
            <w:pPr>
              <w:spacing w:after="0"/>
              <w:rPr>
                <w:sz w:val="15"/>
                <w:szCs w:val="15"/>
                <w:color w:val="auto"/>
              </w:rPr>
            </w:pPr>
          </w:p>
        </w:tc>
        <w:tc>
          <w:tcPr>
            <w:tcW w:w="280" w:type="dxa"/>
            <w:vAlign w:val="bottom"/>
            <w:shd w:val="clear" w:color="auto" w:fill="CEFFE7"/>
          </w:tcPr>
          <w:p>
            <w:pPr>
              <w:spacing w:after="0"/>
              <w:rPr>
                <w:sz w:val="15"/>
                <w:szCs w:val="15"/>
                <w:color w:val="auto"/>
              </w:rPr>
            </w:pPr>
          </w:p>
        </w:tc>
        <w:tc>
          <w:tcPr>
            <w:tcW w:w="132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1340" w:type="dxa"/>
            <w:vAlign w:val="bottom"/>
            <w:shd w:val="clear" w:color="auto" w:fill="CEFFE7"/>
          </w:tcPr>
          <w:p>
            <w:pPr>
              <w:spacing w:after="0"/>
              <w:rPr>
                <w:sz w:val="15"/>
                <w:szCs w:val="15"/>
                <w:color w:val="auto"/>
              </w:rPr>
            </w:pPr>
          </w:p>
        </w:tc>
        <w:tc>
          <w:tcPr>
            <w:tcW w:w="300" w:type="dxa"/>
            <w:vAlign w:val="bottom"/>
            <w:shd w:val="clear" w:color="auto" w:fill="CEFFE7"/>
          </w:tcPr>
          <w:p>
            <w:pPr>
              <w:spacing w:after="0"/>
              <w:rPr>
                <w:sz w:val="15"/>
                <w:szCs w:val="15"/>
                <w:color w:val="auto"/>
              </w:rPr>
            </w:pPr>
          </w:p>
        </w:tc>
        <w:tc>
          <w:tcPr>
            <w:tcW w:w="1280" w:type="dxa"/>
            <w:vAlign w:val="bottom"/>
            <w:shd w:val="clear" w:color="auto" w:fill="CEFFE7"/>
          </w:tcPr>
          <w:p>
            <w:pPr>
              <w:spacing w:after="0"/>
              <w:rPr>
                <w:sz w:val="15"/>
                <w:szCs w:val="15"/>
                <w:color w:val="auto"/>
              </w:rPr>
            </w:pPr>
          </w:p>
        </w:tc>
        <w:tc>
          <w:tcPr>
            <w:tcW w:w="380" w:type="dxa"/>
            <w:vAlign w:val="bottom"/>
            <w:shd w:val="clear" w:color="auto" w:fill="CEFFE7"/>
          </w:tcPr>
          <w:p>
            <w:pPr>
              <w:spacing w:after="0"/>
              <w:rPr>
                <w:sz w:val="15"/>
                <w:szCs w:val="15"/>
                <w:color w:val="auto"/>
              </w:rPr>
            </w:pPr>
          </w:p>
        </w:tc>
        <w:tc>
          <w:tcPr>
            <w:tcW w:w="1220" w:type="dxa"/>
            <w:vAlign w:val="bottom"/>
            <w:shd w:val="clear" w:color="auto" w:fill="CEFFE7"/>
          </w:tcPr>
          <w:p>
            <w:pPr>
              <w:spacing w:after="0"/>
              <w:rPr>
                <w:sz w:val="15"/>
                <w:szCs w:val="15"/>
                <w:color w:val="auto"/>
              </w:rPr>
            </w:pPr>
          </w:p>
        </w:tc>
      </w:tr>
      <w:tr>
        <w:trPr>
          <w:trHeight w:val="237"/>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Other income (expense):</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Interest charges -</w:t>
            </w:r>
          </w:p>
        </w:tc>
        <w:tc>
          <w:tcPr>
            <w:tcW w:w="6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20"/>
        </w:trPr>
        <w:tc>
          <w:tcPr>
            <w:tcW w:w="4440" w:type="dxa"/>
            <w:vAlign w:val="bottom"/>
            <w:gridSpan w:val="2"/>
          </w:tcPr>
          <w:p>
            <w:pPr>
              <w:ind w:left="280"/>
              <w:spacing w:after="0"/>
              <w:rPr>
                <w:sz w:val="20"/>
                <w:szCs w:val="20"/>
                <w:color w:val="auto"/>
              </w:rPr>
            </w:pPr>
            <w:r>
              <w:rPr>
                <w:rFonts w:ascii="Arial" w:cs="Arial" w:eastAsia="Arial" w:hAnsi="Arial"/>
                <w:sz w:val="16"/>
                <w:szCs w:val="16"/>
                <w:color w:val="auto"/>
                <w:w w:val="93"/>
              </w:rPr>
              <w:t>Interest expense incurred net of amounts capitalized (including</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4440" w:type="dxa"/>
            <w:vAlign w:val="bottom"/>
            <w:gridSpan w:val="2"/>
          </w:tcPr>
          <w:p>
            <w:pPr>
              <w:ind w:left="280"/>
              <w:spacing w:after="0"/>
              <w:rPr>
                <w:sz w:val="20"/>
                <w:szCs w:val="20"/>
                <w:color w:val="auto"/>
              </w:rPr>
            </w:pPr>
            <w:r>
              <w:rPr>
                <w:rFonts w:ascii="Arial" w:cs="Arial" w:eastAsia="Arial" w:hAnsi="Arial"/>
                <w:sz w:val="16"/>
                <w:szCs w:val="16"/>
                <w:color w:val="auto"/>
                <w:w w:val="94"/>
              </w:rPr>
              <w:t>amortization of debt issuance costs, premiums and discounts)</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(36,200)</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(36,380)</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(108,232)</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(107,183)</w:t>
            </w:r>
          </w:p>
        </w:tc>
      </w:tr>
      <w:tr>
        <w:trPr>
          <w:trHeight w:val="33"/>
        </w:trPr>
        <w:tc>
          <w:tcPr>
            <w:tcW w:w="1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44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Allowance for funds used during construction - borrowed</w:t>
            </w:r>
          </w:p>
        </w:tc>
        <w:tc>
          <w:tcPr>
            <w:tcW w:w="600" w:type="dxa"/>
            <w:vAlign w:val="bottom"/>
            <w:tcBorders>
              <w:bottom w:val="single" w:sz="8" w:color="CEFFE7"/>
            </w:tcBorders>
            <w:shd w:val="clear" w:color="auto" w:fill="CEFFE7"/>
          </w:tcPr>
          <w:p>
            <w:pPr>
              <w:spacing w:after="0"/>
              <w:rPr>
                <w:sz w:val="20"/>
                <w:szCs w:val="20"/>
                <w:color w:val="auto"/>
              </w:rPr>
            </w:pPr>
          </w:p>
        </w:tc>
        <w:tc>
          <w:tcPr>
            <w:tcW w:w="280" w:type="dxa"/>
            <w:vAlign w:val="bottom"/>
            <w:tcBorders>
              <w:bottom w:val="single" w:sz="8" w:color="CEFFE7"/>
            </w:tcBorders>
            <w:shd w:val="clear" w:color="auto" w:fill="CEFFE7"/>
          </w:tcPr>
          <w:p>
            <w:pPr>
              <w:spacing w:after="0"/>
              <w:rPr>
                <w:sz w:val="20"/>
                <w:szCs w:val="20"/>
                <w:color w:val="auto"/>
              </w:rPr>
            </w:pP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2,200</w:t>
            </w:r>
          </w:p>
        </w:tc>
        <w:tc>
          <w:tcPr>
            <w:tcW w:w="260" w:type="dxa"/>
            <w:vAlign w:val="bottom"/>
            <w:tcBorders>
              <w:bottom w:val="single" w:sz="8" w:color="CEFFE7"/>
            </w:tcBorders>
            <w:shd w:val="clear" w:color="auto" w:fill="CEFFE7"/>
          </w:tcPr>
          <w:p>
            <w:pPr>
              <w:spacing w:after="0"/>
              <w:rPr>
                <w:sz w:val="20"/>
                <w:szCs w:val="20"/>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701</w:t>
            </w:r>
          </w:p>
        </w:tc>
        <w:tc>
          <w:tcPr>
            <w:tcW w:w="300" w:type="dxa"/>
            <w:vAlign w:val="bottom"/>
            <w:tcBorders>
              <w:bottom w:val="single" w:sz="8" w:color="CEFFE7"/>
            </w:tcBorders>
            <w:shd w:val="clear" w:color="auto" w:fill="CEFFE7"/>
          </w:tcPr>
          <w:p>
            <w:pPr>
              <w:spacing w:after="0"/>
              <w:rPr>
                <w:sz w:val="20"/>
                <w:szCs w:val="20"/>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4,555</w:t>
            </w:r>
          </w:p>
        </w:tc>
        <w:tc>
          <w:tcPr>
            <w:tcW w:w="380" w:type="dxa"/>
            <w:vAlign w:val="bottom"/>
            <w:tcBorders>
              <w:bottom w:val="single" w:sz="8" w:color="CEFFE7"/>
            </w:tcBorders>
            <w:shd w:val="clear" w:color="auto" w:fill="CEFFE7"/>
          </w:tcPr>
          <w:p>
            <w:pPr>
              <w:spacing w:after="0"/>
              <w:rPr>
                <w:sz w:val="20"/>
                <w:szCs w:val="20"/>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1,345</w:t>
            </w:r>
          </w:p>
        </w:tc>
      </w:tr>
      <w:tr>
        <w:trPr>
          <w:trHeight w:val="224"/>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Interest income</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513</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1,208</w:t>
            </w: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1,012</w:t>
            </w:r>
          </w:p>
        </w:tc>
      </w:tr>
      <w:tr>
        <w:trPr>
          <w:trHeight w:val="33"/>
        </w:trPr>
        <w:tc>
          <w:tcPr>
            <w:tcW w:w="1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4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Allowance for funds used during construction - equity</w:t>
            </w:r>
          </w:p>
        </w:tc>
        <w:tc>
          <w:tcPr>
            <w:tcW w:w="600" w:type="dxa"/>
            <w:vAlign w:val="bottom"/>
            <w:tcBorders>
              <w:bottom w:val="single" w:sz="8" w:color="CEFFE7"/>
            </w:tcBorders>
            <w:shd w:val="clear" w:color="auto" w:fill="CEFFE7"/>
          </w:tcPr>
          <w:p>
            <w:pPr>
              <w:spacing w:after="0"/>
              <w:rPr>
                <w:sz w:val="20"/>
                <w:szCs w:val="20"/>
                <w:color w:val="auto"/>
              </w:rPr>
            </w:pPr>
          </w:p>
        </w:tc>
        <w:tc>
          <w:tcPr>
            <w:tcW w:w="280" w:type="dxa"/>
            <w:vAlign w:val="bottom"/>
            <w:tcBorders>
              <w:bottom w:val="single" w:sz="8" w:color="CEFFE7"/>
            </w:tcBorders>
            <w:shd w:val="clear" w:color="auto" w:fill="CEFFE7"/>
          </w:tcPr>
          <w:p>
            <w:pPr>
              <w:spacing w:after="0"/>
              <w:rPr>
                <w:sz w:val="20"/>
                <w:szCs w:val="20"/>
                <w:color w:val="auto"/>
              </w:rPr>
            </w:pP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311</w:t>
            </w:r>
          </w:p>
        </w:tc>
        <w:tc>
          <w:tcPr>
            <w:tcW w:w="260" w:type="dxa"/>
            <w:vAlign w:val="bottom"/>
            <w:tcBorders>
              <w:bottom w:val="single" w:sz="8" w:color="CEFFE7"/>
            </w:tcBorders>
            <w:shd w:val="clear" w:color="auto" w:fill="CEFFE7"/>
          </w:tcPr>
          <w:p>
            <w:pPr>
              <w:spacing w:after="0"/>
              <w:rPr>
                <w:sz w:val="20"/>
                <w:szCs w:val="20"/>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193</w:t>
            </w:r>
          </w:p>
        </w:tc>
        <w:tc>
          <w:tcPr>
            <w:tcW w:w="300" w:type="dxa"/>
            <w:vAlign w:val="bottom"/>
            <w:tcBorders>
              <w:bottom w:val="single" w:sz="8" w:color="CEFFE7"/>
            </w:tcBorders>
            <w:shd w:val="clear" w:color="auto" w:fill="CEFFE7"/>
          </w:tcPr>
          <w:p>
            <w:pPr>
              <w:spacing w:after="0"/>
              <w:rPr>
                <w:sz w:val="20"/>
                <w:szCs w:val="20"/>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486</w:t>
            </w:r>
          </w:p>
        </w:tc>
        <w:tc>
          <w:tcPr>
            <w:tcW w:w="380" w:type="dxa"/>
            <w:vAlign w:val="bottom"/>
            <w:tcBorders>
              <w:bottom w:val="single" w:sz="8" w:color="CEFFE7"/>
            </w:tcBorders>
            <w:shd w:val="clear" w:color="auto" w:fill="CEFFE7"/>
          </w:tcPr>
          <w:p>
            <w:pPr>
              <w:spacing w:after="0"/>
              <w:rPr>
                <w:sz w:val="20"/>
                <w:szCs w:val="20"/>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503</w:t>
            </w:r>
          </w:p>
        </w:tc>
      </w:tr>
      <w:tr>
        <w:trPr>
          <w:trHeight w:val="224"/>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Impairment of investment</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(19,741)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(19,741)</w:t>
            </w: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44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Other income (expense), net</w:t>
            </w:r>
          </w:p>
        </w:tc>
        <w:tc>
          <w:tcPr>
            <w:tcW w:w="60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spacing w:after="0"/>
              <w:rPr>
                <w:sz w:val="22"/>
                <w:szCs w:val="22"/>
                <w:color w:val="auto"/>
              </w:rPr>
            </w:pP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269</w:t>
            </w:r>
          </w:p>
        </w:tc>
        <w:tc>
          <w:tcPr>
            <w:tcW w:w="260" w:type="dxa"/>
            <w:vAlign w:val="bottom"/>
            <w:tcBorders>
              <w:bottom w:val="single" w:sz="8" w:color="CEFFE7"/>
            </w:tcBorders>
            <w:shd w:val="clear" w:color="auto" w:fill="CEFFE7"/>
          </w:tcPr>
          <w:p>
            <w:pPr>
              <w:spacing w:after="0"/>
              <w:rPr>
                <w:sz w:val="22"/>
                <w:szCs w:val="22"/>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(703)</w:t>
            </w:r>
          </w:p>
        </w:tc>
        <w:tc>
          <w:tcPr>
            <w:tcW w:w="300" w:type="dxa"/>
            <w:vAlign w:val="bottom"/>
            <w:tcBorders>
              <w:bottom w:val="single" w:sz="8" w:color="CEFFE7"/>
            </w:tcBorders>
            <w:shd w:val="clear" w:color="auto" w:fill="CEFFE7"/>
          </w:tcPr>
          <w:p>
            <w:pPr>
              <w:spacing w:after="0"/>
              <w:rPr>
                <w:sz w:val="22"/>
                <w:szCs w:val="22"/>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(431)</w:t>
            </w:r>
          </w:p>
        </w:tc>
        <w:tc>
          <w:tcPr>
            <w:tcW w:w="38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(2,426)</w:t>
            </w:r>
          </w:p>
        </w:tc>
      </w:tr>
      <w:tr>
        <w:trPr>
          <w:trHeight w:val="217"/>
        </w:trPr>
        <w:tc>
          <w:tcPr>
            <w:tcW w:w="4440" w:type="dxa"/>
            <w:vAlign w:val="bottom"/>
            <w:gridSpan w:val="2"/>
          </w:tcPr>
          <w:p>
            <w:pPr>
              <w:ind w:left="500"/>
              <w:spacing w:after="0"/>
              <w:rPr>
                <w:sz w:val="20"/>
                <w:szCs w:val="20"/>
                <w:color w:val="auto"/>
              </w:rPr>
            </w:pPr>
            <w:r>
              <w:rPr>
                <w:rFonts w:ascii="Arial" w:cs="Arial" w:eastAsia="Arial" w:hAnsi="Arial"/>
                <w:sz w:val="16"/>
                <w:szCs w:val="16"/>
                <w:color w:val="auto"/>
              </w:rPr>
              <w:t>Total other income (expense)</w:t>
            </w:r>
          </w:p>
        </w:tc>
        <w:tc>
          <w:tcPr>
            <w:tcW w:w="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(52,648)</w:t>
            </w: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(35,807)</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(122,155)</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(106,749)</w:t>
            </w:r>
          </w:p>
        </w:tc>
      </w:tr>
      <w:tr>
        <w:trPr>
          <w:trHeight w:val="33"/>
        </w:trPr>
        <w:tc>
          <w:tcPr>
            <w:tcW w:w="1220" w:type="dxa"/>
            <w:vAlign w:val="bottom"/>
            <w:tcBorders>
              <w:bottom w:val="single" w:sz="8" w:color="CEFFE7"/>
            </w:tcBorders>
          </w:tcPr>
          <w:p>
            <w:pPr>
              <w:spacing w:after="0"/>
              <w:rPr>
                <w:sz w:val="2"/>
                <w:szCs w:val="2"/>
                <w:color w:val="auto"/>
              </w:rPr>
            </w:pPr>
          </w:p>
        </w:tc>
        <w:tc>
          <w:tcPr>
            <w:tcW w:w="3220" w:type="dxa"/>
            <w:vAlign w:val="bottom"/>
            <w:tcBorders>
              <w:bottom w:val="single" w:sz="8" w:color="CEFFE7"/>
            </w:tcBorders>
          </w:tcPr>
          <w:p>
            <w:pPr>
              <w:spacing w:after="0"/>
              <w:rPr>
                <w:sz w:val="2"/>
                <w:szCs w:val="2"/>
                <w:color w:val="auto"/>
              </w:rPr>
            </w:pPr>
          </w:p>
        </w:tc>
        <w:tc>
          <w:tcPr>
            <w:tcW w:w="6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1220" w:type="dxa"/>
            <w:vAlign w:val="bottom"/>
            <w:shd w:val="clear" w:color="auto" w:fill="CEFFE7"/>
          </w:tcPr>
          <w:p>
            <w:pPr>
              <w:spacing w:after="0"/>
              <w:rPr>
                <w:sz w:val="21"/>
                <w:szCs w:val="21"/>
                <w:color w:val="auto"/>
              </w:rPr>
            </w:pPr>
          </w:p>
        </w:tc>
        <w:tc>
          <w:tcPr>
            <w:tcW w:w="3220" w:type="dxa"/>
            <w:vAlign w:val="bottom"/>
            <w:shd w:val="clear" w:color="auto" w:fill="CEFFE7"/>
          </w:tcPr>
          <w:p>
            <w:pPr>
              <w:spacing w:after="0"/>
              <w:rPr>
                <w:sz w:val="21"/>
                <w:szCs w:val="21"/>
                <w:color w:val="auto"/>
              </w:rPr>
            </w:pPr>
          </w:p>
        </w:tc>
        <w:tc>
          <w:tcPr>
            <w:tcW w:w="600" w:type="dxa"/>
            <w:vAlign w:val="bottom"/>
            <w:shd w:val="clear" w:color="auto" w:fill="CEFFE7"/>
          </w:tcPr>
          <w:p>
            <w:pPr>
              <w:spacing w:after="0"/>
              <w:rPr>
                <w:sz w:val="21"/>
                <w:szCs w:val="21"/>
                <w:color w:val="auto"/>
              </w:rPr>
            </w:pPr>
          </w:p>
        </w:tc>
        <w:tc>
          <w:tcPr>
            <w:tcW w:w="280" w:type="dxa"/>
            <w:vAlign w:val="bottom"/>
            <w:shd w:val="clear" w:color="auto" w:fill="CEFFE7"/>
          </w:tcPr>
          <w:p>
            <w:pPr>
              <w:spacing w:after="0"/>
              <w:rPr>
                <w:sz w:val="21"/>
                <w:szCs w:val="21"/>
                <w:color w:val="auto"/>
              </w:rPr>
            </w:pPr>
          </w:p>
        </w:tc>
        <w:tc>
          <w:tcPr>
            <w:tcW w:w="1320" w:type="dxa"/>
            <w:vAlign w:val="bottom"/>
            <w:shd w:val="clear" w:color="auto" w:fill="CEFFE7"/>
          </w:tcPr>
          <w:p>
            <w:pPr>
              <w:spacing w:after="0"/>
              <w:rPr>
                <w:sz w:val="21"/>
                <w:szCs w:val="21"/>
                <w:color w:val="auto"/>
              </w:rPr>
            </w:pPr>
          </w:p>
        </w:tc>
        <w:tc>
          <w:tcPr>
            <w:tcW w:w="260" w:type="dxa"/>
            <w:vAlign w:val="bottom"/>
            <w:shd w:val="clear" w:color="auto" w:fill="CEFFE7"/>
          </w:tcPr>
          <w:p>
            <w:pPr>
              <w:spacing w:after="0"/>
              <w:rPr>
                <w:sz w:val="21"/>
                <w:szCs w:val="21"/>
                <w:color w:val="auto"/>
              </w:rPr>
            </w:pPr>
          </w:p>
        </w:tc>
        <w:tc>
          <w:tcPr>
            <w:tcW w:w="1340" w:type="dxa"/>
            <w:vAlign w:val="bottom"/>
            <w:shd w:val="clear" w:color="auto" w:fill="CEFFE7"/>
          </w:tcPr>
          <w:p>
            <w:pPr>
              <w:spacing w:after="0"/>
              <w:rPr>
                <w:sz w:val="21"/>
                <w:szCs w:val="21"/>
                <w:color w:val="auto"/>
              </w:rPr>
            </w:pPr>
          </w:p>
        </w:tc>
        <w:tc>
          <w:tcPr>
            <w:tcW w:w="300" w:type="dxa"/>
            <w:vAlign w:val="bottom"/>
            <w:shd w:val="clear" w:color="auto" w:fill="CEFFE7"/>
          </w:tcPr>
          <w:p>
            <w:pPr>
              <w:spacing w:after="0"/>
              <w:rPr>
                <w:sz w:val="21"/>
                <w:szCs w:val="21"/>
                <w:color w:val="auto"/>
              </w:rPr>
            </w:pPr>
          </w:p>
        </w:tc>
        <w:tc>
          <w:tcPr>
            <w:tcW w:w="1280" w:type="dxa"/>
            <w:vAlign w:val="bottom"/>
            <w:shd w:val="clear" w:color="auto" w:fill="CEFFE7"/>
          </w:tcPr>
          <w:p>
            <w:pPr>
              <w:spacing w:after="0"/>
              <w:rPr>
                <w:sz w:val="21"/>
                <w:szCs w:val="21"/>
                <w:color w:val="auto"/>
              </w:rPr>
            </w:pPr>
          </w:p>
        </w:tc>
        <w:tc>
          <w:tcPr>
            <w:tcW w:w="380" w:type="dxa"/>
            <w:vAlign w:val="bottom"/>
            <w:shd w:val="clear" w:color="auto" w:fill="CEFFE7"/>
          </w:tcPr>
          <w:p>
            <w:pPr>
              <w:spacing w:after="0"/>
              <w:rPr>
                <w:sz w:val="21"/>
                <w:szCs w:val="21"/>
                <w:color w:val="auto"/>
              </w:rPr>
            </w:pPr>
          </w:p>
        </w:tc>
        <w:tc>
          <w:tcPr>
            <w:tcW w:w="1220" w:type="dxa"/>
            <w:vAlign w:val="bottom"/>
            <w:shd w:val="clear" w:color="auto" w:fill="CEFFE7"/>
          </w:tcPr>
          <w:p>
            <w:pPr>
              <w:spacing w:after="0"/>
              <w:rPr>
                <w:sz w:val="21"/>
                <w:szCs w:val="21"/>
                <w:color w:val="auto"/>
              </w:rPr>
            </w:pPr>
          </w:p>
        </w:tc>
      </w:tr>
      <w:tr>
        <w:trPr>
          <w:trHeight w:val="224"/>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17,903</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29,278</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162,528</w:t>
            </w:r>
          </w:p>
        </w:tc>
        <w:tc>
          <w:tcPr>
            <w:tcW w:w="38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176,161</w:t>
            </w:r>
          </w:p>
        </w:tc>
      </w:tr>
      <w:tr>
        <w:trPr>
          <w:trHeight w:val="33"/>
        </w:trPr>
        <w:tc>
          <w:tcPr>
            <w:tcW w:w="1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44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Income tax benefit (expense)</w:t>
            </w:r>
          </w:p>
        </w:tc>
        <w:tc>
          <w:tcPr>
            <w:tcW w:w="60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spacing w:after="0"/>
              <w:rPr>
                <w:sz w:val="22"/>
                <w:szCs w:val="22"/>
                <w:color w:val="auto"/>
              </w:rPr>
            </w:pP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(2,508)</w:t>
            </w:r>
          </w:p>
        </w:tc>
        <w:tc>
          <w:tcPr>
            <w:tcW w:w="260" w:type="dxa"/>
            <w:vAlign w:val="bottom"/>
            <w:tcBorders>
              <w:bottom w:val="single" w:sz="8" w:color="CEFFE7"/>
            </w:tcBorders>
            <w:shd w:val="clear" w:color="auto" w:fill="CEFFE7"/>
          </w:tcPr>
          <w:p>
            <w:pPr>
              <w:spacing w:after="0"/>
              <w:rPr>
                <w:sz w:val="22"/>
                <w:szCs w:val="22"/>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(7,477)</w:t>
            </w:r>
          </w:p>
        </w:tc>
        <w:tc>
          <w:tcPr>
            <w:tcW w:w="300" w:type="dxa"/>
            <w:vAlign w:val="bottom"/>
            <w:tcBorders>
              <w:bottom w:val="single" w:sz="8" w:color="CEFFE7"/>
            </w:tcBorders>
            <w:shd w:val="clear" w:color="auto" w:fill="CEFFE7"/>
          </w:tcPr>
          <w:p>
            <w:pPr>
              <w:spacing w:after="0"/>
              <w:rPr>
                <w:sz w:val="22"/>
                <w:szCs w:val="22"/>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(22,078)</w:t>
            </w:r>
          </w:p>
        </w:tc>
        <w:tc>
          <w:tcPr>
            <w:tcW w:w="38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11,784</w:t>
            </w:r>
          </w:p>
        </w:tc>
      </w:tr>
      <w:tr>
        <w:trPr>
          <w:trHeight w:val="217"/>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Income from continuing operations</w:t>
            </w:r>
          </w:p>
        </w:tc>
        <w:tc>
          <w:tcPr>
            <w:tcW w:w="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15,395</w:t>
            </w: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21,801</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140,450</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187,945</w:t>
            </w:r>
          </w:p>
        </w:tc>
      </w:tr>
      <w:tr>
        <w:trPr>
          <w:trHeight w:val="33"/>
        </w:trPr>
        <w:tc>
          <w:tcPr>
            <w:tcW w:w="1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44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Net (loss) from discontinued operations</w:t>
            </w:r>
          </w:p>
        </w:tc>
        <w:tc>
          <w:tcPr>
            <w:tcW w:w="60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spacing w:after="0"/>
              <w:rPr>
                <w:sz w:val="22"/>
                <w:szCs w:val="22"/>
                <w:color w:val="auto"/>
              </w:rPr>
            </w:pP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EFFE7"/>
            </w:tcBorders>
            <w:shd w:val="clear" w:color="auto" w:fill="CEFFE7"/>
          </w:tcPr>
          <w:p>
            <w:pPr>
              <w:spacing w:after="0"/>
              <w:rPr>
                <w:sz w:val="22"/>
                <w:szCs w:val="22"/>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(857)</w:t>
            </w:r>
          </w:p>
        </w:tc>
        <w:tc>
          <w:tcPr>
            <w:tcW w:w="300" w:type="dxa"/>
            <w:vAlign w:val="bottom"/>
            <w:tcBorders>
              <w:bottom w:val="single" w:sz="8" w:color="CEFFE7"/>
            </w:tcBorders>
            <w:shd w:val="clear" w:color="auto" w:fill="CEFFE7"/>
          </w:tcPr>
          <w:p>
            <w:pPr>
              <w:spacing w:after="0"/>
              <w:rPr>
                <w:sz w:val="22"/>
                <w:szCs w:val="22"/>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(5,627)</w:t>
            </w:r>
          </w:p>
        </w:tc>
      </w:tr>
      <w:tr>
        <w:trPr>
          <w:trHeight w:val="217"/>
        </w:trPr>
        <w:tc>
          <w:tcPr>
            <w:tcW w:w="444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15,395</w:t>
            </w: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20,944</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140,450</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182,318</w:t>
            </w:r>
          </w:p>
        </w:tc>
      </w:tr>
      <w:tr>
        <w:trPr>
          <w:trHeight w:val="33"/>
        </w:trPr>
        <w:tc>
          <w:tcPr>
            <w:tcW w:w="1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44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Net income attributable to noncontrolling interest</w:t>
            </w:r>
          </w:p>
        </w:tc>
        <w:tc>
          <w:tcPr>
            <w:tcW w:w="60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spacing w:after="0"/>
              <w:rPr>
                <w:sz w:val="22"/>
                <w:szCs w:val="22"/>
                <w:color w:val="auto"/>
              </w:rPr>
            </w:pP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(3,655)</w:t>
            </w:r>
          </w:p>
        </w:tc>
        <w:tc>
          <w:tcPr>
            <w:tcW w:w="260" w:type="dxa"/>
            <w:vAlign w:val="bottom"/>
            <w:tcBorders>
              <w:bottom w:val="single" w:sz="8" w:color="CEFFE7"/>
            </w:tcBorders>
            <w:shd w:val="clear" w:color="auto" w:fill="CEFFE7"/>
          </w:tcPr>
          <w:p>
            <w:pPr>
              <w:spacing w:after="0"/>
              <w:rPr>
                <w:sz w:val="22"/>
                <w:szCs w:val="22"/>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(3,994)</w:t>
            </w:r>
          </w:p>
        </w:tc>
        <w:tc>
          <w:tcPr>
            <w:tcW w:w="300" w:type="dxa"/>
            <w:vAlign w:val="bottom"/>
            <w:tcBorders>
              <w:bottom w:val="single" w:sz="8" w:color="CEFFE7"/>
            </w:tcBorders>
            <w:shd w:val="clear" w:color="auto" w:fill="CEFFE7"/>
          </w:tcPr>
          <w:p>
            <w:pPr>
              <w:spacing w:after="0"/>
              <w:rPr>
                <w:sz w:val="22"/>
                <w:szCs w:val="22"/>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(10,319)</w:t>
            </w:r>
          </w:p>
        </w:tc>
        <w:tc>
          <w:tcPr>
            <w:tcW w:w="38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(10,447)</w:t>
            </w:r>
          </w:p>
        </w:tc>
      </w:tr>
      <w:tr>
        <w:trPr>
          <w:trHeight w:val="284"/>
        </w:trPr>
        <w:tc>
          <w:tcPr>
            <w:tcW w:w="4440" w:type="dxa"/>
            <w:vAlign w:val="bottom"/>
            <w:tcBorders>
              <w:bottom w:val="single" w:sz="8" w:color="CEFFE7"/>
            </w:tcBorders>
            <w:gridSpan w:val="2"/>
          </w:tcPr>
          <w:p>
            <w:pPr>
              <w:ind w:left="40"/>
              <w:spacing w:after="0"/>
              <w:rPr>
                <w:sz w:val="20"/>
                <w:szCs w:val="20"/>
                <w:color w:val="auto"/>
              </w:rPr>
            </w:pPr>
            <w:r>
              <w:rPr>
                <w:rFonts w:ascii="Arial" w:cs="Arial" w:eastAsia="Arial" w:hAnsi="Arial"/>
                <w:sz w:val="16"/>
                <w:szCs w:val="16"/>
                <w:color w:val="auto"/>
              </w:rPr>
              <w:t>Net income available for common stock</w:t>
            </w:r>
          </w:p>
        </w:tc>
        <w:tc>
          <w:tcPr>
            <w:tcW w:w="600" w:type="dxa"/>
            <w:vAlign w:val="bottom"/>
            <w:tcBorders>
              <w:bottom w:val="single" w:sz="8" w:color="CEFFE7"/>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11,740</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16,950</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130,131</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171,871</w:t>
            </w:r>
          </w:p>
        </w:tc>
      </w:tr>
      <w:tr>
        <w:trPr>
          <w:trHeight w:val="176"/>
        </w:trPr>
        <w:tc>
          <w:tcPr>
            <w:tcW w:w="1220" w:type="dxa"/>
            <w:vAlign w:val="bottom"/>
            <w:shd w:val="clear" w:color="auto" w:fill="CEFFE7"/>
          </w:tcPr>
          <w:p>
            <w:pPr>
              <w:spacing w:after="0"/>
              <w:rPr>
                <w:sz w:val="15"/>
                <w:szCs w:val="15"/>
                <w:color w:val="auto"/>
              </w:rPr>
            </w:pPr>
          </w:p>
        </w:tc>
        <w:tc>
          <w:tcPr>
            <w:tcW w:w="3220" w:type="dxa"/>
            <w:vAlign w:val="bottom"/>
            <w:shd w:val="clear" w:color="auto" w:fill="CEFFE7"/>
          </w:tcPr>
          <w:p>
            <w:pPr>
              <w:spacing w:after="0"/>
              <w:rPr>
                <w:sz w:val="15"/>
                <w:szCs w:val="15"/>
                <w:color w:val="auto"/>
              </w:rPr>
            </w:pPr>
          </w:p>
        </w:tc>
        <w:tc>
          <w:tcPr>
            <w:tcW w:w="600" w:type="dxa"/>
            <w:vAlign w:val="bottom"/>
            <w:shd w:val="clear" w:color="auto" w:fill="CEFFE7"/>
          </w:tcPr>
          <w:p>
            <w:pPr>
              <w:spacing w:after="0"/>
              <w:rPr>
                <w:sz w:val="15"/>
                <w:szCs w:val="15"/>
                <w:color w:val="auto"/>
              </w:rPr>
            </w:pPr>
          </w:p>
        </w:tc>
        <w:tc>
          <w:tcPr>
            <w:tcW w:w="280" w:type="dxa"/>
            <w:vAlign w:val="bottom"/>
            <w:shd w:val="clear" w:color="auto" w:fill="CEFFE7"/>
          </w:tcPr>
          <w:p>
            <w:pPr>
              <w:spacing w:after="0"/>
              <w:rPr>
                <w:sz w:val="15"/>
                <w:szCs w:val="15"/>
                <w:color w:val="auto"/>
              </w:rPr>
            </w:pPr>
          </w:p>
        </w:tc>
        <w:tc>
          <w:tcPr>
            <w:tcW w:w="132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1340" w:type="dxa"/>
            <w:vAlign w:val="bottom"/>
            <w:shd w:val="clear" w:color="auto" w:fill="CEFFE7"/>
          </w:tcPr>
          <w:p>
            <w:pPr>
              <w:spacing w:after="0"/>
              <w:rPr>
                <w:sz w:val="15"/>
                <w:szCs w:val="15"/>
                <w:color w:val="auto"/>
              </w:rPr>
            </w:pPr>
          </w:p>
        </w:tc>
        <w:tc>
          <w:tcPr>
            <w:tcW w:w="300" w:type="dxa"/>
            <w:vAlign w:val="bottom"/>
            <w:shd w:val="clear" w:color="auto" w:fill="CEFFE7"/>
          </w:tcPr>
          <w:p>
            <w:pPr>
              <w:spacing w:after="0"/>
              <w:rPr>
                <w:sz w:val="15"/>
                <w:szCs w:val="15"/>
                <w:color w:val="auto"/>
              </w:rPr>
            </w:pPr>
          </w:p>
        </w:tc>
        <w:tc>
          <w:tcPr>
            <w:tcW w:w="1280" w:type="dxa"/>
            <w:vAlign w:val="bottom"/>
            <w:shd w:val="clear" w:color="auto" w:fill="CEFFE7"/>
          </w:tcPr>
          <w:p>
            <w:pPr>
              <w:spacing w:after="0"/>
              <w:rPr>
                <w:sz w:val="15"/>
                <w:szCs w:val="15"/>
                <w:color w:val="auto"/>
              </w:rPr>
            </w:pPr>
          </w:p>
        </w:tc>
        <w:tc>
          <w:tcPr>
            <w:tcW w:w="380" w:type="dxa"/>
            <w:vAlign w:val="bottom"/>
            <w:shd w:val="clear" w:color="auto" w:fill="CEFFE7"/>
          </w:tcPr>
          <w:p>
            <w:pPr>
              <w:spacing w:after="0"/>
              <w:rPr>
                <w:sz w:val="15"/>
                <w:szCs w:val="15"/>
                <w:color w:val="auto"/>
              </w:rPr>
            </w:pPr>
          </w:p>
        </w:tc>
        <w:tc>
          <w:tcPr>
            <w:tcW w:w="1220" w:type="dxa"/>
            <w:vAlign w:val="bottom"/>
            <w:shd w:val="clear" w:color="auto" w:fill="CEFFE7"/>
          </w:tcPr>
          <w:p>
            <w:pPr>
              <w:spacing w:after="0"/>
              <w:rPr>
                <w:sz w:val="15"/>
                <w:szCs w:val="15"/>
                <w:color w:val="auto"/>
              </w:rPr>
            </w:pPr>
          </w:p>
        </w:tc>
      </w:tr>
      <w:tr>
        <w:trPr>
          <w:trHeight w:val="237"/>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Amounts attributable to common shareholders:</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44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6"/>
                <w:szCs w:val="16"/>
                <w:color w:val="auto"/>
              </w:rPr>
              <w:t>Net income from continuing operations</w:t>
            </w:r>
          </w:p>
        </w:tc>
        <w:tc>
          <w:tcPr>
            <w:tcW w:w="880" w:type="dxa"/>
            <w:vAlign w:val="bottom"/>
            <w:tcBorders>
              <w:bottom w:val="single" w:sz="8" w:color="CEFFE7"/>
            </w:tcBorders>
            <w:gridSpan w:val="2"/>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11,740</w:t>
            </w:r>
          </w:p>
        </w:tc>
        <w:tc>
          <w:tcPr>
            <w:tcW w:w="2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17,807</w:t>
            </w:r>
          </w:p>
        </w:tc>
        <w:tc>
          <w:tcPr>
            <w:tcW w:w="3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130,131</w:t>
            </w:r>
          </w:p>
        </w:tc>
        <w:tc>
          <w:tcPr>
            <w:tcW w:w="3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177,498</w:t>
            </w:r>
          </w:p>
        </w:tc>
      </w:tr>
      <w:tr>
        <w:trPr>
          <w:trHeight w:val="224"/>
        </w:trPr>
        <w:tc>
          <w:tcPr>
            <w:tcW w:w="4440" w:type="dxa"/>
            <w:vAlign w:val="bottom"/>
            <w:gridSpan w:val="2"/>
          </w:tcPr>
          <w:p>
            <w:pPr>
              <w:ind w:left="180"/>
              <w:spacing w:after="0"/>
              <w:rPr>
                <w:sz w:val="20"/>
                <w:szCs w:val="20"/>
                <w:color w:val="auto"/>
              </w:rPr>
            </w:pPr>
            <w:r>
              <w:rPr>
                <w:rFonts w:ascii="Arial" w:cs="Arial" w:eastAsia="Arial" w:hAnsi="Arial"/>
                <w:sz w:val="16"/>
                <w:szCs w:val="16"/>
                <w:color w:val="auto"/>
              </w:rPr>
              <w:t>Net (loss) from discontinued operations</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(857)</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(5,627)</w:t>
            </w:r>
          </w:p>
        </w:tc>
      </w:tr>
      <w:tr>
        <w:trPr>
          <w:trHeight w:val="33"/>
        </w:trPr>
        <w:tc>
          <w:tcPr>
            <w:tcW w:w="1220" w:type="dxa"/>
            <w:vAlign w:val="bottom"/>
            <w:tcBorders>
              <w:bottom w:val="single" w:sz="8" w:color="CEFFE7"/>
            </w:tcBorders>
          </w:tcPr>
          <w:p>
            <w:pPr>
              <w:spacing w:after="0"/>
              <w:rPr>
                <w:sz w:val="2"/>
                <w:szCs w:val="2"/>
                <w:color w:val="auto"/>
              </w:rPr>
            </w:pPr>
          </w:p>
        </w:tc>
        <w:tc>
          <w:tcPr>
            <w:tcW w:w="3220" w:type="dxa"/>
            <w:vAlign w:val="bottom"/>
            <w:tcBorders>
              <w:bottom w:val="single" w:sz="8" w:color="CEFFE7"/>
            </w:tcBorders>
          </w:tcPr>
          <w:p>
            <w:pPr>
              <w:spacing w:after="0"/>
              <w:rPr>
                <w:sz w:val="2"/>
                <w:szCs w:val="2"/>
                <w:color w:val="auto"/>
              </w:rPr>
            </w:pPr>
          </w:p>
        </w:tc>
        <w:tc>
          <w:tcPr>
            <w:tcW w:w="6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440" w:type="dxa"/>
            <w:vAlign w:val="bottom"/>
            <w:gridSpan w:val="2"/>
            <w:shd w:val="clear" w:color="auto" w:fill="CEFFE7"/>
          </w:tcPr>
          <w:p>
            <w:pPr>
              <w:ind w:left="40"/>
              <w:spacing w:after="0"/>
              <w:rPr>
                <w:sz w:val="20"/>
                <w:szCs w:val="20"/>
                <w:color w:val="auto"/>
              </w:rPr>
            </w:pPr>
            <w:r>
              <w:rPr>
                <w:rFonts w:ascii="Arial" w:cs="Arial" w:eastAsia="Arial" w:hAnsi="Arial"/>
                <w:sz w:val="16"/>
                <w:szCs w:val="16"/>
                <w:color w:val="auto"/>
              </w:rPr>
              <w:t>Net income available for common stock</w:t>
            </w:r>
          </w:p>
        </w:tc>
        <w:tc>
          <w:tcPr>
            <w:tcW w:w="880" w:type="dxa"/>
            <w:vAlign w:val="bottom"/>
            <w:gridSpan w:val="2"/>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11,740</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16,950</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130,131</w:t>
            </w:r>
          </w:p>
        </w:tc>
        <w:tc>
          <w:tcPr>
            <w:tcW w:w="3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171,871</w:t>
            </w:r>
          </w:p>
        </w:tc>
      </w:tr>
      <w:tr>
        <w:trPr>
          <w:trHeight w:val="20"/>
        </w:trPr>
        <w:tc>
          <w:tcPr>
            <w:tcW w:w="1220" w:type="dxa"/>
            <w:vAlign w:val="bottom"/>
            <w:tcBorders>
              <w:top w:val="single" w:sz="8" w:color="CEFFE7"/>
            </w:tcBorders>
          </w:tcPr>
          <w:p>
            <w:pPr>
              <w:spacing w:after="0" w:line="20" w:lineRule="exact"/>
              <w:rPr>
                <w:sz w:val="1"/>
                <w:szCs w:val="1"/>
                <w:color w:val="auto"/>
              </w:rPr>
            </w:pPr>
          </w:p>
        </w:tc>
        <w:tc>
          <w:tcPr>
            <w:tcW w:w="3220" w:type="dxa"/>
            <w:vAlign w:val="bottom"/>
            <w:tcBorders>
              <w:top w:val="single" w:sz="8" w:color="CEFFE7"/>
            </w:tcBorders>
          </w:tcPr>
          <w:p>
            <w:pPr>
              <w:spacing w:after="0" w:line="20" w:lineRule="exact"/>
              <w:rPr>
                <w:sz w:val="1"/>
                <w:szCs w:val="1"/>
                <w:color w:val="auto"/>
              </w:rPr>
            </w:pPr>
          </w:p>
        </w:tc>
        <w:tc>
          <w:tcPr>
            <w:tcW w:w="60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12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50"/>
        </w:trPr>
        <w:tc>
          <w:tcPr>
            <w:tcW w:w="44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Earnings (loss) per share of common stock, Basic -</w:t>
            </w:r>
          </w:p>
        </w:tc>
        <w:tc>
          <w:tcPr>
            <w:tcW w:w="6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24"/>
        </w:trPr>
        <w:tc>
          <w:tcPr>
            <w:tcW w:w="4440" w:type="dxa"/>
            <w:vAlign w:val="bottom"/>
            <w:gridSpan w:val="2"/>
          </w:tcPr>
          <w:p>
            <w:pPr>
              <w:ind w:left="280"/>
              <w:spacing w:after="0"/>
              <w:rPr>
                <w:sz w:val="20"/>
                <w:szCs w:val="20"/>
                <w:color w:val="auto"/>
              </w:rPr>
            </w:pPr>
            <w:r>
              <w:rPr>
                <w:rFonts w:ascii="Arial" w:cs="Arial" w:eastAsia="Arial" w:hAnsi="Arial"/>
                <w:sz w:val="16"/>
                <w:szCs w:val="16"/>
                <w:color w:val="auto"/>
              </w:rPr>
              <w:t>Earnings from continuing operations</w:t>
            </w:r>
          </w:p>
        </w:tc>
        <w:tc>
          <w:tcPr>
            <w:tcW w:w="8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0.19</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0.33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2.15</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3.33</w:t>
            </w:r>
          </w:p>
        </w:tc>
      </w:tr>
      <w:tr>
        <w:trPr>
          <w:trHeight w:val="33"/>
        </w:trPr>
        <w:tc>
          <w:tcPr>
            <w:tcW w:w="1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444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(Loss) from discontinued operations</w:t>
            </w:r>
          </w:p>
        </w:tc>
        <w:tc>
          <w:tcPr>
            <w:tcW w:w="60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spacing w:after="0"/>
              <w:rPr>
                <w:sz w:val="22"/>
                <w:szCs w:val="22"/>
                <w:color w:val="auto"/>
              </w:rPr>
            </w:pP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EFFE7"/>
            </w:tcBorders>
            <w:shd w:val="clear" w:color="auto" w:fill="CEFFE7"/>
          </w:tcPr>
          <w:p>
            <w:pPr>
              <w:spacing w:after="0"/>
              <w:rPr>
                <w:sz w:val="22"/>
                <w:szCs w:val="22"/>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(0.02)</w:t>
            </w:r>
          </w:p>
        </w:tc>
        <w:tc>
          <w:tcPr>
            <w:tcW w:w="300" w:type="dxa"/>
            <w:vAlign w:val="bottom"/>
            <w:tcBorders>
              <w:bottom w:val="single" w:sz="8" w:color="CEFFE7"/>
            </w:tcBorders>
            <w:shd w:val="clear" w:color="auto" w:fill="CEFFE7"/>
          </w:tcPr>
          <w:p>
            <w:pPr>
              <w:spacing w:after="0"/>
              <w:rPr>
                <w:sz w:val="22"/>
                <w:szCs w:val="22"/>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(0.10)</w:t>
            </w:r>
          </w:p>
        </w:tc>
      </w:tr>
      <w:tr>
        <w:trPr>
          <w:trHeight w:val="284"/>
        </w:trPr>
        <w:tc>
          <w:tcPr>
            <w:tcW w:w="4440" w:type="dxa"/>
            <w:vAlign w:val="bottom"/>
            <w:tcBorders>
              <w:bottom w:val="single" w:sz="8" w:color="CEFFE7"/>
            </w:tcBorders>
            <w:gridSpan w:val="2"/>
          </w:tcPr>
          <w:p>
            <w:pPr>
              <w:ind w:left="240"/>
              <w:spacing w:after="0"/>
              <w:rPr>
                <w:sz w:val="20"/>
                <w:szCs w:val="20"/>
                <w:color w:val="auto"/>
              </w:rPr>
            </w:pPr>
            <w:r>
              <w:rPr>
                <w:rFonts w:ascii="Arial" w:cs="Arial" w:eastAsia="Arial" w:hAnsi="Arial"/>
                <w:sz w:val="16"/>
                <w:szCs w:val="16"/>
                <w:color w:val="auto"/>
              </w:rPr>
              <w:t>Total earnings per share of common stock, Basic</w:t>
            </w:r>
          </w:p>
        </w:tc>
        <w:tc>
          <w:tcPr>
            <w:tcW w:w="600" w:type="dxa"/>
            <w:vAlign w:val="bottom"/>
            <w:tcBorders>
              <w:bottom w:val="single" w:sz="8" w:color="CEFFE7"/>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0.19</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0.32</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3.22</w:t>
            </w:r>
          </w:p>
        </w:tc>
      </w:tr>
      <w:tr>
        <w:trPr>
          <w:trHeight w:val="176"/>
        </w:trPr>
        <w:tc>
          <w:tcPr>
            <w:tcW w:w="1220" w:type="dxa"/>
            <w:vAlign w:val="bottom"/>
            <w:shd w:val="clear" w:color="auto" w:fill="CEFFE7"/>
          </w:tcPr>
          <w:p>
            <w:pPr>
              <w:spacing w:after="0"/>
              <w:rPr>
                <w:sz w:val="15"/>
                <w:szCs w:val="15"/>
                <w:color w:val="auto"/>
              </w:rPr>
            </w:pPr>
          </w:p>
        </w:tc>
        <w:tc>
          <w:tcPr>
            <w:tcW w:w="3220" w:type="dxa"/>
            <w:vAlign w:val="bottom"/>
            <w:shd w:val="clear" w:color="auto" w:fill="CEFFE7"/>
          </w:tcPr>
          <w:p>
            <w:pPr>
              <w:spacing w:after="0"/>
              <w:rPr>
                <w:sz w:val="15"/>
                <w:szCs w:val="15"/>
                <w:color w:val="auto"/>
              </w:rPr>
            </w:pPr>
          </w:p>
        </w:tc>
        <w:tc>
          <w:tcPr>
            <w:tcW w:w="600" w:type="dxa"/>
            <w:vAlign w:val="bottom"/>
            <w:shd w:val="clear" w:color="auto" w:fill="CEFFE7"/>
          </w:tcPr>
          <w:p>
            <w:pPr>
              <w:spacing w:after="0"/>
              <w:rPr>
                <w:sz w:val="15"/>
                <w:szCs w:val="15"/>
                <w:color w:val="auto"/>
              </w:rPr>
            </w:pPr>
          </w:p>
        </w:tc>
        <w:tc>
          <w:tcPr>
            <w:tcW w:w="280" w:type="dxa"/>
            <w:vAlign w:val="bottom"/>
            <w:shd w:val="clear" w:color="auto" w:fill="CEFFE7"/>
          </w:tcPr>
          <w:p>
            <w:pPr>
              <w:spacing w:after="0"/>
              <w:rPr>
                <w:sz w:val="15"/>
                <w:szCs w:val="15"/>
                <w:color w:val="auto"/>
              </w:rPr>
            </w:pPr>
          </w:p>
        </w:tc>
        <w:tc>
          <w:tcPr>
            <w:tcW w:w="132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1340" w:type="dxa"/>
            <w:vAlign w:val="bottom"/>
            <w:shd w:val="clear" w:color="auto" w:fill="CEFFE7"/>
          </w:tcPr>
          <w:p>
            <w:pPr>
              <w:spacing w:after="0"/>
              <w:rPr>
                <w:sz w:val="15"/>
                <w:szCs w:val="15"/>
                <w:color w:val="auto"/>
              </w:rPr>
            </w:pPr>
          </w:p>
        </w:tc>
        <w:tc>
          <w:tcPr>
            <w:tcW w:w="300" w:type="dxa"/>
            <w:vAlign w:val="bottom"/>
            <w:shd w:val="clear" w:color="auto" w:fill="CEFFE7"/>
          </w:tcPr>
          <w:p>
            <w:pPr>
              <w:spacing w:after="0"/>
              <w:rPr>
                <w:sz w:val="15"/>
                <w:szCs w:val="15"/>
                <w:color w:val="auto"/>
              </w:rPr>
            </w:pPr>
          </w:p>
        </w:tc>
        <w:tc>
          <w:tcPr>
            <w:tcW w:w="1280" w:type="dxa"/>
            <w:vAlign w:val="bottom"/>
            <w:shd w:val="clear" w:color="auto" w:fill="CEFFE7"/>
          </w:tcPr>
          <w:p>
            <w:pPr>
              <w:spacing w:after="0"/>
              <w:rPr>
                <w:sz w:val="15"/>
                <w:szCs w:val="15"/>
                <w:color w:val="auto"/>
              </w:rPr>
            </w:pPr>
          </w:p>
        </w:tc>
        <w:tc>
          <w:tcPr>
            <w:tcW w:w="380" w:type="dxa"/>
            <w:vAlign w:val="bottom"/>
            <w:shd w:val="clear" w:color="auto" w:fill="CEFFE7"/>
          </w:tcPr>
          <w:p>
            <w:pPr>
              <w:spacing w:after="0"/>
              <w:rPr>
                <w:sz w:val="15"/>
                <w:szCs w:val="15"/>
                <w:color w:val="auto"/>
              </w:rPr>
            </w:pPr>
          </w:p>
        </w:tc>
        <w:tc>
          <w:tcPr>
            <w:tcW w:w="1220" w:type="dxa"/>
            <w:vAlign w:val="bottom"/>
            <w:shd w:val="clear" w:color="auto" w:fill="CEFFE7"/>
          </w:tcPr>
          <w:p>
            <w:pPr>
              <w:spacing w:after="0"/>
              <w:rPr>
                <w:sz w:val="15"/>
                <w:szCs w:val="15"/>
                <w:color w:val="auto"/>
              </w:rPr>
            </w:pPr>
          </w:p>
        </w:tc>
      </w:tr>
      <w:tr>
        <w:trPr>
          <w:trHeight w:val="237"/>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Earnings (loss) per share of common stock, Diluted -</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44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Earnings from continuing operations</w:t>
            </w:r>
          </w:p>
        </w:tc>
        <w:tc>
          <w:tcPr>
            <w:tcW w:w="880" w:type="dxa"/>
            <w:vAlign w:val="bottom"/>
            <w:tcBorders>
              <w:bottom w:val="single" w:sz="8" w:color="CEFFE7"/>
            </w:tcBorders>
            <w:gridSpan w:val="2"/>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0.19</w:t>
            </w:r>
          </w:p>
        </w:tc>
        <w:tc>
          <w:tcPr>
            <w:tcW w:w="2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0.32</w:t>
            </w:r>
          </w:p>
        </w:tc>
        <w:tc>
          <w:tcPr>
            <w:tcW w:w="3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2.15</w:t>
            </w:r>
          </w:p>
        </w:tc>
        <w:tc>
          <w:tcPr>
            <w:tcW w:w="3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3.26</w:t>
            </w:r>
          </w:p>
        </w:tc>
      </w:tr>
      <w:tr>
        <w:trPr>
          <w:trHeight w:val="224"/>
        </w:trPr>
        <w:tc>
          <w:tcPr>
            <w:tcW w:w="4440" w:type="dxa"/>
            <w:vAlign w:val="bottom"/>
            <w:gridSpan w:val="2"/>
          </w:tcPr>
          <w:p>
            <w:pPr>
              <w:ind w:left="280"/>
              <w:spacing w:after="0"/>
              <w:rPr>
                <w:sz w:val="20"/>
                <w:szCs w:val="20"/>
                <w:color w:val="auto"/>
              </w:rPr>
            </w:pPr>
            <w:r>
              <w:rPr>
                <w:rFonts w:ascii="Arial" w:cs="Arial" w:eastAsia="Arial" w:hAnsi="Arial"/>
                <w:sz w:val="16"/>
                <w:szCs w:val="16"/>
                <w:color w:val="auto"/>
              </w:rPr>
              <w:t>(Loss) from discontinued operations</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(0.02)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(0.10)</w:t>
            </w:r>
          </w:p>
        </w:tc>
      </w:tr>
      <w:tr>
        <w:trPr>
          <w:trHeight w:val="33"/>
        </w:trPr>
        <w:tc>
          <w:tcPr>
            <w:tcW w:w="1220" w:type="dxa"/>
            <w:vAlign w:val="bottom"/>
            <w:tcBorders>
              <w:bottom w:val="single" w:sz="8" w:color="CEFFE7"/>
            </w:tcBorders>
          </w:tcPr>
          <w:p>
            <w:pPr>
              <w:spacing w:after="0"/>
              <w:rPr>
                <w:sz w:val="2"/>
                <w:szCs w:val="2"/>
                <w:color w:val="auto"/>
              </w:rPr>
            </w:pPr>
          </w:p>
        </w:tc>
        <w:tc>
          <w:tcPr>
            <w:tcW w:w="3220" w:type="dxa"/>
            <w:vAlign w:val="bottom"/>
            <w:tcBorders>
              <w:bottom w:val="single" w:sz="8" w:color="CEFFE7"/>
            </w:tcBorders>
          </w:tcPr>
          <w:p>
            <w:pPr>
              <w:spacing w:after="0"/>
              <w:rPr>
                <w:sz w:val="2"/>
                <w:szCs w:val="2"/>
                <w:color w:val="auto"/>
              </w:rPr>
            </w:pPr>
          </w:p>
        </w:tc>
        <w:tc>
          <w:tcPr>
            <w:tcW w:w="6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440" w:type="dxa"/>
            <w:vAlign w:val="bottom"/>
            <w:gridSpan w:val="2"/>
            <w:shd w:val="clear" w:color="auto" w:fill="CEFFE7"/>
          </w:tcPr>
          <w:p>
            <w:pPr>
              <w:ind w:left="240"/>
              <w:spacing w:after="0"/>
              <w:rPr>
                <w:sz w:val="20"/>
                <w:szCs w:val="20"/>
                <w:color w:val="auto"/>
              </w:rPr>
            </w:pPr>
            <w:r>
              <w:rPr>
                <w:rFonts w:ascii="Arial" w:cs="Arial" w:eastAsia="Arial" w:hAnsi="Arial"/>
                <w:sz w:val="16"/>
                <w:szCs w:val="16"/>
                <w:color w:val="auto"/>
              </w:rPr>
              <w:t>Total earnings per share of common stock, Diluted</w:t>
            </w:r>
          </w:p>
        </w:tc>
        <w:tc>
          <w:tcPr>
            <w:tcW w:w="880" w:type="dxa"/>
            <w:vAlign w:val="bottom"/>
            <w:gridSpan w:val="2"/>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0.19</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0.31</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2.15</w:t>
            </w:r>
          </w:p>
        </w:tc>
        <w:tc>
          <w:tcPr>
            <w:tcW w:w="3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3.15</w:t>
            </w:r>
          </w:p>
        </w:tc>
      </w:tr>
      <w:tr>
        <w:trPr>
          <w:trHeight w:val="20"/>
        </w:trPr>
        <w:tc>
          <w:tcPr>
            <w:tcW w:w="1220" w:type="dxa"/>
            <w:vAlign w:val="bottom"/>
            <w:tcBorders>
              <w:top w:val="single" w:sz="8" w:color="CEFFE7"/>
            </w:tcBorders>
          </w:tcPr>
          <w:p>
            <w:pPr>
              <w:spacing w:after="0" w:line="20" w:lineRule="exact"/>
              <w:rPr>
                <w:sz w:val="1"/>
                <w:szCs w:val="1"/>
                <w:color w:val="auto"/>
              </w:rPr>
            </w:pPr>
          </w:p>
        </w:tc>
        <w:tc>
          <w:tcPr>
            <w:tcW w:w="3220" w:type="dxa"/>
            <w:vAlign w:val="bottom"/>
            <w:tcBorders>
              <w:top w:val="single" w:sz="8" w:color="CEFFE7"/>
            </w:tcBorders>
          </w:tcPr>
          <w:p>
            <w:pPr>
              <w:spacing w:after="0" w:line="20" w:lineRule="exact"/>
              <w:rPr>
                <w:sz w:val="1"/>
                <w:szCs w:val="1"/>
                <w:color w:val="auto"/>
              </w:rPr>
            </w:pPr>
          </w:p>
        </w:tc>
        <w:tc>
          <w:tcPr>
            <w:tcW w:w="60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12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50"/>
        </w:trPr>
        <w:tc>
          <w:tcPr>
            <w:tcW w:w="44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6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90"/>
        </w:trPr>
        <w:tc>
          <w:tcPr>
            <w:tcW w:w="4440" w:type="dxa"/>
            <w:vAlign w:val="bottom"/>
            <w:tcBorders>
              <w:bottom w:val="single" w:sz="8" w:color="CEFFE7"/>
            </w:tcBorders>
            <w:gridSpan w:val="2"/>
          </w:tcPr>
          <w:p>
            <w:pPr>
              <w:ind w:left="240"/>
              <w:spacing w:after="0"/>
              <w:rPr>
                <w:sz w:val="20"/>
                <w:szCs w:val="20"/>
                <w:color w:val="auto"/>
              </w:rPr>
            </w:pPr>
            <w:r>
              <w:rPr>
                <w:rFonts w:ascii="Arial" w:cs="Arial" w:eastAsia="Arial" w:hAnsi="Arial"/>
                <w:sz w:val="16"/>
                <w:szCs w:val="16"/>
                <w:color w:val="auto"/>
              </w:rPr>
              <w:t>Basic</w:t>
            </w:r>
          </w:p>
        </w:tc>
        <w:tc>
          <w:tcPr>
            <w:tcW w:w="600" w:type="dxa"/>
            <w:vAlign w:val="bottom"/>
            <w:tcBorders>
              <w:bottom w:val="single" w:sz="8" w:color="CEFFE7"/>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60,976</w:t>
            </w: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53,364</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60,458</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53,346</w:t>
            </w:r>
          </w:p>
        </w:tc>
      </w:tr>
      <w:tr>
        <w:trPr>
          <w:trHeight w:val="237"/>
        </w:trPr>
        <w:tc>
          <w:tcPr>
            <w:tcW w:w="444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6"/>
                <w:szCs w:val="16"/>
                <w:color w:val="auto"/>
              </w:rPr>
              <w:t>Diluted</w:t>
            </w:r>
          </w:p>
        </w:tc>
        <w:tc>
          <w:tcPr>
            <w:tcW w:w="600" w:type="dxa"/>
            <w:vAlign w:val="bottom"/>
            <w:tcBorders>
              <w:bottom w:val="single" w:sz="8" w:color="CEFFE7"/>
            </w:tcBorders>
            <w:shd w:val="clear" w:color="auto" w:fill="CEFFE7"/>
          </w:tcPr>
          <w:p>
            <w:pPr>
              <w:spacing w:after="0"/>
              <w:rPr>
                <w:sz w:val="20"/>
                <w:szCs w:val="20"/>
                <w:color w:val="auto"/>
              </w:rPr>
            </w:pPr>
          </w:p>
        </w:tc>
        <w:tc>
          <w:tcPr>
            <w:tcW w:w="280" w:type="dxa"/>
            <w:vAlign w:val="bottom"/>
            <w:tcBorders>
              <w:bottom w:val="single" w:sz="8" w:color="auto"/>
            </w:tcBorders>
            <w:shd w:val="clear" w:color="auto" w:fill="CEFFE7"/>
          </w:tcPr>
          <w:p>
            <w:pPr>
              <w:spacing w:after="0"/>
              <w:rPr>
                <w:sz w:val="20"/>
                <w:szCs w:val="20"/>
                <w:color w:val="auto"/>
              </w:rPr>
            </w:pPr>
          </w:p>
        </w:tc>
        <w:tc>
          <w:tcPr>
            <w:tcW w:w="13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61,104</w:t>
            </w:r>
          </w:p>
        </w:tc>
        <w:tc>
          <w:tcPr>
            <w:tcW w:w="260" w:type="dxa"/>
            <w:vAlign w:val="bottom"/>
            <w:tcBorders>
              <w:bottom w:val="single" w:sz="8" w:color="auto"/>
            </w:tcBorders>
            <w:shd w:val="clear" w:color="auto" w:fill="CEFFE7"/>
          </w:tcPr>
          <w:p>
            <w:pPr>
              <w:spacing w:after="0"/>
              <w:rPr>
                <w:sz w:val="20"/>
                <w:szCs w:val="20"/>
                <w:color w:val="auto"/>
              </w:rPr>
            </w:pP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54,819</w:t>
            </w:r>
          </w:p>
        </w:tc>
        <w:tc>
          <w:tcPr>
            <w:tcW w:w="300" w:type="dxa"/>
            <w:vAlign w:val="bottom"/>
            <w:tcBorders>
              <w:bottom w:val="single" w:sz="8" w:color="auto"/>
            </w:tcBorders>
            <w:shd w:val="clear" w:color="auto" w:fill="CEFFE7"/>
          </w:tcPr>
          <w:p>
            <w:pPr>
              <w:spacing w:after="0"/>
              <w:rPr>
                <w:sz w:val="20"/>
                <w:szCs w:val="20"/>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60,578</w:t>
            </w:r>
          </w:p>
        </w:tc>
        <w:tc>
          <w:tcPr>
            <w:tcW w:w="380" w:type="dxa"/>
            <w:vAlign w:val="bottom"/>
            <w:tcBorders>
              <w:bottom w:val="single" w:sz="8" w:color="auto"/>
            </w:tcBorders>
            <w:shd w:val="clear" w:color="auto" w:fill="CEFFE7"/>
          </w:tcPr>
          <w:p>
            <w:pPr>
              <w:spacing w:after="0"/>
              <w:rPr>
                <w:sz w:val="20"/>
                <w:szCs w:val="20"/>
                <w:color w:val="auto"/>
              </w:rPr>
            </w:pPr>
          </w:p>
        </w:tc>
        <w:tc>
          <w:tcPr>
            <w:tcW w:w="1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54,508</w:t>
            </w:r>
          </w:p>
        </w:tc>
      </w:tr>
      <w:tr>
        <w:trPr>
          <w:trHeight w:val="20"/>
        </w:trPr>
        <w:tc>
          <w:tcPr>
            <w:tcW w:w="1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ectPr>
          <w:pgSz w:w="11900" w:h="16838" w:orient="portrait"/>
          <w:cols w:equalWidth="0" w:num="1">
            <w:col w:w="11420"/>
          </w:cols>
          <w:pgMar w:left="240" w:top="118" w:right="239" w:bottom="948"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18" w:right="239" w:bottom="948"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3"/>
          </w:tcPr>
          <w:p>
            <w:pPr>
              <w:ind w:left="14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18"/>
                <w:szCs w:val="18"/>
                <w:color w:val="auto"/>
              </w:rPr>
            </w:pPr>
          </w:p>
        </w:tc>
        <w:tc>
          <w:tcPr>
            <w:tcW w:w="2020" w:type="dxa"/>
            <w:vAlign w:val="bottom"/>
            <w:gridSpan w:val="3"/>
          </w:tcPr>
          <w:p>
            <w:pPr>
              <w:jc w:val="right"/>
              <w:ind w:right="310"/>
              <w:spacing w:after="0"/>
              <w:rPr>
                <w:sz w:val="20"/>
                <w:szCs w:val="20"/>
                <w:color w:val="auto"/>
              </w:rPr>
            </w:pPr>
            <w:r>
              <w:rPr>
                <w:rFonts w:ascii="Arial" w:cs="Arial" w:eastAsia="Arial" w:hAnsi="Arial"/>
                <w:sz w:val="18"/>
                <w:szCs w:val="18"/>
                <w:color w:val="auto"/>
              </w:rPr>
              <w:t>Nine Months Ended</w:t>
            </w:r>
          </w:p>
        </w:tc>
      </w:tr>
      <w:tr>
        <w:trPr>
          <w:trHeight w:val="230"/>
        </w:trPr>
        <w:tc>
          <w:tcPr>
            <w:tcW w:w="6860" w:type="dxa"/>
            <w:vAlign w:val="bottom"/>
          </w:tcPr>
          <w:p>
            <w:pPr>
              <w:ind w:left="40"/>
              <w:spacing w:after="0"/>
              <w:rPr>
                <w:sz w:val="20"/>
                <w:szCs w:val="20"/>
                <w:color w:val="auto"/>
              </w:rPr>
            </w:pPr>
            <w:r>
              <w:rPr>
                <w:rFonts w:ascii="Arial" w:cs="Arial" w:eastAsia="Arial" w:hAnsi="Arial"/>
                <w:sz w:val="18"/>
                <w:szCs w:val="18"/>
                <w:color w:val="auto"/>
              </w:rPr>
              <w:t>(unaudited)</w:t>
            </w:r>
          </w:p>
        </w:tc>
        <w:tc>
          <w:tcPr>
            <w:tcW w:w="260" w:type="dxa"/>
            <w:vAlign w:val="bottom"/>
          </w:tcPr>
          <w:p>
            <w:pPr>
              <w:spacing w:after="0"/>
              <w:rPr>
                <w:sz w:val="20"/>
                <w:szCs w:val="20"/>
                <w:color w:val="auto"/>
              </w:rPr>
            </w:pPr>
          </w:p>
        </w:tc>
        <w:tc>
          <w:tcPr>
            <w:tcW w:w="2020" w:type="dxa"/>
            <w:vAlign w:val="bottom"/>
            <w:gridSpan w:val="3"/>
          </w:tcPr>
          <w:p>
            <w:pPr>
              <w:jc w:val="right"/>
              <w:ind w:right="510"/>
              <w:spacing w:after="0"/>
              <w:rPr>
                <w:sz w:val="20"/>
                <w:szCs w:val="20"/>
                <w:color w:val="auto"/>
              </w:rPr>
            </w:pPr>
            <w:r>
              <w:rPr>
                <w:rFonts w:ascii="Arial" w:cs="Arial" w:eastAsia="Arial" w:hAnsi="Arial"/>
                <w:sz w:val="18"/>
                <w:szCs w:val="18"/>
                <w:color w:val="auto"/>
              </w:rPr>
              <w:t>September 30,</w:t>
            </w:r>
          </w:p>
        </w:tc>
        <w:tc>
          <w:tcPr>
            <w:tcW w:w="260" w:type="dxa"/>
            <w:vAlign w:val="bottom"/>
          </w:tcPr>
          <w:p>
            <w:pPr>
              <w:spacing w:after="0"/>
              <w:rPr>
                <w:sz w:val="20"/>
                <w:szCs w:val="20"/>
                <w:color w:val="auto"/>
              </w:rPr>
            </w:pPr>
          </w:p>
        </w:tc>
        <w:tc>
          <w:tcPr>
            <w:tcW w:w="2020" w:type="dxa"/>
            <w:vAlign w:val="bottom"/>
            <w:gridSpan w:val="3"/>
          </w:tcPr>
          <w:p>
            <w:pPr>
              <w:jc w:val="right"/>
              <w:ind w:right="510"/>
              <w:spacing w:after="0"/>
              <w:rPr>
                <w:sz w:val="20"/>
                <w:szCs w:val="20"/>
                <w:color w:val="auto"/>
              </w:rPr>
            </w:pPr>
            <w:r>
              <w:rPr>
                <w:rFonts w:ascii="Arial" w:cs="Arial" w:eastAsia="Arial" w:hAnsi="Arial"/>
                <w:sz w:val="18"/>
                <w:szCs w:val="18"/>
                <w:color w:val="auto"/>
              </w:rPr>
              <w:t>September 30,</w:t>
            </w:r>
          </w:p>
        </w:tc>
      </w:tr>
      <w:tr>
        <w:trPr>
          <w:trHeight w:val="270"/>
        </w:trPr>
        <w:tc>
          <w:tcPr>
            <w:tcW w:w="6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3"/>
          </w:tcPr>
          <w:p>
            <w:pPr>
              <w:jc w:val="right"/>
              <w:ind w:right="51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51"/>
        </w:trPr>
        <w:tc>
          <w:tcPr>
            <w:tcW w:w="6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68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15,395</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20,944</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140,450</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182,318</w:t>
            </w:r>
          </w:p>
        </w:tc>
      </w:tr>
      <w:tr>
        <w:trPr>
          <w:trHeight w:val="318"/>
        </w:trPr>
        <w:tc>
          <w:tcPr>
            <w:tcW w:w="68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68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r>
      <w:tr>
        <w:trPr>
          <w:trHeight w:val="229"/>
        </w:trPr>
        <w:tc>
          <w:tcPr>
            <w:tcW w:w="6860" w:type="dxa"/>
            <w:vAlign w:val="bottom"/>
          </w:tcPr>
          <w:p>
            <w:pPr>
              <w:ind w:left="380"/>
              <w:spacing w:after="0"/>
              <w:rPr>
                <w:sz w:val="20"/>
                <w:szCs w:val="20"/>
                <w:color w:val="auto"/>
              </w:rPr>
            </w:pPr>
            <w:r>
              <w:rPr>
                <w:rFonts w:ascii="Arial" w:cs="Arial" w:eastAsia="Arial" w:hAnsi="Arial"/>
                <w:sz w:val="18"/>
                <w:szCs w:val="18"/>
                <w:color w:val="auto"/>
                <w:w w:val="93"/>
              </w:rPr>
              <w:t>Reclassification adjustments of benefit plan liability - prior service cost (net of tax of $3,</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860" w:type="dxa"/>
            <w:vAlign w:val="bottom"/>
          </w:tcPr>
          <w:p>
            <w:pPr>
              <w:ind w:left="380"/>
              <w:spacing w:after="0"/>
              <w:rPr>
                <w:sz w:val="20"/>
                <w:szCs w:val="20"/>
                <w:color w:val="auto"/>
              </w:rPr>
            </w:pPr>
            <w:r>
              <w:rPr>
                <w:rFonts w:ascii="Arial" w:cs="Arial" w:eastAsia="Arial" w:hAnsi="Arial"/>
                <w:sz w:val="18"/>
                <w:szCs w:val="18"/>
                <w:color w:val="auto"/>
              </w:rPr>
              <w:t>$10, $13 and $29, respectively)</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686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3"/>
              </w:rPr>
              <w:t>Reclassification adjustments of benefit plan liability - net gain (loss) (net of tax of $(92),</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r>
      <w:tr>
        <w:trPr>
          <w:trHeight w:val="237"/>
        </w:trPr>
        <w:tc>
          <w:tcPr>
            <w:tcW w:w="68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$(138), $(197), and $(409), respectively)</w:t>
            </w:r>
          </w:p>
        </w:tc>
        <w:tc>
          <w:tcPr>
            <w:tcW w:w="26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483</w:t>
            </w:r>
          </w:p>
        </w:tc>
        <w:tc>
          <w:tcPr>
            <w:tcW w:w="26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327</w:t>
            </w:r>
          </w:p>
        </w:tc>
        <w:tc>
          <w:tcPr>
            <w:tcW w:w="26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1,456</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Derivative instruments designated as cash flow hedges: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6860" w:type="dxa"/>
            <w:vAlign w:val="bottom"/>
            <w:shd w:val="clear" w:color="auto" w:fill="CEFFE7"/>
          </w:tcPr>
          <w:p>
            <w:pPr>
              <w:ind w:left="380"/>
              <w:spacing w:after="0"/>
              <w:rPr>
                <w:sz w:val="20"/>
                <w:szCs w:val="20"/>
                <w:color w:val="auto"/>
              </w:rPr>
            </w:pPr>
            <w:r>
              <w:rPr>
                <w:rFonts w:ascii="Arial" w:cs="Arial" w:eastAsia="Arial" w:hAnsi="Arial"/>
                <w:sz w:val="18"/>
                <w:szCs w:val="18"/>
                <w:color w:val="auto"/>
                <w:w w:val="89"/>
              </w:rPr>
              <w:t>Reclassification of net realized (gains) losses on settled/amortized interest rate swaps (net</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r>
      <w:tr>
        <w:trPr>
          <w:trHeight w:val="237"/>
        </w:trPr>
        <w:tc>
          <w:tcPr>
            <w:tcW w:w="68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of tax of $(165), $(152), $(500), and $(456), respectively)</w:t>
            </w:r>
          </w:p>
        </w:tc>
        <w:tc>
          <w:tcPr>
            <w:tcW w:w="26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548</w:t>
            </w:r>
          </w:p>
        </w:tc>
        <w:tc>
          <w:tcPr>
            <w:tcW w:w="26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560</w:t>
            </w:r>
          </w:p>
        </w:tc>
        <w:tc>
          <w:tcPr>
            <w:tcW w:w="26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1,639</w:t>
            </w:r>
          </w:p>
        </w:tc>
        <w:tc>
          <w:tcPr>
            <w:tcW w:w="26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1,682</w:t>
            </w:r>
          </w:p>
        </w:tc>
      </w:tr>
      <w:tr>
        <w:trPr>
          <w:trHeight w:val="229"/>
        </w:trPr>
        <w:tc>
          <w:tcPr>
            <w:tcW w:w="6860" w:type="dxa"/>
            <w:vAlign w:val="bottom"/>
          </w:tcPr>
          <w:p>
            <w:pPr>
              <w:ind w:left="380"/>
              <w:spacing w:after="0"/>
              <w:rPr>
                <w:sz w:val="20"/>
                <w:szCs w:val="20"/>
                <w:color w:val="auto"/>
              </w:rPr>
            </w:pPr>
            <w:r>
              <w:rPr>
                <w:rFonts w:ascii="Arial" w:cs="Arial" w:eastAsia="Arial" w:hAnsi="Arial"/>
                <w:sz w:val="18"/>
                <w:szCs w:val="18"/>
                <w:color w:val="auto"/>
                <w:w w:val="92"/>
              </w:rPr>
              <w:t>Net unrealized gains (losses) on commodity derivatives (net of tax of $35, $0, $100 and</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860" w:type="dxa"/>
            <w:vAlign w:val="bottom"/>
          </w:tcPr>
          <w:p>
            <w:pPr>
              <w:ind w:left="380"/>
              <w:spacing w:after="0"/>
              <w:rPr>
                <w:sz w:val="20"/>
                <w:szCs w:val="20"/>
                <w:color w:val="auto"/>
              </w:rPr>
            </w:pPr>
            <w:r>
              <w:rPr>
                <w:rFonts w:ascii="Arial" w:cs="Arial" w:eastAsia="Arial" w:hAnsi="Arial"/>
                <w:sz w:val="18"/>
                <w:szCs w:val="18"/>
                <w:color w:val="auto"/>
              </w:rPr>
              <w:t>$51, respectively)</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686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4"/>
              </w:rPr>
              <w:t>Reclassification of net realized (gains) losses on settled commodity derivatives (net of</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r>
      <w:tr>
        <w:trPr>
          <w:trHeight w:val="257"/>
        </w:trPr>
        <w:tc>
          <w:tcPr>
            <w:tcW w:w="68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tax of $(5), $3, $142 and $(187), respectively)</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124</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(366)</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615</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532</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1,060</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1,221</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3,481</w:t>
            </w:r>
          </w:p>
        </w:tc>
      </w:tr>
      <w:tr>
        <w:trPr>
          <w:trHeight w:val="27"/>
        </w:trPr>
        <w:tc>
          <w:tcPr>
            <w:tcW w:w="68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68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15,927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22,004</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141,671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185,799</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8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(3,655)</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(3,994)</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(10,319)</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(10,447)</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Comprehensive income available for common stock</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12,272</w:t>
            </w: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18,010</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131,352</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175,352</w:t>
            </w:r>
          </w:p>
        </w:tc>
      </w:tr>
      <w:tr>
        <w:trPr>
          <w:trHeight w:val="27"/>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 13 for additional disclosures.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6" w:right="2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4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20"/>
                <w:szCs w:val="20"/>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As of</w:t>
            </w:r>
          </w:p>
        </w:tc>
        <w:tc>
          <w:tcPr>
            <w:tcW w:w="1820" w:type="dxa"/>
            <w:vAlign w:val="bottom"/>
          </w:tcPr>
          <w:p>
            <w:pPr>
              <w:spacing w:after="0"/>
              <w:rPr>
                <w:sz w:val="20"/>
                <w:szCs w:val="20"/>
                <w:color w:val="auto"/>
              </w:rPr>
            </w:pPr>
          </w:p>
        </w:tc>
      </w:tr>
      <w:tr>
        <w:trPr>
          <w:trHeight w:val="270"/>
        </w:trPr>
        <w:tc>
          <w:tcPr>
            <w:tcW w:w="7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80" w:type="dxa"/>
            <w:vAlign w:val="bottom"/>
          </w:tcPr>
          <w:p>
            <w:pPr>
              <w:jc w:val="right"/>
              <w:ind w:right="250"/>
              <w:spacing w:after="0"/>
              <w:rPr>
                <w:sz w:val="20"/>
                <w:szCs w:val="20"/>
                <w:color w:val="auto"/>
              </w:rPr>
            </w:pPr>
            <w:r>
              <w:rPr>
                <w:rFonts w:ascii="Arial" w:cs="Arial" w:eastAsia="Arial" w:hAnsi="Arial"/>
                <w:sz w:val="18"/>
                <w:szCs w:val="18"/>
                <w:color w:val="auto"/>
                <w:w w:val="93"/>
              </w:rPr>
              <w:t>September 30, 2019</w:t>
            </w:r>
          </w:p>
        </w:tc>
        <w:tc>
          <w:tcPr>
            <w:tcW w:w="300" w:type="dxa"/>
            <w:vAlign w:val="bottom"/>
          </w:tcPr>
          <w:p>
            <w:pPr>
              <w:spacing w:after="0"/>
              <w:rPr>
                <w:sz w:val="23"/>
                <w:szCs w:val="23"/>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color w:val="auto"/>
                <w:w w:val="93"/>
              </w:rPr>
              <w:t>December 31, 2018</w:t>
            </w:r>
          </w:p>
        </w:tc>
      </w:tr>
      <w:tr>
        <w:trPr>
          <w:trHeight w:val="27"/>
        </w:trPr>
        <w:tc>
          <w:tcPr>
            <w:tcW w:w="7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gridSpan w:val="3"/>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gridSpan w:val="3"/>
          </w:tcPr>
          <w:p>
            <w:pPr>
              <w:jc w:val="right"/>
              <w:ind w:right="1490"/>
              <w:spacing w:after="0"/>
              <w:rPr>
                <w:sz w:val="20"/>
                <w:szCs w:val="20"/>
                <w:color w:val="auto"/>
              </w:rPr>
            </w:pPr>
            <w:r>
              <w:rPr>
                <w:rFonts w:ascii="Arial" w:cs="Arial" w:eastAsia="Arial" w:hAnsi="Arial"/>
                <w:sz w:val="18"/>
                <w:szCs w:val="18"/>
                <w:color w:val="auto"/>
              </w:rPr>
              <w:t>(in thousands)</w:t>
            </w:r>
          </w:p>
        </w:tc>
      </w:tr>
      <w:tr>
        <w:trPr>
          <w:trHeight w:val="270"/>
        </w:trPr>
        <w:tc>
          <w:tcPr>
            <w:tcW w:w="7200" w:type="dxa"/>
            <w:vAlign w:val="bottom"/>
          </w:tcPr>
          <w:p>
            <w:pPr>
              <w:ind w:left="328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7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13,087</w:t>
            </w:r>
          </w:p>
        </w:tc>
        <w:tc>
          <w:tcPr>
            <w:tcW w:w="3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20,776</w:t>
            </w:r>
          </w:p>
        </w:tc>
      </w:tr>
      <w:tr>
        <w:trPr>
          <w:trHeight w:val="243"/>
        </w:trPr>
        <w:tc>
          <w:tcPr>
            <w:tcW w:w="720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3,688</w:t>
            </w:r>
          </w:p>
        </w:tc>
        <w:tc>
          <w:tcPr>
            <w:tcW w:w="3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3,369</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148,989</w:t>
            </w:r>
          </w:p>
        </w:tc>
        <w:tc>
          <w:tcPr>
            <w:tcW w:w="30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269,153</w:t>
            </w:r>
          </w:p>
        </w:tc>
      </w:tr>
      <w:tr>
        <w:trPr>
          <w:trHeight w:val="243"/>
        </w:trPr>
        <w:tc>
          <w:tcPr>
            <w:tcW w:w="7200" w:type="dxa"/>
            <w:vAlign w:val="bottom"/>
          </w:tcPr>
          <w:p>
            <w:pPr>
              <w:ind w:left="240"/>
              <w:spacing w:after="0"/>
              <w:rPr>
                <w:sz w:val="20"/>
                <w:szCs w:val="20"/>
                <w:color w:val="auto"/>
              </w:rPr>
            </w:pPr>
            <w:r>
              <w:rPr>
                <w:rFonts w:ascii="Arial" w:cs="Arial" w:eastAsia="Arial" w:hAnsi="Arial"/>
                <w:sz w:val="18"/>
                <w:szCs w:val="18"/>
                <w:color w:val="auto"/>
              </w:rPr>
              <w:t>Materials, supplies and fuel</w:t>
            </w:r>
          </w:p>
        </w:tc>
        <w:tc>
          <w:tcPr>
            <w:tcW w:w="220" w:type="dxa"/>
            <w:vAlign w:val="bottom"/>
          </w:tcPr>
          <w:p>
            <w:pPr>
              <w:spacing w:after="0"/>
              <w:rPr>
                <w:sz w:val="21"/>
                <w:szCs w:val="21"/>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123,002</w:t>
            </w:r>
          </w:p>
        </w:tc>
        <w:tc>
          <w:tcPr>
            <w:tcW w:w="3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117,299</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Derivative assets, current</w:t>
            </w:r>
          </w:p>
        </w:tc>
        <w:tc>
          <w:tcPr>
            <w:tcW w:w="22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412</w:t>
            </w:r>
          </w:p>
        </w:tc>
        <w:tc>
          <w:tcPr>
            <w:tcW w:w="30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1,500</w:t>
            </w:r>
          </w:p>
        </w:tc>
      </w:tr>
      <w:tr>
        <w:trPr>
          <w:trHeight w:val="243"/>
        </w:trPr>
        <w:tc>
          <w:tcPr>
            <w:tcW w:w="7200" w:type="dxa"/>
            <w:vAlign w:val="bottom"/>
          </w:tcPr>
          <w:p>
            <w:pPr>
              <w:ind w:left="240"/>
              <w:spacing w:after="0"/>
              <w:rPr>
                <w:sz w:val="20"/>
                <w:szCs w:val="20"/>
                <w:color w:val="auto"/>
              </w:rPr>
            </w:pPr>
            <w:r>
              <w:rPr>
                <w:rFonts w:ascii="Arial" w:cs="Arial" w:eastAsia="Arial" w:hAnsi="Arial"/>
                <w:sz w:val="18"/>
                <w:szCs w:val="18"/>
                <w:color w:val="auto"/>
              </w:rPr>
              <w:t>Income tax receivable, net</w:t>
            </w:r>
          </w:p>
        </w:tc>
        <w:tc>
          <w:tcPr>
            <w:tcW w:w="220" w:type="dxa"/>
            <w:vAlign w:val="bottom"/>
          </w:tcPr>
          <w:p>
            <w:pPr>
              <w:spacing w:after="0"/>
              <w:rPr>
                <w:sz w:val="21"/>
                <w:szCs w:val="21"/>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12,931</w:t>
            </w:r>
          </w:p>
        </w:tc>
        <w:tc>
          <w:tcPr>
            <w:tcW w:w="3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12,978</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Regulatory assets, current</w:t>
            </w:r>
          </w:p>
        </w:tc>
        <w:tc>
          <w:tcPr>
            <w:tcW w:w="22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46,206</w:t>
            </w:r>
          </w:p>
        </w:tc>
        <w:tc>
          <w:tcPr>
            <w:tcW w:w="30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48,776</w:t>
            </w:r>
          </w:p>
        </w:tc>
      </w:tr>
      <w:tr>
        <w:trPr>
          <w:trHeight w:val="243"/>
        </w:trPr>
        <w:tc>
          <w:tcPr>
            <w:tcW w:w="720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29,106</w:t>
            </w:r>
          </w:p>
        </w:tc>
        <w:tc>
          <w:tcPr>
            <w:tcW w:w="3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29,982</w:t>
            </w:r>
          </w:p>
        </w:tc>
      </w:tr>
      <w:tr>
        <w:trPr>
          <w:trHeight w:val="27"/>
        </w:trPr>
        <w:tc>
          <w:tcPr>
            <w:tcW w:w="72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EFFE7"/>
            </w:tcBorders>
            <w:shd w:val="clear" w:color="auto" w:fill="CEFFE7"/>
          </w:tcPr>
          <w:p>
            <w:pPr>
              <w:ind w:left="6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EFFE7"/>
            </w:tcBorders>
            <w:shd w:val="clear" w:color="auto" w:fill="CEFFE7"/>
          </w:tcPr>
          <w:p>
            <w:pPr>
              <w:spacing w:after="0"/>
              <w:rPr>
                <w:sz w:val="22"/>
                <w:szCs w:val="22"/>
                <w:color w:val="auto"/>
              </w:rPr>
            </w:pPr>
          </w:p>
        </w:tc>
        <w:tc>
          <w:tcPr>
            <w:tcW w:w="18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377,421</w:t>
            </w:r>
          </w:p>
        </w:tc>
        <w:tc>
          <w:tcPr>
            <w:tcW w:w="300" w:type="dxa"/>
            <w:vAlign w:val="bottom"/>
            <w:tcBorders>
              <w:bottom w:val="single" w:sz="8" w:color="CEFFE7"/>
            </w:tcBorders>
            <w:shd w:val="clear" w:color="auto" w:fill="CEFFE7"/>
          </w:tcPr>
          <w:p>
            <w:pPr>
              <w:spacing w:after="0"/>
              <w:rPr>
                <w:sz w:val="22"/>
                <w:szCs w:val="22"/>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503,833</w:t>
            </w:r>
          </w:p>
        </w:tc>
      </w:tr>
      <w:tr>
        <w:trPr>
          <w:trHeight w:val="291"/>
        </w:trPr>
        <w:tc>
          <w:tcPr>
            <w:tcW w:w="7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r>
      <w:tr>
        <w:trPr>
          <w:trHeight w:val="270"/>
        </w:trPr>
        <w:tc>
          <w:tcPr>
            <w:tcW w:w="72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Investments</w:t>
            </w:r>
          </w:p>
        </w:tc>
        <w:tc>
          <w:tcPr>
            <w:tcW w:w="220" w:type="dxa"/>
            <w:vAlign w:val="bottom"/>
            <w:tcBorders>
              <w:bottom w:val="single" w:sz="8" w:color="CEFFE7"/>
            </w:tcBorders>
            <w:shd w:val="clear" w:color="auto" w:fill="CEFFE7"/>
          </w:tcPr>
          <w:p>
            <w:pPr>
              <w:spacing w:after="0"/>
              <w:rPr>
                <w:sz w:val="23"/>
                <w:szCs w:val="23"/>
                <w:color w:val="auto"/>
              </w:rPr>
            </w:pPr>
          </w:p>
        </w:tc>
        <w:tc>
          <w:tcPr>
            <w:tcW w:w="18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21,583</w:t>
            </w:r>
          </w:p>
        </w:tc>
        <w:tc>
          <w:tcPr>
            <w:tcW w:w="30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41,013</w:t>
            </w:r>
          </w:p>
        </w:tc>
      </w:tr>
      <w:tr>
        <w:trPr>
          <w:trHeight w:val="291"/>
        </w:trPr>
        <w:tc>
          <w:tcPr>
            <w:tcW w:w="7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r>
      <w:tr>
        <w:trPr>
          <w:trHeight w:val="250"/>
        </w:trPr>
        <w:tc>
          <w:tcPr>
            <w:tcW w:w="72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Property, plant and equipment</w:t>
            </w:r>
          </w:p>
        </w:tc>
        <w:tc>
          <w:tcPr>
            <w:tcW w:w="22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6,567,229</w:t>
            </w:r>
          </w:p>
        </w:tc>
        <w:tc>
          <w:tcPr>
            <w:tcW w:w="30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6,000,015</w:t>
            </w:r>
          </w:p>
        </w:tc>
      </w:tr>
      <w:tr>
        <w:trPr>
          <w:trHeight w:val="243"/>
        </w:trPr>
        <w:tc>
          <w:tcPr>
            <w:tcW w:w="7200" w:type="dxa"/>
            <w:vAlign w:val="bottom"/>
          </w:tcPr>
          <w:p>
            <w:pPr>
              <w:ind w:left="240"/>
              <w:spacing w:after="0"/>
              <w:rPr>
                <w:sz w:val="20"/>
                <w:szCs w:val="20"/>
                <w:color w:val="auto"/>
              </w:rPr>
            </w:pPr>
            <w:r>
              <w:rPr>
                <w:rFonts w:ascii="Arial" w:cs="Arial" w:eastAsia="Arial" w:hAnsi="Arial"/>
                <w:sz w:val="18"/>
                <w:szCs w:val="18"/>
                <w:color w:val="auto"/>
              </w:rPr>
              <w:t>Less: accumulated depreciation and depletion</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(1,243,794)</w:t>
            </w:r>
          </w:p>
        </w:tc>
        <w:tc>
          <w:tcPr>
            <w:tcW w:w="3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(1,145,136)</w:t>
            </w:r>
          </w:p>
        </w:tc>
      </w:tr>
      <w:tr>
        <w:trPr>
          <w:trHeight w:val="27"/>
        </w:trPr>
        <w:tc>
          <w:tcPr>
            <w:tcW w:w="72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EFFE7"/>
            </w:tcBorders>
            <w:shd w:val="clear" w:color="auto" w:fill="CEFFE7"/>
          </w:tcPr>
          <w:p>
            <w:pPr>
              <w:ind w:left="600"/>
              <w:spacing w:after="0"/>
              <w:rPr>
                <w:sz w:val="20"/>
                <w:szCs w:val="20"/>
                <w:color w:val="auto"/>
              </w:rPr>
            </w:pPr>
            <w:r>
              <w:rPr>
                <w:rFonts w:ascii="Arial" w:cs="Arial" w:eastAsia="Arial" w:hAnsi="Arial"/>
                <w:sz w:val="18"/>
                <w:szCs w:val="18"/>
                <w:color w:val="auto"/>
              </w:rPr>
              <w:t>Total property, plant and equipment, net</w:t>
            </w:r>
          </w:p>
        </w:tc>
        <w:tc>
          <w:tcPr>
            <w:tcW w:w="220" w:type="dxa"/>
            <w:vAlign w:val="bottom"/>
            <w:tcBorders>
              <w:bottom w:val="single" w:sz="8" w:color="CEFFE7"/>
            </w:tcBorders>
            <w:shd w:val="clear" w:color="auto" w:fill="CEFFE7"/>
          </w:tcPr>
          <w:p>
            <w:pPr>
              <w:spacing w:after="0"/>
              <w:rPr>
                <w:sz w:val="22"/>
                <w:szCs w:val="22"/>
                <w:color w:val="auto"/>
              </w:rPr>
            </w:pPr>
          </w:p>
        </w:tc>
        <w:tc>
          <w:tcPr>
            <w:tcW w:w="18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5,323,435</w:t>
            </w:r>
          </w:p>
        </w:tc>
        <w:tc>
          <w:tcPr>
            <w:tcW w:w="300" w:type="dxa"/>
            <w:vAlign w:val="bottom"/>
            <w:tcBorders>
              <w:bottom w:val="single" w:sz="8" w:color="CEFFE7"/>
            </w:tcBorders>
            <w:shd w:val="clear" w:color="auto" w:fill="CEFFE7"/>
          </w:tcPr>
          <w:p>
            <w:pPr>
              <w:spacing w:after="0"/>
              <w:rPr>
                <w:sz w:val="22"/>
                <w:szCs w:val="22"/>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4,854,879</w:t>
            </w:r>
          </w:p>
        </w:tc>
      </w:tr>
      <w:tr>
        <w:trPr>
          <w:trHeight w:val="291"/>
        </w:trPr>
        <w:tc>
          <w:tcPr>
            <w:tcW w:w="7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r>
      <w:tr>
        <w:trPr>
          <w:trHeight w:val="250"/>
        </w:trPr>
        <w:tc>
          <w:tcPr>
            <w:tcW w:w="72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spacing w:after="0"/>
              <w:rPr>
                <w:sz w:val="21"/>
                <w:szCs w:val="21"/>
                <w:color w:val="auto"/>
              </w:rPr>
            </w:pPr>
          </w:p>
        </w:tc>
      </w:tr>
      <w:tr>
        <w:trPr>
          <w:trHeight w:val="243"/>
        </w:trPr>
        <w:tc>
          <w:tcPr>
            <w:tcW w:w="7200" w:type="dxa"/>
            <w:vAlign w:val="bottom"/>
          </w:tcPr>
          <w:p>
            <w:pPr>
              <w:ind w:left="2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1,299,454</w:t>
            </w:r>
          </w:p>
        </w:tc>
        <w:tc>
          <w:tcPr>
            <w:tcW w:w="3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1,299,454</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13,566</w:t>
            </w:r>
          </w:p>
        </w:tc>
        <w:tc>
          <w:tcPr>
            <w:tcW w:w="30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14,337</w:t>
            </w:r>
          </w:p>
        </w:tc>
      </w:tr>
      <w:tr>
        <w:trPr>
          <w:trHeight w:val="243"/>
        </w:trPr>
        <w:tc>
          <w:tcPr>
            <w:tcW w:w="7200" w:type="dxa"/>
            <w:vAlign w:val="bottom"/>
          </w:tcPr>
          <w:p>
            <w:pPr>
              <w:ind w:left="240"/>
              <w:spacing w:after="0"/>
              <w:rPr>
                <w:sz w:val="20"/>
                <w:szCs w:val="20"/>
                <w:color w:val="auto"/>
              </w:rPr>
            </w:pPr>
            <w:r>
              <w:rPr>
                <w:rFonts w:ascii="Arial" w:cs="Arial" w:eastAsia="Arial" w:hAnsi="Arial"/>
                <w:sz w:val="18"/>
                <w:szCs w:val="18"/>
                <w:color w:val="auto"/>
              </w:rPr>
              <w:t>Regulatory assets, non-current</w:t>
            </w:r>
          </w:p>
        </w:tc>
        <w:tc>
          <w:tcPr>
            <w:tcW w:w="220" w:type="dxa"/>
            <w:vAlign w:val="bottom"/>
          </w:tcPr>
          <w:p>
            <w:pPr>
              <w:spacing w:after="0"/>
              <w:rPr>
                <w:sz w:val="21"/>
                <w:szCs w:val="21"/>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214,152</w:t>
            </w:r>
          </w:p>
        </w:tc>
        <w:tc>
          <w:tcPr>
            <w:tcW w:w="3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235,459</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Other assets, non-current</w:t>
            </w:r>
          </w:p>
        </w:tc>
        <w:tc>
          <w:tcPr>
            <w:tcW w:w="220" w:type="dxa"/>
            <w:vAlign w:val="bottom"/>
            <w:tcBorders>
              <w:bottom w:val="single" w:sz="8" w:color="CEFFE7"/>
            </w:tcBorders>
            <w:shd w:val="clear" w:color="auto" w:fill="CEFFE7"/>
          </w:tcPr>
          <w:p>
            <w:pPr>
              <w:spacing w:after="0"/>
              <w:rPr>
                <w:sz w:val="23"/>
                <w:szCs w:val="23"/>
                <w:color w:val="auto"/>
              </w:rPr>
            </w:pPr>
          </w:p>
        </w:tc>
        <w:tc>
          <w:tcPr>
            <w:tcW w:w="18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25,339</w:t>
            </w:r>
          </w:p>
        </w:tc>
        <w:tc>
          <w:tcPr>
            <w:tcW w:w="30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14,352</w:t>
            </w:r>
          </w:p>
        </w:tc>
      </w:tr>
      <w:tr>
        <w:trPr>
          <w:trHeight w:val="237"/>
        </w:trPr>
        <w:tc>
          <w:tcPr>
            <w:tcW w:w="7200" w:type="dxa"/>
            <w:vAlign w:val="bottom"/>
          </w:tcPr>
          <w:p>
            <w:pPr>
              <w:ind w:left="600"/>
              <w:spacing w:after="0"/>
              <w:rPr>
                <w:sz w:val="20"/>
                <w:szCs w:val="20"/>
                <w:color w:val="auto"/>
              </w:rPr>
            </w:pPr>
            <w:r>
              <w:rPr>
                <w:rFonts w:ascii="Arial" w:cs="Arial" w:eastAsia="Arial" w:hAnsi="Arial"/>
                <w:sz w:val="18"/>
                <w:szCs w:val="18"/>
                <w:color w:val="auto"/>
              </w:rPr>
              <w:t>Total other assets, non-current</w:t>
            </w:r>
          </w:p>
        </w:tc>
        <w:tc>
          <w:tcPr>
            <w:tcW w:w="22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1,552,511</w:t>
            </w:r>
          </w:p>
        </w:tc>
        <w:tc>
          <w:tcPr>
            <w:tcW w:w="3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1,563,602</w:t>
            </w:r>
          </w:p>
        </w:tc>
      </w:tr>
      <w:tr>
        <w:trPr>
          <w:trHeight w:val="27"/>
        </w:trPr>
        <w:tc>
          <w:tcPr>
            <w:tcW w:w="72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91"/>
        </w:trPr>
        <w:tc>
          <w:tcPr>
            <w:tcW w:w="720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88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820" w:type="dxa"/>
            <w:vAlign w:val="bottom"/>
            <w:shd w:val="clear" w:color="auto" w:fill="CEFFE7"/>
          </w:tcPr>
          <w:p>
            <w:pPr>
              <w:spacing w:after="0"/>
              <w:rPr>
                <w:sz w:val="24"/>
                <w:szCs w:val="24"/>
                <w:color w:val="auto"/>
              </w:rPr>
            </w:pPr>
          </w:p>
        </w:tc>
      </w:tr>
      <w:tr>
        <w:trPr>
          <w:trHeight w:val="264"/>
        </w:trPr>
        <w:tc>
          <w:tcPr>
            <w:tcW w:w="72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7,274,950</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6,963,327</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322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3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448"/>
        </w:trPr>
        <w:tc>
          <w:tcPr>
            <w:tcW w:w="122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420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rPr>
              <w:t>BLACK HILLS CORPORATION</w:t>
            </w: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60" w:type="dxa"/>
            <w:vAlign w:val="bottom"/>
            <w:gridSpan w:val="3"/>
          </w:tcPr>
          <w:p>
            <w:pPr>
              <w:jc w:val="center"/>
              <w:ind w:right="9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20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93"/>
              </w:rPr>
              <w:t>(Continued)</w:t>
            </w:r>
          </w:p>
        </w:tc>
        <w:tc>
          <w:tcPr>
            <w:tcW w:w="1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78"/>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(unaudited)</w:t>
            </w: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As of</w:t>
            </w:r>
          </w:p>
        </w:tc>
        <w:tc>
          <w:tcPr>
            <w:tcW w:w="1820" w:type="dxa"/>
            <w:vAlign w:val="bottom"/>
          </w:tcPr>
          <w:p>
            <w:pPr>
              <w:spacing w:after="0"/>
              <w:rPr>
                <w:sz w:val="24"/>
                <w:szCs w:val="24"/>
                <w:color w:val="auto"/>
              </w:rPr>
            </w:pPr>
          </w:p>
        </w:tc>
      </w:tr>
      <w:tr>
        <w:trPr>
          <w:trHeight w:val="270"/>
        </w:trPr>
        <w:tc>
          <w:tcPr>
            <w:tcW w:w="12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tcPr>
          <w:p>
            <w:pPr>
              <w:jc w:val="right"/>
              <w:ind w:right="230"/>
              <w:spacing w:after="0"/>
              <w:rPr>
                <w:sz w:val="20"/>
                <w:szCs w:val="20"/>
                <w:color w:val="auto"/>
              </w:rPr>
            </w:pPr>
            <w:r>
              <w:rPr>
                <w:rFonts w:ascii="Arial" w:cs="Arial" w:eastAsia="Arial" w:hAnsi="Arial"/>
                <w:sz w:val="18"/>
                <w:szCs w:val="18"/>
                <w:color w:val="auto"/>
                <w:w w:val="93"/>
              </w:rPr>
              <w:t>September 30, 2019</w:t>
            </w:r>
          </w:p>
        </w:tc>
        <w:tc>
          <w:tcPr>
            <w:tcW w:w="320" w:type="dxa"/>
            <w:vAlign w:val="bottom"/>
          </w:tcPr>
          <w:p>
            <w:pPr>
              <w:spacing w:after="0"/>
              <w:rPr>
                <w:sz w:val="23"/>
                <w:szCs w:val="23"/>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color w:val="auto"/>
                <w:w w:val="93"/>
              </w:rPr>
              <w:t>December 31, 2018</w:t>
            </w: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gridSpan w:val="3"/>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gridSpan w:val="3"/>
          </w:tcPr>
          <w:p>
            <w:pPr>
              <w:jc w:val="right"/>
              <w:ind w:right="670"/>
              <w:spacing w:after="0"/>
              <w:rPr>
                <w:sz w:val="20"/>
                <w:szCs w:val="20"/>
                <w:color w:val="auto"/>
              </w:rPr>
            </w:pPr>
            <w:r>
              <w:rPr>
                <w:rFonts w:ascii="Arial" w:cs="Arial" w:eastAsia="Arial" w:hAnsi="Arial"/>
                <w:sz w:val="18"/>
                <w:szCs w:val="18"/>
                <w:color w:val="auto"/>
              </w:rPr>
              <w:t>(in thousands, except share amounts)</w:t>
            </w:r>
          </w:p>
        </w:tc>
      </w:tr>
      <w:tr>
        <w:trPr>
          <w:trHeight w:val="270"/>
        </w:trPr>
        <w:tc>
          <w:tcPr>
            <w:tcW w:w="1220" w:type="dxa"/>
            <w:vAlign w:val="bottom"/>
          </w:tcPr>
          <w:p>
            <w:pPr>
              <w:spacing w:after="0"/>
              <w:rPr>
                <w:sz w:val="23"/>
                <w:szCs w:val="23"/>
                <w:color w:val="auto"/>
              </w:rPr>
            </w:pPr>
          </w:p>
        </w:tc>
        <w:tc>
          <w:tcPr>
            <w:tcW w:w="6200" w:type="dxa"/>
            <w:vAlign w:val="bottom"/>
            <w:gridSpan w:val="3"/>
          </w:tcPr>
          <w:p>
            <w:pPr>
              <w:jc w:val="right"/>
              <w:ind w:right="2340"/>
              <w:spacing w:after="0"/>
              <w:rPr>
                <w:sz w:val="20"/>
                <w:szCs w:val="20"/>
                <w:color w:val="auto"/>
              </w:rPr>
            </w:pPr>
            <w:r>
              <w:rPr>
                <w:rFonts w:ascii="Arial" w:cs="Arial" w:eastAsia="Arial" w:hAnsi="Arial"/>
                <w:sz w:val="18"/>
                <w:szCs w:val="18"/>
                <w:b w:val="1"/>
                <w:bCs w:val="1"/>
                <w:color w:val="auto"/>
              </w:rPr>
              <w:t>LIABILITIES AND TOTAL EQUITY</w:t>
            </w:r>
          </w:p>
        </w:tc>
        <w:tc>
          <w:tcPr>
            <w:tcW w:w="1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3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22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8"/>
                <w:szCs w:val="18"/>
                <w:color w:val="auto"/>
              </w:rPr>
              <w:t>Accounts payable</w:t>
            </w:r>
          </w:p>
        </w:tc>
        <w:tc>
          <w:tcPr>
            <w:tcW w:w="4200" w:type="dxa"/>
            <w:vAlign w:val="bottom"/>
            <w:tcBorders>
              <w:bottom w:val="single" w:sz="8" w:color="CEFFE7"/>
            </w:tcBorders>
            <w:gridSpan w:val="2"/>
            <w:shd w:val="clear" w:color="auto" w:fill="CEFFE7"/>
          </w:tcPr>
          <w:p>
            <w:pPr>
              <w:jc w:val="right"/>
              <w:ind w:right="10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145,085</w:t>
            </w:r>
          </w:p>
        </w:tc>
        <w:tc>
          <w:tcPr>
            <w:tcW w:w="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210,609</w:t>
            </w:r>
          </w:p>
        </w:tc>
      </w:tr>
      <w:tr>
        <w:trPr>
          <w:trHeight w:val="243"/>
        </w:trPr>
        <w:tc>
          <w:tcPr>
            <w:tcW w:w="3220" w:type="dxa"/>
            <w:vAlign w:val="bottom"/>
            <w:gridSpan w:val="2"/>
          </w:tcPr>
          <w:p>
            <w:pPr>
              <w:ind w:left="240"/>
              <w:spacing w:after="0"/>
              <w:rPr>
                <w:sz w:val="20"/>
                <w:szCs w:val="20"/>
                <w:color w:val="auto"/>
              </w:rPr>
            </w:pPr>
            <w:r>
              <w:rPr>
                <w:rFonts w:ascii="Arial" w:cs="Arial" w:eastAsia="Arial" w:hAnsi="Arial"/>
                <w:sz w:val="18"/>
                <w:szCs w:val="18"/>
                <w:color w:val="auto"/>
              </w:rPr>
              <w:t>Accrued liabilities</w:t>
            </w:r>
          </w:p>
        </w:tc>
        <w:tc>
          <w:tcPr>
            <w:tcW w:w="3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217,832</w:t>
            </w:r>
          </w:p>
        </w:tc>
        <w:tc>
          <w:tcPr>
            <w:tcW w:w="3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215,501</w:t>
            </w: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22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8"/>
                <w:szCs w:val="18"/>
                <w:color w:val="auto"/>
              </w:rPr>
              <w:t>Derivative liabilities, current</w:t>
            </w:r>
          </w:p>
        </w:tc>
        <w:tc>
          <w:tcPr>
            <w:tcW w:w="398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2,396</w:t>
            </w:r>
          </w:p>
        </w:tc>
        <w:tc>
          <w:tcPr>
            <w:tcW w:w="32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947</w:t>
            </w:r>
          </w:p>
        </w:tc>
      </w:tr>
      <w:tr>
        <w:trPr>
          <w:trHeight w:val="243"/>
        </w:trPr>
        <w:tc>
          <w:tcPr>
            <w:tcW w:w="3220" w:type="dxa"/>
            <w:vAlign w:val="bottom"/>
            <w:gridSpan w:val="2"/>
          </w:tcPr>
          <w:p>
            <w:pPr>
              <w:ind w:left="240"/>
              <w:spacing w:after="0"/>
              <w:rPr>
                <w:sz w:val="20"/>
                <w:szCs w:val="20"/>
                <w:color w:val="auto"/>
              </w:rPr>
            </w:pPr>
            <w:r>
              <w:rPr>
                <w:rFonts w:ascii="Arial" w:cs="Arial" w:eastAsia="Arial" w:hAnsi="Arial"/>
                <w:sz w:val="18"/>
                <w:szCs w:val="18"/>
                <w:color w:val="auto"/>
              </w:rPr>
              <w:t>Regulatory liabilities, current</w:t>
            </w:r>
          </w:p>
        </w:tc>
        <w:tc>
          <w:tcPr>
            <w:tcW w:w="3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25,168</w:t>
            </w:r>
          </w:p>
        </w:tc>
        <w:tc>
          <w:tcPr>
            <w:tcW w:w="3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29,810</w:t>
            </w: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22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8"/>
                <w:szCs w:val="18"/>
                <w:color w:val="auto"/>
              </w:rPr>
              <w:t>Notes payable</w:t>
            </w:r>
          </w:p>
        </w:tc>
        <w:tc>
          <w:tcPr>
            <w:tcW w:w="398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294,900</w:t>
            </w:r>
          </w:p>
        </w:tc>
        <w:tc>
          <w:tcPr>
            <w:tcW w:w="32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185,620</w:t>
            </w:r>
          </w:p>
        </w:tc>
      </w:tr>
      <w:tr>
        <w:trPr>
          <w:trHeight w:val="243"/>
        </w:trPr>
        <w:tc>
          <w:tcPr>
            <w:tcW w:w="3220" w:type="dxa"/>
            <w:vAlign w:val="bottom"/>
            <w:gridSpan w:val="2"/>
          </w:tcPr>
          <w:p>
            <w:pPr>
              <w:ind w:left="240"/>
              <w:spacing w:after="0"/>
              <w:rPr>
                <w:sz w:val="20"/>
                <w:szCs w:val="20"/>
                <w:color w:val="auto"/>
              </w:rPr>
            </w:pPr>
            <w:r>
              <w:rPr>
                <w:rFonts w:ascii="Arial" w:cs="Arial" w:eastAsia="Arial" w:hAnsi="Arial"/>
                <w:sz w:val="18"/>
                <w:szCs w:val="18"/>
                <w:color w:val="auto"/>
              </w:rPr>
              <w:t>Current maturities of long-term debt</w:t>
            </w:r>
          </w:p>
        </w:tc>
        <w:tc>
          <w:tcPr>
            <w:tcW w:w="3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5,743</w:t>
            </w:r>
          </w:p>
        </w:tc>
        <w:tc>
          <w:tcPr>
            <w:tcW w:w="3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5,743</w:t>
            </w:r>
          </w:p>
        </w:tc>
      </w:tr>
      <w:tr>
        <w:trPr>
          <w:trHeight w:val="27"/>
        </w:trPr>
        <w:tc>
          <w:tcPr>
            <w:tcW w:w="1220" w:type="dxa"/>
            <w:vAlign w:val="bottom"/>
            <w:tcBorders>
              <w:bottom w:val="single" w:sz="8" w:color="CEFFE7"/>
            </w:tcBorders>
          </w:tcPr>
          <w:p>
            <w:pPr>
              <w:spacing w:after="0"/>
              <w:rPr>
                <w:sz w:val="2"/>
                <w:szCs w:val="2"/>
                <w:color w:val="auto"/>
              </w:rPr>
            </w:pPr>
          </w:p>
        </w:tc>
        <w:tc>
          <w:tcPr>
            <w:tcW w:w="2000" w:type="dxa"/>
            <w:vAlign w:val="bottom"/>
            <w:tcBorders>
              <w:bottom w:val="single" w:sz="8" w:color="CEFFE7"/>
            </w:tcBorders>
          </w:tcPr>
          <w:p>
            <w:pPr>
              <w:spacing w:after="0"/>
              <w:rPr>
                <w:sz w:val="2"/>
                <w:szCs w:val="2"/>
                <w:color w:val="auto"/>
              </w:rPr>
            </w:pPr>
          </w:p>
        </w:tc>
        <w:tc>
          <w:tcPr>
            <w:tcW w:w="398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3220" w:type="dxa"/>
            <w:vAlign w:val="bottom"/>
            <w:tcBorders>
              <w:bottom w:val="single" w:sz="8" w:color="CEFFE7"/>
            </w:tcBorders>
            <w:gridSpan w:val="2"/>
            <w:shd w:val="clear" w:color="auto" w:fill="CEFFE7"/>
          </w:tcPr>
          <w:p>
            <w:pPr>
              <w:ind w:left="600"/>
              <w:spacing w:after="0"/>
              <w:rPr>
                <w:sz w:val="20"/>
                <w:szCs w:val="20"/>
                <w:color w:val="auto"/>
              </w:rPr>
            </w:pPr>
            <w:r>
              <w:rPr>
                <w:rFonts w:ascii="Arial" w:cs="Arial" w:eastAsia="Arial" w:hAnsi="Arial"/>
                <w:sz w:val="18"/>
                <w:szCs w:val="18"/>
                <w:color w:val="auto"/>
              </w:rPr>
              <w:t>Total current liabilities</w:t>
            </w:r>
          </w:p>
        </w:tc>
        <w:tc>
          <w:tcPr>
            <w:tcW w:w="3980" w:type="dxa"/>
            <w:vAlign w:val="bottom"/>
            <w:tcBorders>
              <w:bottom w:val="single" w:sz="8" w:color="CEFFE7"/>
            </w:tcBorders>
            <w:shd w:val="clear" w:color="auto" w:fill="CEFFE7"/>
          </w:tcPr>
          <w:p>
            <w:pPr>
              <w:spacing w:after="0"/>
              <w:rPr>
                <w:sz w:val="22"/>
                <w:szCs w:val="22"/>
                <w:color w:val="auto"/>
              </w:rPr>
            </w:pPr>
          </w:p>
        </w:tc>
        <w:tc>
          <w:tcPr>
            <w:tcW w:w="220" w:type="dxa"/>
            <w:vAlign w:val="bottom"/>
            <w:tcBorders>
              <w:bottom w:val="single" w:sz="8" w:color="CEFFE7"/>
            </w:tcBorders>
            <w:shd w:val="clear" w:color="auto" w:fill="CEFFE7"/>
          </w:tcPr>
          <w:p>
            <w:pPr>
              <w:spacing w:after="0"/>
              <w:rPr>
                <w:sz w:val="22"/>
                <w:szCs w:val="22"/>
                <w:color w:val="auto"/>
              </w:rPr>
            </w:pPr>
          </w:p>
        </w:tc>
        <w:tc>
          <w:tcPr>
            <w:tcW w:w="18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691,124</w:t>
            </w:r>
          </w:p>
        </w:tc>
        <w:tc>
          <w:tcPr>
            <w:tcW w:w="320" w:type="dxa"/>
            <w:vAlign w:val="bottom"/>
            <w:tcBorders>
              <w:bottom w:val="single" w:sz="8" w:color="CEFFE7"/>
            </w:tcBorders>
            <w:shd w:val="clear" w:color="auto" w:fill="CEFFE7"/>
          </w:tcPr>
          <w:p>
            <w:pPr>
              <w:spacing w:after="0"/>
              <w:rPr>
                <w:sz w:val="22"/>
                <w:szCs w:val="22"/>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648,230</w:t>
            </w:r>
          </w:p>
        </w:tc>
      </w:tr>
      <w:tr>
        <w:trPr>
          <w:trHeight w:val="291"/>
        </w:trPr>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r>
      <w:tr>
        <w:trPr>
          <w:trHeight w:val="250"/>
        </w:trPr>
        <w:tc>
          <w:tcPr>
            <w:tcW w:w="32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Long-term debt</w:t>
            </w:r>
          </w:p>
        </w:tc>
        <w:tc>
          <w:tcPr>
            <w:tcW w:w="398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3,049,235</w:t>
            </w:r>
          </w:p>
        </w:tc>
        <w:tc>
          <w:tcPr>
            <w:tcW w:w="32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2,950,835</w:t>
            </w:r>
          </w:p>
        </w:tc>
      </w:tr>
      <w:tr>
        <w:trPr>
          <w:trHeight w:val="20"/>
        </w:trPr>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credits and other liabilities: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Deferred income tax liabilities, net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Regulatory liabilities, non-current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Benefit plan liabilities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deferred credits and other liabilities</w:t>
      </w:r>
    </w:p>
    <w:p>
      <w:pPr>
        <w:spacing w:after="0" w:line="7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Total deferred credits and other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Pr>
          <w:p>
            <w:pPr>
              <w:jc w:val="right"/>
              <w:ind w:right="630"/>
              <w:spacing w:after="0"/>
              <w:rPr>
                <w:sz w:val="20"/>
                <w:szCs w:val="20"/>
                <w:color w:val="auto"/>
              </w:rPr>
            </w:pPr>
            <w:r>
              <w:rPr>
                <w:rFonts w:ascii="Arial" w:cs="Arial" w:eastAsia="Arial" w:hAnsi="Arial"/>
                <w:sz w:val="18"/>
                <w:szCs w:val="18"/>
                <w:color w:val="auto"/>
              </w:rPr>
              <w:t>347,952</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311,331</w:t>
            </w:r>
          </w:p>
        </w:tc>
      </w:tr>
      <w:tr>
        <w:trPr>
          <w:trHeight w:val="270"/>
        </w:trPr>
        <w:tc>
          <w:tcPr>
            <w:tcW w:w="2680" w:type="dxa"/>
            <w:vAlign w:val="bottom"/>
          </w:tcPr>
          <w:p>
            <w:pPr>
              <w:jc w:val="right"/>
              <w:ind w:right="630"/>
              <w:spacing w:after="0"/>
              <w:rPr>
                <w:sz w:val="20"/>
                <w:szCs w:val="20"/>
                <w:color w:val="auto"/>
              </w:rPr>
            </w:pPr>
            <w:r>
              <w:rPr>
                <w:rFonts w:ascii="Arial" w:cs="Arial" w:eastAsia="Arial" w:hAnsi="Arial"/>
                <w:sz w:val="18"/>
                <w:szCs w:val="18"/>
                <w:color w:val="auto"/>
              </w:rPr>
              <w:t>498,773</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510,984</w:t>
            </w:r>
          </w:p>
        </w:tc>
      </w:tr>
      <w:tr>
        <w:trPr>
          <w:trHeight w:val="270"/>
        </w:trPr>
        <w:tc>
          <w:tcPr>
            <w:tcW w:w="2680" w:type="dxa"/>
            <w:vAlign w:val="bottom"/>
          </w:tcPr>
          <w:p>
            <w:pPr>
              <w:jc w:val="right"/>
              <w:ind w:right="630"/>
              <w:spacing w:after="0"/>
              <w:rPr>
                <w:sz w:val="20"/>
                <w:szCs w:val="20"/>
                <w:color w:val="auto"/>
              </w:rPr>
            </w:pPr>
            <w:r>
              <w:rPr>
                <w:rFonts w:ascii="Arial" w:cs="Arial" w:eastAsia="Arial" w:hAnsi="Arial"/>
                <w:sz w:val="18"/>
                <w:szCs w:val="18"/>
                <w:color w:val="auto"/>
              </w:rPr>
              <w:t>134,150</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145,147</w:t>
            </w:r>
          </w:p>
        </w:tc>
      </w:tr>
      <w:tr>
        <w:trPr>
          <w:trHeight w:val="270"/>
        </w:trPr>
        <w:tc>
          <w:tcPr>
            <w:tcW w:w="2680" w:type="dxa"/>
            <w:vAlign w:val="bottom"/>
          </w:tcPr>
          <w:p>
            <w:pPr>
              <w:jc w:val="right"/>
              <w:ind w:right="630"/>
              <w:spacing w:after="0"/>
              <w:rPr>
                <w:sz w:val="20"/>
                <w:szCs w:val="20"/>
                <w:color w:val="auto"/>
              </w:rPr>
            </w:pPr>
            <w:r>
              <w:rPr>
                <w:rFonts w:ascii="Arial" w:cs="Arial" w:eastAsia="Arial" w:hAnsi="Arial"/>
                <w:sz w:val="18"/>
                <w:szCs w:val="18"/>
                <w:color w:val="auto"/>
              </w:rPr>
              <w:t>120,820</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109,377</w:t>
            </w:r>
          </w:p>
        </w:tc>
      </w:tr>
      <w:tr>
        <w:trPr>
          <w:trHeight w:val="27"/>
        </w:trPr>
        <w:tc>
          <w:tcPr>
            <w:tcW w:w="2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680" w:type="dxa"/>
            <w:vAlign w:val="bottom"/>
          </w:tcPr>
          <w:p>
            <w:pPr>
              <w:jc w:val="right"/>
              <w:ind w:right="630"/>
              <w:spacing w:after="0"/>
              <w:rPr>
                <w:sz w:val="20"/>
                <w:szCs w:val="20"/>
                <w:color w:val="auto"/>
              </w:rPr>
            </w:pPr>
            <w:r>
              <w:rPr>
                <w:rFonts w:ascii="Arial" w:cs="Arial" w:eastAsia="Arial" w:hAnsi="Arial"/>
                <w:sz w:val="18"/>
                <w:szCs w:val="18"/>
                <w:color w:val="auto"/>
              </w:rPr>
              <w:t>1,101,695</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1,076,839</w:t>
            </w:r>
          </w:p>
        </w:tc>
      </w:tr>
      <w:tr>
        <w:trPr>
          <w:trHeight w:val="27"/>
        </w:trPr>
        <w:tc>
          <w:tcPr>
            <w:tcW w:w="2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-702310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-359410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-8255</wp:posOffset>
            </wp:positionV>
            <wp:extent cx="7246620" cy="19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80" w:space="720"/>
            <w:col w:w="4220"/>
          </w:cols>
          <w:pgMar w:left="240" w:top="118" w:right="239" w:bottom="1440" w:gutter="0" w:footer="0" w:header="0"/>
          <w:type w:val="continuous"/>
        </w:sectPr>
      </w:pP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Commitments and contingencies (See Notes 8, 10, 15,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Stockholders’ equity —</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ind w:left="280"/>
              <w:spacing w:after="0"/>
              <w:rPr>
                <w:sz w:val="20"/>
                <w:szCs w:val="20"/>
                <w:color w:val="auto"/>
              </w:rPr>
            </w:pPr>
            <w:r>
              <w:rPr>
                <w:rFonts w:ascii="Arial" w:cs="Arial" w:eastAsia="Arial" w:hAnsi="Arial"/>
                <w:sz w:val="18"/>
                <w:szCs w:val="18"/>
                <w:color w:val="auto"/>
                <w:w w:val="89"/>
              </w:rPr>
              <w:t>Common stock $1 par value; 100,000,000 shares authorized; issued 61,480,640 and 60,048,567</w:t>
            </w:r>
          </w:p>
        </w:tc>
        <w:tc>
          <w:tcPr>
            <w:tcW w:w="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7200" w:type="dxa"/>
            <w:vAlign w:val="bottom"/>
          </w:tcPr>
          <w:p>
            <w:pPr>
              <w:ind w:left="280"/>
              <w:spacing w:after="0"/>
              <w:rPr>
                <w:sz w:val="20"/>
                <w:szCs w:val="20"/>
                <w:color w:val="auto"/>
              </w:rPr>
            </w:pPr>
            <w:r>
              <w:rPr>
                <w:rFonts w:ascii="Arial" w:cs="Arial" w:eastAsia="Arial" w:hAnsi="Arial"/>
                <w:sz w:val="18"/>
                <w:szCs w:val="18"/>
                <w:color w:val="auto"/>
              </w:rPr>
              <w:t>shares, respectively</w:t>
            </w:r>
          </w:p>
        </w:tc>
        <w:tc>
          <w:tcPr>
            <w:tcW w:w="680" w:type="dxa"/>
            <w:vAlign w:val="bottom"/>
          </w:tcPr>
          <w:p>
            <w:pPr>
              <w:spacing w:after="0"/>
              <w:rPr>
                <w:sz w:val="20"/>
                <w:szCs w:val="20"/>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61,481</w:t>
            </w:r>
          </w:p>
        </w:tc>
        <w:tc>
          <w:tcPr>
            <w:tcW w:w="10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60,049</w:t>
            </w:r>
          </w:p>
        </w:tc>
      </w:tr>
      <w:tr>
        <w:trPr>
          <w:trHeight w:val="27"/>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2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Additional paid-in capital</w:t>
            </w:r>
          </w:p>
        </w:tc>
        <w:tc>
          <w:tcPr>
            <w:tcW w:w="6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1,553,190</w:t>
            </w:r>
          </w:p>
        </w:tc>
        <w:tc>
          <w:tcPr>
            <w:tcW w:w="10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1,450,569</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68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742,138</w:t>
            </w:r>
          </w:p>
        </w:tc>
        <w:tc>
          <w:tcPr>
            <w:tcW w:w="10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700,396</w:t>
            </w:r>
          </w:p>
        </w:tc>
      </w:tr>
      <w:tr>
        <w:trPr>
          <w:trHeight w:val="27"/>
        </w:trPr>
        <w:tc>
          <w:tcPr>
            <w:tcW w:w="7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2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Treasury stock, at cost – 26,572 and 44,253 shares, respectively</w:t>
            </w:r>
          </w:p>
        </w:tc>
        <w:tc>
          <w:tcPr>
            <w:tcW w:w="6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(1,636)</w:t>
            </w:r>
          </w:p>
        </w:tc>
        <w:tc>
          <w:tcPr>
            <w:tcW w:w="10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(2,510)</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6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(25,695)</w:t>
            </w:r>
          </w:p>
        </w:tc>
        <w:tc>
          <w:tcPr>
            <w:tcW w:w="10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(26,916)</w:t>
            </w:r>
          </w:p>
        </w:tc>
      </w:tr>
      <w:tr>
        <w:trPr>
          <w:trHeight w:val="27"/>
        </w:trPr>
        <w:tc>
          <w:tcPr>
            <w:tcW w:w="7200" w:type="dxa"/>
            <w:vAlign w:val="bottom"/>
            <w:tcBorders>
              <w:bottom w:val="single" w:sz="8" w:color="CEFFE7"/>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Total stockholders’ equity</w:t>
            </w:r>
          </w:p>
        </w:tc>
        <w:tc>
          <w:tcPr>
            <w:tcW w:w="68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2,329,478</w:t>
            </w:r>
          </w:p>
        </w:tc>
        <w:tc>
          <w:tcPr>
            <w:tcW w:w="10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2,181,588</w:t>
            </w:r>
          </w:p>
        </w:tc>
      </w:tr>
      <w:tr>
        <w:trPr>
          <w:trHeight w:val="243"/>
        </w:trPr>
        <w:tc>
          <w:tcPr>
            <w:tcW w:w="7200" w:type="dxa"/>
            <w:vAlign w:val="bottom"/>
          </w:tcPr>
          <w:p>
            <w:pPr>
              <w:ind w:left="240"/>
              <w:spacing w:after="0"/>
              <w:rPr>
                <w:sz w:val="20"/>
                <w:szCs w:val="20"/>
                <w:color w:val="auto"/>
              </w:rPr>
            </w:pPr>
            <w:r>
              <w:rPr>
                <w:rFonts w:ascii="Arial" w:cs="Arial" w:eastAsia="Arial" w:hAnsi="Arial"/>
                <w:sz w:val="18"/>
                <w:szCs w:val="18"/>
                <w:color w:val="auto"/>
              </w:rPr>
              <w:t>Noncontrolling interest</w:t>
            </w:r>
          </w:p>
        </w:tc>
        <w:tc>
          <w:tcPr>
            <w:tcW w:w="680" w:type="dxa"/>
            <w:vAlign w:val="bottom"/>
          </w:tcPr>
          <w:p>
            <w:pPr>
              <w:spacing w:after="0"/>
              <w:rPr>
                <w:sz w:val="21"/>
                <w:szCs w:val="21"/>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103,418</w:t>
            </w:r>
          </w:p>
        </w:tc>
        <w:tc>
          <w:tcPr>
            <w:tcW w:w="10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105,835</w:t>
            </w:r>
          </w:p>
        </w:tc>
      </w:tr>
      <w:tr>
        <w:trPr>
          <w:trHeight w:val="27"/>
        </w:trPr>
        <w:tc>
          <w:tcPr>
            <w:tcW w:w="7200" w:type="dxa"/>
            <w:vAlign w:val="bottom"/>
            <w:tcBorders>
              <w:bottom w:val="single" w:sz="8" w:color="CEFFE7"/>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Total equity</w:t>
            </w:r>
          </w:p>
        </w:tc>
        <w:tc>
          <w:tcPr>
            <w:tcW w:w="680" w:type="dxa"/>
            <w:vAlign w:val="bottom"/>
            <w:tcBorders>
              <w:bottom w:val="single" w:sz="8" w:color="CEFFE7"/>
            </w:tcBorders>
            <w:shd w:val="clear" w:color="auto" w:fill="CEFFE7"/>
          </w:tcPr>
          <w:p>
            <w:pPr>
              <w:spacing w:after="0"/>
              <w:rPr>
                <w:sz w:val="22"/>
                <w:szCs w:val="22"/>
                <w:color w:val="auto"/>
              </w:rPr>
            </w:pPr>
          </w:p>
        </w:tc>
        <w:tc>
          <w:tcPr>
            <w:tcW w:w="14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2,432,896</w:t>
            </w:r>
          </w:p>
        </w:tc>
        <w:tc>
          <w:tcPr>
            <w:tcW w:w="1020" w:type="dxa"/>
            <w:vAlign w:val="bottom"/>
            <w:tcBorders>
              <w:bottom w:val="single" w:sz="8" w:color="CEFFE7"/>
            </w:tcBorders>
            <w:shd w:val="clear" w:color="auto" w:fill="CEFFE7"/>
          </w:tcPr>
          <w:p>
            <w:pPr>
              <w:spacing w:after="0"/>
              <w:rPr>
                <w:sz w:val="22"/>
                <w:szCs w:val="22"/>
                <w:color w:val="auto"/>
              </w:rPr>
            </w:pP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2,287,423</w:t>
            </w:r>
          </w:p>
        </w:tc>
      </w:tr>
      <w:tr>
        <w:trPr>
          <w:trHeight w:val="291"/>
        </w:trPr>
        <w:tc>
          <w:tcPr>
            <w:tcW w:w="72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64"/>
        </w:trPr>
        <w:tc>
          <w:tcPr>
            <w:tcW w:w="72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LIABILITIES AND TOTAL EQUITY</w:t>
            </w:r>
          </w:p>
        </w:tc>
        <w:tc>
          <w:tcPr>
            <w:tcW w:w="680" w:type="dxa"/>
            <w:vAlign w:val="bottom"/>
            <w:tcBorders>
              <w:bottom w:val="single" w:sz="8" w:color="auto"/>
            </w:tcBorders>
            <w:shd w:val="clear" w:color="auto" w:fill="CEFFE7"/>
          </w:tcPr>
          <w:p>
            <w:pPr>
              <w:jc w:val="right"/>
              <w:ind w:right="4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7,274,950</w:t>
            </w:r>
          </w:p>
        </w:tc>
        <w:tc>
          <w:tcPr>
            <w:tcW w:w="102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6,963,327</w:t>
            </w:r>
          </w:p>
        </w:tc>
      </w:tr>
      <w:tr>
        <w:trPr>
          <w:trHeight w:val="20"/>
        </w:trPr>
        <w:tc>
          <w:tcPr>
            <w:tcW w:w="7200" w:type="dxa"/>
            <w:vAlign w:val="bottom"/>
          </w:tcPr>
          <w:p>
            <w:pPr>
              <w:spacing w:after="0" w:line="20" w:lineRule="exact"/>
              <w:rPr>
                <w:sz w:val="1"/>
                <w:szCs w:val="1"/>
                <w:color w:val="auto"/>
              </w:rPr>
            </w:pPr>
          </w:p>
        </w:tc>
        <w:tc>
          <w:tcPr>
            <w:tcW w:w="3120" w:type="dxa"/>
            <w:vAlign w:val="bottom"/>
            <w:tcBorders>
              <w:bottom w:val="single" w:sz="8" w:color="auto"/>
            </w:tcBorders>
            <w:gridSpan w:val="3"/>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67"/>
        </w:trPr>
        <w:tc>
          <w:tcPr>
            <w:tcW w:w="10320" w:type="dxa"/>
            <w:vAlign w:val="bottom"/>
            <w:gridSpan w:val="4"/>
          </w:tcPr>
          <w:p>
            <w:pPr>
              <w:ind w:left="1380"/>
              <w:spacing w:after="0"/>
              <w:rPr>
                <w:sz w:val="20"/>
                <w:szCs w:val="20"/>
                <w:color w:val="auto"/>
              </w:rPr>
            </w:pPr>
            <w:r>
              <w:rPr>
                <w:rFonts w:ascii="Arial" w:cs="Arial" w:eastAsia="Arial" w:hAnsi="Arial"/>
                <w:sz w:val="14"/>
                <w:szCs w:val="14"/>
                <w:color w:val="auto"/>
                <w:w w:val="94"/>
              </w:rPr>
              <w:t>The accompanying Notes to Condensed Consolidated Financial Statements are an integral part of these Condensed Consolidated Financial Statements.</w:t>
            </w:r>
          </w:p>
        </w:tc>
        <w:tc>
          <w:tcPr>
            <w:tcW w:w="1100" w:type="dxa"/>
            <w:vAlign w:val="bottom"/>
          </w:tcPr>
          <w:p>
            <w:pPr>
              <w:spacing w:after="0"/>
              <w:rPr>
                <w:sz w:val="24"/>
                <w:szCs w:val="24"/>
                <w:color w:val="auto"/>
              </w:rPr>
            </w:pPr>
          </w:p>
        </w:tc>
      </w:tr>
      <w:tr>
        <w:trPr>
          <w:trHeight w:val="458"/>
        </w:trPr>
        <w:tc>
          <w:tcPr>
            <w:tcW w:w="7200" w:type="dxa"/>
            <w:vAlign w:val="bottom"/>
          </w:tcPr>
          <w:p>
            <w:pPr>
              <w:ind w:left="5660"/>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type w:val="continuous"/>
        </w:sectPr>
      </w:pPr>
    </w:p>
    <w:bookmarkStart w:id="8" w:name="page9"/>
    <w:bookmarkEnd w:id="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60" w:type="dxa"/>
            <w:vAlign w:val="bottom"/>
          </w:tcPr>
          <w:p>
            <w:pPr>
              <w:ind w:left="40"/>
              <w:spacing w:after="0"/>
              <w:rPr>
                <w:sz w:val="20"/>
                <w:szCs w:val="20"/>
                <w:color w:val="auto"/>
              </w:rPr>
            </w:pPr>
            <w:r>
              <w:rPr>
                <w:rFonts w:ascii="Arial" w:cs="Arial" w:eastAsia="Arial" w:hAnsi="Arial"/>
                <w:sz w:val="14"/>
                <w:szCs w:val="14"/>
                <w:color w:val="auto"/>
              </w:rPr>
              <w:t>(unaudited)</w:t>
            </w:r>
          </w:p>
        </w:tc>
        <w:tc>
          <w:tcPr>
            <w:tcW w:w="300" w:type="dxa"/>
            <w:vAlign w:val="bottom"/>
          </w:tcPr>
          <w:p>
            <w:pPr>
              <w:spacing w:after="0"/>
              <w:rPr>
                <w:sz w:val="15"/>
                <w:szCs w:val="15"/>
                <w:color w:val="auto"/>
              </w:rPr>
            </w:pPr>
          </w:p>
        </w:tc>
        <w:tc>
          <w:tcPr>
            <w:tcW w:w="2660" w:type="dxa"/>
            <w:vAlign w:val="bottom"/>
            <w:gridSpan w:val="3"/>
          </w:tcPr>
          <w:p>
            <w:pPr>
              <w:jc w:val="right"/>
              <w:ind w:right="388"/>
              <w:spacing w:after="0"/>
              <w:rPr>
                <w:sz w:val="20"/>
                <w:szCs w:val="20"/>
                <w:color w:val="auto"/>
              </w:rPr>
            </w:pPr>
            <w:r>
              <w:rPr>
                <w:rFonts w:ascii="Arial" w:cs="Arial" w:eastAsia="Arial" w:hAnsi="Arial"/>
                <w:sz w:val="14"/>
                <w:szCs w:val="14"/>
                <w:color w:val="auto"/>
                <w:w w:val="99"/>
              </w:rPr>
              <w:t>Nine Months Ended September 30,</w:t>
            </w:r>
          </w:p>
        </w:tc>
      </w:tr>
      <w:tr>
        <w:trPr>
          <w:trHeight w:val="276"/>
        </w:trPr>
        <w:tc>
          <w:tcPr>
            <w:tcW w:w="8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2019</w:t>
            </w: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2018</w:t>
            </w:r>
          </w:p>
        </w:tc>
      </w:tr>
      <w:tr>
        <w:trPr>
          <w:trHeight w:val="196"/>
        </w:trPr>
        <w:tc>
          <w:tcPr>
            <w:tcW w:w="8460" w:type="dxa"/>
            <w:vAlign w:val="bottom"/>
          </w:tcPr>
          <w:p>
            <w:pPr>
              <w:ind w:left="40"/>
              <w:spacing w:after="0"/>
              <w:rPr>
                <w:sz w:val="20"/>
                <w:szCs w:val="20"/>
                <w:color w:val="auto"/>
              </w:rPr>
            </w:pPr>
            <w:r>
              <w:rPr>
                <w:rFonts w:ascii="Arial" w:cs="Arial" w:eastAsia="Arial" w:hAnsi="Arial"/>
                <w:sz w:val="14"/>
                <w:szCs w:val="14"/>
                <w:color w:val="auto"/>
              </w:rPr>
              <w:t>Operating activities:</w:t>
            </w:r>
          </w:p>
        </w:tc>
        <w:tc>
          <w:tcPr>
            <w:tcW w:w="300" w:type="dxa"/>
            <w:vAlign w:val="bottom"/>
          </w:tcPr>
          <w:p>
            <w:pPr>
              <w:spacing w:after="0"/>
              <w:rPr>
                <w:sz w:val="17"/>
                <w:szCs w:val="17"/>
                <w:color w:val="auto"/>
              </w:rPr>
            </w:pPr>
          </w:p>
        </w:tc>
        <w:tc>
          <w:tcPr>
            <w:tcW w:w="1700" w:type="dxa"/>
            <w:vAlign w:val="bottom"/>
            <w:gridSpan w:val="2"/>
          </w:tcPr>
          <w:p>
            <w:pPr>
              <w:jc w:val="right"/>
              <w:ind w:right="28"/>
              <w:spacing w:after="0"/>
              <w:rPr>
                <w:sz w:val="20"/>
                <w:szCs w:val="20"/>
                <w:color w:val="auto"/>
              </w:rPr>
            </w:pPr>
            <w:r>
              <w:rPr>
                <w:rFonts w:ascii="Arial" w:cs="Arial" w:eastAsia="Arial" w:hAnsi="Arial"/>
                <w:sz w:val="14"/>
                <w:szCs w:val="14"/>
                <w:color w:val="auto"/>
              </w:rPr>
              <w:t>(in thousands)</w:t>
            </w:r>
          </w:p>
        </w:tc>
        <w:tc>
          <w:tcPr>
            <w:tcW w:w="960" w:type="dxa"/>
            <w:vAlign w:val="bottom"/>
          </w:tcPr>
          <w:p>
            <w:pPr>
              <w:spacing w:after="0"/>
              <w:rPr>
                <w:sz w:val="17"/>
                <w:szCs w:val="17"/>
                <w:color w:val="auto"/>
              </w:rPr>
            </w:pPr>
          </w:p>
        </w:tc>
      </w:tr>
      <w:tr>
        <w:trPr>
          <w:trHeight w:val="222"/>
        </w:trPr>
        <w:tc>
          <w:tcPr>
            <w:tcW w:w="8460" w:type="dxa"/>
            <w:vAlign w:val="bottom"/>
            <w:shd w:val="clear" w:color="auto" w:fill="CEFFE7"/>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140,450</w:t>
            </w:r>
          </w:p>
        </w:tc>
        <w:tc>
          <w:tcPr>
            <w:tcW w:w="520" w:type="dxa"/>
            <w:vAlign w:val="bottom"/>
            <w:shd w:val="clear" w:color="auto" w:fill="CEFFE7"/>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182,318</w:t>
            </w:r>
          </w:p>
        </w:tc>
      </w:tr>
      <w:tr>
        <w:trPr>
          <w:trHeight w:val="210"/>
        </w:trPr>
        <w:tc>
          <w:tcPr>
            <w:tcW w:w="846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Loss from discontinued operations, net of tax</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5,627</w:t>
            </w:r>
          </w:p>
        </w:tc>
      </w:tr>
      <w:tr>
        <w:trPr>
          <w:trHeight w:val="216"/>
        </w:trPr>
        <w:tc>
          <w:tcPr>
            <w:tcW w:w="8460" w:type="dxa"/>
            <w:vAlign w:val="bottom"/>
            <w:shd w:val="clear" w:color="auto" w:fill="CEFFE7"/>
          </w:tcPr>
          <w:p>
            <w:pPr>
              <w:ind w:left="40"/>
              <w:spacing w:after="0"/>
              <w:rPr>
                <w:sz w:val="20"/>
                <w:szCs w:val="20"/>
                <w:color w:val="auto"/>
              </w:rPr>
            </w:pPr>
            <w:r>
              <w:rPr>
                <w:rFonts w:ascii="Arial" w:cs="Arial" w:eastAsia="Arial" w:hAnsi="Arial"/>
                <w:sz w:val="14"/>
                <w:szCs w:val="14"/>
                <w:color w:val="auto"/>
              </w:rPr>
              <w:t>Income from continuing operations</w:t>
            </w:r>
          </w:p>
        </w:tc>
        <w:tc>
          <w:tcPr>
            <w:tcW w:w="300" w:type="dxa"/>
            <w:vAlign w:val="bottom"/>
            <w:shd w:val="clear" w:color="auto" w:fill="CEFFE7"/>
          </w:tcPr>
          <w:p>
            <w:pPr>
              <w:spacing w:after="0"/>
              <w:rPr>
                <w:sz w:val="18"/>
                <w:szCs w:val="18"/>
                <w:color w:val="auto"/>
              </w:rPr>
            </w:pPr>
          </w:p>
        </w:tc>
        <w:tc>
          <w:tcPr>
            <w:tcW w:w="11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140,450</w:t>
            </w:r>
          </w:p>
        </w:tc>
        <w:tc>
          <w:tcPr>
            <w:tcW w:w="520" w:type="dxa"/>
            <w:vAlign w:val="bottom"/>
            <w:shd w:val="clear" w:color="auto" w:fill="CEFFE7"/>
          </w:tcPr>
          <w:p>
            <w:pPr>
              <w:spacing w:after="0"/>
              <w:rPr>
                <w:sz w:val="18"/>
                <w:szCs w:val="18"/>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187,945</w:t>
            </w:r>
          </w:p>
        </w:tc>
      </w:tr>
      <w:tr>
        <w:trPr>
          <w:trHeight w:val="264"/>
        </w:trPr>
        <w:tc>
          <w:tcPr>
            <w:tcW w:w="8460" w:type="dxa"/>
            <w:vAlign w:val="bottom"/>
          </w:tcPr>
          <w:p>
            <w:pPr>
              <w:ind w:left="1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2"/>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300" w:type="dxa"/>
            <w:vAlign w:val="bottom"/>
            <w:shd w:val="clear" w:color="auto" w:fill="CEFFE7"/>
          </w:tcPr>
          <w:p>
            <w:pPr>
              <w:spacing w:after="0"/>
              <w:rPr>
                <w:sz w:val="19"/>
                <w:szCs w:val="19"/>
                <w:color w:val="auto"/>
              </w:rPr>
            </w:pPr>
          </w:p>
        </w:tc>
        <w:tc>
          <w:tcPr>
            <w:tcW w:w="11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154,507</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146,345</w:t>
            </w:r>
          </w:p>
        </w:tc>
      </w:tr>
      <w:tr>
        <w:trPr>
          <w:trHeight w:val="210"/>
        </w:trPr>
        <w:tc>
          <w:tcPr>
            <w:tcW w:w="8460" w:type="dxa"/>
            <w:vAlign w:val="bottom"/>
          </w:tcPr>
          <w:p>
            <w:pPr>
              <w:ind w:left="380"/>
              <w:spacing w:after="0"/>
              <w:rPr>
                <w:sz w:val="20"/>
                <w:szCs w:val="20"/>
                <w:color w:val="auto"/>
              </w:rPr>
            </w:pPr>
            <w:r>
              <w:rPr>
                <w:rFonts w:ascii="Arial" w:cs="Arial" w:eastAsia="Arial" w:hAnsi="Arial"/>
                <w:sz w:val="14"/>
                <w:szCs w:val="14"/>
                <w:color w:val="auto"/>
              </w:rPr>
              <w:t>Deferred financing cost amortization</w:t>
            </w:r>
          </w:p>
        </w:tc>
        <w:tc>
          <w:tcPr>
            <w:tcW w:w="30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6,326</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5,682</w:t>
            </w:r>
          </w:p>
        </w:tc>
      </w:tr>
      <w:tr>
        <w:trPr>
          <w:trHeight w:val="222"/>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Impairment of investment</w:t>
            </w:r>
          </w:p>
        </w:tc>
        <w:tc>
          <w:tcPr>
            <w:tcW w:w="300" w:type="dxa"/>
            <w:vAlign w:val="bottom"/>
            <w:shd w:val="clear" w:color="auto" w:fill="CEFFE7"/>
          </w:tcPr>
          <w:p>
            <w:pPr>
              <w:spacing w:after="0"/>
              <w:rPr>
                <w:sz w:val="19"/>
                <w:szCs w:val="19"/>
                <w:color w:val="auto"/>
              </w:rPr>
            </w:pPr>
          </w:p>
        </w:tc>
        <w:tc>
          <w:tcPr>
            <w:tcW w:w="11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19,741</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8460" w:type="dxa"/>
            <w:vAlign w:val="bottom"/>
          </w:tcPr>
          <w:p>
            <w:pPr>
              <w:ind w:left="380"/>
              <w:spacing w:after="0"/>
              <w:rPr>
                <w:sz w:val="20"/>
                <w:szCs w:val="20"/>
                <w:color w:val="auto"/>
              </w:rPr>
            </w:pPr>
            <w:r>
              <w:rPr>
                <w:rFonts w:ascii="Arial" w:cs="Arial" w:eastAsia="Arial" w:hAnsi="Arial"/>
                <w:sz w:val="14"/>
                <w:szCs w:val="14"/>
                <w:color w:val="auto"/>
              </w:rPr>
              <w:t>Stock compensation</w:t>
            </w:r>
          </w:p>
        </w:tc>
        <w:tc>
          <w:tcPr>
            <w:tcW w:w="30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8,332</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7,544</w:t>
            </w:r>
          </w:p>
        </w:tc>
      </w:tr>
      <w:tr>
        <w:trPr>
          <w:trHeight w:val="222"/>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CEFFE7"/>
          </w:tcPr>
          <w:p>
            <w:pPr>
              <w:spacing w:after="0"/>
              <w:rPr>
                <w:sz w:val="19"/>
                <w:szCs w:val="19"/>
                <w:color w:val="auto"/>
              </w:rPr>
            </w:pPr>
          </w:p>
        </w:tc>
        <w:tc>
          <w:tcPr>
            <w:tcW w:w="11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24,381</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(14,396)</w:t>
            </w:r>
          </w:p>
        </w:tc>
      </w:tr>
      <w:tr>
        <w:trPr>
          <w:trHeight w:val="210"/>
        </w:trPr>
        <w:tc>
          <w:tcPr>
            <w:tcW w:w="8460" w:type="dxa"/>
            <w:vAlign w:val="bottom"/>
          </w:tcPr>
          <w:p>
            <w:pPr>
              <w:ind w:left="380"/>
              <w:spacing w:after="0"/>
              <w:rPr>
                <w:sz w:val="20"/>
                <w:szCs w:val="20"/>
                <w:color w:val="auto"/>
              </w:rPr>
            </w:pPr>
            <w:r>
              <w:rPr>
                <w:rFonts w:ascii="Arial" w:cs="Arial" w:eastAsia="Arial" w:hAnsi="Arial"/>
                <w:sz w:val="14"/>
                <w:szCs w:val="14"/>
                <w:color w:val="auto"/>
              </w:rPr>
              <w:t>Employee benefit plans</w:t>
            </w:r>
          </w:p>
        </w:tc>
        <w:tc>
          <w:tcPr>
            <w:tcW w:w="30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7,965</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10,641</w:t>
            </w:r>
          </w:p>
        </w:tc>
      </w:tr>
      <w:tr>
        <w:trPr>
          <w:trHeight w:val="222"/>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Other adjustments, net</w:t>
            </w:r>
          </w:p>
        </w:tc>
        <w:tc>
          <w:tcPr>
            <w:tcW w:w="300" w:type="dxa"/>
            <w:vAlign w:val="bottom"/>
            <w:shd w:val="clear" w:color="auto" w:fill="CEFFE7"/>
          </w:tcPr>
          <w:p>
            <w:pPr>
              <w:spacing w:after="0"/>
              <w:rPr>
                <w:sz w:val="19"/>
                <w:szCs w:val="19"/>
                <w:color w:val="auto"/>
              </w:rPr>
            </w:pPr>
          </w:p>
        </w:tc>
        <w:tc>
          <w:tcPr>
            <w:tcW w:w="11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9,192</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7,668</w:t>
            </w:r>
          </w:p>
        </w:tc>
      </w:tr>
      <w:tr>
        <w:trPr>
          <w:trHeight w:val="264"/>
        </w:trPr>
        <w:tc>
          <w:tcPr>
            <w:tcW w:w="8460" w:type="dxa"/>
            <w:vAlign w:val="bottom"/>
          </w:tcPr>
          <w:p>
            <w:pPr>
              <w:ind w:left="120"/>
              <w:spacing w:after="0"/>
              <w:rPr>
                <w:sz w:val="20"/>
                <w:szCs w:val="20"/>
                <w:color w:val="auto"/>
              </w:rPr>
            </w:pPr>
            <w:r>
              <w:rPr>
                <w:rFonts w:ascii="Arial" w:cs="Arial" w:eastAsia="Arial" w:hAnsi="Arial"/>
                <w:sz w:val="14"/>
                <w:szCs w:val="14"/>
                <w:color w:val="auto"/>
              </w:rPr>
              <w:t>Changes in certain operating assets and liabilities:</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09"/>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Materials, supplies and fuel</w:t>
            </w:r>
          </w:p>
        </w:tc>
        <w:tc>
          <w:tcPr>
            <w:tcW w:w="300" w:type="dxa"/>
            <w:vAlign w:val="bottom"/>
            <w:shd w:val="clear" w:color="auto" w:fill="CEFFE7"/>
          </w:tcPr>
          <w:p>
            <w:pPr>
              <w:spacing w:after="0"/>
              <w:rPr>
                <w:sz w:val="18"/>
                <w:szCs w:val="18"/>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(4,126)</w:t>
            </w:r>
          </w:p>
        </w:tc>
        <w:tc>
          <w:tcPr>
            <w:tcW w:w="52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(8,380)</w:t>
            </w:r>
          </w:p>
        </w:tc>
      </w:tr>
      <w:tr>
        <w:trPr>
          <w:trHeight w:val="210"/>
        </w:trPr>
        <w:tc>
          <w:tcPr>
            <w:tcW w:w="8460" w:type="dxa"/>
            <w:vAlign w:val="bottom"/>
          </w:tcPr>
          <w:p>
            <w:pPr>
              <w:ind w:left="380"/>
              <w:spacing w:after="0"/>
              <w:rPr>
                <w:sz w:val="20"/>
                <w:szCs w:val="20"/>
                <w:color w:val="auto"/>
              </w:rPr>
            </w:pPr>
            <w:r>
              <w:rPr>
                <w:rFonts w:ascii="Arial" w:cs="Arial" w:eastAsia="Arial" w:hAnsi="Arial"/>
                <w:sz w:val="14"/>
                <w:szCs w:val="14"/>
                <w:color w:val="auto"/>
              </w:rPr>
              <w:t>Accounts receivable, unbilled revenues and other operating assets</w:t>
            </w:r>
          </w:p>
        </w:tc>
        <w:tc>
          <w:tcPr>
            <w:tcW w:w="30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115,325</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72,061</w:t>
            </w:r>
          </w:p>
        </w:tc>
      </w:tr>
      <w:tr>
        <w:trPr>
          <w:trHeight w:val="209"/>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Accounts payable and other operating liabilities</w:t>
            </w:r>
          </w:p>
        </w:tc>
        <w:tc>
          <w:tcPr>
            <w:tcW w:w="300" w:type="dxa"/>
            <w:vAlign w:val="bottom"/>
            <w:shd w:val="clear" w:color="auto" w:fill="CEFFE7"/>
          </w:tcPr>
          <w:p>
            <w:pPr>
              <w:spacing w:after="0"/>
              <w:rPr>
                <w:sz w:val="18"/>
                <w:szCs w:val="18"/>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(83,436)</w:t>
            </w:r>
          </w:p>
        </w:tc>
        <w:tc>
          <w:tcPr>
            <w:tcW w:w="52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(86,604)</w:t>
            </w:r>
          </w:p>
        </w:tc>
      </w:tr>
      <w:tr>
        <w:trPr>
          <w:trHeight w:val="210"/>
        </w:trPr>
        <w:tc>
          <w:tcPr>
            <w:tcW w:w="8460" w:type="dxa"/>
            <w:vAlign w:val="bottom"/>
          </w:tcPr>
          <w:p>
            <w:pPr>
              <w:ind w:left="380"/>
              <w:spacing w:after="0"/>
              <w:rPr>
                <w:sz w:val="20"/>
                <w:szCs w:val="20"/>
                <w:color w:val="auto"/>
              </w:rPr>
            </w:pPr>
            <w:r>
              <w:rPr>
                <w:rFonts w:ascii="Arial" w:cs="Arial" w:eastAsia="Arial" w:hAnsi="Arial"/>
                <w:sz w:val="14"/>
                <w:szCs w:val="14"/>
                <w:color w:val="auto"/>
              </w:rPr>
              <w:t>Regulatory assets - current</w:t>
            </w:r>
          </w:p>
        </w:tc>
        <w:tc>
          <w:tcPr>
            <w:tcW w:w="30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12,455</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41,655</w:t>
            </w:r>
          </w:p>
        </w:tc>
      </w:tr>
      <w:tr>
        <w:trPr>
          <w:trHeight w:val="222"/>
        </w:trPr>
        <w:tc>
          <w:tcPr>
            <w:tcW w:w="8460" w:type="dxa"/>
            <w:vAlign w:val="bottom"/>
            <w:shd w:val="clear" w:color="auto" w:fill="CEFFE7"/>
          </w:tcPr>
          <w:p>
            <w:pPr>
              <w:ind w:left="380"/>
              <w:spacing w:after="0"/>
              <w:rPr>
                <w:sz w:val="20"/>
                <w:szCs w:val="20"/>
                <w:color w:val="auto"/>
              </w:rPr>
            </w:pPr>
            <w:r>
              <w:rPr>
                <w:rFonts w:ascii="Arial" w:cs="Arial" w:eastAsia="Arial" w:hAnsi="Arial"/>
                <w:sz w:val="14"/>
                <w:szCs w:val="14"/>
                <w:color w:val="auto"/>
              </w:rPr>
              <w:t>Regulatory liabilities - current</w:t>
            </w:r>
          </w:p>
        </w:tc>
        <w:tc>
          <w:tcPr>
            <w:tcW w:w="300" w:type="dxa"/>
            <w:vAlign w:val="bottom"/>
            <w:shd w:val="clear" w:color="auto" w:fill="CEFFE7"/>
          </w:tcPr>
          <w:p>
            <w:pPr>
              <w:spacing w:after="0"/>
              <w:rPr>
                <w:sz w:val="19"/>
                <w:szCs w:val="19"/>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(15,644)</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21,416</w:t>
            </w:r>
          </w:p>
        </w:tc>
      </w:tr>
      <w:tr>
        <w:trPr>
          <w:trHeight w:val="197"/>
        </w:trPr>
        <w:tc>
          <w:tcPr>
            <w:tcW w:w="8460" w:type="dxa"/>
            <w:vAlign w:val="bottom"/>
          </w:tcPr>
          <w:p>
            <w:pPr>
              <w:ind w:left="180"/>
              <w:spacing w:after="0"/>
              <w:rPr>
                <w:sz w:val="20"/>
                <w:szCs w:val="20"/>
                <w:color w:val="auto"/>
              </w:rPr>
            </w:pPr>
            <w:r>
              <w:rPr>
                <w:rFonts w:ascii="Arial" w:cs="Arial" w:eastAsia="Arial" w:hAnsi="Arial"/>
                <w:sz w:val="14"/>
                <w:szCs w:val="14"/>
                <w:color w:val="auto"/>
              </w:rPr>
              <w:t>Contributions to defined benefit pension plans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(12,700)</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(12,700)</w:t>
            </w:r>
          </w:p>
        </w:tc>
      </w:tr>
      <w:tr>
        <w:trPr>
          <w:trHeight w:val="216"/>
        </w:trPr>
        <w:tc>
          <w:tcPr>
            <w:tcW w:w="8460" w:type="dxa"/>
            <w:vAlign w:val="bottom"/>
            <w:shd w:val="clear" w:color="auto" w:fill="CEFFE7"/>
          </w:tcPr>
          <w:p>
            <w:pPr>
              <w:ind w:left="180"/>
              <w:spacing w:after="0"/>
              <w:rPr>
                <w:sz w:val="20"/>
                <w:szCs w:val="20"/>
                <w:color w:val="auto"/>
              </w:rPr>
            </w:pPr>
            <w:r>
              <w:rPr>
                <w:rFonts w:ascii="Arial" w:cs="Arial" w:eastAsia="Arial" w:hAnsi="Arial"/>
                <w:sz w:val="14"/>
                <w:szCs w:val="14"/>
                <w:color w:val="auto"/>
              </w:rPr>
              <w:t>Other operating activities, net</w:t>
            </w:r>
          </w:p>
        </w:tc>
        <w:tc>
          <w:tcPr>
            <w:tcW w:w="30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3,307</w:t>
            </w:r>
          </w:p>
        </w:tc>
        <w:tc>
          <w:tcPr>
            <w:tcW w:w="52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2,007</w:t>
            </w:r>
          </w:p>
        </w:tc>
      </w:tr>
      <w:tr>
        <w:trPr>
          <w:trHeight w:val="210"/>
        </w:trPr>
        <w:tc>
          <w:tcPr>
            <w:tcW w:w="846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0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386,075</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380,884</w:t>
            </w:r>
          </w:p>
        </w:tc>
      </w:tr>
      <w:tr>
        <w:trPr>
          <w:trHeight w:val="216"/>
        </w:trPr>
        <w:tc>
          <w:tcPr>
            <w:tcW w:w="8460" w:type="dxa"/>
            <w:vAlign w:val="bottom"/>
            <w:shd w:val="clear" w:color="auto" w:fill="CEFFE7"/>
          </w:tcPr>
          <w:p>
            <w:pPr>
              <w:ind w:left="40"/>
              <w:spacing w:after="0"/>
              <w:rPr>
                <w:sz w:val="20"/>
                <w:szCs w:val="20"/>
                <w:color w:val="auto"/>
              </w:rPr>
            </w:pPr>
            <w:r>
              <w:rPr>
                <w:rFonts w:ascii="Arial" w:cs="Arial" w:eastAsia="Arial" w:hAnsi="Arial"/>
                <w:sz w:val="14"/>
                <w:szCs w:val="14"/>
                <w:color w:val="auto"/>
              </w:rPr>
              <w:t>Net cash provided by (used in) operating activities of discontinued operations</w:t>
            </w:r>
          </w:p>
        </w:tc>
        <w:tc>
          <w:tcPr>
            <w:tcW w:w="30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(2,162)</w:t>
            </w:r>
          </w:p>
        </w:tc>
      </w:tr>
      <w:tr>
        <w:trPr>
          <w:trHeight w:val="210"/>
        </w:trPr>
        <w:tc>
          <w:tcPr>
            <w:tcW w:w="846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386,075</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378,722</w:t>
            </w:r>
          </w:p>
        </w:tc>
      </w:tr>
      <w:tr>
        <w:trPr>
          <w:trHeight w:val="175"/>
        </w:trPr>
        <w:tc>
          <w:tcPr>
            <w:tcW w:w="8460" w:type="dxa"/>
            <w:vAlign w:val="bottom"/>
            <w:shd w:val="clear" w:color="auto" w:fill="CEFFE7"/>
          </w:tcPr>
          <w:p>
            <w:pPr>
              <w:spacing w:after="0"/>
              <w:rPr>
                <w:sz w:val="15"/>
                <w:szCs w:val="15"/>
                <w:color w:val="auto"/>
              </w:rPr>
            </w:pPr>
          </w:p>
        </w:tc>
        <w:tc>
          <w:tcPr>
            <w:tcW w:w="300" w:type="dxa"/>
            <w:vAlign w:val="bottom"/>
            <w:shd w:val="clear" w:color="auto" w:fill="CEFFE7"/>
          </w:tcPr>
          <w:p>
            <w:pPr>
              <w:spacing w:after="0"/>
              <w:rPr>
                <w:sz w:val="15"/>
                <w:szCs w:val="15"/>
                <w:color w:val="auto"/>
              </w:rPr>
            </w:pPr>
          </w:p>
        </w:tc>
        <w:tc>
          <w:tcPr>
            <w:tcW w:w="1180" w:type="dxa"/>
            <w:vAlign w:val="bottom"/>
            <w:shd w:val="clear" w:color="auto" w:fill="CEFFE7"/>
          </w:tcPr>
          <w:p>
            <w:pPr>
              <w:spacing w:after="0"/>
              <w:rPr>
                <w:sz w:val="15"/>
                <w:szCs w:val="15"/>
                <w:color w:val="auto"/>
              </w:rPr>
            </w:pPr>
          </w:p>
        </w:tc>
        <w:tc>
          <w:tcPr>
            <w:tcW w:w="520" w:type="dxa"/>
            <w:vAlign w:val="bottom"/>
            <w:shd w:val="clear" w:color="auto" w:fill="CEFFE7"/>
          </w:tcPr>
          <w:p>
            <w:pPr>
              <w:spacing w:after="0"/>
              <w:rPr>
                <w:sz w:val="15"/>
                <w:szCs w:val="15"/>
                <w:color w:val="auto"/>
              </w:rPr>
            </w:pPr>
          </w:p>
        </w:tc>
        <w:tc>
          <w:tcPr>
            <w:tcW w:w="960" w:type="dxa"/>
            <w:vAlign w:val="bottom"/>
            <w:shd w:val="clear" w:color="auto" w:fill="CEFFE7"/>
          </w:tcPr>
          <w:p>
            <w:pPr>
              <w:spacing w:after="0"/>
              <w:rPr>
                <w:sz w:val="15"/>
                <w:szCs w:val="15"/>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09"/>
        </w:trPr>
        <w:tc>
          <w:tcPr>
            <w:tcW w:w="8460" w:type="dxa"/>
            <w:vAlign w:val="bottom"/>
            <w:shd w:val="clear" w:color="auto" w:fill="CEFFE7"/>
          </w:tcPr>
          <w:p>
            <w:pPr>
              <w:ind w:left="240"/>
              <w:spacing w:after="0"/>
              <w:rPr>
                <w:sz w:val="20"/>
                <w:szCs w:val="20"/>
                <w:color w:val="auto"/>
              </w:rPr>
            </w:pPr>
            <w:r>
              <w:rPr>
                <w:rFonts w:ascii="Arial" w:cs="Arial" w:eastAsia="Arial" w:hAnsi="Arial"/>
                <w:sz w:val="14"/>
                <w:szCs w:val="14"/>
                <w:color w:val="auto"/>
              </w:rPr>
              <w:t>Property, plant and equipment additions</w:t>
            </w:r>
          </w:p>
        </w:tc>
        <w:tc>
          <w:tcPr>
            <w:tcW w:w="300" w:type="dxa"/>
            <w:vAlign w:val="bottom"/>
            <w:shd w:val="clear" w:color="auto" w:fill="CEFFE7"/>
          </w:tcPr>
          <w:p>
            <w:pPr>
              <w:spacing w:after="0"/>
              <w:rPr>
                <w:sz w:val="18"/>
                <w:szCs w:val="18"/>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(592,537)</w:t>
            </w:r>
          </w:p>
        </w:tc>
        <w:tc>
          <w:tcPr>
            <w:tcW w:w="52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(278,132)</w:t>
            </w:r>
          </w:p>
        </w:tc>
      </w:tr>
      <w:tr>
        <w:trPr>
          <w:trHeight w:val="210"/>
        </w:trPr>
        <w:tc>
          <w:tcPr>
            <w:tcW w:w="8460" w:type="dxa"/>
            <w:vAlign w:val="bottom"/>
          </w:tcPr>
          <w:p>
            <w:pPr>
              <w:ind w:left="240"/>
              <w:spacing w:after="0"/>
              <w:rPr>
                <w:sz w:val="20"/>
                <w:szCs w:val="20"/>
                <w:color w:val="auto"/>
              </w:rPr>
            </w:pPr>
            <w:r>
              <w:rPr>
                <w:rFonts w:ascii="Arial" w:cs="Arial" w:eastAsia="Arial" w:hAnsi="Arial"/>
                <w:sz w:val="14"/>
                <w:szCs w:val="14"/>
                <w:color w:val="auto"/>
              </w:rPr>
              <w:t>Purchase of investment</w:t>
            </w:r>
          </w:p>
        </w:tc>
        <w:tc>
          <w:tcPr>
            <w:tcW w:w="30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(24,429)</w:t>
            </w:r>
          </w:p>
        </w:tc>
      </w:tr>
      <w:tr>
        <w:trPr>
          <w:trHeight w:val="216"/>
        </w:trPr>
        <w:tc>
          <w:tcPr>
            <w:tcW w:w="8460" w:type="dxa"/>
            <w:vAlign w:val="bottom"/>
            <w:shd w:val="clear" w:color="auto" w:fill="CEFFE7"/>
          </w:tcPr>
          <w:p>
            <w:pPr>
              <w:ind w:left="240"/>
              <w:spacing w:after="0"/>
              <w:rPr>
                <w:sz w:val="20"/>
                <w:szCs w:val="20"/>
                <w:color w:val="auto"/>
              </w:rPr>
            </w:pPr>
            <w:r>
              <w:rPr>
                <w:rFonts w:ascii="Arial" w:cs="Arial" w:eastAsia="Arial" w:hAnsi="Arial"/>
                <w:sz w:val="14"/>
                <w:szCs w:val="14"/>
                <w:color w:val="auto"/>
              </w:rPr>
              <w:t>Other investing activities</w:t>
            </w:r>
          </w:p>
        </w:tc>
        <w:tc>
          <w:tcPr>
            <w:tcW w:w="30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(735)</w:t>
            </w:r>
          </w:p>
        </w:tc>
        <w:tc>
          <w:tcPr>
            <w:tcW w:w="52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2,766</w:t>
            </w:r>
          </w:p>
        </w:tc>
      </w:tr>
      <w:tr>
        <w:trPr>
          <w:trHeight w:val="196"/>
        </w:trPr>
        <w:tc>
          <w:tcPr>
            <w:tcW w:w="8460" w:type="dxa"/>
            <w:vAlign w:val="bottom"/>
          </w:tcPr>
          <w:p>
            <w:pPr>
              <w:ind w:left="40"/>
              <w:spacing w:after="0"/>
              <w:rPr>
                <w:sz w:val="20"/>
                <w:szCs w:val="20"/>
                <w:color w:val="auto"/>
              </w:rPr>
            </w:pPr>
            <w:r>
              <w:rPr>
                <w:rFonts w:ascii="Arial" w:cs="Arial" w:eastAsia="Arial" w:hAnsi="Arial"/>
                <w:sz w:val="14"/>
                <w:szCs w:val="14"/>
                <w:color w:val="auto"/>
              </w:rPr>
              <w:t>Net cash provided by (used in) investing activities of continuing operations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(593,272)</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(299,795)</w:t>
            </w:r>
          </w:p>
        </w:tc>
      </w:tr>
      <w:tr>
        <w:trPr>
          <w:trHeight w:val="216"/>
        </w:trPr>
        <w:tc>
          <w:tcPr>
            <w:tcW w:w="8460" w:type="dxa"/>
            <w:vAlign w:val="bottom"/>
            <w:shd w:val="clear" w:color="auto" w:fill="CEFFE7"/>
          </w:tcPr>
          <w:p>
            <w:pPr>
              <w:ind w:left="40"/>
              <w:spacing w:after="0"/>
              <w:rPr>
                <w:sz w:val="20"/>
                <w:szCs w:val="20"/>
                <w:color w:val="auto"/>
              </w:rPr>
            </w:pPr>
            <w:r>
              <w:rPr>
                <w:rFonts w:ascii="Arial" w:cs="Arial" w:eastAsia="Arial" w:hAnsi="Arial"/>
                <w:sz w:val="14"/>
                <w:szCs w:val="14"/>
                <w:color w:val="auto"/>
              </w:rPr>
              <w:t>Net cash provided by investing activities of discontinued operations</w:t>
            </w:r>
          </w:p>
        </w:tc>
        <w:tc>
          <w:tcPr>
            <w:tcW w:w="30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18,024</w:t>
            </w:r>
          </w:p>
        </w:tc>
      </w:tr>
      <w:tr>
        <w:trPr>
          <w:trHeight w:val="196"/>
        </w:trPr>
        <w:tc>
          <w:tcPr>
            <w:tcW w:w="846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(593,272)</w:t>
            </w: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(281,771)</w:t>
            </w:r>
          </w:p>
        </w:tc>
      </w:tr>
      <w:tr>
        <w:trPr>
          <w:trHeight w:val="270"/>
        </w:trPr>
        <w:tc>
          <w:tcPr>
            <w:tcW w:w="846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960" w:type="dxa"/>
            <w:vAlign w:val="bottom"/>
            <w:shd w:val="clear" w:color="auto" w:fill="CEFFE7"/>
          </w:tcPr>
          <w:p>
            <w:pPr>
              <w:spacing w:after="0"/>
              <w:rPr>
                <w:sz w:val="23"/>
                <w:szCs w:val="23"/>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09"/>
        </w:trPr>
        <w:tc>
          <w:tcPr>
            <w:tcW w:w="8460" w:type="dxa"/>
            <w:vAlign w:val="bottom"/>
            <w:shd w:val="clear" w:color="auto" w:fill="CEFFE7"/>
          </w:tcPr>
          <w:p>
            <w:pPr>
              <w:ind w:left="280"/>
              <w:spacing w:after="0"/>
              <w:rPr>
                <w:sz w:val="20"/>
                <w:szCs w:val="20"/>
                <w:color w:val="auto"/>
              </w:rPr>
            </w:pPr>
            <w:r>
              <w:rPr>
                <w:rFonts w:ascii="Arial" w:cs="Arial" w:eastAsia="Arial" w:hAnsi="Arial"/>
                <w:sz w:val="14"/>
                <w:szCs w:val="14"/>
                <w:color w:val="auto"/>
              </w:rPr>
              <w:t>Dividends paid on common stock</w:t>
            </w:r>
          </w:p>
        </w:tc>
        <w:tc>
          <w:tcPr>
            <w:tcW w:w="300" w:type="dxa"/>
            <w:vAlign w:val="bottom"/>
            <w:shd w:val="clear" w:color="auto" w:fill="CEFFE7"/>
          </w:tcPr>
          <w:p>
            <w:pPr>
              <w:spacing w:after="0"/>
              <w:rPr>
                <w:sz w:val="18"/>
                <w:szCs w:val="18"/>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(91,779)</w:t>
            </w:r>
          </w:p>
        </w:tc>
        <w:tc>
          <w:tcPr>
            <w:tcW w:w="52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(76,309)</w:t>
            </w:r>
          </w:p>
        </w:tc>
      </w:tr>
      <w:tr>
        <w:trPr>
          <w:trHeight w:val="210"/>
        </w:trPr>
        <w:tc>
          <w:tcPr>
            <w:tcW w:w="8460" w:type="dxa"/>
            <w:vAlign w:val="bottom"/>
          </w:tcPr>
          <w:p>
            <w:pPr>
              <w:ind w:left="280"/>
              <w:spacing w:after="0"/>
              <w:rPr>
                <w:sz w:val="20"/>
                <w:szCs w:val="20"/>
                <w:color w:val="auto"/>
              </w:rPr>
            </w:pPr>
            <w:r>
              <w:rPr>
                <w:rFonts w:ascii="Arial" w:cs="Arial" w:eastAsia="Arial" w:hAnsi="Arial"/>
                <w:sz w:val="14"/>
                <w:szCs w:val="14"/>
                <w:color w:val="auto"/>
              </w:rPr>
              <w:t>Common stock issued</w:t>
            </w:r>
          </w:p>
        </w:tc>
        <w:tc>
          <w:tcPr>
            <w:tcW w:w="30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101,361</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1,079</w:t>
            </w:r>
          </w:p>
        </w:tc>
      </w:tr>
      <w:tr>
        <w:trPr>
          <w:trHeight w:val="222"/>
        </w:trPr>
        <w:tc>
          <w:tcPr>
            <w:tcW w:w="8460" w:type="dxa"/>
            <w:vAlign w:val="bottom"/>
            <w:shd w:val="clear" w:color="auto" w:fill="CEFFE7"/>
          </w:tcPr>
          <w:p>
            <w:pPr>
              <w:ind w:left="280"/>
              <w:spacing w:after="0"/>
              <w:rPr>
                <w:sz w:val="20"/>
                <w:szCs w:val="20"/>
                <w:color w:val="auto"/>
              </w:rPr>
            </w:pPr>
            <w:r>
              <w:rPr>
                <w:rFonts w:ascii="Arial" w:cs="Arial" w:eastAsia="Arial" w:hAnsi="Arial"/>
                <w:sz w:val="14"/>
                <w:szCs w:val="14"/>
                <w:color w:val="auto"/>
              </w:rPr>
              <w:t>Net (payments) borrowings of short-term debt</w:t>
            </w:r>
          </w:p>
        </w:tc>
        <w:tc>
          <w:tcPr>
            <w:tcW w:w="300" w:type="dxa"/>
            <w:vAlign w:val="bottom"/>
            <w:shd w:val="clear" w:color="auto" w:fill="CEFFE7"/>
          </w:tcPr>
          <w:p>
            <w:pPr>
              <w:spacing w:after="0"/>
              <w:rPr>
                <w:sz w:val="19"/>
                <w:szCs w:val="19"/>
                <w:color w:val="auto"/>
              </w:rPr>
            </w:pPr>
          </w:p>
        </w:tc>
        <w:tc>
          <w:tcPr>
            <w:tcW w:w="118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109,280</w:t>
            </w:r>
          </w:p>
        </w:tc>
        <w:tc>
          <w:tcPr>
            <w:tcW w:w="52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(99,200)</w:t>
            </w:r>
          </w:p>
        </w:tc>
      </w:tr>
      <w:tr>
        <w:trPr>
          <w:trHeight w:val="210"/>
        </w:trPr>
        <w:tc>
          <w:tcPr>
            <w:tcW w:w="8460" w:type="dxa"/>
            <w:vAlign w:val="bottom"/>
          </w:tcPr>
          <w:p>
            <w:pPr>
              <w:ind w:left="280"/>
              <w:spacing w:after="0"/>
              <w:rPr>
                <w:sz w:val="20"/>
                <w:szCs w:val="20"/>
                <w:color w:val="auto"/>
              </w:rPr>
            </w:pPr>
            <w:r>
              <w:rPr>
                <w:rFonts w:ascii="Arial" w:cs="Arial" w:eastAsia="Arial" w:hAnsi="Arial"/>
                <w:sz w:val="14"/>
                <w:szCs w:val="14"/>
                <w:color w:val="auto"/>
              </w:rPr>
              <w:t>Long-term debt - issuances</w:t>
            </w:r>
          </w:p>
        </w:tc>
        <w:tc>
          <w:tcPr>
            <w:tcW w:w="300" w:type="dxa"/>
            <w:vAlign w:val="bottom"/>
          </w:tcPr>
          <w:p>
            <w:pPr>
              <w:spacing w:after="0"/>
              <w:rPr>
                <w:sz w:val="18"/>
                <w:szCs w:val="18"/>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400,000</w:t>
            </w:r>
          </w:p>
        </w:tc>
        <w:tc>
          <w:tcPr>
            <w:tcW w:w="52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700,000</w:t>
            </w:r>
          </w:p>
        </w:tc>
      </w:tr>
      <w:tr>
        <w:trPr>
          <w:trHeight w:val="209"/>
        </w:trPr>
        <w:tc>
          <w:tcPr>
            <w:tcW w:w="8460" w:type="dxa"/>
            <w:vAlign w:val="bottom"/>
            <w:shd w:val="clear" w:color="auto" w:fill="CEFFE7"/>
          </w:tcPr>
          <w:p>
            <w:pPr>
              <w:ind w:left="280"/>
              <w:spacing w:after="0"/>
              <w:rPr>
                <w:sz w:val="20"/>
                <w:szCs w:val="20"/>
                <w:color w:val="auto"/>
              </w:rPr>
            </w:pPr>
            <w:r>
              <w:rPr>
                <w:rFonts w:ascii="Arial" w:cs="Arial" w:eastAsia="Arial" w:hAnsi="Arial"/>
                <w:sz w:val="14"/>
                <w:szCs w:val="14"/>
                <w:color w:val="auto"/>
              </w:rPr>
              <w:t>Long-term debt - repayments</w:t>
            </w:r>
          </w:p>
        </w:tc>
        <w:tc>
          <w:tcPr>
            <w:tcW w:w="300" w:type="dxa"/>
            <w:vAlign w:val="bottom"/>
            <w:shd w:val="clear" w:color="auto" w:fill="CEFFE7"/>
          </w:tcPr>
          <w:p>
            <w:pPr>
              <w:spacing w:after="0"/>
              <w:rPr>
                <w:sz w:val="18"/>
                <w:szCs w:val="18"/>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(304,307)</w:t>
            </w:r>
          </w:p>
        </w:tc>
        <w:tc>
          <w:tcPr>
            <w:tcW w:w="520" w:type="dxa"/>
            <w:vAlign w:val="bottom"/>
            <w:shd w:val="clear" w:color="auto" w:fill="CEFFE7"/>
          </w:tcPr>
          <w:p>
            <w:pPr>
              <w:spacing w:after="0"/>
              <w:rPr>
                <w:sz w:val="18"/>
                <w:szCs w:val="18"/>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(603,307)</w:t>
            </w:r>
          </w:p>
        </w:tc>
      </w:tr>
      <w:tr>
        <w:trPr>
          <w:trHeight w:val="197"/>
        </w:trPr>
        <w:tc>
          <w:tcPr>
            <w:tcW w:w="8460" w:type="dxa"/>
            <w:vAlign w:val="bottom"/>
          </w:tcPr>
          <w:p>
            <w:pPr>
              <w:ind w:left="280"/>
              <w:spacing w:after="0"/>
              <w:rPr>
                <w:sz w:val="20"/>
                <w:szCs w:val="20"/>
                <w:color w:val="auto"/>
              </w:rPr>
            </w:pPr>
            <w:r>
              <w:rPr>
                <w:rFonts w:ascii="Arial" w:cs="Arial" w:eastAsia="Arial" w:hAnsi="Arial"/>
                <w:sz w:val="14"/>
                <w:szCs w:val="14"/>
                <w:color w:val="auto"/>
              </w:rPr>
              <w:t>Distributions to noncontrolling interest</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(12,736)</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(13,755)</w:t>
            </w:r>
          </w:p>
        </w:tc>
      </w:tr>
      <w:tr>
        <w:trPr>
          <w:trHeight w:val="203"/>
        </w:trPr>
        <w:tc>
          <w:tcPr>
            <w:tcW w:w="8460" w:type="dxa"/>
            <w:vAlign w:val="bottom"/>
            <w:shd w:val="clear" w:color="auto" w:fill="CEFFE7"/>
          </w:tcPr>
          <w:p>
            <w:pPr>
              <w:ind w:left="280"/>
              <w:spacing w:after="0"/>
              <w:rPr>
                <w:sz w:val="20"/>
                <w:szCs w:val="20"/>
                <w:color w:val="auto"/>
              </w:rPr>
            </w:pPr>
            <w:r>
              <w:rPr>
                <w:rFonts w:ascii="Arial" w:cs="Arial" w:eastAsia="Arial" w:hAnsi="Arial"/>
                <w:sz w:val="14"/>
                <w:szCs w:val="14"/>
                <w:color w:val="auto"/>
              </w:rPr>
              <w:t>Other financing activities</w:t>
            </w:r>
          </w:p>
        </w:tc>
        <w:tc>
          <w:tcPr>
            <w:tcW w:w="300" w:type="dxa"/>
            <w:vAlign w:val="bottom"/>
            <w:tcBorders>
              <w:bottom w:val="single" w:sz="8" w:color="auto"/>
            </w:tcBorders>
            <w:shd w:val="clear" w:color="auto" w:fill="CEFFE7"/>
          </w:tcPr>
          <w:p>
            <w:pPr>
              <w:spacing w:after="0"/>
              <w:rPr>
                <w:sz w:val="17"/>
                <w:szCs w:val="17"/>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(1,992)</w:t>
            </w:r>
          </w:p>
        </w:tc>
        <w:tc>
          <w:tcPr>
            <w:tcW w:w="520" w:type="dxa"/>
            <w:vAlign w:val="bottom"/>
            <w:tcBorders>
              <w:bottom w:val="single" w:sz="8" w:color="auto"/>
            </w:tcBorders>
            <w:shd w:val="clear" w:color="auto" w:fill="CEFFE7"/>
          </w:tcPr>
          <w:p>
            <w:pPr>
              <w:spacing w:after="0"/>
              <w:rPr>
                <w:sz w:val="17"/>
                <w:szCs w:val="17"/>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(10,457)</w:t>
            </w:r>
          </w:p>
        </w:tc>
      </w:tr>
      <w:tr>
        <w:trPr>
          <w:trHeight w:val="210"/>
        </w:trPr>
        <w:tc>
          <w:tcPr>
            <w:tcW w:w="846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199,827</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(101,949)</w:t>
            </w:r>
          </w:p>
        </w:tc>
      </w:tr>
      <w:tr>
        <w:trPr>
          <w:trHeight w:val="202"/>
        </w:trPr>
        <w:tc>
          <w:tcPr>
            <w:tcW w:w="8460" w:type="dxa"/>
            <w:vAlign w:val="bottom"/>
            <w:shd w:val="clear" w:color="auto" w:fill="CEFFE7"/>
          </w:tcPr>
          <w:p>
            <w:pPr>
              <w:ind w:left="280"/>
              <w:spacing w:after="0"/>
              <w:rPr>
                <w:sz w:val="20"/>
                <w:szCs w:val="20"/>
                <w:color w:val="auto"/>
              </w:rPr>
            </w:pPr>
            <w:r>
              <w:rPr>
                <w:rFonts w:ascii="Arial" w:cs="Arial" w:eastAsia="Arial" w:hAnsi="Arial"/>
                <w:sz w:val="14"/>
                <w:szCs w:val="14"/>
                <w:color w:val="auto"/>
              </w:rPr>
              <w:t>Net change in cash, cash equivalents and restricted cash</w:t>
            </w:r>
          </w:p>
        </w:tc>
        <w:tc>
          <w:tcPr>
            <w:tcW w:w="300" w:type="dxa"/>
            <w:vAlign w:val="bottom"/>
            <w:shd w:val="clear" w:color="auto" w:fill="CEFFE7"/>
          </w:tcPr>
          <w:p>
            <w:pPr>
              <w:spacing w:after="0"/>
              <w:rPr>
                <w:sz w:val="17"/>
                <w:szCs w:val="17"/>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(7,370)</w:t>
            </w:r>
          </w:p>
        </w:tc>
        <w:tc>
          <w:tcPr>
            <w:tcW w:w="520" w:type="dxa"/>
            <w:vAlign w:val="bottom"/>
            <w:shd w:val="clear" w:color="auto" w:fill="CEFFE7"/>
          </w:tcPr>
          <w:p>
            <w:pPr>
              <w:spacing w:after="0"/>
              <w:rPr>
                <w:sz w:val="17"/>
                <w:szCs w:val="17"/>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(4,998)</w:t>
            </w:r>
          </w:p>
        </w:tc>
      </w:tr>
      <w:tr>
        <w:trPr>
          <w:trHeight w:val="210"/>
        </w:trPr>
        <w:tc>
          <w:tcPr>
            <w:tcW w:w="846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24,145</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18,240</w:t>
            </w:r>
          </w:p>
        </w:tc>
      </w:tr>
      <w:tr>
        <w:trPr>
          <w:trHeight w:val="216"/>
        </w:trPr>
        <w:tc>
          <w:tcPr>
            <w:tcW w:w="8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300" w:type="dxa"/>
            <w:vAlign w:val="bottom"/>
            <w:tcBorders>
              <w:bottom w:val="single" w:sz="8" w:color="auto"/>
            </w:tcBorders>
            <w:shd w:val="clear" w:color="auto" w:fill="CEFFE7"/>
          </w:tcPr>
          <w:p>
            <w:pPr>
              <w:jc w:val="right"/>
              <w:ind w:right="1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16,775</w:t>
            </w:r>
          </w:p>
        </w:tc>
        <w:tc>
          <w:tcPr>
            <w:tcW w:w="520" w:type="dxa"/>
            <w:vAlign w:val="bottom"/>
            <w:tcBorders>
              <w:bottom w:val="single" w:sz="8" w:color="auto"/>
            </w:tcBorders>
            <w:shd w:val="clear" w:color="auto" w:fill="CEFFE7"/>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13,242</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 14 for supplemental disclosure of cash flow information.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Condensed Consolidated Financial Statements are an integral part of these Condensed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EQUITY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ind w:left="40"/>
              <w:spacing w:after="0"/>
              <w:rPr>
                <w:sz w:val="20"/>
                <w:szCs w:val="20"/>
                <w:color w:val="auto"/>
              </w:rPr>
            </w:pPr>
            <w:r>
              <w:rPr>
                <w:rFonts w:ascii="Arial" w:cs="Arial" w:eastAsia="Arial" w:hAnsi="Arial"/>
                <w:sz w:val="14"/>
                <w:szCs w:val="14"/>
                <w:color w:val="auto"/>
              </w:rPr>
              <w:t>(unaudited)</w:t>
            </w:r>
          </w:p>
        </w:tc>
        <w:tc>
          <w:tcPr>
            <w:tcW w:w="190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color w:val="auto"/>
              </w:rPr>
              <w:t>Common Stock</w:t>
            </w:r>
          </w:p>
        </w:tc>
        <w:tc>
          <w:tcPr>
            <w:tcW w:w="16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43"/>
        </w:trPr>
        <w:tc>
          <w:tcPr>
            <w:tcW w:w="3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3"/>
              </w:rPr>
              <w:t>Non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3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Paid in</w:t>
            </w:r>
          </w:p>
        </w:tc>
        <w:tc>
          <w:tcPr>
            <w:tcW w:w="160" w:type="dxa"/>
            <w:vAlign w:val="bottom"/>
          </w:tcPr>
          <w:p>
            <w:pPr>
              <w:spacing w:after="0"/>
              <w:rPr>
                <w:sz w:val="12"/>
                <w:szCs w:val="12"/>
                <w:color w:val="auto"/>
              </w:rPr>
            </w:pP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6"/>
              </w:rPr>
              <w:t>Retained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controlling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8"/>
        </w:trPr>
        <w:tc>
          <w:tcPr>
            <w:tcW w:w="344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(in thousands except share amounts)</w:t>
            </w: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Value</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Shares</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Capital</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7"/>
              </w:rPr>
              <w:t>Earnings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AOCI</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4"/>
              </w:rPr>
              <w:t>Interest</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r>
      <w:tr>
        <w:trPr>
          <w:trHeight w:val="216"/>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b w:val="1"/>
                <w:bCs w:val="1"/>
                <w:color w:val="auto"/>
              </w:rPr>
              <w:t>December 31, 2018</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60,048,567</w:t>
            </w:r>
          </w:p>
        </w:tc>
        <w:tc>
          <w:tcPr>
            <w:tcW w:w="2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60,049</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44,253</w:t>
            </w:r>
          </w:p>
        </w:tc>
        <w:tc>
          <w:tcPr>
            <w:tcW w:w="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(2,510)</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1,450,569</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700,396</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(26,916)</w:t>
            </w:r>
          </w:p>
        </w:tc>
        <w:tc>
          <w:tcPr>
            <w:tcW w:w="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105,835</w:t>
            </w:r>
          </w:p>
        </w:tc>
        <w:tc>
          <w:tcPr>
            <w:tcW w:w="22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2,287,423</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Net income available for common stock</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103,808</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3,554</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107,362</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457</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457</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Dividends on common stock ($0.505 per share)</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(30,332)</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(30,332)</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Share-based compensation</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48,956</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49</w:t>
            </w: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(20,497)</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1,078</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(589)</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538</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Issuance of common stock</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280,497</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280</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19,719</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19,999</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Issuance costs</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(289)</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(289)</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Implementation of ASU 2016-02 Leases</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3,390</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3,390</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Distributions to noncontrolling interest</w:t>
            </w:r>
          </w:p>
        </w:tc>
        <w:tc>
          <w:tcPr>
            <w:tcW w:w="10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EFFE7"/>
          </w:tcPr>
          <w:p>
            <w:pPr>
              <w:spacing w:after="0"/>
              <w:rPr>
                <w:sz w:val="19"/>
                <w:szCs w:val="19"/>
                <w:color w:val="auto"/>
              </w:rPr>
            </w:pPr>
          </w:p>
        </w:tc>
        <w:tc>
          <w:tcPr>
            <w:tcW w:w="680" w:type="dxa"/>
            <w:vAlign w:val="bottom"/>
            <w:tcBorders>
              <w:bottom w:val="single" w:sz="8" w:color="auto"/>
            </w:tcBorders>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EFFE7"/>
          </w:tcPr>
          <w:p>
            <w:pPr>
              <w:spacing w:after="0"/>
              <w:rPr>
                <w:sz w:val="19"/>
                <w:szCs w:val="19"/>
                <w:color w:val="auto"/>
              </w:rPr>
            </w:pPr>
          </w:p>
        </w:tc>
        <w:tc>
          <w:tcPr>
            <w:tcW w:w="66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EFFE7"/>
          </w:tcPr>
          <w:p>
            <w:pPr>
              <w:spacing w:after="0"/>
              <w:rPr>
                <w:sz w:val="19"/>
                <w:szCs w:val="19"/>
                <w:color w:val="auto"/>
              </w:rPr>
            </w:pPr>
          </w:p>
        </w:tc>
        <w:tc>
          <w:tcPr>
            <w:tcW w:w="76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9"/>
                <w:szCs w:val="19"/>
                <w:color w:val="auto"/>
              </w:rPr>
            </w:pPr>
          </w:p>
        </w:tc>
        <w:tc>
          <w:tcPr>
            <w:tcW w:w="74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9"/>
                <w:szCs w:val="19"/>
                <w:color w:val="auto"/>
              </w:rPr>
            </w:pPr>
          </w:p>
        </w:tc>
        <w:tc>
          <w:tcPr>
            <w:tcW w:w="6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EFFE7"/>
          </w:tcPr>
          <w:p>
            <w:pPr>
              <w:spacing w:after="0"/>
              <w:rPr>
                <w:sz w:val="19"/>
                <w:szCs w:val="19"/>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(4,846)</w:t>
            </w:r>
          </w:p>
        </w:tc>
        <w:tc>
          <w:tcPr>
            <w:tcW w:w="220" w:type="dxa"/>
            <w:vAlign w:val="bottom"/>
            <w:tcBorders>
              <w:bottom w:val="single" w:sz="8" w:color="auto"/>
            </w:tcBorders>
            <w:shd w:val="clear" w:color="auto" w:fill="CEFFE7"/>
          </w:tcPr>
          <w:p>
            <w:pPr>
              <w:spacing w:after="0"/>
              <w:rPr>
                <w:sz w:val="19"/>
                <w:szCs w:val="19"/>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(4,846)</w:t>
            </w:r>
          </w:p>
        </w:tc>
      </w:tr>
      <w:tr>
        <w:trPr>
          <w:trHeight w:val="204"/>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March 31, 2019</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60,378,020</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60,378</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23,756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(1,432)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1,469,410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777,262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(26,459)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104,543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2,383,702</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Net income available for common stock</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14,583</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3,110</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17,693</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232</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Dividends on common stock ($0.505 per share)</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(30,620)</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(30,620)</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54,767</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54</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1,603</w:t>
            </w:r>
          </w:p>
        </w:tc>
        <w:tc>
          <w:tcPr>
            <w:tcW w:w="20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3,948</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3,890</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Issuance of common stock</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658,598</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659</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49,342</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50,001</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Issuance costs</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(492)</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(492)</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Implementation of ASU 2016-02 Leases</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w:t>
            </w:r>
          </w:p>
        </w:tc>
      </w:tr>
      <w:tr>
        <w:trPr>
          <w:trHeight w:val="210"/>
        </w:trPr>
        <w:tc>
          <w:tcPr>
            <w:tcW w:w="344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Distributions to noncontrolling interest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(4,405)</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(4,405)</w:t>
            </w:r>
          </w:p>
        </w:tc>
      </w:tr>
      <w:tr>
        <w:trPr>
          <w:trHeight w:val="216"/>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b w:val="1"/>
                <w:bCs w:val="1"/>
                <w:color w:val="auto"/>
              </w:rPr>
              <w:t>June 30, 2019</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61,091,385</w:t>
            </w:r>
          </w:p>
        </w:tc>
        <w:tc>
          <w:tcPr>
            <w:tcW w:w="2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61,091</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25,359</w:t>
            </w:r>
          </w:p>
        </w:tc>
        <w:tc>
          <w:tcPr>
            <w:tcW w:w="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(1,544)</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1,522,208</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761,222</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(26,227)</w:t>
            </w:r>
          </w:p>
        </w:tc>
        <w:tc>
          <w:tcPr>
            <w:tcW w:w="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103,248</w:t>
            </w:r>
          </w:p>
        </w:tc>
        <w:tc>
          <w:tcPr>
            <w:tcW w:w="22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2,419,998</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Net income (loss) available for common stock</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11,740</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3,655</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15,395</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532</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532</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Dividends on common stock ($0.505 per share)</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(30,827)</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(30,827)</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Share-based compensation</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1,213</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1,769</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1,677</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Issuance of common stock</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389,237</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390</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29,611</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30,001</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Issuance costs</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(398)</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(398)</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Implementation of ASU 2016-02 Leases</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16"/>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Distributions to noncontrolling interest</w:t>
            </w:r>
          </w:p>
        </w:tc>
        <w:tc>
          <w:tcPr>
            <w:tcW w:w="10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EFFE7"/>
          </w:tcPr>
          <w:p>
            <w:pPr>
              <w:spacing w:after="0"/>
              <w:rPr>
                <w:sz w:val="18"/>
                <w:szCs w:val="18"/>
                <w:color w:val="auto"/>
              </w:rPr>
            </w:pPr>
          </w:p>
        </w:tc>
        <w:tc>
          <w:tcPr>
            <w:tcW w:w="680" w:type="dxa"/>
            <w:vAlign w:val="bottom"/>
            <w:tcBorders>
              <w:bottom w:val="single" w:sz="8" w:color="auto"/>
            </w:tcBorders>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EFFE7"/>
          </w:tcPr>
          <w:p>
            <w:pPr>
              <w:spacing w:after="0"/>
              <w:rPr>
                <w:sz w:val="18"/>
                <w:szCs w:val="18"/>
                <w:color w:val="auto"/>
              </w:rPr>
            </w:pPr>
          </w:p>
        </w:tc>
        <w:tc>
          <w:tcPr>
            <w:tcW w:w="66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8"/>
                <w:szCs w:val="18"/>
                <w:color w:val="auto"/>
              </w:rPr>
            </w:pPr>
          </w:p>
        </w:tc>
        <w:tc>
          <w:tcPr>
            <w:tcW w:w="74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8"/>
                <w:szCs w:val="18"/>
                <w:color w:val="auto"/>
              </w:rPr>
            </w:pPr>
          </w:p>
        </w:tc>
        <w:tc>
          <w:tcPr>
            <w:tcW w:w="6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(3,485)</w:t>
            </w:r>
          </w:p>
        </w:tc>
        <w:tc>
          <w:tcPr>
            <w:tcW w:w="22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(3,485)</w:t>
            </w:r>
          </w:p>
        </w:tc>
      </w:tr>
      <w:tr>
        <w:trPr>
          <w:trHeight w:val="216"/>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September 30, 2019</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61,480,640</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61,481</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26,572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(1,636)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1,553,190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742,138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(25,695)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103,418</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2,432,896</w:t>
            </w:r>
          </w:p>
        </w:tc>
      </w:tr>
      <w:tr>
        <w:trPr>
          <w:trHeight w:val="20"/>
        </w:trPr>
        <w:tc>
          <w:tcPr>
            <w:tcW w:w="3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6" w:right="2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90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color w:val="auto"/>
              </w:rPr>
              <w:t>Common Stock</w:t>
            </w:r>
          </w:p>
        </w:tc>
        <w:tc>
          <w:tcPr>
            <w:tcW w:w="16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43"/>
        </w:trPr>
        <w:tc>
          <w:tcPr>
            <w:tcW w:w="3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3"/>
              </w:rPr>
              <w:t>Non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3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Paid in</w:t>
            </w:r>
          </w:p>
        </w:tc>
        <w:tc>
          <w:tcPr>
            <w:tcW w:w="160" w:type="dxa"/>
            <w:vAlign w:val="bottom"/>
          </w:tcPr>
          <w:p>
            <w:pPr>
              <w:spacing w:after="0"/>
              <w:rPr>
                <w:sz w:val="12"/>
                <w:szCs w:val="12"/>
                <w:color w:val="auto"/>
              </w:rPr>
            </w:pP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6"/>
              </w:rPr>
              <w:t>Retained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controlling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8"/>
        </w:trPr>
        <w:tc>
          <w:tcPr>
            <w:tcW w:w="344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(in thousands except share amounts)</w:t>
            </w: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Value</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Capital</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7"/>
              </w:rPr>
              <w:t>Earnings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AOCI</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4"/>
              </w:rPr>
              <w:t>Interest</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r>
      <w:tr>
        <w:trPr>
          <w:trHeight w:val="216"/>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b w:val="1"/>
                <w:bCs w:val="1"/>
                <w:color w:val="auto"/>
              </w:rPr>
              <w:t>December 31, 2017</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53,579,986</w:t>
            </w:r>
          </w:p>
        </w:tc>
        <w:tc>
          <w:tcPr>
            <w:tcW w:w="2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53,580</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39,064</w:t>
            </w:r>
          </w:p>
        </w:tc>
        <w:tc>
          <w:tcPr>
            <w:tcW w:w="2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(2,306)</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1,150,285</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548,617</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(41,202)</w:t>
            </w:r>
          </w:p>
        </w:tc>
        <w:tc>
          <w:tcPr>
            <w:tcW w:w="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111,232</w:t>
            </w:r>
          </w:p>
        </w:tc>
        <w:tc>
          <w:tcPr>
            <w:tcW w:w="22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1,820,206</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Net income available for common stock</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133,004</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3,630</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136,634</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1,260</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1,260</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Dividends on common stock ($0.475 per share)</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(25,444)</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(25,444)</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Share-based compensation</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64,770</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65</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14,895</w:t>
            </w:r>
          </w:p>
        </w:tc>
        <w:tc>
          <w:tcPr>
            <w:tcW w:w="22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(743)</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1,433</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755</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Dividend reinvestment and stock purchase plan</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4,061</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215</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219</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Other stock transactions</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w:t>
            </w:r>
          </w:p>
        </w:tc>
      </w:tr>
      <w:tr>
        <w:trPr>
          <w:trHeight w:val="210"/>
        </w:trPr>
        <w:tc>
          <w:tcPr>
            <w:tcW w:w="344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Distributions to noncontrolling interest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(5,648)</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(5,648)</w:t>
            </w:r>
          </w:p>
        </w:tc>
      </w:tr>
      <w:tr>
        <w:trPr>
          <w:trHeight w:val="216"/>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b w:val="1"/>
                <w:bCs w:val="1"/>
                <w:color w:val="auto"/>
              </w:rPr>
              <w:t>March 31, 2018</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53,648,817</w:t>
            </w:r>
          </w:p>
        </w:tc>
        <w:tc>
          <w:tcPr>
            <w:tcW w:w="2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53,649</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53,959</w:t>
            </w:r>
          </w:p>
        </w:tc>
        <w:tc>
          <w:tcPr>
            <w:tcW w:w="2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(3,049)</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1,151,933</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656,161</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(39,924)</w:t>
            </w:r>
          </w:p>
        </w:tc>
        <w:tc>
          <w:tcPr>
            <w:tcW w:w="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109,214</w:t>
            </w:r>
          </w:p>
        </w:tc>
        <w:tc>
          <w:tcPr>
            <w:tcW w:w="22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1,927,984</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Net income available for common stock</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21,917</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2,823</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24,740</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1,161</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1,161</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Dividends on common stock ($0.475 per share)</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(25,435)</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(25,435)</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Share-based compensation</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13,033</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13</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11,022</w:t>
            </w:r>
          </w:p>
        </w:tc>
        <w:tc>
          <w:tcPr>
            <w:tcW w:w="22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3,019</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2,439</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Other stock transactions</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Distributions to noncontrolling interest</w:t>
            </w:r>
          </w:p>
        </w:tc>
        <w:tc>
          <w:tcPr>
            <w:tcW w:w="10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EFFE7"/>
          </w:tcPr>
          <w:p>
            <w:pPr>
              <w:spacing w:after="0"/>
              <w:rPr>
                <w:sz w:val="19"/>
                <w:szCs w:val="19"/>
                <w:color w:val="auto"/>
              </w:rPr>
            </w:pPr>
          </w:p>
        </w:tc>
        <w:tc>
          <w:tcPr>
            <w:tcW w:w="680" w:type="dxa"/>
            <w:vAlign w:val="bottom"/>
            <w:tcBorders>
              <w:bottom w:val="single" w:sz="8" w:color="auto"/>
            </w:tcBorders>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EFFE7"/>
          </w:tcPr>
          <w:p>
            <w:pPr>
              <w:spacing w:after="0"/>
              <w:rPr>
                <w:sz w:val="19"/>
                <w:szCs w:val="19"/>
                <w:color w:val="auto"/>
              </w:rPr>
            </w:pPr>
          </w:p>
        </w:tc>
        <w:tc>
          <w:tcPr>
            <w:tcW w:w="66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EFFE7"/>
          </w:tcPr>
          <w:p>
            <w:pPr>
              <w:spacing w:after="0"/>
              <w:rPr>
                <w:sz w:val="19"/>
                <w:szCs w:val="19"/>
                <w:color w:val="auto"/>
              </w:rPr>
            </w:pPr>
          </w:p>
        </w:tc>
        <w:tc>
          <w:tcPr>
            <w:tcW w:w="76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9"/>
                <w:szCs w:val="19"/>
                <w:color w:val="auto"/>
              </w:rPr>
            </w:pPr>
          </w:p>
        </w:tc>
        <w:tc>
          <w:tcPr>
            <w:tcW w:w="74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9"/>
                <w:szCs w:val="19"/>
                <w:color w:val="auto"/>
              </w:rPr>
            </w:pPr>
          </w:p>
        </w:tc>
        <w:tc>
          <w:tcPr>
            <w:tcW w:w="6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EFFE7"/>
          </w:tcPr>
          <w:p>
            <w:pPr>
              <w:spacing w:after="0"/>
              <w:rPr>
                <w:sz w:val="19"/>
                <w:szCs w:val="19"/>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(4,350)</w:t>
            </w:r>
          </w:p>
        </w:tc>
        <w:tc>
          <w:tcPr>
            <w:tcW w:w="220" w:type="dxa"/>
            <w:vAlign w:val="bottom"/>
            <w:tcBorders>
              <w:bottom w:val="single" w:sz="8" w:color="auto"/>
            </w:tcBorders>
            <w:shd w:val="clear" w:color="auto" w:fill="CEFFE7"/>
          </w:tcPr>
          <w:p>
            <w:pPr>
              <w:spacing w:after="0"/>
              <w:rPr>
                <w:sz w:val="19"/>
                <w:szCs w:val="19"/>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(4,350)</w:t>
            </w:r>
          </w:p>
        </w:tc>
      </w:tr>
      <w:tr>
        <w:trPr>
          <w:trHeight w:val="204"/>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June 30, 2018</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53,661,850</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53,662</w:t>
            </w:r>
          </w:p>
        </w:tc>
        <w:tc>
          <w:tcPr>
            <w:tcW w:w="720" w:type="dxa"/>
            <w:vAlign w:val="bottom"/>
          </w:tcPr>
          <w:p>
            <w:pPr>
              <w:jc w:val="right"/>
              <w:spacing w:after="0"/>
              <w:rPr>
                <w:sz w:val="20"/>
                <w:szCs w:val="20"/>
                <w:color w:val="auto"/>
              </w:rPr>
            </w:pPr>
            <w:r>
              <w:rPr>
                <w:rFonts w:ascii="Arial" w:cs="Arial" w:eastAsia="Arial" w:hAnsi="Arial"/>
                <w:sz w:val="14"/>
                <w:szCs w:val="14"/>
                <w:color w:val="auto"/>
              </w:rPr>
              <w:t>64,981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(3,642)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1,154,947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652,642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(38,763)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107,687</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1,926,533</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Net income (loss) available for common stock</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16,950</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3,994</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20,944</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1,060</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1,060</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Dividends on common stock ($0.475 per share)</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(25,430)</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(25,430)</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7,934</w:t>
            </w:r>
          </w:p>
        </w:tc>
        <w:tc>
          <w:tcPr>
            <w:tcW w:w="22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(430)</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2,107</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1,677</w:t>
            </w: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Dividend reinvestment and stock purchase plan</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w:t>
            </w: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Other stock transactions</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151</w:t>
            </w:r>
          </w:p>
        </w:tc>
      </w:tr>
      <w:tr>
        <w:trPr>
          <w:trHeight w:val="216"/>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Distributions to noncontrolling interest</w:t>
            </w:r>
          </w:p>
        </w:tc>
        <w:tc>
          <w:tcPr>
            <w:tcW w:w="10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EFFE7"/>
          </w:tcPr>
          <w:p>
            <w:pPr>
              <w:spacing w:after="0"/>
              <w:rPr>
                <w:sz w:val="18"/>
                <w:szCs w:val="18"/>
                <w:color w:val="auto"/>
              </w:rPr>
            </w:pPr>
          </w:p>
        </w:tc>
        <w:tc>
          <w:tcPr>
            <w:tcW w:w="680" w:type="dxa"/>
            <w:vAlign w:val="bottom"/>
            <w:tcBorders>
              <w:bottom w:val="single" w:sz="8" w:color="auto"/>
            </w:tcBorders>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EFFE7"/>
          </w:tcPr>
          <w:p>
            <w:pPr>
              <w:spacing w:after="0"/>
              <w:rPr>
                <w:sz w:val="18"/>
                <w:szCs w:val="18"/>
                <w:color w:val="auto"/>
              </w:rPr>
            </w:pPr>
          </w:p>
        </w:tc>
        <w:tc>
          <w:tcPr>
            <w:tcW w:w="66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8"/>
                <w:szCs w:val="18"/>
                <w:color w:val="auto"/>
              </w:rPr>
            </w:pPr>
          </w:p>
        </w:tc>
        <w:tc>
          <w:tcPr>
            <w:tcW w:w="74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EFFE7"/>
          </w:tcPr>
          <w:p>
            <w:pPr>
              <w:spacing w:after="0"/>
              <w:rPr>
                <w:sz w:val="18"/>
                <w:szCs w:val="18"/>
                <w:color w:val="auto"/>
              </w:rPr>
            </w:pPr>
          </w:p>
        </w:tc>
        <w:tc>
          <w:tcPr>
            <w:tcW w:w="6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(3,757)</w:t>
            </w:r>
          </w:p>
        </w:tc>
        <w:tc>
          <w:tcPr>
            <w:tcW w:w="22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(3,757)</w:t>
            </w:r>
          </w:p>
        </w:tc>
      </w:tr>
      <w:tr>
        <w:trPr>
          <w:trHeight w:val="216"/>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September 30, 2018</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53,661,863</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53,662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(4,072)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1,157,214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644,154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(37,703)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107,924</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1,921,179</w:t>
            </w:r>
          </w:p>
        </w:tc>
      </w:tr>
      <w:tr>
        <w:trPr>
          <w:trHeight w:val="20"/>
        </w:trPr>
        <w:tc>
          <w:tcPr>
            <w:tcW w:w="3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 HILLS CORPORATION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is made to 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included in the Company’s 2018 Annual Report on Form 10-K)</w:t>
      </w: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MANAGEMENT’S STATEMENT</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unaudited Condensed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Condensed Consolidated Financial Statements should be read in conjunction with the consolidated financial statements and the notes thereto included in our 2018 Annual Report on Form 10-K filed with the SEC.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We conduct our operations through the following reportable segments: Electric Utilities, Gas Utilities, Power Generation and Mining. Our reportable segments are based on our method of internal reporting, which is generally segregated by differences in products, services and regulation. All of our operations and assets are located within the United States.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January 1, 2019, we changed our measure of segment performance to adjusted operating income, which impacted our segment disclosures for all periods presented. See Note 3 for more information.</w:t>
      </w:r>
    </w:p>
    <w:p>
      <w:pPr>
        <w:spacing w:after="0" w:line="17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November 1, 2017, the BHC board of directors approved a complete divestiture of our Oil and Gas segment. We completed the divestiture in 2018. The Oil and Gas segment assets and liabilities were classified as held for sale and the results of operations were shown in income (loss) from discontinued operations, except for certain general and administrative costs and interest expense which do not meet the criteria for income (loss) from discontinued operations. At the time the assets were classified as held for sale, depreciation, depletion and amortization expenses were no longer recorded. Unless otherwise noted, the amounts presented in the accompanying notes to the Condensed Consolidated Financial Statements relate to the Company’s continuing operations. See Note 17 and Note 21 for more information on discontinued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Basis of Presentation</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information furnished in the accompanying Condensed Consolidated Financial Statements reflects certain estimates required and all adjustments, including accruals, which are, in the opinion of management, necessary for a fair presentation of the September 30, 2019 and December 31, 2018 financial information. 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electric utilities is June through August while the normal peak usage season for gas utilities is November through March. Significant earnings variances can be expected between the Gas Utilities segment’s peak and off-peak seasons. Due to this seasonal nature, our results of operations for the three and nine months ended September 30, 2019 and September 30, 2018, and our financial condition as of September 30, 2019 and December 31, 2018 are not necessarily indicative of the results of operations and financial condition to be expected for any other period. All earnings per share amounts discussed refer to diluted earnings per share unless otherwise noted.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Simplifying the Test for Goodwill Impairment, 2017-04</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by eliminating step 2 from the goodwill impairment test. Under the new guidance, if the carrying amount of a reporting unit exceeds its fair value, an impairment loss will be recognized in an amount equal to that excess, limited to the amount of goodwill allocated to that reporting unit. The new standard is effective for interim and annual reporting periods beginning after December 1, 2019, applied on a prospective basis with early adoption permitted. We do not anticipate the adoption of this guidance to have any impact on our financial position, results of operations or cash flows.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Instruments -- Credit Losses: Measurement of Credit Losses on Financial Instruments, ASU 2018-19</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In June 2016, the FASB issued ASU 2016-13, Financial Instruments -- </w:t>
      </w:r>
      <w:r>
        <w:rPr>
          <w:rFonts w:ascii="Arial" w:cs="Arial" w:eastAsia="Arial" w:hAnsi="Arial"/>
          <w:sz w:val="17"/>
          <w:szCs w:val="17"/>
          <w:i w:val="1"/>
          <w:iCs w:val="1"/>
          <w:color w:val="auto"/>
        </w:rPr>
        <w:t>Credit Losses: Measurement of Credit Losses on Financial Instrument</w:t>
      </w:r>
      <w:r>
        <w:rPr>
          <w:rFonts w:ascii="Arial" w:cs="Arial" w:eastAsia="Arial" w:hAnsi="Arial"/>
          <w:sz w:val="17"/>
          <w:szCs w:val="17"/>
          <w:color w:val="auto"/>
        </w:rPr>
        <w:t>s, which was subsequently amended by ASU 2018-19 in November 2018. The standard introduces new accounting guidance for credit losses on financial instruments within its scope, including trade receivables. This new guidance adds an impairment model that is based on expected losses rather than incurred losses. It is effective for interim and annual reporting periods beginning after December 15, 2019, and will be applied on a modified-retrospective basis through a cumulative-effect adjustment to retained earnings as of January 1, 2020. We do not anticipate the adoption of this guidance to have a material impact on our financial position, results of operations or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 ASU 2016-02</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to increase transparency and comparability among organizations by requiring the recognition of right-of-use assets and lease liabilities on the balance sheet for most leases, whereas previously only financing-type lease liabilities (capital leases) were recognized on the balance sheet. Under the new standard, disclosures are required to meet the objective of enabling users of financial statements to assess the amount, timing and uncertainty of cash flows arising from leases.</w:t>
      </w:r>
    </w:p>
    <w:p>
      <w:pPr>
        <w:spacing w:after="0" w:line="1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adopted the standard effective January 1, 2019. We elected not to recast comparative periods coinciding with the new lease standard transition and will report these comparative periods as presented under previous lease guidance. In addition, we elected the package of practical expedients permitted under the transition guidance with the new standard, which among other things, allowed us to carry forward the historical lease classification. We also elected the practical expedient related to land easements, allowing us to carry forward our accounting treatment for existing land easement agreements.</w:t>
      </w:r>
    </w:p>
    <w:p>
      <w:pPr>
        <w:spacing w:after="0" w:line="1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Adoption of the new standard resulted in the recording of an operating lease right-of-use asset of $3.1 million, an operating lease obligation liability of $3.2 million, and an accrued rent receivable of $4.5 million, as of January 1, 2019. The cumulative effect of the adoption, net of tax impact, was $3.4 million, which was recorded as an adjustment to retained earnings at January 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and Hedging: Targeted Improvements to Accounting for Hedging Activities, ASU 2017-12</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Effective January 1, 2019, we adopted ASU 2017-12,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xml:space="preserve"> This standard better aligns risk management activities and financial reporting for hedging relationships, simplifies hedge accounting requirements and improves disclosures of hedging arrangements. The adoption of this guidance did not have a material impact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6" w:right="27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As of January 1, 2018, we adopted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and its related amendments (collectively known as ASC 606). Revenue is recognized in an amount that reflects the consideration we expect to receive in exchange for goods or services, when control of the promised goods or services is transferred to our customers. The following tables depict the disaggregation of revenue, including intercompany revenue, from contracts with customers by customer type and timing of revenue recognition for each of the reporting segments, for the three and nine months ended September 30, 2019 and 2018. Sales tax and other similar taxes are excluded from revenues.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Inter-company</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6"/>
        </w:trPr>
        <w:tc>
          <w:tcPr>
            <w:tcW w:w="4460" w:type="dxa"/>
            <w:vAlign w:val="bottom"/>
            <w:gridSpan w:val="3"/>
          </w:tcPr>
          <w:p>
            <w:pPr>
              <w:ind w:left="40"/>
              <w:spacing w:after="0"/>
              <w:rPr>
                <w:sz w:val="20"/>
                <w:szCs w:val="20"/>
                <w:color w:val="auto"/>
              </w:rPr>
            </w:pPr>
            <w:r>
              <w:rPr>
                <w:rFonts w:ascii="Arial" w:cs="Arial" w:eastAsia="Arial" w:hAnsi="Arial"/>
                <w:sz w:val="16"/>
                <w:szCs w:val="16"/>
                <w:color w:val="auto"/>
              </w:rPr>
              <w:t>Three Months Ended September 30, 2019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Electric Utilities</w:t>
            </w:r>
          </w:p>
        </w:tc>
        <w:tc>
          <w:tcPr>
            <w:tcW w:w="1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w w:val="98"/>
              </w:rPr>
              <w:t>Gas Utilities</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w w:val="99"/>
              </w:rPr>
              <w:t>Power Generation</w:t>
            </w:r>
          </w:p>
        </w:tc>
        <w:tc>
          <w:tcPr>
            <w:tcW w:w="220" w:type="dxa"/>
            <w:vAlign w:val="bottom"/>
          </w:tcPr>
          <w:p>
            <w:pPr>
              <w:spacing w:after="0"/>
              <w:rPr>
                <w:sz w:val="17"/>
                <w:szCs w:val="17"/>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Mining</w:t>
            </w:r>
          </w:p>
        </w:tc>
        <w:tc>
          <w:tcPr>
            <w:tcW w:w="22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w w:val="94"/>
              </w:rPr>
              <w:t>Revenues</w:t>
            </w:r>
          </w:p>
        </w:tc>
        <w:tc>
          <w:tcPr>
            <w:tcW w:w="280" w:type="dxa"/>
            <w:vAlign w:val="bottom"/>
          </w:tcPr>
          <w:p>
            <w:pPr>
              <w:spacing w:after="0"/>
              <w:rPr>
                <w:sz w:val="17"/>
                <w:szCs w:val="17"/>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Total</w:t>
            </w:r>
          </w:p>
        </w:tc>
      </w:tr>
      <w:tr>
        <w:trPr>
          <w:trHeight w:val="33"/>
        </w:trPr>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3"/>
        </w:trPr>
        <w:tc>
          <w:tcPr>
            <w:tcW w:w="4460" w:type="dxa"/>
            <w:vAlign w:val="bottom"/>
            <w:gridSpan w:val="3"/>
          </w:tcPr>
          <w:p>
            <w:pPr>
              <w:ind w:left="40"/>
              <w:spacing w:after="0" w:line="183" w:lineRule="exact"/>
              <w:rPr>
                <w:sz w:val="20"/>
                <w:szCs w:val="20"/>
                <w:color w:val="auto"/>
              </w:rPr>
            </w:pPr>
            <w:r>
              <w:rPr>
                <w:rFonts w:ascii="Arial" w:cs="Arial" w:eastAsia="Arial" w:hAnsi="Arial"/>
                <w:sz w:val="16"/>
                <w:szCs w:val="16"/>
                <w:color w:val="auto"/>
              </w:rPr>
              <w:t>Customer types:</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40" w:type="dxa"/>
            <w:vAlign w:val="bottom"/>
            <w:gridSpan w:val="3"/>
          </w:tcPr>
          <w:p>
            <w:pPr>
              <w:jc w:val="right"/>
              <w:ind w:right="639"/>
              <w:spacing w:after="0" w:line="183" w:lineRule="exact"/>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442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Retail</w:t>
            </w:r>
          </w:p>
        </w:tc>
        <w:tc>
          <w:tcPr>
            <w:tcW w:w="32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162,214</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89,810</w:t>
            </w:r>
          </w:p>
        </w:tc>
        <w:tc>
          <w:tcPr>
            <w:tcW w:w="46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14,992</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(8,146)</w:t>
            </w:r>
          </w:p>
        </w:tc>
        <w:tc>
          <w:tcPr>
            <w:tcW w:w="2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258,870</w:t>
            </w:r>
          </w:p>
        </w:tc>
      </w:tr>
      <w:tr>
        <w:trPr>
          <w:trHeight w:val="224"/>
        </w:trPr>
        <w:tc>
          <w:tcPr>
            <w:tcW w:w="40" w:type="dxa"/>
            <w:vAlign w:val="bottom"/>
          </w:tcPr>
          <w:p>
            <w:pPr>
              <w:spacing w:after="0"/>
              <w:rPr>
                <w:sz w:val="19"/>
                <w:szCs w:val="19"/>
                <w:color w:val="auto"/>
              </w:rPr>
            </w:pPr>
          </w:p>
        </w:tc>
        <w:tc>
          <w:tcPr>
            <w:tcW w:w="4420" w:type="dxa"/>
            <w:vAlign w:val="bottom"/>
            <w:gridSpan w:val="2"/>
          </w:tcPr>
          <w:p>
            <w:pPr>
              <w:ind w:left="140"/>
              <w:spacing w:after="0"/>
              <w:rPr>
                <w:sz w:val="20"/>
                <w:szCs w:val="20"/>
                <w:color w:val="auto"/>
              </w:rPr>
            </w:pPr>
            <w:r>
              <w:rPr>
                <w:rFonts w:ascii="Arial" w:cs="Arial" w:eastAsia="Arial" w:hAnsi="Arial"/>
                <w:sz w:val="16"/>
                <w:szCs w:val="16"/>
                <w:color w:val="auto"/>
              </w:rPr>
              <w:t>Transportation</w:t>
            </w:r>
          </w:p>
        </w:tc>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29,019</w:t>
            </w:r>
          </w:p>
        </w:tc>
        <w:tc>
          <w:tcPr>
            <w:tcW w:w="46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(195)</w:t>
            </w:r>
          </w:p>
        </w:tc>
        <w:tc>
          <w:tcPr>
            <w:tcW w:w="2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28,824</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442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Wholesale</w:t>
            </w:r>
          </w:p>
        </w:tc>
        <w:tc>
          <w:tcPr>
            <w:tcW w:w="3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8,210</w:t>
            </w:r>
          </w:p>
        </w:tc>
        <w:tc>
          <w:tcPr>
            <w:tcW w:w="16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16,119</w:t>
            </w:r>
          </w:p>
        </w:tc>
        <w:tc>
          <w:tcPr>
            <w:tcW w:w="22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(14,414)</w:t>
            </w:r>
          </w:p>
        </w:tc>
        <w:tc>
          <w:tcPr>
            <w:tcW w:w="28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9,915</w:t>
            </w:r>
          </w:p>
        </w:tc>
      </w:tr>
      <w:tr>
        <w:trPr>
          <w:trHeight w:val="224"/>
        </w:trPr>
        <w:tc>
          <w:tcPr>
            <w:tcW w:w="40" w:type="dxa"/>
            <w:vAlign w:val="bottom"/>
          </w:tcPr>
          <w:p>
            <w:pPr>
              <w:spacing w:after="0"/>
              <w:rPr>
                <w:sz w:val="19"/>
                <w:szCs w:val="19"/>
                <w:color w:val="auto"/>
              </w:rPr>
            </w:pPr>
          </w:p>
        </w:tc>
        <w:tc>
          <w:tcPr>
            <w:tcW w:w="4420" w:type="dxa"/>
            <w:vAlign w:val="bottom"/>
            <w:gridSpan w:val="2"/>
          </w:tcPr>
          <w:p>
            <w:pPr>
              <w:ind w:left="140"/>
              <w:spacing w:after="0"/>
              <w:rPr>
                <w:sz w:val="20"/>
                <w:szCs w:val="20"/>
                <w:color w:val="auto"/>
              </w:rPr>
            </w:pPr>
            <w:r>
              <w:rPr>
                <w:rFonts w:ascii="Arial" w:cs="Arial" w:eastAsia="Arial" w:hAnsi="Arial"/>
                <w:sz w:val="16"/>
                <w:szCs w:val="16"/>
                <w:color w:val="auto"/>
              </w:rPr>
              <w:t>Market - off-system sales</w:t>
            </w:r>
          </w:p>
        </w:tc>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6,452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w:t>
            </w:r>
          </w:p>
        </w:tc>
        <w:tc>
          <w:tcPr>
            <w:tcW w:w="46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(1,488)</w:t>
            </w:r>
          </w:p>
        </w:tc>
        <w:tc>
          <w:tcPr>
            <w:tcW w:w="2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5,103</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442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Transmission/Other</w:t>
            </w:r>
          </w:p>
        </w:tc>
        <w:tc>
          <w:tcPr>
            <w:tcW w:w="3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14,274</w:t>
            </w:r>
          </w:p>
        </w:tc>
        <w:tc>
          <w:tcPr>
            <w:tcW w:w="16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10,965</w:t>
            </w:r>
          </w:p>
        </w:tc>
        <w:tc>
          <w:tcPr>
            <w:tcW w:w="4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(4,206)</w:t>
            </w:r>
          </w:p>
        </w:tc>
        <w:tc>
          <w:tcPr>
            <w:tcW w:w="28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21,033</w:t>
            </w:r>
          </w:p>
        </w:tc>
      </w:tr>
      <w:tr>
        <w:trPr>
          <w:trHeight w:val="217"/>
        </w:trPr>
        <w:tc>
          <w:tcPr>
            <w:tcW w:w="40" w:type="dxa"/>
            <w:vAlign w:val="bottom"/>
          </w:tcPr>
          <w:p>
            <w:pPr>
              <w:spacing w:after="0"/>
              <w:rPr>
                <w:sz w:val="18"/>
                <w:szCs w:val="18"/>
                <w:color w:val="auto"/>
              </w:rPr>
            </w:pPr>
          </w:p>
        </w:tc>
        <w:tc>
          <w:tcPr>
            <w:tcW w:w="4420" w:type="dxa"/>
            <w:vAlign w:val="bottom"/>
            <w:gridSpan w:val="2"/>
          </w:tcPr>
          <w:p>
            <w:pPr>
              <w:ind w:left="140"/>
              <w:spacing w:after="0"/>
              <w:rPr>
                <w:sz w:val="20"/>
                <w:szCs w:val="20"/>
                <w:color w:val="auto"/>
              </w:rPr>
            </w:pPr>
            <w:r>
              <w:rPr>
                <w:rFonts w:ascii="Arial" w:cs="Arial" w:eastAsia="Arial" w:hAnsi="Arial"/>
                <w:sz w:val="16"/>
                <w:szCs w:val="16"/>
                <w:color w:val="auto"/>
              </w:rPr>
              <w:t>Revenue from contracts with customers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191,150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129,933</w:t>
            </w:r>
          </w:p>
        </w:tc>
        <w:tc>
          <w:tcPr>
            <w:tcW w:w="4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16,119</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14,992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(28,449)</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323,745</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442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234</w:t>
            </w:r>
          </w:p>
        </w:tc>
        <w:tc>
          <w:tcPr>
            <w:tcW w:w="16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811</w:t>
            </w:r>
          </w:p>
        </w:tc>
        <w:tc>
          <w:tcPr>
            <w:tcW w:w="4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9,692</w:t>
            </w:r>
          </w:p>
        </w:tc>
        <w:tc>
          <w:tcPr>
            <w:tcW w:w="22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560</w:t>
            </w:r>
          </w:p>
        </w:tc>
        <w:tc>
          <w:tcPr>
            <w:tcW w:w="22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(9,494)</w:t>
            </w:r>
          </w:p>
        </w:tc>
        <w:tc>
          <w:tcPr>
            <w:tcW w:w="28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1,803</w:t>
            </w:r>
          </w:p>
        </w:tc>
      </w:tr>
      <w:tr>
        <w:trPr>
          <w:trHeight w:val="284"/>
        </w:trPr>
        <w:tc>
          <w:tcPr>
            <w:tcW w:w="4460" w:type="dxa"/>
            <w:vAlign w:val="bottom"/>
            <w:tcBorders>
              <w:bottom w:val="single" w:sz="8" w:color="CEFFE7"/>
            </w:tcBorders>
            <w:gridSpan w:val="3"/>
          </w:tcPr>
          <w:p>
            <w:pPr>
              <w:ind w:left="40"/>
              <w:spacing w:after="0"/>
              <w:rPr>
                <w:sz w:val="20"/>
                <w:szCs w:val="20"/>
                <w:color w:val="auto"/>
              </w:rPr>
            </w:pPr>
            <w:r>
              <w:rPr>
                <w:rFonts w:ascii="Arial" w:cs="Arial" w:eastAsia="Arial" w:hAnsi="Arial"/>
                <w:sz w:val="16"/>
                <w:szCs w:val="16"/>
                <w:color w:val="auto"/>
              </w:rPr>
              <w:t>Total revenues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191,384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130,744</w:t>
            </w:r>
          </w:p>
        </w:tc>
        <w:tc>
          <w:tcPr>
            <w:tcW w:w="4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25,811</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15,552</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(37,943)</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325,548</w:t>
            </w:r>
          </w:p>
        </w:tc>
      </w:tr>
      <w:tr>
        <w:trPr>
          <w:trHeight w:val="311"/>
        </w:trPr>
        <w:tc>
          <w:tcPr>
            <w:tcW w:w="4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336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r>
    </w:tbl>
    <w:p>
      <w:pPr>
        <w:spacing w:after="0" w:line="31" w:lineRule="exact"/>
        <w:rPr>
          <w:sz w:val="20"/>
          <w:szCs w:val="20"/>
          <w:color w:val="auto"/>
        </w:rPr>
      </w:pPr>
    </w:p>
    <w:p>
      <w:pPr>
        <w:sectPr>
          <w:pgSz w:w="11900" w:h="16838" w:orient="portrait"/>
          <w:cols w:equalWidth="0" w:num="1">
            <w:col w:w="11420"/>
          </w:cols>
          <w:pgMar w:left="240" w:top="126" w:right="239" w:bottom="1440" w:gutter="0" w:footer="0" w:header="0"/>
        </w:sectPr>
      </w:pPr>
    </w:p>
    <w:p>
      <w:pPr>
        <w:ind w:left="40"/>
        <w:spacing w:after="0"/>
        <w:rPr>
          <w:sz w:val="20"/>
          <w:szCs w:val="20"/>
          <w:color w:val="auto"/>
        </w:rPr>
      </w:pPr>
      <w:r>
        <w:rPr>
          <w:rFonts w:ascii="Arial" w:cs="Arial" w:eastAsia="Arial" w:hAnsi="Arial"/>
          <w:sz w:val="16"/>
          <w:szCs w:val="16"/>
          <w:u w:val="single" w:color="auto"/>
          <w:color w:val="auto"/>
        </w:rPr>
        <w:t>Timing of revenue recognition:</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Services transferred at a point in time</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Services transferred over time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Revenue from contracts with customers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14,992</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(8,146)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6,846</w:t>
            </w:r>
          </w:p>
        </w:tc>
      </w:tr>
      <w:tr>
        <w:trPr>
          <w:trHeight w:val="257"/>
        </w:trPr>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191,150</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129,933</w:t>
            </w:r>
          </w:p>
        </w:tc>
        <w:tc>
          <w:tcPr>
            <w:tcW w:w="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16,119</w:t>
            </w: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(20,303)</w:t>
            </w:r>
          </w:p>
        </w:tc>
        <w:tc>
          <w:tcPr>
            <w:tcW w:w="3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316,899</w:t>
            </w:r>
          </w:p>
        </w:tc>
      </w:tr>
      <w:tr>
        <w:trPr>
          <w:trHeight w:val="33"/>
        </w:trPr>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191,150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129,933</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16,119</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14,992</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(28,449)</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323,745</w:t>
            </w:r>
          </w:p>
        </w:tc>
      </w:tr>
      <w:tr>
        <w:trPr>
          <w:trHeight w:val="33"/>
        </w:trPr>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-522605</wp:posOffset>
            </wp:positionV>
            <wp:extent cx="72466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-196850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720"/>
            <w:col w:w="6960"/>
          </w:cols>
          <w:pgMar w:left="240" w:top="126" w:right="239" w:bottom="1440" w:gutter="0" w:footer="0" w:header="0"/>
          <w:type w:val="continuous"/>
        </w:sect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w w:val="99"/>
              </w:rPr>
              <w:t>Power Generation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Inter-company</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4460" w:type="dxa"/>
            <w:vAlign w:val="bottom"/>
            <w:gridSpan w:val="3"/>
            <w:vMerge w:val="restart"/>
          </w:tcPr>
          <w:p>
            <w:pPr>
              <w:ind w:left="40"/>
              <w:spacing w:after="0"/>
              <w:rPr>
                <w:sz w:val="20"/>
                <w:szCs w:val="20"/>
                <w:color w:val="auto"/>
              </w:rPr>
            </w:pPr>
            <w:r>
              <w:rPr>
                <w:rFonts w:ascii="Arial" w:cs="Arial" w:eastAsia="Arial" w:hAnsi="Arial"/>
                <w:sz w:val="16"/>
                <w:szCs w:val="16"/>
                <w:color w:val="auto"/>
              </w:rPr>
              <w:t>Three Months Ended September 30, 2018</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Electric Utilities</w:t>
            </w:r>
          </w:p>
        </w:tc>
        <w:tc>
          <w:tcPr>
            <w:tcW w:w="160" w:type="dxa"/>
            <w:vAlign w:val="bottom"/>
          </w:tcPr>
          <w:p>
            <w:pPr>
              <w:spacing w:after="0"/>
              <w:rPr>
                <w:sz w:val="7"/>
                <w:szCs w:val="7"/>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w w:val="98"/>
              </w:rPr>
              <w:t>Gas Utilities</w:t>
            </w:r>
          </w:p>
        </w:tc>
        <w:tc>
          <w:tcPr>
            <w:tcW w:w="1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6"/>
                <w:szCs w:val="16"/>
                <w:color w:val="auto"/>
              </w:rPr>
              <w:t>Mining</w:t>
            </w:r>
          </w:p>
        </w:tc>
        <w:tc>
          <w:tcPr>
            <w:tcW w:w="180" w:type="dxa"/>
            <w:vAlign w:val="bottom"/>
          </w:tcPr>
          <w:p>
            <w:pPr>
              <w:spacing w:after="0"/>
              <w:rPr>
                <w:sz w:val="7"/>
                <w:szCs w:val="7"/>
                <w:color w:val="auto"/>
              </w:rPr>
            </w:pPr>
          </w:p>
        </w:tc>
        <w:tc>
          <w:tcPr>
            <w:tcW w:w="960" w:type="dxa"/>
            <w:vAlign w:val="bottom"/>
            <w:vMerge w:val="restart"/>
          </w:tcPr>
          <w:p>
            <w:pPr>
              <w:jc w:val="right"/>
              <w:ind w:right="59"/>
              <w:spacing w:after="0" w:line="239" w:lineRule="exact"/>
              <w:rPr>
                <w:sz w:val="20"/>
                <w:szCs w:val="20"/>
                <w:color w:val="auto"/>
              </w:rPr>
            </w:pPr>
            <w:r>
              <w:rPr>
                <w:rFonts w:ascii="Arial" w:cs="Arial" w:eastAsia="Arial" w:hAnsi="Arial"/>
                <w:sz w:val="16"/>
                <w:szCs w:val="16"/>
                <w:color w:val="auto"/>
                <w:w w:val="85"/>
              </w:rPr>
              <w:t xml:space="preserve">Revenues </w:t>
            </w:r>
            <w:r>
              <w:rPr>
                <w:rFonts w:ascii="Arial" w:cs="Arial" w:eastAsia="Arial" w:hAnsi="Arial"/>
                <w:sz w:val="21"/>
                <w:szCs w:val="21"/>
                <w:color w:val="auto"/>
                <w:w w:val="85"/>
                <w:vertAlign w:val="superscript"/>
              </w:rPr>
              <w:t>(a)</w:t>
            </w:r>
          </w:p>
        </w:tc>
        <w:tc>
          <w:tcPr>
            <w:tcW w:w="280" w:type="dxa"/>
            <w:vAlign w:val="bottom"/>
          </w:tcPr>
          <w:p>
            <w:pPr>
              <w:spacing w:after="0"/>
              <w:rPr>
                <w:sz w:val="7"/>
                <w:szCs w:val="7"/>
                <w:color w:val="auto"/>
              </w:rPr>
            </w:pPr>
          </w:p>
        </w:tc>
        <w:tc>
          <w:tcPr>
            <w:tcW w:w="860" w:type="dxa"/>
            <w:vAlign w:val="bottom"/>
            <w:vMerge w:val="restart"/>
          </w:tcPr>
          <w:p>
            <w:pPr>
              <w:jc w:val="right"/>
              <w:ind w:right="3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58"/>
        </w:trPr>
        <w:tc>
          <w:tcPr>
            <w:tcW w:w="4460" w:type="dxa"/>
            <w:vAlign w:val="bottom"/>
            <w:tcBorders>
              <w:bottom w:val="single" w:sz="8" w:color="auto"/>
            </w:tcBorders>
            <w:gridSpan w:val="3"/>
            <w:vMerge w:val="continue"/>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02"/>
              <w:spacing w:after="0"/>
              <w:rPr>
                <w:sz w:val="20"/>
                <w:szCs w:val="20"/>
                <w:color w:val="auto"/>
              </w:rPr>
            </w:pPr>
            <w:r>
              <w:rPr>
                <w:rFonts w:ascii="Arial" w:cs="Arial" w:eastAsia="Arial" w:hAnsi="Arial"/>
                <w:sz w:val="11"/>
                <w:szCs w:val="11"/>
                <w:color w:val="auto"/>
              </w:rPr>
              <w:t>(a)</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60" w:type="dxa"/>
            <w:vAlign w:val="bottom"/>
            <w:gridSpan w:val="3"/>
          </w:tcPr>
          <w:p>
            <w:pPr>
              <w:ind w:left="40"/>
              <w:spacing w:after="0"/>
              <w:rPr>
                <w:sz w:val="20"/>
                <w:szCs w:val="20"/>
                <w:color w:val="auto"/>
              </w:rPr>
            </w:pPr>
            <w:r>
              <w:rPr>
                <w:rFonts w:ascii="Arial" w:cs="Arial" w:eastAsia="Arial" w:hAnsi="Arial"/>
                <w:sz w:val="16"/>
                <w:szCs w:val="16"/>
                <w:color w:val="auto"/>
              </w:rPr>
              <w:t>Customer Types: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3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442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Retail</w:t>
            </w:r>
          </w:p>
        </w:tc>
        <w:tc>
          <w:tcPr>
            <w:tcW w:w="32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157,049</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88,559</w:t>
            </w:r>
          </w:p>
        </w:tc>
        <w:tc>
          <w:tcPr>
            <w:tcW w:w="3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16,751</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(7,941)</w:t>
            </w:r>
          </w:p>
        </w:tc>
        <w:tc>
          <w:tcPr>
            <w:tcW w:w="2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254,418</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420" w:type="dxa"/>
            <w:vAlign w:val="bottom"/>
            <w:gridSpan w:val="2"/>
          </w:tcPr>
          <w:p>
            <w:pPr>
              <w:ind w:left="140"/>
              <w:spacing w:after="0"/>
              <w:rPr>
                <w:sz w:val="20"/>
                <w:szCs w:val="20"/>
                <w:color w:val="auto"/>
              </w:rPr>
            </w:pPr>
            <w:r>
              <w:rPr>
                <w:rFonts w:ascii="Arial" w:cs="Arial" w:eastAsia="Arial" w:hAnsi="Arial"/>
                <w:sz w:val="16"/>
                <w:szCs w:val="16"/>
                <w:color w:val="auto"/>
              </w:rPr>
              <w:t>Transportation</w:t>
            </w:r>
          </w:p>
        </w:tc>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30,079</w:t>
            </w:r>
          </w:p>
        </w:tc>
        <w:tc>
          <w:tcPr>
            <w:tcW w:w="38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(267)</w:t>
            </w:r>
          </w:p>
        </w:tc>
        <w:tc>
          <w:tcPr>
            <w:tcW w:w="2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29,812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442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Wholesale</w:t>
            </w:r>
          </w:p>
        </w:tc>
        <w:tc>
          <w:tcPr>
            <w:tcW w:w="3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8,255</w:t>
            </w:r>
          </w:p>
        </w:tc>
        <w:tc>
          <w:tcPr>
            <w:tcW w:w="16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EFFE7"/>
            </w:tcBorders>
            <w:shd w:val="clear" w:color="auto" w:fill="CEFFE7"/>
          </w:tcPr>
          <w:p>
            <w:pPr>
              <w:spacing w:after="0"/>
              <w:rPr>
                <w:sz w:val="20"/>
                <w:szCs w:val="20"/>
                <w:color w:val="auto"/>
              </w:rPr>
            </w:pPr>
          </w:p>
        </w:tc>
        <w:tc>
          <w:tcPr>
            <w:tcW w:w="94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15,373</w:t>
            </w:r>
          </w:p>
        </w:tc>
        <w:tc>
          <w:tcPr>
            <w:tcW w:w="22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(13,935)</w:t>
            </w:r>
          </w:p>
        </w:tc>
        <w:tc>
          <w:tcPr>
            <w:tcW w:w="28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9,693</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420" w:type="dxa"/>
            <w:vAlign w:val="bottom"/>
            <w:gridSpan w:val="2"/>
          </w:tcPr>
          <w:p>
            <w:pPr>
              <w:ind w:left="140"/>
              <w:spacing w:after="0"/>
              <w:rPr>
                <w:sz w:val="20"/>
                <w:szCs w:val="20"/>
                <w:color w:val="auto"/>
              </w:rPr>
            </w:pPr>
            <w:r>
              <w:rPr>
                <w:rFonts w:ascii="Arial" w:cs="Arial" w:eastAsia="Arial" w:hAnsi="Arial"/>
                <w:sz w:val="16"/>
                <w:szCs w:val="16"/>
                <w:color w:val="auto"/>
              </w:rPr>
              <w:t>Market - off-system sales</w:t>
            </w:r>
          </w:p>
        </w:tc>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9,059</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140</w:t>
            </w:r>
          </w:p>
        </w:tc>
        <w:tc>
          <w:tcPr>
            <w:tcW w:w="38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(1,349)</w:t>
            </w:r>
          </w:p>
        </w:tc>
        <w:tc>
          <w:tcPr>
            <w:tcW w:w="2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7,850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442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Transmission/Other</w:t>
            </w:r>
          </w:p>
        </w:tc>
        <w:tc>
          <w:tcPr>
            <w:tcW w:w="3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10,196</w:t>
            </w:r>
          </w:p>
        </w:tc>
        <w:tc>
          <w:tcPr>
            <w:tcW w:w="16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11,887</w:t>
            </w:r>
          </w:p>
        </w:tc>
        <w:tc>
          <w:tcPr>
            <w:tcW w:w="38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(3,693)</w:t>
            </w:r>
          </w:p>
        </w:tc>
        <w:tc>
          <w:tcPr>
            <w:tcW w:w="28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18,390</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420" w:type="dxa"/>
            <w:vAlign w:val="bottom"/>
            <w:gridSpan w:val="2"/>
          </w:tcPr>
          <w:p>
            <w:pPr>
              <w:ind w:left="140"/>
              <w:spacing w:after="0"/>
              <w:rPr>
                <w:sz w:val="20"/>
                <w:szCs w:val="20"/>
                <w:color w:val="auto"/>
              </w:rPr>
            </w:pPr>
            <w:r>
              <w:rPr>
                <w:rFonts w:ascii="Arial" w:cs="Arial" w:eastAsia="Arial" w:hAnsi="Arial"/>
                <w:sz w:val="16"/>
                <w:szCs w:val="16"/>
                <w:color w:val="auto"/>
              </w:rPr>
              <w:t>Revenue from contracts with customers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184,559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130,665</w:t>
            </w:r>
          </w:p>
        </w:tc>
        <w:tc>
          <w:tcPr>
            <w:tcW w:w="3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15,373</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16,751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(27,185)</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320,163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442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231</w:t>
            </w:r>
          </w:p>
        </w:tc>
        <w:tc>
          <w:tcPr>
            <w:tcW w:w="16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1,011</w:t>
            </w:r>
          </w:p>
        </w:tc>
        <w:tc>
          <w:tcPr>
            <w:tcW w:w="38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9,118</w:t>
            </w:r>
          </w:p>
        </w:tc>
        <w:tc>
          <w:tcPr>
            <w:tcW w:w="22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550</w:t>
            </w:r>
          </w:p>
        </w:tc>
        <w:tc>
          <w:tcPr>
            <w:tcW w:w="18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(9,094)</w:t>
            </w:r>
          </w:p>
        </w:tc>
        <w:tc>
          <w:tcPr>
            <w:tcW w:w="28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1,816</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EFFE7"/>
            </w:tcBorders>
            <w:gridSpan w:val="3"/>
          </w:tcPr>
          <w:p>
            <w:pPr>
              <w:ind w:left="40"/>
              <w:spacing w:after="0"/>
              <w:rPr>
                <w:sz w:val="20"/>
                <w:szCs w:val="20"/>
                <w:color w:val="auto"/>
              </w:rPr>
            </w:pPr>
            <w:r>
              <w:rPr>
                <w:rFonts w:ascii="Arial" w:cs="Arial" w:eastAsia="Arial" w:hAnsi="Arial"/>
                <w:sz w:val="16"/>
                <w:szCs w:val="16"/>
                <w:color w:val="auto"/>
              </w:rPr>
              <w:t>Total Revenues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184,790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131,676</w:t>
            </w:r>
          </w:p>
        </w:tc>
        <w:tc>
          <w:tcPr>
            <w:tcW w:w="3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24,491</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17,301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(36,279)</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321,979</w:t>
            </w:r>
          </w:p>
        </w:tc>
        <w:tc>
          <w:tcPr>
            <w:tcW w:w="0" w:type="dxa"/>
            <w:vAlign w:val="bottom"/>
          </w:tcPr>
          <w:p>
            <w:pPr>
              <w:spacing w:after="0"/>
              <w:rPr>
                <w:sz w:val="1"/>
                <w:szCs w:val="1"/>
                <w:color w:val="auto"/>
              </w:rPr>
            </w:pPr>
          </w:p>
        </w:tc>
      </w:tr>
      <w:tr>
        <w:trPr>
          <w:trHeight w:val="311"/>
        </w:trPr>
        <w:tc>
          <w:tcPr>
            <w:tcW w:w="40" w:type="dxa"/>
            <w:vAlign w:val="bottom"/>
            <w:shd w:val="clear" w:color="auto" w:fill="CEFFE7"/>
          </w:tcPr>
          <w:p>
            <w:pPr>
              <w:spacing w:after="0"/>
              <w:rPr>
                <w:sz w:val="24"/>
                <w:szCs w:val="24"/>
                <w:color w:val="auto"/>
              </w:rPr>
            </w:pPr>
          </w:p>
        </w:tc>
        <w:tc>
          <w:tcPr>
            <w:tcW w:w="1100" w:type="dxa"/>
            <w:vAlign w:val="bottom"/>
            <w:shd w:val="clear" w:color="auto" w:fill="CEFFE7"/>
          </w:tcPr>
          <w:p>
            <w:pPr>
              <w:spacing w:after="0"/>
              <w:rPr>
                <w:sz w:val="24"/>
                <w:szCs w:val="24"/>
                <w:color w:val="auto"/>
              </w:rPr>
            </w:pPr>
          </w:p>
        </w:tc>
        <w:tc>
          <w:tcPr>
            <w:tcW w:w="332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1">
            <w:col w:w="11420"/>
          </w:cols>
          <w:pgMar w:left="240" w:top="126" w:right="239" w:bottom="1440" w:gutter="0" w:footer="0" w:header="0"/>
          <w:type w:val="continuous"/>
        </w:sectPr>
      </w:pPr>
    </w:p>
    <w:p>
      <w:pPr>
        <w:ind w:left="180" w:right="1000" w:hanging="134"/>
        <w:spacing w:after="0" w:line="418" w:lineRule="auto"/>
        <w:rPr>
          <w:sz w:val="20"/>
          <w:szCs w:val="20"/>
          <w:color w:val="auto"/>
        </w:rPr>
      </w:pPr>
      <w:r>
        <w:rPr>
          <w:rFonts w:ascii="Arial" w:cs="Arial" w:eastAsia="Arial" w:hAnsi="Arial"/>
          <w:sz w:val="14"/>
          <w:szCs w:val="14"/>
          <w:u w:val="single" w:color="auto"/>
          <w:color w:val="auto"/>
        </w:rPr>
        <w:t xml:space="preserve">Timing of Revenue Recognition: </w:t>
      </w:r>
      <w:r>
        <w:rPr>
          <w:rFonts w:ascii="Arial" w:cs="Arial" w:eastAsia="Arial" w:hAnsi="Arial"/>
          <w:sz w:val="14"/>
          <w:szCs w:val="14"/>
          <w:color w:val="auto"/>
        </w:rPr>
        <w:t>Services transferred at a point in time Services transferred over time Revenue from contracts with customers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16,751</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(7,942)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8,809</w:t>
            </w:r>
          </w:p>
        </w:tc>
      </w:tr>
      <w:tr>
        <w:trPr>
          <w:trHeight w:val="257"/>
        </w:trPr>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184,559</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130,665</w:t>
            </w:r>
          </w:p>
        </w:tc>
        <w:tc>
          <w:tcPr>
            <w:tcW w:w="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15,373</w:t>
            </w: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(19,243)</w:t>
            </w:r>
          </w:p>
        </w:tc>
        <w:tc>
          <w:tcPr>
            <w:tcW w:w="32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311,354</w:t>
            </w:r>
          </w:p>
        </w:tc>
      </w:tr>
      <w:tr>
        <w:trPr>
          <w:trHeight w:val="33"/>
        </w:trPr>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184,559</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130,665</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15,373</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16,751</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(27,185)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320,163</w:t>
            </w:r>
          </w:p>
        </w:tc>
      </w:tr>
      <w:tr>
        <w:trPr>
          <w:trHeight w:val="33"/>
        </w:trPr>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-522605</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-196850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58" w:lineRule="exact"/>
        <w:rPr>
          <w:sz w:val="20"/>
          <w:szCs w:val="20"/>
          <w:color w:val="auto"/>
        </w:rPr>
      </w:pPr>
    </w:p>
    <w:p>
      <w:pPr>
        <w:sectPr>
          <w:pgSz w:w="11900" w:h="16838" w:orient="portrait"/>
          <w:cols w:equalWidth="0" w:num="2">
            <w:col w:w="3740" w:space="720"/>
            <w:col w:w="6960"/>
          </w:cols>
          <w:pgMar w:left="240" w:top="126" w:right="239" w:bottom="1440" w:gutter="0" w:footer="0" w:header="0"/>
          <w:type w:val="continuous"/>
        </w:sectPr>
      </w:pP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6"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4460" w:type="dxa"/>
            <w:vAlign w:val="bottom"/>
            <w:gridSpan w:val="5"/>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605"/>
        </w:trPr>
        <w:tc>
          <w:tcPr>
            <w:tcW w:w="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Inter-company</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6"/>
        </w:trPr>
        <w:tc>
          <w:tcPr>
            <w:tcW w:w="4460" w:type="dxa"/>
            <w:vAlign w:val="bottom"/>
            <w:gridSpan w:val="5"/>
          </w:tcPr>
          <w:p>
            <w:pPr>
              <w:ind w:left="40"/>
              <w:spacing w:after="0"/>
              <w:rPr>
                <w:sz w:val="20"/>
                <w:szCs w:val="20"/>
                <w:color w:val="auto"/>
              </w:rPr>
            </w:pPr>
            <w:r>
              <w:rPr>
                <w:rFonts w:ascii="Arial" w:cs="Arial" w:eastAsia="Arial" w:hAnsi="Arial"/>
                <w:sz w:val="16"/>
                <w:szCs w:val="16"/>
                <w:color w:val="auto"/>
              </w:rPr>
              <w:t>Nine Months Ended September 30, 2019</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Electric Utilities</w:t>
            </w:r>
          </w:p>
        </w:tc>
        <w:tc>
          <w:tcPr>
            <w:tcW w:w="1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w w:val="98"/>
              </w:rPr>
              <w:t>Gas Utilities</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w w:val="99"/>
              </w:rPr>
              <w:t>Power Generation</w:t>
            </w:r>
          </w:p>
        </w:tc>
        <w:tc>
          <w:tcPr>
            <w:tcW w:w="220" w:type="dxa"/>
            <w:vAlign w:val="bottom"/>
          </w:tcPr>
          <w:p>
            <w:pPr>
              <w:spacing w:after="0"/>
              <w:rPr>
                <w:sz w:val="17"/>
                <w:szCs w:val="17"/>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Mining</w:t>
            </w:r>
          </w:p>
        </w:tc>
        <w:tc>
          <w:tcPr>
            <w:tcW w:w="22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w w:val="94"/>
              </w:rPr>
              <w:t>Revenues</w:t>
            </w:r>
          </w:p>
        </w:tc>
        <w:tc>
          <w:tcPr>
            <w:tcW w:w="260" w:type="dxa"/>
            <w:vAlign w:val="bottom"/>
          </w:tcPr>
          <w:p>
            <w:pPr>
              <w:spacing w:after="0"/>
              <w:rPr>
                <w:sz w:val="17"/>
                <w:szCs w:val="17"/>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color w:val="auto"/>
              </w:rPr>
              <w:t>Total</w:t>
            </w:r>
          </w:p>
        </w:tc>
      </w:tr>
      <w:tr>
        <w:trPr>
          <w:trHeight w:val="33"/>
        </w:trPr>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3"/>
        </w:trPr>
        <w:tc>
          <w:tcPr>
            <w:tcW w:w="4460" w:type="dxa"/>
            <w:vAlign w:val="bottom"/>
            <w:gridSpan w:val="5"/>
          </w:tcPr>
          <w:p>
            <w:pPr>
              <w:ind w:left="40"/>
              <w:spacing w:after="0" w:line="183" w:lineRule="exact"/>
              <w:rPr>
                <w:sz w:val="20"/>
                <w:szCs w:val="20"/>
                <w:color w:val="auto"/>
              </w:rPr>
            </w:pPr>
            <w:r>
              <w:rPr>
                <w:rFonts w:ascii="Arial" w:cs="Arial" w:eastAsia="Arial" w:hAnsi="Arial"/>
                <w:sz w:val="16"/>
                <w:szCs w:val="16"/>
                <w:color w:val="auto"/>
              </w:rPr>
              <w:t>Customer types:</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940" w:type="dxa"/>
            <w:vAlign w:val="bottom"/>
            <w:gridSpan w:val="3"/>
          </w:tcPr>
          <w:p>
            <w:pPr>
              <w:jc w:val="right"/>
              <w:ind w:right="639"/>
              <w:spacing w:after="0" w:line="183" w:lineRule="exact"/>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4420" w:type="dxa"/>
            <w:vAlign w:val="bottom"/>
            <w:tcBorders>
              <w:bottom w:val="single" w:sz="8" w:color="CEFFE7"/>
            </w:tcBorders>
            <w:gridSpan w:val="4"/>
            <w:shd w:val="clear" w:color="auto" w:fill="CEFFE7"/>
          </w:tcPr>
          <w:p>
            <w:pPr>
              <w:ind w:left="140"/>
              <w:spacing w:after="0"/>
              <w:rPr>
                <w:sz w:val="20"/>
                <w:szCs w:val="20"/>
                <w:color w:val="auto"/>
              </w:rPr>
            </w:pPr>
            <w:r>
              <w:rPr>
                <w:rFonts w:ascii="Arial" w:cs="Arial" w:eastAsia="Arial" w:hAnsi="Arial"/>
                <w:sz w:val="16"/>
                <w:szCs w:val="16"/>
                <w:color w:val="auto"/>
              </w:rPr>
              <w:t>Retail</w:t>
            </w:r>
          </w:p>
        </w:tc>
        <w:tc>
          <w:tcPr>
            <w:tcW w:w="32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455,409</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567,715</w:t>
            </w:r>
          </w:p>
        </w:tc>
        <w:tc>
          <w:tcPr>
            <w:tcW w:w="46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43,249</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(23,315)</w:t>
            </w:r>
          </w:p>
        </w:tc>
        <w:tc>
          <w:tcPr>
            <w:tcW w:w="2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1,043,058</w:t>
            </w:r>
          </w:p>
        </w:tc>
      </w:tr>
      <w:tr>
        <w:trPr>
          <w:trHeight w:val="224"/>
        </w:trPr>
        <w:tc>
          <w:tcPr>
            <w:tcW w:w="40" w:type="dxa"/>
            <w:vAlign w:val="bottom"/>
          </w:tcPr>
          <w:p>
            <w:pPr>
              <w:spacing w:after="0"/>
              <w:rPr>
                <w:sz w:val="19"/>
                <w:szCs w:val="19"/>
                <w:color w:val="auto"/>
              </w:rPr>
            </w:pPr>
          </w:p>
        </w:tc>
        <w:tc>
          <w:tcPr>
            <w:tcW w:w="4420" w:type="dxa"/>
            <w:vAlign w:val="bottom"/>
            <w:gridSpan w:val="4"/>
          </w:tcPr>
          <w:p>
            <w:pPr>
              <w:ind w:left="140"/>
              <w:spacing w:after="0"/>
              <w:rPr>
                <w:sz w:val="20"/>
                <w:szCs w:val="20"/>
                <w:color w:val="auto"/>
              </w:rPr>
            </w:pPr>
            <w:r>
              <w:rPr>
                <w:rFonts w:ascii="Arial" w:cs="Arial" w:eastAsia="Arial" w:hAnsi="Arial"/>
                <w:sz w:val="16"/>
                <w:szCs w:val="16"/>
                <w:color w:val="auto"/>
              </w:rPr>
              <w:t>Transportation</w:t>
            </w:r>
          </w:p>
        </w:tc>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102,159</w:t>
            </w:r>
          </w:p>
        </w:tc>
        <w:tc>
          <w:tcPr>
            <w:tcW w:w="46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(903)</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101,256</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4420" w:type="dxa"/>
            <w:vAlign w:val="bottom"/>
            <w:tcBorders>
              <w:bottom w:val="single" w:sz="8" w:color="CEFFE7"/>
            </w:tcBorders>
            <w:gridSpan w:val="4"/>
            <w:shd w:val="clear" w:color="auto" w:fill="CEFFE7"/>
          </w:tcPr>
          <w:p>
            <w:pPr>
              <w:ind w:left="140"/>
              <w:spacing w:after="0"/>
              <w:rPr>
                <w:sz w:val="20"/>
                <w:szCs w:val="20"/>
                <w:color w:val="auto"/>
              </w:rPr>
            </w:pPr>
            <w:r>
              <w:rPr>
                <w:rFonts w:ascii="Arial" w:cs="Arial" w:eastAsia="Arial" w:hAnsi="Arial"/>
                <w:sz w:val="16"/>
                <w:szCs w:val="16"/>
                <w:color w:val="auto"/>
              </w:rPr>
              <w:t>Wholesale</w:t>
            </w:r>
          </w:p>
        </w:tc>
        <w:tc>
          <w:tcPr>
            <w:tcW w:w="3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23,334</w:t>
            </w:r>
          </w:p>
        </w:tc>
        <w:tc>
          <w:tcPr>
            <w:tcW w:w="16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46,650</w:t>
            </w:r>
          </w:p>
        </w:tc>
        <w:tc>
          <w:tcPr>
            <w:tcW w:w="22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(40,923)</w:t>
            </w:r>
          </w:p>
        </w:tc>
        <w:tc>
          <w:tcPr>
            <w:tcW w:w="26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29,061</w:t>
            </w:r>
          </w:p>
        </w:tc>
      </w:tr>
      <w:tr>
        <w:trPr>
          <w:trHeight w:val="224"/>
        </w:trPr>
        <w:tc>
          <w:tcPr>
            <w:tcW w:w="40" w:type="dxa"/>
            <w:vAlign w:val="bottom"/>
          </w:tcPr>
          <w:p>
            <w:pPr>
              <w:spacing w:after="0"/>
              <w:rPr>
                <w:sz w:val="19"/>
                <w:szCs w:val="19"/>
                <w:color w:val="auto"/>
              </w:rPr>
            </w:pPr>
          </w:p>
        </w:tc>
        <w:tc>
          <w:tcPr>
            <w:tcW w:w="4420" w:type="dxa"/>
            <w:vAlign w:val="bottom"/>
            <w:gridSpan w:val="4"/>
          </w:tcPr>
          <w:p>
            <w:pPr>
              <w:ind w:left="140"/>
              <w:spacing w:after="0"/>
              <w:rPr>
                <w:sz w:val="20"/>
                <w:szCs w:val="20"/>
                <w:color w:val="auto"/>
              </w:rPr>
            </w:pPr>
            <w:r>
              <w:rPr>
                <w:rFonts w:ascii="Arial" w:cs="Arial" w:eastAsia="Arial" w:hAnsi="Arial"/>
                <w:sz w:val="16"/>
                <w:szCs w:val="16"/>
                <w:color w:val="auto"/>
              </w:rPr>
              <w:t>Market - off-system sales</w:t>
            </w:r>
          </w:p>
        </w:tc>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16,592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517</w:t>
            </w:r>
          </w:p>
        </w:tc>
        <w:tc>
          <w:tcPr>
            <w:tcW w:w="46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(5,047)</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12,062</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4420" w:type="dxa"/>
            <w:vAlign w:val="bottom"/>
            <w:tcBorders>
              <w:bottom w:val="single" w:sz="8" w:color="CEFFE7"/>
            </w:tcBorders>
            <w:gridSpan w:val="4"/>
            <w:shd w:val="clear" w:color="auto" w:fill="CEFFE7"/>
          </w:tcPr>
          <w:p>
            <w:pPr>
              <w:ind w:left="140"/>
              <w:spacing w:after="0"/>
              <w:rPr>
                <w:sz w:val="20"/>
                <w:szCs w:val="20"/>
                <w:color w:val="auto"/>
              </w:rPr>
            </w:pPr>
            <w:r>
              <w:rPr>
                <w:rFonts w:ascii="Arial" w:cs="Arial" w:eastAsia="Arial" w:hAnsi="Arial"/>
                <w:sz w:val="16"/>
                <w:szCs w:val="16"/>
                <w:color w:val="auto"/>
              </w:rPr>
              <w:t>Transmission/Other</w:t>
            </w:r>
          </w:p>
        </w:tc>
        <w:tc>
          <w:tcPr>
            <w:tcW w:w="3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42,865</w:t>
            </w:r>
          </w:p>
        </w:tc>
        <w:tc>
          <w:tcPr>
            <w:tcW w:w="16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35,767</w:t>
            </w:r>
          </w:p>
        </w:tc>
        <w:tc>
          <w:tcPr>
            <w:tcW w:w="4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(12,608)</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66,024</w:t>
            </w:r>
          </w:p>
        </w:tc>
      </w:tr>
      <w:tr>
        <w:trPr>
          <w:trHeight w:val="217"/>
        </w:trPr>
        <w:tc>
          <w:tcPr>
            <w:tcW w:w="40" w:type="dxa"/>
            <w:vAlign w:val="bottom"/>
          </w:tcPr>
          <w:p>
            <w:pPr>
              <w:spacing w:after="0"/>
              <w:rPr>
                <w:sz w:val="18"/>
                <w:szCs w:val="18"/>
                <w:color w:val="auto"/>
              </w:rPr>
            </w:pPr>
          </w:p>
        </w:tc>
        <w:tc>
          <w:tcPr>
            <w:tcW w:w="4420" w:type="dxa"/>
            <w:vAlign w:val="bottom"/>
            <w:gridSpan w:val="4"/>
          </w:tcPr>
          <w:p>
            <w:pPr>
              <w:ind w:left="140"/>
              <w:spacing w:after="0"/>
              <w:rPr>
                <w:sz w:val="20"/>
                <w:szCs w:val="20"/>
                <w:color w:val="auto"/>
              </w:rPr>
            </w:pPr>
            <w:r>
              <w:rPr>
                <w:rFonts w:ascii="Arial" w:cs="Arial" w:eastAsia="Arial" w:hAnsi="Arial"/>
                <w:sz w:val="16"/>
                <w:szCs w:val="16"/>
                <w:color w:val="auto"/>
              </w:rPr>
              <w:t>Revenue from contracts with customers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538,200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706,158</w:t>
            </w:r>
          </w:p>
        </w:tc>
        <w:tc>
          <w:tcPr>
            <w:tcW w:w="4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46,650</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43,249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(82,796)</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1,251,461</w:t>
            </w: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4420" w:type="dxa"/>
            <w:vAlign w:val="bottom"/>
            <w:tcBorders>
              <w:bottom w:val="single" w:sz="8" w:color="CEFFE7"/>
            </w:tcBorders>
            <w:gridSpan w:val="4"/>
            <w:shd w:val="clear" w:color="auto" w:fill="CEFFE7"/>
          </w:tcPr>
          <w:p>
            <w:pPr>
              <w:ind w:left="14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2,465</w:t>
            </w:r>
          </w:p>
        </w:tc>
        <w:tc>
          <w:tcPr>
            <w:tcW w:w="16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1,135</w:t>
            </w:r>
          </w:p>
        </w:tc>
        <w:tc>
          <w:tcPr>
            <w:tcW w:w="4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29,114</w:t>
            </w:r>
          </w:p>
        </w:tc>
        <w:tc>
          <w:tcPr>
            <w:tcW w:w="22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1,777</w:t>
            </w:r>
          </w:p>
        </w:tc>
        <w:tc>
          <w:tcPr>
            <w:tcW w:w="22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(28,706)</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5,785</w:t>
            </w:r>
          </w:p>
        </w:tc>
      </w:tr>
      <w:tr>
        <w:trPr>
          <w:trHeight w:val="284"/>
        </w:trPr>
        <w:tc>
          <w:tcPr>
            <w:tcW w:w="4460" w:type="dxa"/>
            <w:vAlign w:val="bottom"/>
            <w:tcBorders>
              <w:bottom w:val="single" w:sz="8" w:color="CEFFE7"/>
            </w:tcBorders>
            <w:gridSpan w:val="5"/>
          </w:tcPr>
          <w:p>
            <w:pPr>
              <w:ind w:left="40"/>
              <w:spacing w:after="0"/>
              <w:rPr>
                <w:sz w:val="20"/>
                <w:szCs w:val="20"/>
                <w:color w:val="auto"/>
              </w:rPr>
            </w:pPr>
            <w:r>
              <w:rPr>
                <w:rFonts w:ascii="Arial" w:cs="Arial" w:eastAsia="Arial" w:hAnsi="Arial"/>
                <w:sz w:val="16"/>
                <w:szCs w:val="16"/>
                <w:color w:val="auto"/>
              </w:rPr>
              <w:t>Total revenues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540,665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707,293</w:t>
            </w:r>
          </w:p>
        </w:tc>
        <w:tc>
          <w:tcPr>
            <w:tcW w:w="4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75,764</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45,026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(111,502)</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1,257,246</w:t>
            </w:r>
          </w:p>
        </w:tc>
      </w:tr>
      <w:tr>
        <w:trPr>
          <w:trHeight w:val="311"/>
        </w:trPr>
        <w:tc>
          <w:tcPr>
            <w:tcW w:w="4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240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46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r>
      <w:tr>
        <w:trPr>
          <w:trHeight w:val="203"/>
        </w:trPr>
        <w:tc>
          <w:tcPr>
            <w:tcW w:w="4460" w:type="dxa"/>
            <w:vAlign w:val="bottom"/>
            <w:gridSpan w:val="5"/>
          </w:tcPr>
          <w:p>
            <w:pPr>
              <w:ind w:left="40"/>
              <w:spacing w:after="0"/>
              <w:rPr>
                <w:sz w:val="20"/>
                <w:szCs w:val="20"/>
                <w:color w:val="auto"/>
              </w:rPr>
            </w:pPr>
            <w:r>
              <w:rPr>
                <w:rFonts w:ascii="Arial" w:cs="Arial" w:eastAsia="Arial" w:hAnsi="Arial"/>
                <w:sz w:val="16"/>
                <w:szCs w:val="16"/>
                <w:color w:val="auto"/>
              </w:rPr>
              <w:t>Timing of revenue recognition:</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4420" w:type="dxa"/>
            <w:vAlign w:val="bottom"/>
            <w:tcBorders>
              <w:bottom w:val="single" w:sz="8" w:color="CEFFE7"/>
            </w:tcBorders>
            <w:gridSpan w:val="4"/>
            <w:shd w:val="clear" w:color="auto" w:fill="CEFFE7"/>
          </w:tcPr>
          <w:p>
            <w:pPr>
              <w:ind w:left="140"/>
              <w:spacing w:after="0"/>
              <w:rPr>
                <w:sz w:val="20"/>
                <w:szCs w:val="20"/>
                <w:color w:val="auto"/>
              </w:rPr>
            </w:pPr>
            <w:r>
              <w:rPr>
                <w:rFonts w:ascii="Arial" w:cs="Arial" w:eastAsia="Arial" w:hAnsi="Arial"/>
                <w:sz w:val="16"/>
                <w:szCs w:val="16"/>
                <w:color w:val="auto"/>
              </w:rPr>
              <w:t>Services transferred at a point in time</w:t>
            </w:r>
          </w:p>
        </w:tc>
        <w:tc>
          <w:tcPr>
            <w:tcW w:w="32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43,249</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(23,315)</w:t>
            </w:r>
          </w:p>
        </w:tc>
        <w:tc>
          <w:tcPr>
            <w:tcW w:w="2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19,934</w:t>
            </w:r>
          </w:p>
        </w:tc>
      </w:tr>
      <w:tr>
        <w:trPr>
          <w:trHeight w:val="224"/>
        </w:trPr>
        <w:tc>
          <w:tcPr>
            <w:tcW w:w="40" w:type="dxa"/>
            <w:vAlign w:val="bottom"/>
          </w:tcPr>
          <w:p>
            <w:pPr>
              <w:spacing w:after="0"/>
              <w:rPr>
                <w:sz w:val="19"/>
                <w:szCs w:val="19"/>
                <w:color w:val="auto"/>
              </w:rPr>
            </w:pPr>
          </w:p>
        </w:tc>
        <w:tc>
          <w:tcPr>
            <w:tcW w:w="4420" w:type="dxa"/>
            <w:vAlign w:val="bottom"/>
            <w:gridSpan w:val="4"/>
          </w:tcPr>
          <w:p>
            <w:pPr>
              <w:ind w:left="140"/>
              <w:spacing w:after="0"/>
              <w:rPr>
                <w:sz w:val="20"/>
                <w:szCs w:val="20"/>
                <w:color w:val="auto"/>
              </w:rPr>
            </w:pPr>
            <w:r>
              <w:rPr>
                <w:rFonts w:ascii="Arial" w:cs="Arial" w:eastAsia="Arial" w:hAnsi="Arial"/>
                <w:sz w:val="16"/>
                <w:szCs w:val="16"/>
                <w:color w:val="auto"/>
              </w:rPr>
              <w:t>Services transferred over time</w:t>
            </w:r>
          </w:p>
        </w:tc>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538,200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706,158</w:t>
            </w:r>
          </w:p>
        </w:tc>
        <w:tc>
          <w:tcPr>
            <w:tcW w:w="46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46,650</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(59,481)</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1,231,527</w:t>
            </w:r>
          </w:p>
        </w:tc>
      </w:tr>
      <w:tr>
        <w:trPr>
          <w:trHeight w:val="33"/>
        </w:trPr>
        <w:tc>
          <w:tcPr>
            <w:tcW w:w="40" w:type="dxa"/>
            <w:vAlign w:val="bottom"/>
            <w:tcBorders>
              <w:bottom w:val="single" w:sz="8" w:color="CEFFE7"/>
            </w:tcBorders>
          </w:tcPr>
          <w:p>
            <w:pPr>
              <w:spacing w:after="0"/>
              <w:rPr>
                <w:sz w:val="2"/>
                <w:szCs w:val="2"/>
                <w:color w:val="auto"/>
              </w:rPr>
            </w:pPr>
          </w:p>
        </w:tc>
        <w:tc>
          <w:tcPr>
            <w:tcW w:w="106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840" w:type="dxa"/>
            <w:vAlign w:val="bottom"/>
            <w:tcBorders>
              <w:bottom w:val="single" w:sz="8" w:color="CEFFE7"/>
            </w:tcBorders>
          </w:tcPr>
          <w:p>
            <w:pPr>
              <w:spacing w:after="0"/>
              <w:rPr>
                <w:sz w:val="2"/>
                <w:szCs w:val="2"/>
                <w:color w:val="auto"/>
              </w:rPr>
            </w:pPr>
          </w:p>
        </w:tc>
        <w:tc>
          <w:tcPr>
            <w:tcW w:w="240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EFFE7"/>
            </w:tcBorders>
            <w:shd w:val="clear" w:color="auto" w:fill="CEFFE7"/>
          </w:tcPr>
          <w:p>
            <w:pPr>
              <w:spacing w:after="0"/>
              <w:rPr>
                <w:sz w:val="21"/>
                <w:szCs w:val="21"/>
                <w:color w:val="auto"/>
              </w:rPr>
            </w:pPr>
          </w:p>
        </w:tc>
        <w:tc>
          <w:tcPr>
            <w:tcW w:w="4420" w:type="dxa"/>
            <w:vAlign w:val="bottom"/>
            <w:tcBorders>
              <w:bottom w:val="single" w:sz="8" w:color="CEFFE7"/>
            </w:tcBorders>
            <w:gridSpan w:val="4"/>
            <w:shd w:val="clear" w:color="auto" w:fill="CEFFE7"/>
          </w:tcPr>
          <w:p>
            <w:pPr>
              <w:ind w:left="140"/>
              <w:spacing w:after="0"/>
              <w:rPr>
                <w:sz w:val="20"/>
                <w:szCs w:val="20"/>
                <w:color w:val="auto"/>
              </w:rPr>
            </w:pPr>
            <w:r>
              <w:rPr>
                <w:rFonts w:ascii="Arial" w:cs="Arial" w:eastAsia="Arial" w:hAnsi="Arial"/>
                <w:sz w:val="16"/>
                <w:szCs w:val="16"/>
                <w:color w:val="auto"/>
              </w:rPr>
              <w:t>Revenue from contracts with customers</w:t>
            </w:r>
          </w:p>
        </w:tc>
        <w:tc>
          <w:tcPr>
            <w:tcW w:w="32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538,200</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706,158</w:t>
            </w:r>
          </w:p>
        </w:tc>
        <w:tc>
          <w:tcPr>
            <w:tcW w:w="46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46,650</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43,249</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(82,796)</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1,251,461</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w w:val="99"/>
              </w:rPr>
              <w:t>Power Generation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Inter-company</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4460" w:type="dxa"/>
            <w:vAlign w:val="bottom"/>
            <w:gridSpan w:val="4"/>
            <w:vMerge w:val="restart"/>
          </w:tcPr>
          <w:p>
            <w:pPr>
              <w:ind w:left="40"/>
              <w:spacing w:after="0"/>
              <w:rPr>
                <w:sz w:val="20"/>
                <w:szCs w:val="20"/>
                <w:color w:val="auto"/>
              </w:rPr>
            </w:pPr>
            <w:r>
              <w:rPr>
                <w:rFonts w:ascii="Arial" w:cs="Arial" w:eastAsia="Arial" w:hAnsi="Arial"/>
                <w:sz w:val="16"/>
                <w:szCs w:val="16"/>
                <w:color w:val="auto"/>
              </w:rPr>
              <w:t>Nine Months Ended September 30, 2018</w:t>
            </w:r>
          </w:p>
        </w:tc>
        <w:tc>
          <w:tcPr>
            <w:tcW w:w="1160" w:type="dxa"/>
            <w:vAlign w:val="bottom"/>
            <w:gridSpan w:val="2"/>
            <w:vMerge w:val="restart"/>
          </w:tcPr>
          <w:p>
            <w:pPr>
              <w:jc w:val="right"/>
              <w:spacing w:after="0"/>
              <w:rPr>
                <w:sz w:val="20"/>
                <w:szCs w:val="20"/>
                <w:color w:val="auto"/>
              </w:rPr>
            </w:pPr>
            <w:r>
              <w:rPr>
                <w:rFonts w:ascii="Arial" w:cs="Arial" w:eastAsia="Arial" w:hAnsi="Arial"/>
                <w:sz w:val="16"/>
                <w:szCs w:val="16"/>
                <w:color w:val="auto"/>
              </w:rPr>
              <w:t>Electric Utilities</w:t>
            </w:r>
          </w:p>
        </w:tc>
        <w:tc>
          <w:tcPr>
            <w:tcW w:w="160" w:type="dxa"/>
            <w:vAlign w:val="bottom"/>
          </w:tcPr>
          <w:p>
            <w:pPr>
              <w:spacing w:after="0"/>
              <w:rPr>
                <w:sz w:val="7"/>
                <w:szCs w:val="7"/>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w w:val="98"/>
              </w:rPr>
              <w:t>Gas Utilities</w:t>
            </w:r>
          </w:p>
        </w:tc>
        <w:tc>
          <w:tcPr>
            <w:tcW w:w="1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6"/>
                <w:szCs w:val="16"/>
                <w:color w:val="auto"/>
              </w:rPr>
              <w:t>Mining</w:t>
            </w:r>
          </w:p>
        </w:tc>
        <w:tc>
          <w:tcPr>
            <w:tcW w:w="180" w:type="dxa"/>
            <w:vAlign w:val="bottom"/>
          </w:tcPr>
          <w:p>
            <w:pPr>
              <w:spacing w:after="0"/>
              <w:rPr>
                <w:sz w:val="7"/>
                <w:szCs w:val="7"/>
                <w:color w:val="auto"/>
              </w:rPr>
            </w:pPr>
          </w:p>
        </w:tc>
        <w:tc>
          <w:tcPr>
            <w:tcW w:w="960" w:type="dxa"/>
            <w:vAlign w:val="bottom"/>
            <w:vMerge w:val="restart"/>
          </w:tcPr>
          <w:p>
            <w:pPr>
              <w:jc w:val="right"/>
              <w:ind w:right="59"/>
              <w:spacing w:after="0" w:line="239" w:lineRule="exact"/>
              <w:rPr>
                <w:sz w:val="20"/>
                <w:szCs w:val="20"/>
                <w:color w:val="auto"/>
              </w:rPr>
            </w:pPr>
            <w:r>
              <w:rPr>
                <w:rFonts w:ascii="Arial" w:cs="Arial" w:eastAsia="Arial" w:hAnsi="Arial"/>
                <w:sz w:val="16"/>
                <w:szCs w:val="16"/>
                <w:color w:val="auto"/>
                <w:w w:val="85"/>
              </w:rPr>
              <w:t xml:space="preserve">Revenues </w:t>
            </w:r>
            <w:r>
              <w:rPr>
                <w:rFonts w:ascii="Arial" w:cs="Arial" w:eastAsia="Arial" w:hAnsi="Arial"/>
                <w:sz w:val="21"/>
                <w:szCs w:val="21"/>
                <w:color w:val="auto"/>
                <w:w w:val="85"/>
                <w:vertAlign w:val="superscript"/>
              </w:rPr>
              <w:t>(a)</w:t>
            </w:r>
          </w:p>
        </w:tc>
        <w:tc>
          <w:tcPr>
            <w:tcW w:w="260" w:type="dxa"/>
            <w:vAlign w:val="bottom"/>
          </w:tcPr>
          <w:p>
            <w:pPr>
              <w:spacing w:after="0"/>
              <w:rPr>
                <w:sz w:val="7"/>
                <w:szCs w:val="7"/>
                <w:color w:val="auto"/>
              </w:rPr>
            </w:pPr>
          </w:p>
        </w:tc>
        <w:tc>
          <w:tcPr>
            <w:tcW w:w="880" w:type="dxa"/>
            <w:vAlign w:val="bottom"/>
            <w:vMerge w:val="restart"/>
          </w:tcPr>
          <w:p>
            <w:pPr>
              <w:jc w:val="right"/>
              <w:ind w:right="3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58"/>
        </w:trPr>
        <w:tc>
          <w:tcPr>
            <w:tcW w:w="4460" w:type="dxa"/>
            <w:vAlign w:val="bottom"/>
            <w:tcBorders>
              <w:bottom w:val="single" w:sz="8" w:color="auto"/>
            </w:tcBorders>
            <w:gridSpan w:val="4"/>
            <w:vMerge w:val="continue"/>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color w:val="auto"/>
              </w:rPr>
              <w:t>(a)</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60" w:type="dxa"/>
            <w:vAlign w:val="bottom"/>
            <w:gridSpan w:val="4"/>
          </w:tcPr>
          <w:p>
            <w:pPr>
              <w:ind w:left="40"/>
              <w:spacing w:after="0"/>
              <w:rPr>
                <w:sz w:val="20"/>
                <w:szCs w:val="20"/>
                <w:color w:val="auto"/>
              </w:rPr>
            </w:pPr>
            <w:r>
              <w:rPr>
                <w:rFonts w:ascii="Arial" w:cs="Arial" w:eastAsia="Arial" w:hAnsi="Arial"/>
                <w:sz w:val="16"/>
                <w:szCs w:val="16"/>
                <w:color w:val="auto"/>
              </w:rPr>
              <w:t>Customer Types:</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442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6"/>
                <w:szCs w:val="16"/>
                <w:color w:val="auto"/>
              </w:rPr>
              <w:t>Retail</w:t>
            </w:r>
          </w:p>
        </w:tc>
        <w:tc>
          <w:tcPr>
            <w:tcW w:w="32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449,482</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565,816</w:t>
            </w:r>
          </w:p>
        </w:tc>
        <w:tc>
          <w:tcPr>
            <w:tcW w:w="3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49,653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(23,761)</w:t>
            </w:r>
          </w:p>
        </w:tc>
        <w:tc>
          <w:tcPr>
            <w:tcW w:w="2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1,041,190</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420" w:type="dxa"/>
            <w:vAlign w:val="bottom"/>
            <w:gridSpan w:val="3"/>
          </w:tcPr>
          <w:p>
            <w:pPr>
              <w:ind w:left="140"/>
              <w:spacing w:after="0"/>
              <w:rPr>
                <w:sz w:val="20"/>
                <w:szCs w:val="20"/>
                <w:color w:val="auto"/>
              </w:rPr>
            </w:pPr>
            <w:r>
              <w:rPr>
                <w:rFonts w:ascii="Arial" w:cs="Arial" w:eastAsia="Arial" w:hAnsi="Arial"/>
                <w:sz w:val="16"/>
                <w:szCs w:val="16"/>
                <w:color w:val="auto"/>
              </w:rPr>
              <w:t>Transportation</w:t>
            </w:r>
          </w:p>
        </w:tc>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100,760</w:t>
            </w:r>
          </w:p>
        </w:tc>
        <w:tc>
          <w:tcPr>
            <w:tcW w:w="38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(977)</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99,783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442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6"/>
                <w:szCs w:val="16"/>
                <w:color w:val="auto"/>
              </w:rPr>
              <w:t>Wholesale</w:t>
            </w:r>
          </w:p>
        </w:tc>
        <w:tc>
          <w:tcPr>
            <w:tcW w:w="3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25,497</w:t>
            </w:r>
          </w:p>
        </w:tc>
        <w:tc>
          <w:tcPr>
            <w:tcW w:w="16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EFFE7"/>
            </w:tcBorders>
            <w:shd w:val="clear" w:color="auto" w:fill="CEFFE7"/>
          </w:tcPr>
          <w:p>
            <w:pPr>
              <w:spacing w:after="0"/>
              <w:rPr>
                <w:sz w:val="20"/>
                <w:szCs w:val="20"/>
                <w:color w:val="auto"/>
              </w:rPr>
            </w:pPr>
          </w:p>
        </w:tc>
        <w:tc>
          <w:tcPr>
            <w:tcW w:w="940" w:type="dxa"/>
            <w:vAlign w:val="bottom"/>
            <w:tcBorders>
              <w:bottom w:val="single" w:sz="8" w:color="CEFFE7"/>
            </w:tcBorders>
            <w:shd w:val="clear" w:color="auto" w:fill="CEFFE7"/>
          </w:tcPr>
          <w:p>
            <w:pPr>
              <w:jc w:val="right"/>
              <w:ind w:right="41"/>
              <w:spacing w:after="0"/>
              <w:rPr>
                <w:sz w:val="20"/>
                <w:szCs w:val="20"/>
                <w:color w:val="auto"/>
              </w:rPr>
            </w:pPr>
            <w:r>
              <w:rPr>
                <w:rFonts w:ascii="Arial" w:cs="Arial" w:eastAsia="Arial" w:hAnsi="Arial"/>
                <w:sz w:val="16"/>
                <w:szCs w:val="16"/>
                <w:color w:val="auto"/>
              </w:rPr>
              <w:t>43,744</w:t>
            </w:r>
          </w:p>
        </w:tc>
        <w:tc>
          <w:tcPr>
            <w:tcW w:w="22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(39,457)</w:t>
            </w:r>
          </w:p>
        </w:tc>
        <w:tc>
          <w:tcPr>
            <w:tcW w:w="26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29,784</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420" w:type="dxa"/>
            <w:vAlign w:val="bottom"/>
            <w:gridSpan w:val="3"/>
          </w:tcPr>
          <w:p>
            <w:pPr>
              <w:ind w:left="140"/>
              <w:spacing w:after="0"/>
              <w:rPr>
                <w:sz w:val="20"/>
                <w:szCs w:val="20"/>
                <w:color w:val="auto"/>
              </w:rPr>
            </w:pPr>
            <w:r>
              <w:rPr>
                <w:rFonts w:ascii="Arial" w:cs="Arial" w:eastAsia="Arial" w:hAnsi="Arial"/>
                <w:sz w:val="16"/>
                <w:szCs w:val="16"/>
                <w:color w:val="auto"/>
              </w:rPr>
              <w:t>Market - off-system sales</w:t>
            </w:r>
          </w:p>
        </w:tc>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18,142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728</w:t>
            </w:r>
          </w:p>
        </w:tc>
        <w:tc>
          <w:tcPr>
            <w:tcW w:w="38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(5,531)</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13,339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442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6"/>
                <w:szCs w:val="16"/>
                <w:color w:val="auto"/>
              </w:rPr>
              <w:t>Transmission/Other</w:t>
            </w:r>
          </w:p>
        </w:tc>
        <w:tc>
          <w:tcPr>
            <w:tcW w:w="3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36,622</w:t>
            </w:r>
          </w:p>
        </w:tc>
        <w:tc>
          <w:tcPr>
            <w:tcW w:w="16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36,230</w:t>
            </w:r>
          </w:p>
        </w:tc>
        <w:tc>
          <w:tcPr>
            <w:tcW w:w="38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(10,967)</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61,885</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420" w:type="dxa"/>
            <w:vAlign w:val="bottom"/>
            <w:gridSpan w:val="3"/>
          </w:tcPr>
          <w:p>
            <w:pPr>
              <w:ind w:left="140"/>
              <w:spacing w:after="0"/>
              <w:rPr>
                <w:sz w:val="20"/>
                <w:szCs w:val="20"/>
                <w:color w:val="auto"/>
              </w:rPr>
            </w:pPr>
            <w:r>
              <w:rPr>
                <w:rFonts w:ascii="Arial" w:cs="Arial" w:eastAsia="Arial" w:hAnsi="Arial"/>
                <w:sz w:val="16"/>
                <w:szCs w:val="16"/>
                <w:color w:val="auto"/>
              </w:rPr>
              <w:t>Revenue from contracts with customers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529,743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703,534</w:t>
            </w:r>
          </w:p>
        </w:tc>
        <w:tc>
          <w:tcPr>
            <w:tcW w:w="3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43,744</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49,653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(80,693)</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1,245,981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442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2,218</w:t>
            </w:r>
          </w:p>
        </w:tc>
        <w:tc>
          <w:tcPr>
            <w:tcW w:w="16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3,106</w:t>
            </w:r>
          </w:p>
        </w:tc>
        <w:tc>
          <w:tcPr>
            <w:tcW w:w="38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41"/>
              <w:spacing w:after="0"/>
              <w:rPr>
                <w:sz w:val="20"/>
                <w:szCs w:val="20"/>
                <w:color w:val="auto"/>
              </w:rPr>
            </w:pPr>
            <w:r>
              <w:rPr>
                <w:rFonts w:ascii="Arial" w:cs="Arial" w:eastAsia="Arial" w:hAnsi="Arial"/>
                <w:sz w:val="16"/>
                <w:szCs w:val="16"/>
                <w:color w:val="auto"/>
              </w:rPr>
              <w:t>27,429</w:t>
            </w:r>
          </w:p>
        </w:tc>
        <w:tc>
          <w:tcPr>
            <w:tcW w:w="22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1,675</w:t>
            </w:r>
          </w:p>
        </w:tc>
        <w:tc>
          <w:tcPr>
            <w:tcW w:w="18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(27,337)</w:t>
            </w:r>
          </w:p>
        </w:tc>
        <w:tc>
          <w:tcPr>
            <w:tcW w:w="26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7,091</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EFFE7"/>
            </w:tcBorders>
            <w:gridSpan w:val="4"/>
          </w:tcPr>
          <w:p>
            <w:pPr>
              <w:ind w:left="40"/>
              <w:spacing w:after="0"/>
              <w:rPr>
                <w:sz w:val="20"/>
                <w:szCs w:val="20"/>
                <w:color w:val="auto"/>
              </w:rPr>
            </w:pPr>
            <w:r>
              <w:rPr>
                <w:rFonts w:ascii="Arial" w:cs="Arial" w:eastAsia="Arial" w:hAnsi="Arial"/>
                <w:sz w:val="16"/>
                <w:szCs w:val="16"/>
                <w:color w:val="auto"/>
              </w:rPr>
              <w:t>Total Revenues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531,961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706,640</w:t>
            </w:r>
          </w:p>
        </w:tc>
        <w:tc>
          <w:tcPr>
            <w:tcW w:w="3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71,173</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51,328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(108,030)</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1,253,072</w:t>
            </w:r>
          </w:p>
        </w:tc>
        <w:tc>
          <w:tcPr>
            <w:tcW w:w="0" w:type="dxa"/>
            <w:vAlign w:val="bottom"/>
          </w:tcPr>
          <w:p>
            <w:pPr>
              <w:spacing w:after="0"/>
              <w:rPr>
                <w:sz w:val="1"/>
                <w:szCs w:val="1"/>
                <w:color w:val="auto"/>
              </w:rPr>
            </w:pPr>
          </w:p>
        </w:tc>
      </w:tr>
      <w:tr>
        <w:trPr>
          <w:trHeight w:val="311"/>
        </w:trPr>
        <w:tc>
          <w:tcPr>
            <w:tcW w:w="40" w:type="dxa"/>
            <w:vAlign w:val="bottom"/>
            <w:shd w:val="clear" w:color="auto" w:fill="CEFFE7"/>
          </w:tcPr>
          <w:p>
            <w:pPr>
              <w:spacing w:after="0"/>
              <w:rPr>
                <w:sz w:val="24"/>
                <w:szCs w:val="24"/>
                <w:color w:val="auto"/>
              </w:rPr>
            </w:pPr>
          </w:p>
        </w:tc>
        <w:tc>
          <w:tcPr>
            <w:tcW w:w="110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230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60" w:type="dxa"/>
            <w:vAlign w:val="bottom"/>
            <w:gridSpan w:val="4"/>
          </w:tcPr>
          <w:p>
            <w:pPr>
              <w:ind w:left="40"/>
              <w:spacing w:after="0"/>
              <w:rPr>
                <w:sz w:val="20"/>
                <w:szCs w:val="20"/>
                <w:color w:val="auto"/>
              </w:rPr>
            </w:pPr>
            <w:r>
              <w:rPr>
                <w:rFonts w:ascii="Arial" w:cs="Arial" w:eastAsia="Arial" w:hAnsi="Arial"/>
                <w:sz w:val="16"/>
                <w:szCs w:val="16"/>
                <w:color w:val="auto"/>
              </w:rPr>
              <w:t>Timing of Revenue Recognition:</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EFFE7"/>
            </w:tcBorders>
            <w:shd w:val="clear" w:color="auto" w:fill="CEFFE7"/>
          </w:tcPr>
          <w:p>
            <w:pPr>
              <w:spacing w:after="0"/>
              <w:rPr>
                <w:sz w:val="20"/>
                <w:szCs w:val="20"/>
                <w:color w:val="auto"/>
              </w:rPr>
            </w:pPr>
          </w:p>
        </w:tc>
        <w:tc>
          <w:tcPr>
            <w:tcW w:w="442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6"/>
                <w:szCs w:val="16"/>
                <w:color w:val="auto"/>
              </w:rPr>
              <w:t>Services transferred at a point in time</w:t>
            </w:r>
          </w:p>
        </w:tc>
        <w:tc>
          <w:tcPr>
            <w:tcW w:w="32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49,653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(23,761)</w:t>
            </w:r>
          </w:p>
        </w:tc>
        <w:tc>
          <w:tcPr>
            <w:tcW w:w="2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25,892</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420" w:type="dxa"/>
            <w:vAlign w:val="bottom"/>
            <w:gridSpan w:val="3"/>
          </w:tcPr>
          <w:p>
            <w:pPr>
              <w:ind w:left="140"/>
              <w:spacing w:after="0"/>
              <w:rPr>
                <w:sz w:val="20"/>
                <w:szCs w:val="20"/>
                <w:color w:val="auto"/>
              </w:rPr>
            </w:pPr>
            <w:r>
              <w:rPr>
                <w:rFonts w:ascii="Arial" w:cs="Arial" w:eastAsia="Arial" w:hAnsi="Arial"/>
                <w:sz w:val="16"/>
                <w:szCs w:val="16"/>
                <w:color w:val="auto"/>
              </w:rPr>
              <w:t>Services transferred over time</w:t>
            </w:r>
          </w:p>
        </w:tc>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529,743</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703,534</w:t>
            </w:r>
          </w:p>
        </w:tc>
        <w:tc>
          <w:tcPr>
            <w:tcW w:w="38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43,744</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(56,932)</w:t>
            </w:r>
          </w:p>
        </w:tc>
        <w:tc>
          <w:tcPr>
            <w:tcW w:w="2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1,220,089</w:t>
            </w:r>
          </w:p>
        </w:tc>
        <w:tc>
          <w:tcPr>
            <w:tcW w:w="0" w:type="dxa"/>
            <w:vAlign w:val="bottom"/>
          </w:tcPr>
          <w:p>
            <w:pPr>
              <w:spacing w:after="0"/>
              <w:rPr>
                <w:sz w:val="1"/>
                <w:szCs w:val="1"/>
                <w:color w:val="auto"/>
              </w:rPr>
            </w:pPr>
          </w:p>
        </w:tc>
      </w:tr>
      <w:tr>
        <w:trPr>
          <w:trHeight w:val="33"/>
        </w:trPr>
        <w:tc>
          <w:tcPr>
            <w:tcW w:w="40" w:type="dxa"/>
            <w:vAlign w:val="bottom"/>
            <w:tcBorders>
              <w:bottom w:val="single" w:sz="8" w:color="CEFFE7"/>
            </w:tcBorders>
          </w:tcPr>
          <w:p>
            <w:pPr>
              <w:spacing w:after="0"/>
              <w:rPr>
                <w:sz w:val="2"/>
                <w:szCs w:val="2"/>
                <w:color w:val="auto"/>
              </w:rPr>
            </w:pPr>
          </w:p>
        </w:tc>
        <w:tc>
          <w:tcPr>
            <w:tcW w:w="1100" w:type="dxa"/>
            <w:vAlign w:val="bottom"/>
            <w:tcBorders>
              <w:bottom w:val="single" w:sz="8" w:color="CEFFE7"/>
            </w:tcBorders>
          </w:tcPr>
          <w:p>
            <w:pPr>
              <w:spacing w:after="0"/>
              <w:rPr>
                <w:sz w:val="2"/>
                <w:szCs w:val="2"/>
                <w:color w:val="auto"/>
              </w:rPr>
            </w:pPr>
          </w:p>
        </w:tc>
        <w:tc>
          <w:tcPr>
            <w:tcW w:w="1020" w:type="dxa"/>
            <w:vAlign w:val="bottom"/>
            <w:tcBorders>
              <w:bottom w:val="single" w:sz="8" w:color="CEFFE7"/>
            </w:tcBorders>
          </w:tcPr>
          <w:p>
            <w:pPr>
              <w:spacing w:after="0"/>
              <w:rPr>
                <w:sz w:val="2"/>
                <w:szCs w:val="2"/>
                <w:color w:val="auto"/>
              </w:rPr>
            </w:pPr>
          </w:p>
        </w:tc>
        <w:tc>
          <w:tcPr>
            <w:tcW w:w="230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EFFE7"/>
            </w:tcBorders>
            <w:shd w:val="clear" w:color="auto" w:fill="CEFFE7"/>
          </w:tcPr>
          <w:p>
            <w:pPr>
              <w:spacing w:after="0"/>
              <w:rPr>
                <w:sz w:val="21"/>
                <w:szCs w:val="21"/>
                <w:color w:val="auto"/>
              </w:rPr>
            </w:pPr>
          </w:p>
        </w:tc>
        <w:tc>
          <w:tcPr>
            <w:tcW w:w="442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6"/>
                <w:szCs w:val="16"/>
                <w:color w:val="auto"/>
              </w:rPr>
              <w:t>Revenue from contracts with customers</w:t>
            </w:r>
          </w:p>
        </w:tc>
        <w:tc>
          <w:tcPr>
            <w:tcW w:w="32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529,743</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703,534</w:t>
            </w:r>
          </w:p>
        </w:tc>
        <w:tc>
          <w:tcPr>
            <w:tcW w:w="38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ind w:right="41"/>
              <w:spacing w:after="0"/>
              <w:rPr>
                <w:sz w:val="20"/>
                <w:szCs w:val="20"/>
                <w:color w:val="auto"/>
              </w:rPr>
            </w:pPr>
            <w:r>
              <w:rPr>
                <w:rFonts w:ascii="Arial" w:cs="Arial" w:eastAsia="Arial" w:hAnsi="Arial"/>
                <w:sz w:val="16"/>
                <w:szCs w:val="16"/>
                <w:color w:val="auto"/>
              </w:rPr>
              <w:t>43,744</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49,653</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(80,693)</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1,245,981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340" w:right="100" w:hanging="332"/>
        <w:spacing w:after="0" w:line="286" w:lineRule="auto"/>
        <w:tabs>
          <w:tab w:leader="none" w:pos="340" w:val="left"/>
        </w:tabs>
        <w:numPr>
          <w:ilvl w:val="0"/>
          <w:numId w:val="3"/>
        </w:numPr>
        <w:rPr>
          <w:rFonts w:ascii="Arial" w:cs="Arial" w:eastAsia="Arial" w:hAnsi="Arial"/>
          <w:sz w:val="15"/>
          <w:szCs w:val="15"/>
          <w:color w:val="auto"/>
        </w:rPr>
      </w:pPr>
      <w:r>
        <w:rPr>
          <w:rFonts w:ascii="Arial" w:cs="Arial" w:eastAsia="Arial" w:hAnsi="Arial"/>
          <w:sz w:val="15"/>
          <w:szCs w:val="15"/>
          <w:color w:val="auto"/>
        </w:rPr>
        <w:t>Due to the changes in our segment disclosures discussed in Note 3, Power Generation Wholesale revenue was revised for the three and nine months ended September 30, 2018, which resulted in an increase of $0.9 million and $2.6 million, respectively. The changes to Power Generation Wholesale revenue were offset by changes to eliminations in Inter-company Revenues within Corporate and Other and there was no impact to our consolidated Total 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nature of our primary revenue contracts provides an unconditional right to consideration upon service delivery; therefore, no customer contract assets or liabilities exist. The unconditional right to consideration is represented by the balance in our Accounts Receivable further discussed in Note 4. We do not typically incur costs that would be capitalized to obtain or fulfill a revenue contract.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reportable segments are based on our method of internal reporting, which is generally segregated by differences in products, services and regulation.</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Accounting standards for presentation of segments require an approach based on the way we organize the segments for making operating decisions and how the chief operating decision maker (CODM) assesses performance. Effective January 1, 2019, we concluded that adjusted operating income, instead of net income available for common stock which was used previously, is the most relevant metric for measuring segment performance. The change to our segment performance measure resulted in a revision of the Company’s segment disclosures for all periods to report adjusted operating income as the measure of segment performance.</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Prior to January 1, 2019, operating income for the Electric Utilities and Power Generation segments and Corporate and Other included the impacts of finance lease accounting relating to Colorado Electric’s PPA with Colorado IPP. This PPA provides 200 MW of energy and capacity to Colorado Electric from Colorado IPP’s combined-cycle turbines and expires on December 31, 2031. Finance lease accounting required us to de-recognize the asset from Colorado IPP (Power Generation segment), which legally owns the asset, and recognize it at Colorado Electric (Electric Utilities segment).</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CODM assesses the performance of our segments using adjusted operating income, which recognizes intersegment revenues, costs, and assets for Colorado Electric’s PPA with Colorado IPP on an accrual basis rather than as a finance lease. Effective January 1, 2019, we changed how we account for this PPA at the segment level, which impacts disclosures for all periods for revenues, fuel and purchased power cost, operating income and total assets for the Electric Utilities and Power Generation segments as well as Corporate and Other. There were no revisions to Gas Utilities and Mining segments and this change had no effect on our consolidated revenues, fuel and purchased power cost, operating income or total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252525"/>
        </w:rPr>
        <w:t>Segment information and Corporate and Other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4"/>
          </w:tcPr>
          <w:p>
            <w:pPr>
              <w:jc w:val="right"/>
              <w:ind w:right="320"/>
              <w:spacing w:after="0"/>
              <w:rPr>
                <w:sz w:val="20"/>
                <w:szCs w:val="20"/>
                <w:color w:val="auto"/>
              </w:rPr>
            </w:pPr>
            <w:r>
              <w:rPr>
                <w:rFonts w:ascii="Arial" w:cs="Arial" w:eastAsia="Arial" w:hAnsi="Arial"/>
                <w:sz w:val="18"/>
                <w:szCs w:val="18"/>
                <w:color w:val="auto"/>
                <w:w w:val="94"/>
              </w:rPr>
              <w:t>Inter-company Operating</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4"/>
          </w:tcPr>
          <w:p>
            <w:pPr>
              <w:ind w:left="20"/>
              <w:spacing w:after="0"/>
              <w:rPr>
                <w:sz w:val="20"/>
                <w:szCs w:val="20"/>
                <w:color w:val="auto"/>
              </w:rPr>
            </w:pPr>
            <w:r>
              <w:rPr>
                <w:rFonts w:ascii="Arial" w:cs="Arial" w:eastAsia="Arial" w:hAnsi="Arial"/>
                <w:sz w:val="18"/>
                <w:szCs w:val="18"/>
                <w:color w:val="auto"/>
                <w:w w:val="98"/>
              </w:rPr>
              <w:t>External Operating Revenue</w:t>
            </w:r>
          </w:p>
        </w:tc>
        <w:tc>
          <w:tcPr>
            <w:tcW w:w="160" w:type="dxa"/>
            <w:vAlign w:val="bottom"/>
          </w:tcPr>
          <w:p>
            <w:pPr>
              <w:spacing w:after="0"/>
              <w:rPr>
                <w:sz w:val="20"/>
                <w:szCs w:val="20"/>
                <w:color w:val="auto"/>
              </w:rPr>
            </w:pPr>
          </w:p>
        </w:tc>
        <w:tc>
          <w:tcPr>
            <w:tcW w:w="2220" w:type="dxa"/>
            <w:vAlign w:val="bottom"/>
            <w:gridSpan w:val="4"/>
          </w:tcPr>
          <w:p>
            <w:pPr>
              <w:ind w:left="68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Contract</w:t>
            </w:r>
          </w:p>
        </w:tc>
        <w:tc>
          <w:tcPr>
            <w:tcW w:w="220" w:type="dxa"/>
            <w:vAlign w:val="bottom"/>
          </w:tcPr>
          <w:p>
            <w:pPr>
              <w:spacing w:after="0"/>
              <w:rPr>
                <w:sz w:val="22"/>
                <w:szCs w:val="2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22"/>
                <w:szCs w:val="22"/>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1"/>
              </w:rPr>
              <w:t>Contract</w:t>
            </w:r>
          </w:p>
        </w:tc>
        <w:tc>
          <w:tcPr>
            <w:tcW w:w="180" w:type="dxa"/>
            <w:vAlign w:val="bottom"/>
          </w:tcPr>
          <w:p>
            <w:pPr>
              <w:spacing w:after="0"/>
              <w:rPr>
                <w:sz w:val="22"/>
                <w:szCs w:val="22"/>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2"/>
                <w:szCs w:val="22"/>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Total</w:t>
            </w: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Three Months Ended September 30, 2019</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Customers</w:t>
            </w:r>
          </w:p>
        </w:tc>
        <w:tc>
          <w:tcPr>
            <w:tcW w:w="2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Revenues</w:t>
            </w:r>
          </w:p>
        </w:tc>
        <w:tc>
          <w:tcPr>
            <w:tcW w:w="16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7"/>
              </w:rPr>
              <w:t>Customers</w:t>
            </w:r>
          </w:p>
        </w:tc>
        <w:tc>
          <w:tcPr>
            <w:tcW w:w="1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Revenues</w:t>
            </w:r>
          </w:p>
        </w:tc>
        <w:tc>
          <w:tcPr>
            <w:tcW w:w="180" w:type="dxa"/>
            <w:vAlign w:val="bottom"/>
          </w:tcPr>
          <w:p>
            <w:pPr>
              <w:spacing w:after="0"/>
              <w:rPr>
                <w:sz w:val="20"/>
                <w:szCs w:val="20"/>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color w:val="auto"/>
                <w:w w:val="86"/>
              </w:rPr>
              <w:t>Revenues</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Segment: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0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8"/>
                <w:szCs w:val="18"/>
                <w:color w:val="auto"/>
              </w:rPr>
              <w:t>Electric Utilities</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185,811</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5,339</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191,384</w:t>
            </w:r>
          </w:p>
        </w:tc>
      </w:tr>
      <w:tr>
        <w:trPr>
          <w:trHeight w:val="243"/>
        </w:trPr>
        <w:tc>
          <w:tcPr>
            <w:tcW w:w="5500" w:type="dxa"/>
            <w:vAlign w:val="bottom"/>
          </w:tcPr>
          <w:p>
            <w:pPr>
              <w:ind w:left="200"/>
              <w:spacing w:after="0"/>
              <w:rPr>
                <w:sz w:val="20"/>
                <w:szCs w:val="20"/>
                <w:color w:val="auto"/>
              </w:rPr>
            </w:pPr>
            <w:r>
              <w:rPr>
                <w:rFonts w:ascii="Arial" w:cs="Arial" w:eastAsia="Arial" w:hAnsi="Arial"/>
                <w:sz w:val="18"/>
                <w:szCs w:val="18"/>
                <w:color w:val="auto"/>
              </w:rPr>
              <w:t>Gas Utilities</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129,385</w:t>
            </w:r>
          </w:p>
        </w:tc>
        <w:tc>
          <w:tcPr>
            <w:tcW w:w="2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549</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130,744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0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8"/>
                <w:szCs w:val="18"/>
                <w:color w:val="auto"/>
              </w:rPr>
              <w:t>Power Generation</w:t>
            </w:r>
          </w:p>
        </w:tc>
        <w:tc>
          <w:tcPr>
            <w:tcW w:w="1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1,703</w:t>
            </w:r>
          </w:p>
        </w:tc>
        <w:tc>
          <w:tcPr>
            <w:tcW w:w="2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14,415</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9,162</w:t>
            </w: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25,811</w:t>
            </w:r>
          </w:p>
        </w:tc>
      </w:tr>
      <w:tr>
        <w:trPr>
          <w:trHeight w:val="243"/>
        </w:trPr>
        <w:tc>
          <w:tcPr>
            <w:tcW w:w="5500" w:type="dxa"/>
            <w:vAlign w:val="bottom"/>
          </w:tcPr>
          <w:p>
            <w:pPr>
              <w:ind w:left="200"/>
              <w:spacing w:after="0"/>
              <w:rPr>
                <w:sz w:val="20"/>
                <w:szCs w:val="20"/>
                <w:color w:val="auto"/>
              </w:rPr>
            </w:pPr>
            <w:r>
              <w:rPr>
                <w:rFonts w:ascii="Arial" w:cs="Arial" w:eastAsia="Arial" w:hAnsi="Arial"/>
                <w:sz w:val="18"/>
                <w:szCs w:val="18"/>
                <w:color w:val="auto"/>
              </w:rPr>
              <w:t>Mining</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6,846</w:t>
            </w:r>
          </w:p>
        </w:tc>
        <w:tc>
          <w:tcPr>
            <w:tcW w:w="2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8,146</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15,552</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Inter-company eliminations</w:t>
            </w:r>
          </w:p>
        </w:tc>
        <w:tc>
          <w:tcPr>
            <w:tcW w:w="1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gridSpan w:val="2"/>
            <w:shd w:val="clear" w:color="auto" w:fill="CEFFE7"/>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(28,449)</w:t>
            </w:r>
          </w:p>
        </w:tc>
        <w:tc>
          <w:tcPr>
            <w:tcW w:w="1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(9,494)</w:t>
            </w:r>
          </w:p>
        </w:tc>
        <w:tc>
          <w:tcPr>
            <w:tcW w:w="100" w:type="dxa"/>
            <w:vAlign w:val="bottom"/>
            <w:tcBorders>
              <w:bottom w:val="single" w:sz="8" w:color="CEFFE7"/>
            </w:tcBorders>
            <w:shd w:val="clear" w:color="auto" w:fill="CEFFE7"/>
          </w:tcPr>
          <w:p>
            <w:pPr>
              <w:spacing w:after="0"/>
              <w:rPr>
                <w:sz w:val="23"/>
                <w:szCs w:val="23"/>
                <w:color w:val="auto"/>
              </w:rPr>
            </w:pPr>
          </w:p>
        </w:tc>
        <w:tc>
          <w:tcPr>
            <w:tcW w:w="1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(37,943)</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323,745</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325,548</w:t>
            </w: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7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4"/>
          </w:tcPr>
          <w:p>
            <w:pPr>
              <w:jc w:val="right"/>
              <w:ind w:right="320"/>
              <w:spacing w:after="0"/>
              <w:rPr>
                <w:sz w:val="20"/>
                <w:szCs w:val="20"/>
                <w:color w:val="auto"/>
              </w:rPr>
            </w:pPr>
            <w:r>
              <w:rPr>
                <w:rFonts w:ascii="Arial" w:cs="Arial" w:eastAsia="Arial" w:hAnsi="Arial"/>
                <w:sz w:val="18"/>
                <w:szCs w:val="18"/>
                <w:color w:val="auto"/>
                <w:w w:val="94"/>
              </w:rPr>
              <w:t>Inter-company Operating</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4"/>
          </w:tcPr>
          <w:p>
            <w:pPr>
              <w:ind w:left="20"/>
              <w:spacing w:after="0"/>
              <w:rPr>
                <w:sz w:val="20"/>
                <w:szCs w:val="20"/>
                <w:color w:val="auto"/>
              </w:rPr>
            </w:pPr>
            <w:r>
              <w:rPr>
                <w:rFonts w:ascii="Arial" w:cs="Arial" w:eastAsia="Arial" w:hAnsi="Arial"/>
                <w:sz w:val="18"/>
                <w:szCs w:val="18"/>
                <w:color w:val="auto"/>
                <w:w w:val="98"/>
              </w:rPr>
              <w:t>External Operating Revenue</w:t>
            </w:r>
          </w:p>
        </w:tc>
        <w:tc>
          <w:tcPr>
            <w:tcW w:w="160" w:type="dxa"/>
            <w:vAlign w:val="bottom"/>
          </w:tcPr>
          <w:p>
            <w:pPr>
              <w:spacing w:after="0"/>
              <w:rPr>
                <w:sz w:val="20"/>
                <w:szCs w:val="20"/>
                <w:color w:val="auto"/>
              </w:rPr>
            </w:pPr>
          </w:p>
        </w:tc>
        <w:tc>
          <w:tcPr>
            <w:tcW w:w="2220" w:type="dxa"/>
            <w:vAlign w:val="bottom"/>
            <w:gridSpan w:val="4"/>
          </w:tcPr>
          <w:p>
            <w:pPr>
              <w:ind w:left="68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Contract</w:t>
            </w:r>
          </w:p>
        </w:tc>
        <w:tc>
          <w:tcPr>
            <w:tcW w:w="220" w:type="dxa"/>
            <w:vAlign w:val="bottom"/>
          </w:tcPr>
          <w:p>
            <w:pPr>
              <w:spacing w:after="0"/>
              <w:rPr>
                <w:sz w:val="22"/>
                <w:szCs w:val="2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22"/>
                <w:szCs w:val="22"/>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1"/>
              </w:rPr>
              <w:t>Contract</w:t>
            </w:r>
          </w:p>
        </w:tc>
        <w:tc>
          <w:tcPr>
            <w:tcW w:w="180" w:type="dxa"/>
            <w:vAlign w:val="bottom"/>
          </w:tcPr>
          <w:p>
            <w:pPr>
              <w:spacing w:after="0"/>
              <w:rPr>
                <w:sz w:val="22"/>
                <w:szCs w:val="22"/>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2"/>
                <w:szCs w:val="22"/>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Total</w:t>
            </w:r>
          </w:p>
        </w:tc>
      </w:t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Three Months Ended September 30, 2018</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Customers</w:t>
            </w:r>
          </w:p>
        </w:tc>
        <w:tc>
          <w:tcPr>
            <w:tcW w:w="2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Revenues</w:t>
            </w:r>
          </w:p>
        </w:tc>
        <w:tc>
          <w:tcPr>
            <w:tcW w:w="16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7"/>
              </w:rPr>
              <w:t>Customers</w:t>
            </w:r>
          </w:p>
        </w:tc>
        <w:tc>
          <w:tcPr>
            <w:tcW w:w="1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Revenues</w:t>
            </w:r>
          </w:p>
        </w:tc>
        <w:tc>
          <w:tcPr>
            <w:tcW w:w="180" w:type="dxa"/>
            <w:vAlign w:val="bottom"/>
          </w:tcPr>
          <w:p>
            <w:pPr>
              <w:spacing w:after="0"/>
              <w:rPr>
                <w:sz w:val="20"/>
                <w:szCs w:val="20"/>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color w:val="auto"/>
                <w:w w:val="86"/>
              </w:rPr>
              <w:t>Revenues</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Segment: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Electric Utilities</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179,527</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5,032</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184,790</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Gas Utilities</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130,390</w:t>
            </w:r>
          </w:p>
        </w:tc>
        <w:tc>
          <w:tcPr>
            <w:tcW w:w="2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131,676</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0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120" w:type="dxa"/>
            <w:vAlign w:val="bottom"/>
            <w:shd w:val="clear" w:color="auto" w:fill="CEFFE7"/>
          </w:tcPr>
          <w:p>
            <w:pPr>
              <w:spacing w:after="0"/>
              <w:rPr>
                <w:sz w:val="23"/>
                <w:szCs w:val="23"/>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1,437</w:t>
            </w:r>
          </w:p>
        </w:tc>
        <w:tc>
          <w:tcPr>
            <w:tcW w:w="220" w:type="dxa"/>
            <w:vAlign w:val="bottom"/>
            <w:shd w:val="clear" w:color="auto" w:fill="CEFFE7"/>
          </w:tcPr>
          <w:p>
            <w:pPr>
              <w:spacing w:after="0"/>
              <w:rPr>
                <w:sz w:val="23"/>
                <w:szCs w:val="23"/>
                <w:color w:val="auto"/>
              </w:rPr>
            </w:pPr>
          </w:p>
        </w:tc>
        <w:tc>
          <w:tcPr>
            <w:tcW w:w="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13,936</w:t>
            </w:r>
          </w:p>
        </w:tc>
        <w:tc>
          <w:tcPr>
            <w:tcW w:w="180" w:type="dxa"/>
            <w:vAlign w:val="bottom"/>
            <w:shd w:val="clear" w:color="auto" w:fill="CEFFE7"/>
          </w:tcPr>
          <w:p>
            <w:pPr>
              <w:spacing w:after="0"/>
              <w:rPr>
                <w:sz w:val="23"/>
                <w:szCs w:val="23"/>
                <w:color w:val="auto"/>
              </w:rPr>
            </w:pPr>
          </w:p>
        </w:tc>
        <w:tc>
          <w:tcPr>
            <w:tcW w:w="9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8,770</w:t>
            </w:r>
          </w:p>
        </w:tc>
        <w:tc>
          <w:tcPr>
            <w:tcW w:w="10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24,491</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Mining</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8,809</w:t>
            </w:r>
          </w:p>
        </w:tc>
        <w:tc>
          <w:tcPr>
            <w:tcW w:w="2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7,942</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17,301</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0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Inter-company eliminations </w:t>
            </w:r>
            <w:r>
              <w:rPr>
                <w:rFonts w:ascii="Arial" w:cs="Arial" w:eastAsia="Arial" w:hAnsi="Arial"/>
                <w:sz w:val="25"/>
                <w:szCs w:val="25"/>
                <w:color w:val="auto"/>
                <w:vertAlign w:val="superscript"/>
              </w:rPr>
              <w:t>(a)</w:t>
            </w:r>
          </w:p>
        </w:tc>
        <w:tc>
          <w:tcPr>
            <w:tcW w:w="120" w:type="dxa"/>
            <w:vAlign w:val="bottom"/>
            <w:tcBorders>
              <w:bottom w:val="single" w:sz="8" w:color="auto"/>
            </w:tcBorders>
            <w:shd w:val="clear" w:color="auto" w:fill="CEFFE7"/>
          </w:tcPr>
          <w:p>
            <w:pPr>
              <w:spacing w:after="0"/>
              <w:rPr>
                <w:sz w:val="23"/>
                <w:szCs w:val="23"/>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EFFE7"/>
          </w:tcPr>
          <w:p>
            <w:pPr>
              <w:spacing w:after="0"/>
              <w:rPr>
                <w:sz w:val="23"/>
                <w:szCs w:val="23"/>
                <w:color w:val="auto"/>
              </w:rPr>
            </w:pPr>
          </w:p>
        </w:tc>
        <w:tc>
          <w:tcPr>
            <w:tcW w:w="160" w:type="dxa"/>
            <w:vAlign w:val="bottom"/>
            <w:tcBorders>
              <w:bottom w:val="single" w:sz="8" w:color="auto"/>
            </w:tcBorders>
            <w:shd w:val="clear" w:color="auto" w:fill="CEFFE7"/>
          </w:tcPr>
          <w:p>
            <w:pPr>
              <w:spacing w:after="0"/>
              <w:rPr>
                <w:sz w:val="23"/>
                <w:szCs w:val="23"/>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(27,185)</w:t>
            </w:r>
          </w:p>
        </w:tc>
        <w:tc>
          <w:tcPr>
            <w:tcW w:w="18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(9,094)</w:t>
            </w:r>
          </w:p>
        </w:tc>
        <w:tc>
          <w:tcPr>
            <w:tcW w:w="100" w:type="dxa"/>
            <w:vAlign w:val="bottom"/>
            <w:shd w:val="clear" w:color="auto" w:fill="CEFFE7"/>
          </w:tcPr>
          <w:p>
            <w:pPr>
              <w:spacing w:after="0"/>
              <w:rPr>
                <w:sz w:val="23"/>
                <w:szCs w:val="23"/>
                <w:color w:val="auto"/>
              </w:rPr>
            </w:pPr>
          </w:p>
        </w:tc>
        <w:tc>
          <w:tcPr>
            <w:tcW w:w="180" w:type="dxa"/>
            <w:vAlign w:val="bottom"/>
            <w:tcBorders>
              <w:bottom w:val="single" w:sz="8" w:color="auto"/>
            </w:tcBorders>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(36,279)</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320,163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321,979</w:t>
            </w:r>
          </w:p>
        </w:tc>
      </w:tr>
      <w:tr>
        <w:trPr>
          <w:trHeight w:val="20"/>
        </w:trPr>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614"/>
        </w:trPr>
        <w:tc>
          <w:tcPr>
            <w:tcW w:w="1220" w:type="dxa"/>
            <w:vAlign w:val="bottom"/>
            <w:tcBorders>
              <w:top w:val="single" w:sz="8" w:color="0000EE"/>
            </w:tcBorders>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4"/>
          </w:tcPr>
          <w:p>
            <w:pPr>
              <w:jc w:val="center"/>
              <w:spacing w:after="0"/>
              <w:rPr>
                <w:sz w:val="20"/>
                <w:szCs w:val="20"/>
                <w:color w:val="auto"/>
              </w:rPr>
            </w:pPr>
            <w:r>
              <w:rPr>
                <w:rFonts w:ascii="Arial" w:cs="Arial" w:eastAsia="Arial" w:hAnsi="Arial"/>
                <w:sz w:val="18"/>
                <w:szCs w:val="18"/>
                <w:color w:val="auto"/>
                <w:w w:val="90"/>
              </w:rPr>
              <w:t>External Operating</w:t>
            </w:r>
          </w:p>
        </w:tc>
        <w:tc>
          <w:tcPr>
            <w:tcW w:w="160" w:type="dxa"/>
            <w:vAlign w:val="bottom"/>
          </w:tcPr>
          <w:p>
            <w:pPr>
              <w:spacing w:after="0"/>
              <w:rPr>
                <w:sz w:val="24"/>
                <w:szCs w:val="24"/>
                <w:color w:val="auto"/>
              </w:rPr>
            </w:pPr>
          </w:p>
        </w:tc>
        <w:tc>
          <w:tcPr>
            <w:tcW w:w="2220" w:type="dxa"/>
            <w:vAlign w:val="bottom"/>
            <w:gridSpan w:val="4"/>
          </w:tcPr>
          <w:p>
            <w:pPr>
              <w:jc w:val="right"/>
              <w:ind w:right="320"/>
              <w:spacing w:after="0"/>
              <w:rPr>
                <w:sz w:val="20"/>
                <w:szCs w:val="20"/>
                <w:color w:val="auto"/>
              </w:rPr>
            </w:pPr>
            <w:r>
              <w:rPr>
                <w:rFonts w:ascii="Arial" w:cs="Arial" w:eastAsia="Arial" w:hAnsi="Arial"/>
                <w:sz w:val="18"/>
                <w:szCs w:val="18"/>
                <w:color w:val="auto"/>
                <w:w w:val="94"/>
              </w:rPr>
              <w:t>Inter-company Operating</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4"/>
          </w:tcPr>
          <w:p>
            <w:pPr>
              <w:jc w:val="center"/>
              <w:spacing w:after="0"/>
              <w:rPr>
                <w:sz w:val="20"/>
                <w:szCs w:val="20"/>
                <w:color w:val="auto"/>
              </w:rPr>
            </w:pPr>
            <w:r>
              <w:rPr>
                <w:rFonts w:ascii="Arial" w:cs="Arial" w:eastAsia="Arial" w:hAnsi="Arial"/>
                <w:sz w:val="18"/>
                <w:szCs w:val="18"/>
                <w:color w:val="auto"/>
                <w:w w:val="88"/>
              </w:rPr>
              <w:t>Revenue</w:t>
            </w:r>
          </w:p>
        </w:tc>
        <w:tc>
          <w:tcPr>
            <w:tcW w:w="160" w:type="dxa"/>
            <w:vAlign w:val="bottom"/>
          </w:tcPr>
          <w:p>
            <w:pPr>
              <w:spacing w:after="0"/>
              <w:rPr>
                <w:sz w:val="20"/>
                <w:szCs w:val="20"/>
                <w:color w:val="auto"/>
              </w:rPr>
            </w:pPr>
          </w:p>
        </w:tc>
        <w:tc>
          <w:tcPr>
            <w:tcW w:w="2220" w:type="dxa"/>
            <w:vAlign w:val="bottom"/>
            <w:gridSpan w:val="4"/>
          </w:tcPr>
          <w:p>
            <w:pPr>
              <w:ind w:left="68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Contract</w:t>
            </w:r>
          </w:p>
        </w:tc>
        <w:tc>
          <w:tcPr>
            <w:tcW w:w="220" w:type="dxa"/>
            <w:vAlign w:val="bottom"/>
          </w:tcPr>
          <w:p>
            <w:pPr>
              <w:spacing w:after="0"/>
              <w:rPr>
                <w:sz w:val="22"/>
                <w:szCs w:val="2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22"/>
                <w:szCs w:val="22"/>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1"/>
              </w:rPr>
              <w:t>Contract</w:t>
            </w:r>
          </w:p>
        </w:tc>
        <w:tc>
          <w:tcPr>
            <w:tcW w:w="180" w:type="dxa"/>
            <w:vAlign w:val="bottom"/>
          </w:tcPr>
          <w:p>
            <w:pPr>
              <w:spacing w:after="0"/>
              <w:rPr>
                <w:sz w:val="22"/>
                <w:szCs w:val="22"/>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2"/>
                <w:szCs w:val="22"/>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color w:val="auto"/>
                <w:w w:val="94"/>
              </w:rPr>
              <w:t>Total</w:t>
            </w:r>
          </w:p>
        </w:tc>
      </w:tr>
      <w:tr>
        <w:trPr>
          <w:trHeight w:val="230"/>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Nine Months Ended September 30, 2019</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Customers</w:t>
            </w:r>
          </w:p>
        </w:tc>
        <w:tc>
          <w:tcPr>
            <w:tcW w:w="2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Revenues</w:t>
            </w:r>
          </w:p>
        </w:tc>
        <w:tc>
          <w:tcPr>
            <w:tcW w:w="16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7"/>
              </w:rPr>
              <w:t>Customers</w:t>
            </w:r>
          </w:p>
        </w:tc>
        <w:tc>
          <w:tcPr>
            <w:tcW w:w="1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Revenues</w:t>
            </w:r>
          </w:p>
        </w:tc>
        <w:tc>
          <w:tcPr>
            <w:tcW w:w="180" w:type="dxa"/>
            <w:vAlign w:val="bottom"/>
          </w:tcPr>
          <w:p>
            <w:pPr>
              <w:spacing w:after="0"/>
              <w:rPr>
                <w:sz w:val="20"/>
                <w:szCs w:val="20"/>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color w:val="auto"/>
                <w:w w:val="86"/>
              </w:rPr>
              <w:t>Revenues</w:t>
            </w:r>
          </w:p>
        </w:tc>
      </w:tr>
      <w:tr>
        <w:trPr>
          <w:trHeight w:val="27"/>
        </w:trPr>
        <w:tc>
          <w:tcPr>
            <w:tcW w:w="122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Segment: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1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0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Electric Utilities</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521,614</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2,465</w:t>
            </w: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16,586</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540,665</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Gas Utilities</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704,188</w:t>
            </w:r>
          </w:p>
        </w:tc>
        <w:tc>
          <w:tcPr>
            <w:tcW w:w="2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1,971</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707,293</w:t>
            </w:r>
          </w:p>
        </w:tc>
      </w:tr>
      <w:tr>
        <w:trPr>
          <w:trHeight w:val="27"/>
        </w:trPr>
        <w:tc>
          <w:tcPr>
            <w:tcW w:w="1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0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Power Generation</w:t>
            </w:r>
          </w:p>
        </w:tc>
        <w:tc>
          <w:tcPr>
            <w:tcW w:w="1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5,725</w:t>
            </w:r>
          </w:p>
        </w:tc>
        <w:tc>
          <w:tcPr>
            <w:tcW w:w="2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40,924</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27,714</w:t>
            </w: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75,764</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Mining</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19,934</w:t>
            </w:r>
          </w:p>
        </w:tc>
        <w:tc>
          <w:tcPr>
            <w:tcW w:w="2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23,315</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45,026</w:t>
            </w:r>
          </w:p>
        </w:tc>
      </w:tr>
      <w:tr>
        <w:trPr>
          <w:trHeight w:val="27"/>
        </w:trPr>
        <w:tc>
          <w:tcPr>
            <w:tcW w:w="1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5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Inter-company eliminations</w:t>
            </w:r>
          </w:p>
        </w:tc>
        <w:tc>
          <w:tcPr>
            <w:tcW w:w="1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gridSpan w:val="2"/>
            <w:shd w:val="clear" w:color="auto" w:fill="CEFFE7"/>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(82,796)</w:t>
            </w:r>
          </w:p>
        </w:tc>
        <w:tc>
          <w:tcPr>
            <w:tcW w:w="1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(28,706)</w:t>
            </w:r>
          </w:p>
        </w:tc>
        <w:tc>
          <w:tcPr>
            <w:tcW w:w="100" w:type="dxa"/>
            <w:vAlign w:val="bottom"/>
            <w:tcBorders>
              <w:bottom w:val="single" w:sz="8" w:color="CEFFE7"/>
            </w:tcBorders>
            <w:shd w:val="clear" w:color="auto" w:fill="CEFFE7"/>
          </w:tcPr>
          <w:p>
            <w:pPr>
              <w:spacing w:after="0"/>
              <w:rPr>
                <w:sz w:val="23"/>
                <w:szCs w:val="23"/>
                <w:color w:val="auto"/>
              </w:rPr>
            </w:pPr>
          </w:p>
        </w:tc>
        <w:tc>
          <w:tcPr>
            <w:tcW w:w="1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(111,502)</w:t>
            </w:r>
          </w:p>
        </w:tc>
      </w:tr>
      <w:tr>
        <w:trPr>
          <w:trHeight w:val="25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1,251,461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5,785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1,257,246</w:t>
            </w:r>
          </w:p>
        </w:tc>
      </w:tr>
      <w:tr>
        <w:trPr>
          <w:trHeight w:val="20"/>
        </w:trPr>
        <w:tc>
          <w:tcPr>
            <w:tcW w:w="12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72"/>
        </w:trPr>
        <w:tc>
          <w:tcPr>
            <w:tcW w:w="12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4"/>
          </w:tcPr>
          <w:p>
            <w:pPr>
              <w:jc w:val="right"/>
              <w:ind w:right="320"/>
              <w:spacing w:after="0"/>
              <w:rPr>
                <w:sz w:val="20"/>
                <w:szCs w:val="20"/>
                <w:color w:val="auto"/>
              </w:rPr>
            </w:pPr>
            <w:r>
              <w:rPr>
                <w:rFonts w:ascii="Arial" w:cs="Arial" w:eastAsia="Arial" w:hAnsi="Arial"/>
                <w:sz w:val="18"/>
                <w:szCs w:val="18"/>
                <w:color w:val="auto"/>
                <w:w w:val="94"/>
              </w:rPr>
              <w:t>Inter-company Operating</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4"/>
          </w:tcPr>
          <w:p>
            <w:pPr>
              <w:ind w:left="20"/>
              <w:spacing w:after="0"/>
              <w:rPr>
                <w:sz w:val="20"/>
                <w:szCs w:val="20"/>
                <w:color w:val="auto"/>
              </w:rPr>
            </w:pPr>
            <w:r>
              <w:rPr>
                <w:rFonts w:ascii="Arial" w:cs="Arial" w:eastAsia="Arial" w:hAnsi="Arial"/>
                <w:sz w:val="18"/>
                <w:szCs w:val="18"/>
                <w:color w:val="auto"/>
                <w:w w:val="98"/>
              </w:rPr>
              <w:t>External Operating Revenue</w:t>
            </w:r>
          </w:p>
        </w:tc>
        <w:tc>
          <w:tcPr>
            <w:tcW w:w="160" w:type="dxa"/>
            <w:vAlign w:val="bottom"/>
          </w:tcPr>
          <w:p>
            <w:pPr>
              <w:spacing w:after="0"/>
              <w:rPr>
                <w:sz w:val="20"/>
                <w:szCs w:val="20"/>
                <w:color w:val="auto"/>
              </w:rPr>
            </w:pPr>
          </w:p>
        </w:tc>
        <w:tc>
          <w:tcPr>
            <w:tcW w:w="2220" w:type="dxa"/>
            <w:vAlign w:val="bottom"/>
            <w:gridSpan w:val="4"/>
          </w:tcPr>
          <w:p>
            <w:pPr>
              <w:ind w:left="68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12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Contract</w:t>
            </w:r>
          </w:p>
        </w:tc>
        <w:tc>
          <w:tcPr>
            <w:tcW w:w="220" w:type="dxa"/>
            <w:vAlign w:val="bottom"/>
          </w:tcPr>
          <w:p>
            <w:pPr>
              <w:spacing w:after="0"/>
              <w:rPr>
                <w:sz w:val="22"/>
                <w:szCs w:val="2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22"/>
                <w:szCs w:val="22"/>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1"/>
              </w:rPr>
              <w:t>Contract</w:t>
            </w:r>
          </w:p>
        </w:tc>
        <w:tc>
          <w:tcPr>
            <w:tcW w:w="180" w:type="dxa"/>
            <w:vAlign w:val="bottom"/>
          </w:tcPr>
          <w:p>
            <w:pPr>
              <w:spacing w:after="0"/>
              <w:rPr>
                <w:sz w:val="22"/>
                <w:szCs w:val="22"/>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2"/>
                <w:szCs w:val="22"/>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Total</w:t>
            </w:r>
          </w:p>
        </w:tc>
      </w:tr>
      <w:tr>
        <w:trPr>
          <w:trHeight w:val="230"/>
        </w:trPr>
        <w:tc>
          <w:tcPr>
            <w:tcW w:w="5500" w:type="dxa"/>
            <w:vAlign w:val="bottom"/>
            <w:gridSpan w:val="2"/>
          </w:tcPr>
          <w:p>
            <w:pPr>
              <w:ind w:left="40"/>
              <w:spacing w:after="0"/>
              <w:rPr>
                <w:sz w:val="20"/>
                <w:szCs w:val="20"/>
                <w:color w:val="auto"/>
              </w:rPr>
            </w:pPr>
            <w:r>
              <w:rPr>
                <w:rFonts w:ascii="Arial" w:cs="Arial" w:eastAsia="Arial" w:hAnsi="Arial"/>
                <w:sz w:val="18"/>
                <w:szCs w:val="18"/>
                <w:color w:val="2C2C2C"/>
              </w:rPr>
              <w:t>Nine Months Ended September 30, 2018</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Customers</w:t>
            </w:r>
          </w:p>
        </w:tc>
        <w:tc>
          <w:tcPr>
            <w:tcW w:w="2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Revenues</w:t>
            </w:r>
          </w:p>
        </w:tc>
        <w:tc>
          <w:tcPr>
            <w:tcW w:w="16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7"/>
              </w:rPr>
              <w:t>Customers</w:t>
            </w:r>
          </w:p>
        </w:tc>
        <w:tc>
          <w:tcPr>
            <w:tcW w:w="1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Revenues</w:t>
            </w:r>
          </w:p>
        </w:tc>
        <w:tc>
          <w:tcPr>
            <w:tcW w:w="180" w:type="dxa"/>
            <w:vAlign w:val="bottom"/>
          </w:tcPr>
          <w:p>
            <w:pPr>
              <w:spacing w:after="0"/>
              <w:rPr>
                <w:sz w:val="20"/>
                <w:szCs w:val="20"/>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color w:val="auto"/>
                <w:w w:val="86"/>
              </w:rPr>
              <w:t>Revenues</w:t>
            </w:r>
          </w:p>
        </w:tc>
      </w:tr>
      <w:tr>
        <w:trPr>
          <w:trHeight w:val="27"/>
        </w:trPr>
        <w:tc>
          <w:tcPr>
            <w:tcW w:w="122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Segment:</w:t>
            </w:r>
          </w:p>
        </w:tc>
        <w:tc>
          <w:tcPr>
            <w:tcW w:w="1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Electric Utilities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513,270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16,473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531,961</w:t>
            </w:r>
          </w:p>
        </w:tc>
      </w:tr>
      <w:tr>
        <w:trPr>
          <w:trHeight w:val="27"/>
        </w:trPr>
        <w:tc>
          <w:tcPr>
            <w:tcW w:w="1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50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Gas Utilities</w:t>
            </w:r>
          </w:p>
        </w:tc>
        <w:tc>
          <w:tcPr>
            <w:tcW w:w="1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702,532</w:t>
            </w:r>
          </w:p>
        </w:tc>
        <w:tc>
          <w:tcPr>
            <w:tcW w:w="2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3,106</w:t>
            </w: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1,002</w:t>
            </w:r>
          </w:p>
        </w:tc>
        <w:tc>
          <w:tcPr>
            <w:tcW w:w="18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706,640</w:t>
            </w:r>
          </w:p>
        </w:tc>
      </w:tr>
      <w:tr>
        <w:trPr>
          <w:trHeight w:val="270"/>
        </w:trPr>
        <w:tc>
          <w:tcPr>
            <w:tcW w:w="550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4,287</w:t>
            </w:r>
          </w:p>
        </w:tc>
        <w:tc>
          <w:tcPr>
            <w:tcW w:w="2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39,457</w:t>
            </w: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26,363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71,173</w:t>
            </w:r>
          </w:p>
        </w:tc>
      </w:tr>
      <w:tr>
        <w:trPr>
          <w:trHeight w:val="250"/>
        </w:trPr>
        <w:tc>
          <w:tcPr>
            <w:tcW w:w="550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Mining</w:t>
            </w:r>
          </w:p>
        </w:tc>
        <w:tc>
          <w:tcPr>
            <w:tcW w:w="1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25,892</w:t>
            </w:r>
          </w:p>
        </w:tc>
        <w:tc>
          <w:tcPr>
            <w:tcW w:w="2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23,761</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51,328</w:t>
            </w:r>
          </w:p>
        </w:tc>
      </w:tr>
      <w:tr>
        <w:trPr>
          <w:trHeight w:val="270"/>
        </w:trPr>
        <w:tc>
          <w:tcPr>
            <w:tcW w:w="5500" w:type="dxa"/>
            <w:vAlign w:val="bottom"/>
            <w:tcBorders>
              <w:bottom w:val="single" w:sz="8" w:color="CEFFE7"/>
            </w:tcBorders>
            <w:gridSpan w:val="2"/>
          </w:tcPr>
          <w:p>
            <w:pPr>
              <w:ind w:left="40"/>
              <w:spacing w:after="0" w:line="270" w:lineRule="exact"/>
              <w:rPr>
                <w:sz w:val="20"/>
                <w:szCs w:val="20"/>
                <w:color w:val="auto"/>
              </w:rPr>
            </w:pPr>
            <w:r>
              <w:rPr>
                <w:rFonts w:ascii="Arial" w:cs="Arial" w:eastAsia="Arial" w:hAnsi="Arial"/>
                <w:sz w:val="18"/>
                <w:szCs w:val="18"/>
                <w:color w:val="auto"/>
              </w:rPr>
              <w:t xml:space="preserve">Inter-company eliminations </w:t>
            </w:r>
            <w:r>
              <w:rPr>
                <w:rFonts w:ascii="Arial" w:cs="Arial" w:eastAsia="Arial" w:hAnsi="Arial"/>
                <w:sz w:val="25"/>
                <w:szCs w:val="25"/>
                <w:color w:val="auto"/>
                <w:vertAlign w:val="superscript"/>
              </w:rPr>
              <w:t>(a)</w:t>
            </w: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EFFE7"/>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(80,693)</w:t>
            </w: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(27,337)</w:t>
            </w:r>
          </w:p>
        </w:tc>
        <w:tc>
          <w:tcPr>
            <w:tcW w:w="100" w:type="dxa"/>
            <w:vAlign w:val="bottom"/>
            <w:tcBorders>
              <w:bottom w:val="single" w:sz="8" w:color="CEFFE7"/>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(108,030)</w:t>
            </w:r>
          </w:p>
        </w:tc>
      </w:tr>
      <w:tr>
        <w:trPr>
          <w:trHeight w:val="257"/>
        </w:trPr>
        <w:tc>
          <w:tcPr>
            <w:tcW w:w="5500" w:type="dxa"/>
            <w:vAlign w:val="bottom"/>
            <w:gridSpan w:val="2"/>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1,245,981</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7,091</w:t>
            </w:r>
          </w:p>
        </w:tc>
        <w:tc>
          <w:tcPr>
            <w:tcW w:w="100" w:type="dxa"/>
            <w:vAlign w:val="bottom"/>
            <w:shd w:val="clear" w:color="auto" w:fill="CEFFE7"/>
          </w:tcPr>
          <w:p>
            <w:pPr>
              <w:spacing w:after="0"/>
              <w:rPr>
                <w:sz w:val="22"/>
                <w:szCs w:val="22"/>
                <w:color w:val="auto"/>
              </w:rPr>
            </w:pPr>
          </w:p>
        </w:tc>
        <w:tc>
          <w:tcPr>
            <w:tcW w:w="16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1,253,072</w:t>
            </w:r>
          </w:p>
        </w:tc>
      </w:tr>
      <w:tr>
        <w:trPr>
          <w:trHeight w:val="20"/>
        </w:trPr>
        <w:tc>
          <w:tcPr>
            <w:tcW w:w="1220" w:type="dxa"/>
            <w:vAlign w:val="bottom"/>
            <w:tcBorders>
              <w:top w:val="single" w:sz="8" w:color="CEFFE7"/>
            </w:tcBorders>
          </w:tcPr>
          <w:p>
            <w:pPr>
              <w:spacing w:after="0" w:line="20" w:lineRule="exact"/>
              <w:rPr>
                <w:sz w:val="1"/>
                <w:szCs w:val="1"/>
                <w:color w:val="auto"/>
              </w:rPr>
            </w:pPr>
          </w:p>
        </w:tc>
        <w:tc>
          <w:tcPr>
            <w:tcW w:w="428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340" w:right="100" w:hanging="332"/>
        <w:spacing w:after="0" w:line="26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Due to the changes in our segment disclosures, Power Generation Inter-company Operating Revenue for Contract Customers was revised for the three and nine months ended September 30, 2018 which resulted in an increase of $0.9 million and $2.6 million, respectively. The changes to Power Generation were offset by changes to Inter-company eliminations within Corporate and Other and there was no impact on our consolidated Total revenues.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31" w:lineRule="exact"/>
        <w:rPr>
          <w:sz w:val="20"/>
          <w:szCs w:val="20"/>
          <w:color w:val="auto"/>
        </w:rPr>
      </w:pPr>
    </w:p>
    <w:p>
      <w:pPr>
        <w:jc w:val="center"/>
        <w:ind w:left="5640"/>
        <w:spacing w:after="0"/>
        <w:tabs>
          <w:tab w:leader="none" w:pos="300" w:val="left"/>
        </w:tabs>
        <w:rPr>
          <w:sz w:val="20"/>
          <w:szCs w:val="20"/>
          <w:color w:val="auto"/>
        </w:rPr>
      </w:pPr>
      <w:r>
        <w:rPr>
          <w:rFonts w:ascii="Arial" w:cs="Arial" w:eastAsia="Arial" w:hAnsi="Arial"/>
          <w:sz w:val="18"/>
          <w:szCs w:val="18"/>
          <w:color w:val="auto"/>
        </w:rPr>
        <w:t>Three Months Ended September 30,</w:t>
      </w:r>
      <w:r>
        <w:rPr>
          <w:sz w:val="20"/>
          <w:szCs w:val="20"/>
          <w:color w:val="auto"/>
        </w:rPr>
        <w:tab/>
      </w:r>
      <w:r>
        <w:rPr>
          <w:rFonts w:ascii="Arial" w:cs="Arial" w:eastAsia="Arial" w:hAnsi="Arial"/>
          <w:sz w:val="16"/>
          <w:szCs w:val="16"/>
          <w:color w:val="auto"/>
        </w:rPr>
        <w:t>Nine Months Ended September 30,</w:t>
      </w:r>
    </w:p>
    <w:p>
      <w:pPr>
        <w:spacing w:after="0" w:line="63" w:lineRule="exact"/>
        <w:rPr>
          <w:sz w:val="20"/>
          <w:szCs w:val="20"/>
          <w:color w:val="auto"/>
        </w:rPr>
      </w:pPr>
    </w:p>
    <w:p>
      <w:pPr>
        <w:ind w:left="6180"/>
        <w:spacing w:after="0"/>
        <w:tabs>
          <w:tab w:leader="none" w:pos="7600" w:val="left"/>
          <w:tab w:leader="none" w:pos="9060" w:val="left"/>
          <w:tab w:leader="none" w:pos="1050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2019</w:t>
      </w:r>
      <w:r>
        <w:rPr>
          <w:sz w:val="20"/>
          <w:szCs w:val="20"/>
          <w:color w:val="auto"/>
        </w:rPr>
        <w:tab/>
      </w:r>
      <w:r>
        <w:rPr>
          <w:rFonts w:ascii="Arial" w:cs="Arial" w:eastAsia="Arial" w:hAnsi="Arial"/>
          <w:sz w:val="16"/>
          <w:szCs w:val="16"/>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31750</wp:posOffset>
            </wp:positionV>
            <wp:extent cx="704088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40880" cy="180340"/>
                    </a:xfrm>
                    <a:prstGeom prst="rect">
                      <a:avLst/>
                    </a:prstGeom>
                    <a:noFill/>
                  </pic:spPr>
                </pic:pic>
              </a:graphicData>
            </a:graphic>
          </wp:anchor>
        </w:drawing>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Adjusted operating income:</w:t>
      </w:r>
    </w:p>
    <w:p>
      <w:pPr>
        <w:sectPr>
          <w:pgSz w:w="11900" w:h="16838" w:orient="portrait"/>
          <w:cols w:equalWidth="0" w:num="1">
            <w:col w:w="11420"/>
          </w:cols>
          <w:pgMar w:left="240" w:top="126" w:right="239" w:bottom="1440" w:gutter="0" w:footer="0" w:header="0"/>
        </w:sectPr>
      </w:pP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Electric Utilities </w:t>
      </w:r>
      <w:r>
        <w:rPr>
          <w:rFonts w:ascii="Arial" w:cs="Arial" w:eastAsia="Arial" w:hAnsi="Arial"/>
          <w:sz w:val="25"/>
          <w:szCs w:val="25"/>
          <w:color w:val="auto"/>
          <w:vertAlign w:val="superscript"/>
        </w:rPr>
        <w:t>(a)</w:t>
      </w:r>
    </w:p>
    <w:p>
      <w:pPr>
        <w:ind w:left="500"/>
        <w:spacing w:after="0"/>
        <w:rPr>
          <w:sz w:val="20"/>
          <w:szCs w:val="20"/>
          <w:color w:val="auto"/>
        </w:rPr>
      </w:pPr>
      <w:r>
        <w:rPr>
          <w:rFonts w:ascii="Arial" w:cs="Arial" w:eastAsia="Arial" w:hAnsi="Arial"/>
          <w:sz w:val="18"/>
          <w:szCs w:val="18"/>
          <w:color w:val="auto"/>
        </w:rPr>
        <w:t>Gas Utilities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p>
      <w:pPr>
        <w:ind w:left="500"/>
        <w:spacing w:after="0"/>
        <w:rPr>
          <w:sz w:val="20"/>
          <w:szCs w:val="20"/>
          <w:color w:val="auto"/>
        </w:rPr>
      </w:pPr>
      <w:r>
        <w:rPr>
          <w:rFonts w:ascii="Arial" w:cs="Arial" w:eastAsia="Arial" w:hAnsi="Arial"/>
          <w:sz w:val="18"/>
          <w:szCs w:val="18"/>
          <w:color w:val="auto"/>
        </w:rPr>
        <w:t>Mining</w:t>
      </w:r>
    </w:p>
    <w:p>
      <w:pPr>
        <w:spacing w:after="0" w:line="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5"/>
          <w:szCs w:val="25"/>
          <w:color w:val="auto"/>
          <w:vertAlign w:val="superscript"/>
        </w:rPr>
        <w:t>(a)</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income</w:t>
      </w:r>
    </w:p>
    <w:p>
      <w:pPr>
        <w:spacing w:after="0" w:line="3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net</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Impairment of investment</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income (expense), net</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Income tax benefit (expense) </w:t>
      </w:r>
      <w:r>
        <w:rPr>
          <w:rFonts w:ascii="Arial" w:cs="Arial" w:eastAsia="Arial" w:hAnsi="Arial"/>
          <w:sz w:val="25"/>
          <w:szCs w:val="25"/>
          <w:color w:val="auto"/>
          <w:vertAlign w:val="superscript"/>
        </w:rPr>
        <w:t>(b)</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from continuing operations</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(loss) from discontinued operations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360" w:right="1000"/>
        <w:spacing w:after="0" w:line="372" w:lineRule="auto"/>
        <w:rPr>
          <w:sz w:val="20"/>
          <w:szCs w:val="20"/>
          <w:color w:val="auto"/>
        </w:rPr>
      </w:pPr>
      <w:r>
        <w:rPr>
          <w:rFonts w:ascii="Arial" w:cs="Arial" w:eastAsia="Arial" w:hAnsi="Arial"/>
          <w:sz w:val="16"/>
          <w:szCs w:val="16"/>
          <w:color w:val="auto"/>
        </w:rPr>
        <w:t>Net income attributable to noncontrolling interest Net income available for common stock</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50,653</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43,393</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125,219</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123,073</w:t>
            </w:r>
          </w:p>
        </w:tc>
      </w:tr>
      <w:tr>
        <w:trPr>
          <w:trHeight w:val="270"/>
        </w:trPr>
        <w:tc>
          <w:tcPr>
            <w:tcW w:w="4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4,736</w:t>
            </w:r>
          </w:p>
        </w:tc>
        <w:tc>
          <w:tcPr>
            <w:tcW w:w="4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4,240</w:t>
            </w:r>
          </w:p>
        </w:tc>
        <w:tc>
          <w:tcPr>
            <w:tcW w:w="4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116,607</w:t>
            </w:r>
          </w:p>
        </w:tc>
        <w:tc>
          <w:tcPr>
            <w:tcW w:w="4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116,168</w:t>
            </w:r>
          </w:p>
        </w:tc>
      </w:tr>
      <w:tr>
        <w:trPr>
          <w:trHeight w:val="270"/>
        </w:trPr>
        <w:tc>
          <w:tcPr>
            <w:tcW w:w="4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11,822</w:t>
            </w:r>
          </w:p>
        </w:tc>
        <w:tc>
          <w:tcPr>
            <w:tcW w:w="4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13,079</w:t>
            </w:r>
          </w:p>
        </w:tc>
        <w:tc>
          <w:tcPr>
            <w:tcW w:w="4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33,945</w:t>
            </w:r>
          </w:p>
        </w:tc>
        <w:tc>
          <w:tcPr>
            <w:tcW w:w="4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33,731</w:t>
            </w:r>
          </w:p>
        </w:tc>
      </w:tr>
      <w:tr>
        <w:trPr>
          <w:trHeight w:val="270"/>
        </w:trPr>
        <w:tc>
          <w:tcPr>
            <w:tcW w:w="4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3,374</w:t>
            </w:r>
          </w:p>
        </w:tc>
        <w:tc>
          <w:tcPr>
            <w:tcW w:w="4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4,551</w:t>
            </w:r>
          </w:p>
        </w:tc>
        <w:tc>
          <w:tcPr>
            <w:tcW w:w="4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9,351</w:t>
            </w:r>
          </w:p>
        </w:tc>
        <w:tc>
          <w:tcPr>
            <w:tcW w:w="4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12,647</w:t>
            </w:r>
          </w:p>
        </w:tc>
      </w:tr>
      <w:tr>
        <w:trPr>
          <w:trHeight w:val="270"/>
        </w:trPr>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(439)</w:t>
            </w: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(2,709)</w:t>
            </w:r>
          </w:p>
        </w:tc>
      </w:tr>
      <w:tr>
        <w:trPr>
          <w:trHeight w:val="27"/>
        </w:trPr>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70,551</w:t>
            </w:r>
          </w:p>
        </w:tc>
        <w:tc>
          <w:tcPr>
            <w:tcW w:w="4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65,085</w:t>
            </w:r>
          </w:p>
        </w:tc>
        <w:tc>
          <w:tcPr>
            <w:tcW w:w="4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284,683</w:t>
            </w:r>
          </w:p>
        </w:tc>
        <w:tc>
          <w:tcPr>
            <w:tcW w:w="4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282,910</w:t>
            </w:r>
          </w:p>
        </w:tc>
      </w:tr>
      <w:tr>
        <w:trPr>
          <w:trHeight w:val="27"/>
        </w:trPr>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561"/>
        </w:trPr>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(33,487)</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(35,297)</w:t>
            </w: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(102,469)</w:t>
            </w: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(104,826)</w:t>
            </w:r>
          </w:p>
        </w:tc>
      </w:tr>
      <w:tr>
        <w:trPr>
          <w:trHeight w:val="270"/>
        </w:trPr>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(19,741)</w:t>
            </w:r>
          </w:p>
        </w:tc>
        <w:tc>
          <w:tcPr>
            <w:tcW w:w="4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(19,741)</w:t>
            </w:r>
          </w:p>
        </w:tc>
        <w:tc>
          <w:tcPr>
            <w:tcW w:w="4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w:t>
            </w:r>
          </w:p>
        </w:tc>
        <w:tc>
          <w:tcPr>
            <w:tcW w:w="4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(1,923)</w:t>
            </w:r>
          </w:p>
        </w:tc>
      </w:tr>
      <w:tr>
        <w:trPr>
          <w:trHeight w:val="270"/>
        </w:trPr>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(2,508)</w:t>
            </w: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(7,477)</w:t>
            </w: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(22,078)</w:t>
            </w:r>
          </w:p>
        </w:tc>
        <w:tc>
          <w:tcPr>
            <w:tcW w:w="4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11,784</w:t>
            </w:r>
          </w:p>
        </w:tc>
      </w:tr>
      <w:tr>
        <w:trPr>
          <w:trHeight w:val="27"/>
        </w:trPr>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15,395</w:t>
            </w:r>
          </w:p>
        </w:tc>
        <w:tc>
          <w:tcPr>
            <w:tcW w:w="4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21,801</w:t>
            </w:r>
          </w:p>
        </w:tc>
        <w:tc>
          <w:tcPr>
            <w:tcW w:w="4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140,450</w:t>
            </w:r>
          </w:p>
        </w:tc>
        <w:tc>
          <w:tcPr>
            <w:tcW w:w="4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187,945</w:t>
            </w:r>
          </w:p>
        </w:tc>
      </w:tr>
      <w:tr>
        <w:trPr>
          <w:trHeight w:val="270"/>
        </w:trPr>
        <w:tc>
          <w:tcPr>
            <w:tcW w:w="4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(857)</w:t>
            </w:r>
          </w:p>
        </w:tc>
        <w:tc>
          <w:tcPr>
            <w:tcW w:w="4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(5,627)</w:t>
            </w:r>
          </w:p>
        </w:tc>
      </w:tr>
      <w:tr>
        <w:trPr>
          <w:trHeight w:val="27"/>
        </w:trPr>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15,395</w:t>
            </w:r>
          </w:p>
        </w:tc>
        <w:tc>
          <w:tcPr>
            <w:tcW w:w="4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20,944</w:t>
            </w:r>
          </w:p>
        </w:tc>
        <w:tc>
          <w:tcPr>
            <w:tcW w:w="4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140,450</w:t>
            </w:r>
          </w:p>
        </w:tc>
        <w:tc>
          <w:tcPr>
            <w:tcW w:w="4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182,318</w:t>
            </w:r>
          </w:p>
        </w:tc>
      </w:tr>
      <w:tr>
        <w:trPr>
          <w:trHeight w:val="270"/>
        </w:trPr>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(3,655)</w:t>
            </w: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(3,994)</w:t>
            </w:r>
          </w:p>
        </w:tc>
        <w:tc>
          <w:tcPr>
            <w:tcW w:w="4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(10,319)</w:t>
            </w: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(10,447)</w:t>
            </w:r>
          </w:p>
        </w:tc>
      </w:tr>
      <w:tr>
        <w:trPr>
          <w:trHeight w:val="27"/>
        </w:trPr>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11,740</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16,950</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130,131</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171,871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-2632075</wp:posOffset>
            </wp:positionV>
            <wp:extent cx="70408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40880" cy="17145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-2289175</wp:posOffset>
            </wp:positionV>
            <wp:extent cx="70408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40880" cy="17145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-1946275</wp:posOffset>
            </wp:positionV>
            <wp:extent cx="704088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40880" cy="18034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-1551305</wp:posOffset>
            </wp:positionV>
            <wp:extent cx="70408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40880" cy="17145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-1208405</wp:posOffset>
            </wp:positionV>
            <wp:extent cx="70408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40880" cy="17145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-865505</wp:posOffset>
            </wp:positionV>
            <wp:extent cx="704088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40880" cy="18034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-513715</wp:posOffset>
            </wp:positionV>
            <wp:extent cx="704088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40880" cy="18034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-162560</wp:posOffset>
            </wp:positionV>
            <wp:extent cx="704088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40880" cy="205740"/>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4920" w:space="720"/>
            <w:col w:w="5780"/>
          </w:cols>
          <w:pgMar w:left="240" w:top="126" w:right="239" w:bottom="1440" w:gutter="0" w:footer="0" w:header="0"/>
          <w:type w:val="continuous"/>
        </w:sectPr>
      </w:pPr>
    </w:p>
    <w:p>
      <w:pPr>
        <w:spacing w:after="0"/>
        <w:rPr>
          <w:sz w:val="20"/>
          <w:szCs w:val="20"/>
          <w:color w:val="auto"/>
        </w:rPr>
      </w:pPr>
      <w:r>
        <w:rPr>
          <w:rFonts w:ascii="Arial" w:cs="Arial" w:eastAsia="Arial" w:hAnsi="Arial"/>
          <w:sz w:val="16"/>
          <w:szCs w:val="16"/>
          <w:color w:val="auto"/>
        </w:rPr>
        <w:t>___________</w:t>
      </w:r>
    </w:p>
    <w:p>
      <w:pPr>
        <w:spacing w:after="0" w:line="19" w:lineRule="exact"/>
        <w:rPr>
          <w:sz w:val="20"/>
          <w:szCs w:val="20"/>
          <w:color w:val="auto"/>
        </w:rPr>
      </w:pPr>
    </w:p>
    <w:p>
      <w:pPr>
        <w:ind w:left="340" w:right="340" w:hanging="332"/>
        <w:spacing w:after="0" w:line="25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Due to the changes in our segment disclosures, Adjusted operating income was revised for the three and nine months ended September 30, 2018, which resulted in an increase (decrease) as follows (in millions):</w:t>
      </w:r>
    </w:p>
    <w:p>
      <w:pPr>
        <w:spacing w:after="0" w:line="132" w:lineRule="exact"/>
        <w:rPr>
          <w:sz w:val="20"/>
          <w:szCs w:val="20"/>
          <w:color w:val="auto"/>
        </w:rPr>
      </w:pPr>
    </w:p>
    <w:tbl>
      <w:tblPr>
        <w:tblLayout w:type="fixed"/>
        <w:tblInd w:w="288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ind w:right="179"/>
              <w:spacing w:after="0"/>
              <w:rPr>
                <w:sz w:val="20"/>
                <w:szCs w:val="20"/>
                <w:color w:val="auto"/>
              </w:rPr>
            </w:pPr>
            <w:r>
              <w:rPr>
                <w:rFonts w:ascii="Arial" w:cs="Arial" w:eastAsia="Arial" w:hAnsi="Arial"/>
                <w:sz w:val="16"/>
                <w:szCs w:val="16"/>
                <w:color w:val="auto"/>
                <w:w w:val="96"/>
              </w:rPr>
              <w:t>Three Months Ended</w:t>
            </w:r>
          </w:p>
        </w:tc>
        <w:tc>
          <w:tcPr>
            <w:tcW w:w="200" w:type="dxa"/>
            <w:vAlign w:val="bottom"/>
          </w:tcPr>
          <w:p>
            <w:pPr>
              <w:spacing w:after="0"/>
              <w:rPr>
                <w:sz w:val="17"/>
                <w:szCs w:val="17"/>
                <w:color w:val="auto"/>
              </w:rPr>
            </w:pPr>
          </w:p>
        </w:tc>
        <w:tc>
          <w:tcPr>
            <w:tcW w:w="1720" w:type="dxa"/>
            <w:vAlign w:val="bottom"/>
          </w:tcPr>
          <w:p>
            <w:pPr>
              <w:jc w:val="right"/>
              <w:ind w:right="219"/>
              <w:spacing w:after="0"/>
              <w:rPr>
                <w:sz w:val="20"/>
                <w:szCs w:val="20"/>
                <w:color w:val="auto"/>
              </w:rPr>
            </w:pPr>
            <w:r>
              <w:rPr>
                <w:rFonts w:ascii="Arial" w:cs="Arial" w:eastAsia="Arial" w:hAnsi="Arial"/>
                <w:sz w:val="16"/>
                <w:szCs w:val="16"/>
                <w:color w:val="auto"/>
                <w:w w:val="99"/>
              </w:rPr>
              <w:t>Nine Months Ended</w:t>
            </w:r>
          </w:p>
        </w:tc>
      </w:tr>
      <w:tr>
        <w:trPr>
          <w:trHeight w:val="206"/>
        </w:trPr>
        <w:tc>
          <w:tcPr>
            <w:tcW w:w="1860" w:type="dxa"/>
            <w:vAlign w:val="bottom"/>
          </w:tcPr>
          <w:p>
            <w:pPr>
              <w:ind w:left="20"/>
              <w:spacing w:after="0"/>
              <w:rPr>
                <w:sz w:val="20"/>
                <w:szCs w:val="20"/>
                <w:color w:val="auto"/>
              </w:rPr>
            </w:pPr>
            <w:r>
              <w:rPr>
                <w:rFonts w:ascii="Arial" w:cs="Arial" w:eastAsia="Arial" w:hAnsi="Arial"/>
                <w:sz w:val="16"/>
                <w:szCs w:val="16"/>
                <w:color w:val="auto"/>
              </w:rPr>
              <w:t>Segment</w:t>
            </w:r>
          </w:p>
        </w:tc>
        <w:tc>
          <w:tcPr>
            <w:tcW w:w="180" w:type="dxa"/>
            <w:vAlign w:val="bottom"/>
          </w:tcPr>
          <w:p>
            <w:pPr>
              <w:spacing w:after="0"/>
              <w:rPr>
                <w:sz w:val="17"/>
                <w:szCs w:val="17"/>
                <w:color w:val="auto"/>
              </w:rPr>
            </w:pPr>
          </w:p>
        </w:tc>
        <w:tc>
          <w:tcPr>
            <w:tcW w:w="1720" w:type="dxa"/>
            <w:vAlign w:val="bottom"/>
          </w:tcPr>
          <w:p>
            <w:pPr>
              <w:jc w:val="right"/>
              <w:ind w:right="219"/>
              <w:spacing w:after="0"/>
              <w:rPr>
                <w:sz w:val="20"/>
                <w:szCs w:val="20"/>
                <w:color w:val="auto"/>
              </w:rPr>
            </w:pPr>
            <w:r>
              <w:rPr>
                <w:rFonts w:ascii="Arial" w:cs="Arial" w:eastAsia="Arial" w:hAnsi="Arial"/>
                <w:sz w:val="16"/>
                <w:szCs w:val="16"/>
                <w:color w:val="auto"/>
                <w:w w:val="96"/>
              </w:rPr>
              <w:t>September 30, 2018</w:t>
            </w:r>
          </w:p>
        </w:tc>
        <w:tc>
          <w:tcPr>
            <w:tcW w:w="200" w:type="dxa"/>
            <w:vAlign w:val="bottom"/>
          </w:tcPr>
          <w:p>
            <w:pPr>
              <w:spacing w:after="0"/>
              <w:rPr>
                <w:sz w:val="17"/>
                <w:szCs w:val="17"/>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color w:val="auto"/>
                <w:w w:val="95"/>
              </w:rPr>
              <w:t>September 30, 2018</w:t>
            </w:r>
          </w:p>
        </w:tc>
      </w:tr>
      <w:tr>
        <w:trPr>
          <w:trHeight w:val="33"/>
        </w:trPr>
        <w:tc>
          <w:tcPr>
            <w:tcW w:w="1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18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Electric Utilities</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4.8</w:t>
            </w:r>
          </w:p>
        </w:tc>
      </w:tr>
      <w:tr>
        <w:trPr>
          <w:trHeight w:val="224"/>
        </w:trPr>
        <w:tc>
          <w:tcPr>
            <w:tcW w:w="1860" w:type="dxa"/>
            <w:vAlign w:val="bottom"/>
          </w:tcPr>
          <w:p>
            <w:pPr>
              <w:ind w:left="20"/>
              <w:spacing w:after="0"/>
              <w:rPr>
                <w:sz w:val="20"/>
                <w:szCs w:val="20"/>
                <w:color w:val="auto"/>
              </w:rPr>
            </w:pPr>
            <w:r>
              <w:rPr>
                <w:rFonts w:ascii="Arial" w:cs="Arial" w:eastAsia="Arial" w:hAnsi="Arial"/>
                <w:sz w:val="16"/>
                <w:szCs w:val="16"/>
                <w:color w:val="auto"/>
              </w:rPr>
              <w:t>Power Generation</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3"/>
        </w:trPr>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7"/>
        </w:trPr>
        <w:tc>
          <w:tcPr>
            <w:tcW w:w="18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Corporate and Other</w:t>
            </w:r>
          </w:p>
        </w:tc>
        <w:tc>
          <w:tcPr>
            <w:tcW w:w="180" w:type="dxa"/>
            <w:vAlign w:val="bottom"/>
            <w:tcBorders>
              <w:bottom w:val="single" w:sz="8" w:color="CEFFE7"/>
            </w:tcBorders>
            <w:shd w:val="clear" w:color="auto" w:fill="CEFFE7"/>
          </w:tcPr>
          <w:p>
            <w:pPr>
              <w:spacing w:after="0"/>
              <w:rPr>
                <w:sz w:val="22"/>
                <w:szCs w:val="22"/>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(0.2)</w:t>
            </w:r>
          </w:p>
        </w:tc>
        <w:tc>
          <w:tcPr>
            <w:tcW w:w="200" w:type="dxa"/>
            <w:vAlign w:val="bottom"/>
            <w:tcBorders>
              <w:bottom w:val="single" w:sz="8" w:color="CEFFE7"/>
            </w:tcBorders>
            <w:shd w:val="clear" w:color="auto" w:fill="CEFFE7"/>
          </w:tcPr>
          <w:p>
            <w:pPr>
              <w:spacing w:after="0"/>
              <w:rPr>
                <w:sz w:val="22"/>
                <w:szCs w:val="22"/>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18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  $</w:t>
            </w: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1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68" w:lineRule="exact"/>
        <w:rPr>
          <w:sz w:val="20"/>
          <w:szCs w:val="20"/>
          <w:color w:val="auto"/>
        </w:rPr>
      </w:pPr>
    </w:p>
    <w:p>
      <w:pPr>
        <w:ind w:left="340" w:right="200" w:hanging="332"/>
        <w:spacing w:after="0" w:line="275"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Income tax benefit (expense) for the nine months ended September 30, 2018 included a $49 million tax benefit resulting from legal entity restructuring. See Note 18 for more information.</w:t>
      </w:r>
    </w:p>
    <w:p>
      <w:pPr>
        <w:spacing w:after="0" w:line="35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Segment information and Corporate and Other balances included in the accompanying Condensed Consolidated Balance Sheets were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40"/>
              <w:spacing w:after="0"/>
              <w:rPr>
                <w:sz w:val="20"/>
                <w:szCs w:val="20"/>
                <w:color w:val="auto"/>
              </w:rPr>
            </w:pPr>
            <w:r>
              <w:rPr>
                <w:rFonts w:ascii="Arial" w:cs="Arial" w:eastAsia="Arial" w:hAnsi="Arial"/>
                <w:sz w:val="18"/>
                <w:szCs w:val="18"/>
                <w:color w:val="auto"/>
              </w:rPr>
              <w:t>Total assets (net of inter-company eliminations) as of:</w:t>
            </w:r>
          </w:p>
        </w:tc>
        <w:tc>
          <w:tcPr>
            <w:tcW w:w="220" w:type="dxa"/>
            <w:vAlign w:val="bottom"/>
          </w:tcPr>
          <w:p>
            <w:pPr>
              <w:spacing w:after="0"/>
              <w:rPr>
                <w:sz w:val="20"/>
                <w:szCs w:val="20"/>
                <w:color w:val="auto"/>
              </w:rPr>
            </w:pPr>
          </w:p>
        </w:tc>
        <w:tc>
          <w:tcPr>
            <w:tcW w:w="1860" w:type="dxa"/>
            <w:vAlign w:val="bottom"/>
          </w:tcPr>
          <w:p>
            <w:pPr>
              <w:jc w:val="right"/>
              <w:ind w:right="230"/>
              <w:spacing w:after="0"/>
              <w:rPr>
                <w:sz w:val="20"/>
                <w:szCs w:val="20"/>
                <w:color w:val="auto"/>
              </w:rPr>
            </w:pPr>
            <w:r>
              <w:rPr>
                <w:rFonts w:ascii="Arial" w:cs="Arial" w:eastAsia="Arial" w:hAnsi="Arial"/>
                <w:sz w:val="18"/>
                <w:szCs w:val="18"/>
                <w:color w:val="auto"/>
                <w:w w:val="93"/>
              </w:rPr>
              <w:t>September 30, 2019</w:t>
            </w:r>
          </w:p>
        </w:tc>
        <w:tc>
          <w:tcPr>
            <w:tcW w:w="30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2018</w:t>
            </w:r>
          </w:p>
        </w:tc>
      </w:tr>
      <w:tr>
        <w:trPr>
          <w:trHeight w:val="27"/>
        </w:trPr>
        <w:tc>
          <w:tcPr>
            <w:tcW w:w="7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Segment:</w:t>
            </w:r>
          </w:p>
        </w:tc>
        <w:tc>
          <w:tcPr>
            <w:tcW w:w="22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spacing w:after="0"/>
              <w:rPr>
                <w:sz w:val="21"/>
                <w:szCs w:val="21"/>
                <w:color w:val="auto"/>
              </w:rPr>
            </w:pPr>
          </w:p>
        </w:tc>
      </w:tr>
      <w:tr>
        <w:trPr>
          <w:trHeight w:val="270"/>
        </w:trPr>
        <w:tc>
          <w:tcPr>
            <w:tcW w:w="72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Electric Utilities </w:t>
            </w:r>
            <w:r>
              <w:rPr>
                <w:rFonts w:ascii="Arial" w:cs="Arial" w:eastAsia="Arial" w:hAnsi="Arial"/>
                <w:sz w:val="25"/>
                <w:szCs w:val="25"/>
                <w:color w:val="auto"/>
                <w:vertAlign w:val="superscript"/>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2,810,108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2,707,695</w:t>
            </w:r>
          </w:p>
        </w:tc>
      </w:tr>
      <w:tr>
        <w:trPr>
          <w:trHeight w:val="250"/>
        </w:trPr>
        <w:tc>
          <w:tcPr>
            <w:tcW w:w="72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Gas Utilities</w:t>
            </w:r>
          </w:p>
        </w:tc>
        <w:tc>
          <w:tcPr>
            <w:tcW w:w="22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3,797,941</w:t>
            </w:r>
          </w:p>
        </w:tc>
        <w:tc>
          <w:tcPr>
            <w:tcW w:w="30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3,623,475</w:t>
            </w:r>
          </w:p>
        </w:tc>
      </w:tr>
      <w:tr>
        <w:trPr>
          <w:trHeight w:val="270"/>
        </w:trPr>
        <w:tc>
          <w:tcPr>
            <w:tcW w:w="72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414,526</w:t>
            </w:r>
          </w:p>
        </w:tc>
        <w:tc>
          <w:tcPr>
            <w:tcW w:w="30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342,085</w:t>
            </w:r>
          </w:p>
        </w:tc>
      </w:tr>
      <w:tr>
        <w:trPr>
          <w:trHeight w:val="250"/>
        </w:trPr>
        <w:tc>
          <w:tcPr>
            <w:tcW w:w="72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Mining</w:t>
            </w:r>
          </w:p>
        </w:tc>
        <w:tc>
          <w:tcPr>
            <w:tcW w:w="22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78,073</w:t>
            </w:r>
          </w:p>
        </w:tc>
        <w:tc>
          <w:tcPr>
            <w:tcW w:w="30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80,594</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174,302</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209,478</w:t>
            </w:r>
          </w:p>
        </w:tc>
      </w:tr>
      <w:tr>
        <w:trPr>
          <w:trHeight w:val="27"/>
        </w:trPr>
        <w:tc>
          <w:tcPr>
            <w:tcW w:w="72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7,274,950</w:t>
            </w:r>
          </w:p>
        </w:tc>
        <w:tc>
          <w:tcPr>
            <w:tcW w:w="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6,963,327</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19" w:lineRule="exact"/>
        <w:rPr>
          <w:sz w:val="20"/>
          <w:szCs w:val="20"/>
          <w:color w:val="auto"/>
        </w:rPr>
      </w:pPr>
    </w:p>
    <w:p>
      <w:pPr>
        <w:ind w:left="340" w:right="200" w:hanging="332"/>
        <w:spacing w:after="0" w:line="257"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Due to the changes in our segment disclosures, Electric Utilities and Power Generation Total assets were revised as of December 31, 2018 which resulted in an increase (decrease) of ($188) million and $188 million, respectively. There was no impact on our consolidated Total assets.</w:t>
      </w:r>
    </w:p>
    <w:p>
      <w:pPr>
        <w:sectPr>
          <w:pgSz w:w="11900" w:h="16838" w:orient="portrait"/>
          <w:cols w:equalWidth="0" w:num="1">
            <w:col w:w="11420"/>
          </w:cols>
          <w:pgMar w:left="240" w:top="126" w:right="239" w:bottom="1440" w:gutter="0" w:footer="0" w:header="0"/>
          <w:type w:val="continuous"/>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6" w:right="23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ACCOUNTS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Accounts receivable, net included in the accompanying Condensed Consolidated Balance Sheets (in thousands) as of: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9"/>
              </w:rPr>
              <w:t>Accounts</w:t>
            </w:r>
          </w:p>
        </w:tc>
        <w:tc>
          <w:tcPr>
            <w:tcW w:w="30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Unbilled</w:t>
            </w:r>
          </w:p>
        </w:tc>
        <w:tc>
          <w:tcPr>
            <w:tcW w:w="24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6"/>
              </w:rPr>
              <w:t>Less Allowance for</w:t>
            </w: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1"/>
              </w:rPr>
              <w:t>Accounts</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September 30, 2019</w:t>
            </w:r>
          </w:p>
        </w:tc>
        <w:tc>
          <w:tcPr>
            <w:tcW w:w="200" w:type="dxa"/>
            <w:vAlign w:val="bottom"/>
          </w:tcPr>
          <w:p>
            <w:pPr>
              <w:spacing w:after="0"/>
              <w:rPr>
                <w:sz w:val="23"/>
                <w:szCs w:val="23"/>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8"/>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9"/>
              </w:rPr>
              <w:t>Doubtful Accounts</w:t>
            </w:r>
          </w:p>
        </w:tc>
        <w:tc>
          <w:tcPr>
            <w:tcW w:w="22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88"/>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39,151</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31,843</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70,494</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46,265</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24,091</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(2,490)</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67,866</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2,733</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2,733</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1,804</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1,804</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6,261</w:t>
            </w:r>
          </w:p>
        </w:tc>
        <w:tc>
          <w:tcPr>
            <w:tcW w:w="30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6,092</w:t>
            </w:r>
          </w:p>
        </w:tc>
      </w:tr>
      <w:tr>
        <w:trPr>
          <w:trHeight w:val="257"/>
        </w:trPr>
        <w:tc>
          <w:tcPr>
            <w:tcW w:w="446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96,214</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55,934</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148,989</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81"/>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9"/>
              </w:rPr>
              <w:t>Accounts</w:t>
            </w:r>
          </w:p>
        </w:tc>
        <w:tc>
          <w:tcPr>
            <w:tcW w:w="30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Unbilled</w:t>
            </w:r>
          </w:p>
        </w:tc>
        <w:tc>
          <w:tcPr>
            <w:tcW w:w="24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6"/>
              </w:rPr>
              <w:t>Less Allowance for</w:t>
            </w:r>
          </w:p>
        </w:tc>
        <w:tc>
          <w:tcPr>
            <w:tcW w:w="220" w:type="dxa"/>
            <w:vAlign w:val="bottom"/>
          </w:tcPr>
          <w:p>
            <w:pPr>
              <w:spacing w:after="0"/>
              <w:rPr>
                <w:sz w:val="24"/>
                <w:szCs w:val="24"/>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1"/>
              </w:rPr>
              <w:t>Accounts</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200" w:type="dxa"/>
            <w:vAlign w:val="bottom"/>
          </w:tcPr>
          <w:p>
            <w:pPr>
              <w:spacing w:after="0"/>
              <w:rPr>
                <w:sz w:val="23"/>
                <w:szCs w:val="23"/>
                <w:color w:val="auto"/>
              </w:rPr>
            </w:pPr>
          </w:p>
        </w:tc>
        <w:tc>
          <w:tcPr>
            <w:tcW w:w="1620" w:type="dxa"/>
            <w:vAlign w:val="bottom"/>
          </w:tcPr>
          <w:p>
            <w:pPr>
              <w:jc w:val="center"/>
              <w:ind w:right="70"/>
              <w:spacing w:after="0"/>
              <w:rPr>
                <w:sz w:val="20"/>
                <w:szCs w:val="20"/>
                <w:color w:val="auto"/>
              </w:rPr>
            </w:pPr>
            <w:r>
              <w:rPr>
                <w:rFonts w:ascii="Arial" w:cs="Arial" w:eastAsia="Arial" w:hAnsi="Arial"/>
                <w:sz w:val="18"/>
                <w:szCs w:val="18"/>
                <w:color w:val="auto"/>
                <w:w w:val="88"/>
              </w:rPr>
              <w:t>Receivable, Trade</w:t>
            </w:r>
          </w:p>
        </w:tc>
        <w:tc>
          <w:tcPr>
            <w:tcW w:w="300" w:type="dxa"/>
            <w:vAlign w:val="bottom"/>
          </w:tcPr>
          <w:p>
            <w:pPr>
              <w:spacing w:after="0"/>
              <w:rPr>
                <w:sz w:val="23"/>
                <w:szCs w:val="23"/>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9"/>
              </w:rPr>
              <w:t>Doubtful Accounts</w:t>
            </w:r>
          </w:p>
        </w:tc>
        <w:tc>
          <w:tcPr>
            <w:tcW w:w="220" w:type="dxa"/>
            <w:vAlign w:val="bottom"/>
          </w:tcPr>
          <w:p>
            <w:pPr>
              <w:spacing w:after="0"/>
              <w:rPr>
                <w:sz w:val="23"/>
                <w:szCs w:val="23"/>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88"/>
              </w:rPr>
              <w:t>Receivable, net</w:t>
            </w:r>
          </w:p>
        </w:tc>
      </w:tr>
      <w:tr>
        <w:trPr>
          <w:trHeight w:val="27"/>
        </w:trPr>
        <w:tc>
          <w:tcPr>
            <w:tcW w:w="4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39,721</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35,125</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74,398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96,123</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90,521</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(2,592)</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184,052</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1,876</w:t>
            </w:r>
          </w:p>
        </w:tc>
        <w:tc>
          <w:tcPr>
            <w:tcW w:w="3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1,876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3,988</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3,988</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5,008</w:t>
            </w:r>
          </w:p>
        </w:tc>
        <w:tc>
          <w:tcPr>
            <w:tcW w:w="30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4,839</w:t>
            </w:r>
          </w:p>
        </w:tc>
      </w:tr>
      <w:tr>
        <w:trPr>
          <w:trHeight w:val="257"/>
        </w:trPr>
        <w:tc>
          <w:tcPr>
            <w:tcW w:w="446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146,716</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125,646</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(3,209)</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269,153</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REGULATORY ACCOUNTING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regulatory assets and liabilities (in thousands) as of:</w:t>
      </w:r>
    </w:p>
    <w:p>
      <w:pPr>
        <w:spacing w:after="0" w:line="171" w:lineRule="exact"/>
        <w:rPr>
          <w:sz w:val="20"/>
          <w:szCs w:val="20"/>
          <w:color w:val="auto"/>
        </w:rPr>
      </w:pPr>
    </w:p>
    <w:p>
      <w:pPr>
        <w:jc w:val="right"/>
        <w:ind w:right="260"/>
        <w:spacing w:after="0"/>
        <w:tabs>
          <w:tab w:leader="none" w:pos="1400" w:val="left"/>
        </w:tabs>
        <w:rPr>
          <w:sz w:val="20"/>
          <w:szCs w:val="20"/>
          <w:color w:val="auto"/>
        </w:rPr>
      </w:pPr>
      <w:r>
        <w:rPr>
          <w:rFonts w:ascii="Arial" w:cs="Arial" w:eastAsia="Arial" w:hAnsi="Arial"/>
          <w:sz w:val="18"/>
          <w:szCs w:val="18"/>
          <w:color w:val="auto"/>
        </w:rPr>
        <w:t>September 30, 2019</w:t>
      </w:r>
      <w:r>
        <w:rPr>
          <w:sz w:val="20"/>
          <w:szCs w:val="20"/>
          <w:color w:val="auto"/>
        </w:rPr>
        <w:tab/>
      </w:r>
      <w:r>
        <w:rPr>
          <w:rFonts w:ascii="Arial" w:cs="Arial" w:eastAsia="Arial" w:hAnsi="Arial"/>
          <w:sz w:val="16"/>
          <w:szCs w:val="16"/>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Regulatory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spacing w:after="0" w:line="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Deferred energy and fuel cost adjustments </w:t>
      </w:r>
      <w:r>
        <w:rPr>
          <w:rFonts w:ascii="Arial" w:cs="Arial" w:eastAsia="Arial" w:hAnsi="Arial"/>
          <w:sz w:val="22"/>
          <w:szCs w:val="22"/>
          <w:color w:val="auto"/>
          <w:vertAlign w:val="superscript"/>
        </w:rPr>
        <w:t>(a)</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Deferred gas cost adjustments </w:t>
      </w:r>
      <w:r>
        <w:rPr>
          <w:rFonts w:ascii="Arial" w:cs="Arial" w:eastAsia="Arial" w:hAnsi="Arial"/>
          <w:sz w:val="25"/>
          <w:szCs w:val="25"/>
          <w:color w:val="auto"/>
          <w:vertAlign w:val="superscript"/>
        </w:rPr>
        <w:t>(a)</w:t>
      </w:r>
    </w:p>
    <w:p>
      <w:pPr>
        <w:ind w:left="180"/>
        <w:spacing w:after="0" w:line="225" w:lineRule="auto"/>
        <w:rPr>
          <w:sz w:val="20"/>
          <w:szCs w:val="20"/>
          <w:color w:val="auto"/>
        </w:rPr>
      </w:pPr>
      <w:r>
        <w:rPr>
          <w:rFonts w:ascii="Arial" w:cs="Arial" w:eastAsia="Arial" w:hAnsi="Arial"/>
          <w:sz w:val="18"/>
          <w:szCs w:val="18"/>
          <w:color w:val="auto"/>
        </w:rPr>
        <w:t xml:space="preserve">Gas price derivatives </w:t>
      </w:r>
      <w:r>
        <w:rPr>
          <w:rFonts w:ascii="Arial" w:cs="Arial" w:eastAsia="Arial" w:hAnsi="Arial"/>
          <w:sz w:val="25"/>
          <w:szCs w:val="25"/>
          <w:color w:val="auto"/>
          <w:vertAlign w:val="superscript"/>
        </w:rPr>
        <w:t>(a)</w:t>
      </w:r>
    </w:p>
    <w:p>
      <w:pPr>
        <w:ind w:left="180"/>
        <w:spacing w:after="0" w:line="226" w:lineRule="auto"/>
        <w:rPr>
          <w:sz w:val="20"/>
          <w:szCs w:val="20"/>
          <w:color w:val="auto"/>
        </w:rPr>
      </w:pPr>
      <w:r>
        <w:rPr>
          <w:rFonts w:ascii="Arial" w:cs="Arial" w:eastAsia="Arial" w:hAnsi="Arial"/>
          <w:sz w:val="18"/>
          <w:szCs w:val="18"/>
          <w:color w:val="auto"/>
        </w:rPr>
        <w:t xml:space="preserve">Deferred taxes on AFUDC </w:t>
      </w:r>
      <w:r>
        <w:rPr>
          <w:rFonts w:ascii="Arial" w:cs="Arial" w:eastAsia="Arial" w:hAnsi="Arial"/>
          <w:sz w:val="25"/>
          <w:szCs w:val="25"/>
          <w:color w:val="auto"/>
          <w:vertAlign w:val="superscript"/>
        </w:rPr>
        <w:t>(b)</w:t>
      </w:r>
    </w:p>
    <w:p>
      <w:pPr>
        <w:ind w:left="180"/>
        <w:spacing w:after="0" w:line="225" w:lineRule="auto"/>
        <w:rPr>
          <w:sz w:val="20"/>
          <w:szCs w:val="20"/>
          <w:color w:val="auto"/>
        </w:rPr>
      </w:pPr>
      <w:r>
        <w:rPr>
          <w:rFonts w:ascii="Arial" w:cs="Arial" w:eastAsia="Arial" w:hAnsi="Arial"/>
          <w:sz w:val="18"/>
          <w:szCs w:val="18"/>
          <w:color w:val="auto"/>
        </w:rPr>
        <w:t xml:space="preserve">Employee benefit plans </w:t>
      </w:r>
      <w:r>
        <w:rPr>
          <w:rFonts w:ascii="Arial" w:cs="Arial" w:eastAsia="Arial" w:hAnsi="Arial"/>
          <w:sz w:val="25"/>
          <w:szCs w:val="25"/>
          <w:color w:val="auto"/>
          <w:vertAlign w:val="superscript"/>
        </w:rPr>
        <w:t>(c)</w:t>
      </w:r>
    </w:p>
    <w:p>
      <w:pPr>
        <w:ind w:left="180"/>
        <w:spacing w:after="0" w:line="226" w:lineRule="auto"/>
        <w:rPr>
          <w:sz w:val="20"/>
          <w:szCs w:val="20"/>
          <w:color w:val="auto"/>
        </w:rPr>
      </w:pPr>
      <w:r>
        <w:rPr>
          <w:rFonts w:ascii="Arial" w:cs="Arial" w:eastAsia="Arial" w:hAnsi="Arial"/>
          <w:sz w:val="18"/>
          <w:szCs w:val="18"/>
          <w:color w:val="auto"/>
        </w:rPr>
        <w:t xml:space="preserve">Environmental </w:t>
      </w:r>
      <w:r>
        <w:rPr>
          <w:rFonts w:ascii="Arial" w:cs="Arial" w:eastAsia="Arial" w:hAnsi="Arial"/>
          <w:sz w:val="25"/>
          <w:szCs w:val="25"/>
          <w:color w:val="auto"/>
          <w:vertAlign w:val="superscript"/>
        </w:rPr>
        <w:t>(a)</w:t>
      </w:r>
    </w:p>
    <w:p>
      <w:pPr>
        <w:ind w:left="180"/>
        <w:spacing w:after="0" w:line="225" w:lineRule="auto"/>
        <w:rPr>
          <w:sz w:val="20"/>
          <w:szCs w:val="20"/>
          <w:color w:val="auto"/>
        </w:rPr>
      </w:pPr>
      <w:r>
        <w:rPr>
          <w:rFonts w:ascii="Arial" w:cs="Arial" w:eastAsia="Arial" w:hAnsi="Arial"/>
          <w:sz w:val="18"/>
          <w:szCs w:val="18"/>
          <w:color w:val="auto"/>
        </w:rPr>
        <w:t xml:space="preserve">Loss on reacquired debt </w:t>
      </w:r>
      <w:r>
        <w:rPr>
          <w:rFonts w:ascii="Arial" w:cs="Arial" w:eastAsia="Arial" w:hAnsi="Arial"/>
          <w:sz w:val="25"/>
          <w:szCs w:val="25"/>
          <w:color w:val="auto"/>
          <w:vertAlign w:val="superscript"/>
        </w:rPr>
        <w:t>(a)</w:t>
      </w:r>
    </w:p>
    <w:p>
      <w:pPr>
        <w:ind w:left="180"/>
        <w:spacing w:after="0" w:line="235" w:lineRule="auto"/>
        <w:rPr>
          <w:sz w:val="20"/>
          <w:szCs w:val="20"/>
          <w:color w:val="auto"/>
        </w:rPr>
      </w:pPr>
      <w:r>
        <w:rPr>
          <w:rFonts w:ascii="Arial" w:cs="Arial" w:eastAsia="Arial" w:hAnsi="Arial"/>
          <w:sz w:val="17"/>
          <w:szCs w:val="17"/>
          <w:color w:val="auto"/>
        </w:rPr>
        <w:t xml:space="preserve">Renewable energy standard adjustment </w:t>
      </w:r>
      <w:r>
        <w:rPr>
          <w:rFonts w:ascii="Arial" w:cs="Arial" w:eastAsia="Arial" w:hAnsi="Arial"/>
          <w:sz w:val="24"/>
          <w:szCs w:val="24"/>
          <w:color w:val="auto"/>
          <w:vertAlign w:val="superscript"/>
        </w:rPr>
        <w:t>(a)</w:t>
      </w:r>
    </w:p>
    <w:p>
      <w:pPr>
        <w:ind w:left="180"/>
        <w:spacing w:after="0"/>
        <w:rPr>
          <w:sz w:val="20"/>
          <w:szCs w:val="20"/>
          <w:color w:val="auto"/>
        </w:rPr>
      </w:pPr>
      <w:r>
        <w:rPr>
          <w:rFonts w:ascii="Arial" w:cs="Arial" w:eastAsia="Arial" w:hAnsi="Arial"/>
          <w:sz w:val="16"/>
          <w:szCs w:val="16"/>
          <w:color w:val="auto"/>
        </w:rPr>
        <w:t xml:space="preserve">Deferred taxes on flow through accounting </w:t>
      </w:r>
      <w:r>
        <w:rPr>
          <w:rFonts w:ascii="Arial" w:cs="Arial" w:eastAsia="Arial" w:hAnsi="Arial"/>
          <w:sz w:val="22"/>
          <w:szCs w:val="22"/>
          <w:color w:val="auto"/>
          <w:vertAlign w:val="superscript"/>
        </w:rPr>
        <w:t>(c)</w:t>
      </w:r>
    </w:p>
    <w:p>
      <w:pPr>
        <w:ind w:left="180"/>
        <w:spacing w:after="0"/>
        <w:rPr>
          <w:sz w:val="20"/>
          <w:szCs w:val="20"/>
          <w:color w:val="auto"/>
        </w:rPr>
      </w:pPr>
      <w:r>
        <w:rPr>
          <w:rFonts w:ascii="Arial" w:cs="Arial" w:eastAsia="Arial" w:hAnsi="Arial"/>
          <w:sz w:val="18"/>
          <w:szCs w:val="18"/>
          <w:color w:val="auto"/>
        </w:rPr>
        <w:t xml:space="preserve">Decommissioning costs </w:t>
      </w:r>
      <w:r>
        <w:rPr>
          <w:rFonts w:ascii="Arial" w:cs="Arial" w:eastAsia="Arial" w:hAnsi="Arial"/>
          <w:sz w:val="25"/>
          <w:szCs w:val="25"/>
          <w:color w:val="auto"/>
          <w:vertAlign w:val="superscript"/>
        </w:rPr>
        <w:t>(b)</w:t>
      </w:r>
    </w:p>
    <w:p>
      <w:pPr>
        <w:ind w:left="180"/>
        <w:spacing w:after="0" w:line="225" w:lineRule="auto"/>
        <w:rPr>
          <w:sz w:val="20"/>
          <w:szCs w:val="20"/>
          <w:color w:val="auto"/>
        </w:rPr>
      </w:pPr>
      <w:r>
        <w:rPr>
          <w:rFonts w:ascii="Arial" w:cs="Arial" w:eastAsia="Arial" w:hAnsi="Arial"/>
          <w:sz w:val="18"/>
          <w:szCs w:val="18"/>
          <w:color w:val="auto"/>
        </w:rPr>
        <w:t xml:space="preserve">Gas supply contract termination </w:t>
      </w:r>
      <w:r>
        <w:rPr>
          <w:rFonts w:ascii="Arial" w:cs="Arial" w:eastAsia="Arial" w:hAnsi="Arial"/>
          <w:sz w:val="25"/>
          <w:szCs w:val="25"/>
          <w:color w:val="auto"/>
          <w:vertAlign w:val="superscript"/>
        </w:rPr>
        <w:t>(a)</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Other regulatory assets </w:t>
      </w:r>
      <w:r>
        <w:rPr>
          <w:rFonts w:ascii="Arial" w:cs="Arial" w:eastAsia="Arial" w:hAnsi="Arial"/>
          <w:sz w:val="25"/>
          <w:szCs w:val="25"/>
          <w:color w:val="auto"/>
          <w:vertAlign w:val="superscript"/>
        </w:rPr>
        <w:t>(a)</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regulatory assets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current regulatory assets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Regulatory assets, non-current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31,832</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29,661</w:t>
            </w:r>
          </w:p>
        </w:tc>
      </w:tr>
      <w:tr>
        <w:trPr>
          <w:trHeight w:val="270"/>
        </w:trPr>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3,899</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3,362</w:t>
            </w:r>
          </w:p>
        </w:tc>
      </w:tr>
      <w:tr>
        <w:trPr>
          <w:trHeight w:val="270"/>
        </w:trPr>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4,296</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6,201</w:t>
            </w:r>
          </w:p>
        </w:tc>
      </w:tr>
      <w:tr>
        <w:trPr>
          <w:trHeight w:val="270"/>
        </w:trPr>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7,691</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7,841</w:t>
            </w:r>
          </w:p>
        </w:tc>
      </w:tr>
      <w:tr>
        <w:trPr>
          <w:trHeight w:val="270"/>
        </w:trPr>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107,921</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110,524</w:t>
            </w:r>
          </w:p>
        </w:tc>
      </w:tr>
      <w:tr>
        <w:trPr>
          <w:trHeight w:val="270"/>
        </w:trPr>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917</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959</w:t>
            </w:r>
          </w:p>
        </w:tc>
      </w:tr>
      <w:tr>
        <w:trPr>
          <w:trHeight w:val="270"/>
        </w:trPr>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19,710</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21,001</w:t>
            </w:r>
          </w:p>
        </w:tc>
      </w:tr>
      <w:tr>
        <w:trPr>
          <w:trHeight w:val="270"/>
        </w:trPr>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2,871</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1,722</w:t>
            </w:r>
          </w:p>
        </w:tc>
      </w:tr>
      <w:tr>
        <w:trPr>
          <w:trHeight w:val="270"/>
        </w:trPr>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37,609</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31,044</w:t>
            </w:r>
          </w:p>
        </w:tc>
      </w:tr>
      <w:tr>
        <w:trPr>
          <w:trHeight w:val="270"/>
        </w:trPr>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11,206</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11,700</w:t>
            </w:r>
          </w:p>
        </w:tc>
      </w:tr>
      <w:tr>
        <w:trPr>
          <w:trHeight w:val="270"/>
        </w:trPr>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9,953</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14,310</w:t>
            </w:r>
          </w:p>
        </w:tc>
      </w:tr>
      <w:tr>
        <w:trPr>
          <w:trHeight w:val="270"/>
        </w:trPr>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22,453</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45,910</w:t>
            </w:r>
          </w:p>
        </w:tc>
      </w:tr>
      <w:tr>
        <w:trPr>
          <w:trHeight w:val="27"/>
        </w:trPr>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260,358</w:t>
            </w:r>
          </w:p>
        </w:tc>
        <w:tc>
          <w:tcPr>
            <w:tcW w:w="6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284,235</w:t>
            </w:r>
          </w:p>
        </w:tc>
      </w:tr>
      <w:tr>
        <w:trPr>
          <w:trHeight w:val="270"/>
        </w:trPr>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(46,206)</w:t>
            </w: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(48,776)</w:t>
            </w:r>
          </w:p>
        </w:tc>
      </w:tr>
      <w:tr>
        <w:trPr>
          <w:trHeight w:val="27"/>
        </w:trPr>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214,152</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235,459</w:t>
            </w:r>
          </w:p>
        </w:tc>
      </w:tr>
      <w:tr>
        <w:trPr>
          <w:trHeight w:val="27"/>
        </w:trPr>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-2272030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-1929130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-1585595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-1242695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-899795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-556895</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-205105</wp:posOffset>
            </wp:positionV>
            <wp:extent cx="72466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154305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720"/>
            <w:col w:w="3880"/>
          </w:cols>
          <w:pgMar w:left="240" w:top="126" w:right="239" w:bottom="144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Regulatory liabilities</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Deferred energy and gas costs </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5"/>
          <w:szCs w:val="15"/>
          <w:color w:val="auto"/>
        </w:rPr>
        <w:t xml:space="preserve">Employee benefit plan costs and related deferred taxes </w:t>
      </w:r>
      <w:r>
        <w:rPr>
          <w:rFonts w:ascii="Arial" w:cs="Arial" w:eastAsia="Arial" w:hAnsi="Arial"/>
          <w:sz w:val="21"/>
          <w:szCs w:val="21"/>
          <w:color w:val="auto"/>
          <w:vertAlign w:val="superscript"/>
        </w:rPr>
        <w:t>(c)</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Cost of removal </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line="230" w:lineRule="auto"/>
        <w:rPr>
          <w:sz w:val="20"/>
          <w:szCs w:val="20"/>
          <w:color w:val="auto"/>
        </w:rPr>
      </w:pPr>
      <w:r>
        <w:rPr>
          <w:rFonts w:ascii="Arial" w:cs="Arial" w:eastAsia="Arial" w:hAnsi="Arial"/>
          <w:sz w:val="18"/>
          <w:szCs w:val="18"/>
          <w:color w:val="auto"/>
        </w:rPr>
        <w:t xml:space="preserve">Excess deferred income taxes </w:t>
      </w:r>
      <w:r>
        <w:rPr>
          <w:rFonts w:ascii="Arial" w:cs="Arial" w:eastAsia="Arial" w:hAnsi="Arial"/>
          <w:sz w:val="25"/>
          <w:szCs w:val="25"/>
          <w:color w:val="auto"/>
          <w:vertAlign w:val="superscript"/>
        </w:rPr>
        <w:t>(c)</w:t>
      </w:r>
    </w:p>
    <w:p>
      <w:pPr>
        <w:ind w:left="180"/>
        <w:spacing w:after="0"/>
        <w:rPr>
          <w:sz w:val="20"/>
          <w:szCs w:val="20"/>
          <w:color w:val="auto"/>
        </w:rPr>
      </w:pPr>
      <w:r>
        <w:rPr>
          <w:rFonts w:ascii="Arial" w:cs="Arial" w:eastAsia="Arial" w:hAnsi="Arial"/>
          <w:sz w:val="18"/>
          <w:szCs w:val="18"/>
          <w:color w:val="auto"/>
        </w:rPr>
        <w:t>TCJA revenue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Other regulatory liabilities </w:t>
      </w:r>
      <w:r>
        <w:rPr>
          <w:rFonts w:ascii="Arial" w:cs="Arial" w:eastAsia="Arial" w:hAnsi="Arial"/>
          <w:sz w:val="25"/>
          <w:szCs w:val="25"/>
          <w:color w:val="auto"/>
          <w:vertAlign w:val="superscript"/>
        </w:rPr>
        <w:t>(c)</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regulatory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current regulatory liabilities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Regulatory liabilities, non-current</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9,919</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6,991</w:t>
            </w:r>
          </w:p>
        </w:tc>
      </w:tr>
      <w:tr>
        <w:trPr>
          <w:trHeight w:val="270"/>
        </w:trPr>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42,737</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42,533</w:t>
            </w:r>
          </w:p>
        </w:tc>
      </w:tr>
      <w:tr>
        <w:trPr>
          <w:trHeight w:val="270"/>
        </w:trPr>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162,169</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150,123</w:t>
            </w:r>
          </w:p>
        </w:tc>
      </w:tr>
      <w:tr>
        <w:trPr>
          <w:trHeight w:val="270"/>
        </w:trPr>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286,587</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310,562</w:t>
            </w:r>
          </w:p>
        </w:tc>
      </w:tr>
      <w:tr>
        <w:trPr>
          <w:trHeight w:val="270"/>
        </w:trPr>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2,770</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18,032</w:t>
            </w:r>
          </w:p>
        </w:tc>
      </w:tr>
      <w:tr>
        <w:trPr>
          <w:trHeight w:val="270"/>
        </w:trPr>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19,759</w:t>
            </w:r>
          </w:p>
        </w:tc>
        <w:tc>
          <w:tcPr>
            <w:tcW w:w="6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12,553</w:t>
            </w:r>
          </w:p>
        </w:tc>
      </w:tr>
      <w:tr>
        <w:trPr>
          <w:trHeight w:val="27"/>
        </w:trPr>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523,941</w:t>
            </w:r>
          </w:p>
        </w:tc>
        <w:tc>
          <w:tcPr>
            <w:tcW w:w="6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540,794</w:t>
            </w:r>
          </w:p>
        </w:tc>
      </w:tr>
      <w:tr>
        <w:trPr>
          <w:trHeight w:val="270"/>
        </w:trPr>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(25,168)</w:t>
            </w:r>
          </w:p>
        </w:tc>
        <w:tc>
          <w:tcPr>
            <w:tcW w:w="6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(29,810)</w:t>
            </w:r>
          </w:p>
        </w:tc>
      </w:tr>
      <w:tr>
        <w:trPr>
          <w:trHeight w:val="27"/>
        </w:trPr>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498,773</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510,984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24612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34290</wp:posOffset>
            </wp:positionV>
            <wp:extent cx="24612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820" w:space="720"/>
            <w:col w:w="3880"/>
          </w:cols>
          <w:pgMar w:left="240" w:top="126" w:right="239" w:bottom="1440" w:gutter="0" w:footer="0" w:header="0"/>
          <w:type w:val="continuous"/>
        </w:sect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allowed recovery of costs, but we are not allowed a rate of return.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addition to recovery of costs, we are allowed a rate of return.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addition to recovery or repayment of costs, we are allowed a return on a portion of this amount or a reduction in rate base.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Except as discussed below, there have been no other significant changes to our Regulatory Matters from those previously disclosed in Note 13 of the Notes to the Consolidated Financial Statements in our 2018 Annual Report on Form 10-K.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type w:val="continuous"/>
        </w:sectPr>
      </w:pPr>
    </w:p>
    <w:bookmarkStart w:id="20" w:name="page21"/>
    <w:bookmarkEnd w:id="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Wyoming Gas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13, 2019, we received approval from the WPSC to consolidate our Wyoming gas utility operations into a new utility entity. The Wyoming portion of Black Hills Gas Distribution, LLC, Cheyenne Light’s natural gas utility operations (Cheyenne Gas and Northeast Wyoming), and Wyoming Gas (Northwest Wyoming) were combined into a new company called Black Hills Wyoming Gas, LLC. On June 3, 2019, Wyoming Gas filed a rate review application with the WPSC to consolidate the rates, tariffs and services of its four existing gas distribution territories in Wyoming. The rate review requests $16 million in new revenue to recover investments in safety, reliability and system integrity. Wyoming Gas is also requesting a new rider mechanism to recover future safety and integrity investments in its system. A settlement was recently reached with the intervening parties in the rate review filing and filed with the WPSC on November 1, 2019. The stipulation and agreement are subject to review and approval by the WPSC, with a decision expected by the end of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Dakota Electric and Wyoming Electric</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South Dakota Electric and Wyoming Electric received approvals for the Renewable Ready Service Tariffs and related jointly-filed CPCN to construct the $57 million, 40 MW Corriedale Wind Energy Project. The wind project will be jointly owned by the two electric utilities to deliver renewable energy for large commercial, industrial and governmental agency customers. The project is expected to be in service by the end of 2020. In September 2019, the customer subscription period was completed with customer interest fulfilling the 40 MW of available energy. On November 1, 2019, South Dakota Electric filed with the SDPUC an amendment seeking approval to increase the generating capacity under the tariff for the South Dakota portion by 12.5 MW to a total of 32.5 MW.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Nebraska</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October 29, 2019, Nebraska Gas received approval from the NPSC to merge its two gas distribution companies in Nebraska. A rate review is expected to be filed by mid-year 2020 to consolidate the rates, tariffs and services of its two existing gas distribution companies.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Kansas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June 25, 2019, Kansas Gas received approval from the Kansas Corporation Commission for an annual increase in revenue of $1.4 million, effective July 1, 2019, based on updates to the Gas System Reliability Surcharge Rider.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Wyoming Electric</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April 30, 2019, the WPSC approved Wyoming Electric’s application for a new Blockchain Interruptible Service Tariff. The utility has partnered with the economic development organization for City of Cheyenne and Laramie County to actively recruit blockchain customers to the state. This tariff is complementary to recently enacted Wyoming legislation supporting the development of blockchain within the state.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Colorado</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February 1, 2019, Colorado Gas filed a rate review with the CPUC requesting approval to consolidate rates, tariffs, and services of its two existing gas distribution territories in Colorado. The rate review requests $2.5 million in new revenue to recover investments in safety, reliability and system integrity. Colorado Gas is also requesting a new rider mechanism to recover future safety and integrity investments in its system. A decision from the CPUC is expected by March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6" w:right="27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3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7"/>
          <w:szCs w:val="17"/>
          <w:color w:val="auto"/>
        </w:rPr>
        <w:t>MATERIALS, SUPPLIES AND FUEL</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amounts by major classification are included in Materials, supplies and fuel in the accompanying Condensed Consolidated Balance Sheets (in thousands)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color w:val="auto"/>
                <w:w w:val="91"/>
              </w:rPr>
              <w:t>September 30, 2019</w:t>
            </w:r>
          </w:p>
        </w:tc>
        <w:tc>
          <w:tcPr>
            <w:tcW w:w="3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31, 2018</w:t>
            </w:r>
          </w:p>
        </w:tc>
      </w:tr>
      <w:tr>
        <w:trPr>
          <w:trHeight w:val="27"/>
        </w:trPr>
        <w:tc>
          <w:tcPr>
            <w:tcW w:w="720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Materials and supplies</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81,382</w:t>
            </w:r>
          </w:p>
        </w:tc>
        <w:tc>
          <w:tcPr>
            <w:tcW w:w="3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75,081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Fuel - Electric Utilities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2,535</w:t>
            </w:r>
          </w:p>
        </w:tc>
        <w:tc>
          <w:tcPr>
            <w:tcW w:w="3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2,850</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2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Natural gas in storage held for distribution</w:t>
            </w:r>
          </w:p>
        </w:tc>
        <w:tc>
          <w:tcPr>
            <w:tcW w:w="180" w:type="dxa"/>
            <w:vAlign w:val="bottom"/>
            <w:tcBorders>
              <w:bottom w:val="single" w:sz="8" w:color="CEFFE7"/>
            </w:tcBorders>
            <w:shd w:val="clear" w:color="auto" w:fill="CEFFE7"/>
          </w:tcPr>
          <w:p>
            <w:pPr>
              <w:spacing w:after="0"/>
              <w:rPr>
                <w:sz w:val="23"/>
                <w:szCs w:val="23"/>
                <w:color w:val="auto"/>
              </w:rPr>
            </w:pPr>
          </w:p>
        </w:tc>
        <w:tc>
          <w:tcPr>
            <w:tcW w:w="17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39,085</w:t>
            </w:r>
          </w:p>
        </w:tc>
        <w:tc>
          <w:tcPr>
            <w:tcW w:w="340" w:type="dxa"/>
            <w:vAlign w:val="bottom"/>
            <w:tcBorders>
              <w:bottom w:val="single" w:sz="8" w:color="CEFFE7"/>
            </w:tcBorders>
            <w:shd w:val="clear" w:color="auto" w:fill="CEFFE7"/>
          </w:tcPr>
          <w:p>
            <w:pPr>
              <w:spacing w:after="0"/>
              <w:rPr>
                <w:sz w:val="23"/>
                <w:szCs w:val="23"/>
                <w:color w:val="auto"/>
              </w:rPr>
            </w:pPr>
          </w:p>
        </w:tc>
        <w:tc>
          <w:tcPr>
            <w:tcW w:w="1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39,368</w:t>
            </w:r>
          </w:p>
        </w:tc>
      </w:tr>
      <w:tr>
        <w:trPr>
          <w:trHeight w:val="257"/>
        </w:trPr>
        <w:tc>
          <w:tcPr>
            <w:tcW w:w="7200" w:type="dxa"/>
            <w:vAlign w:val="bottom"/>
          </w:tcPr>
          <w:p>
            <w:pPr>
              <w:ind w:left="280"/>
              <w:spacing w:after="0"/>
              <w:rPr>
                <w:sz w:val="20"/>
                <w:szCs w:val="20"/>
                <w:color w:val="auto"/>
              </w:rPr>
            </w:pPr>
            <w:r>
              <w:rPr>
                <w:rFonts w:ascii="Arial" w:cs="Arial" w:eastAsia="Arial" w:hAnsi="Arial"/>
                <w:sz w:val="18"/>
                <w:szCs w:val="18"/>
                <w:color w:val="auto"/>
              </w:rPr>
              <w:t>Total materials, supplies and fuel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123,002</w:t>
            </w: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117,299</w:t>
            </w: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7"/>
          <w:szCs w:val="17"/>
          <w:color w:val="auto"/>
        </w:rPr>
        <w:t>EARNINGS PER SHARE</w:t>
      </w:r>
    </w:p>
    <w:p>
      <w:pPr>
        <w:spacing w:after="0" w:line="19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reconciliation of share amounts used to compute Earnings (loss) per share in the accompanying Condensed Consolidated Statements of Income was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40"/>
              <w:spacing w:after="0"/>
              <w:rPr>
                <w:sz w:val="20"/>
                <w:szCs w:val="20"/>
                <w:color w:val="auto"/>
              </w:rPr>
            </w:pPr>
            <w:r>
              <w:rPr>
                <w:rFonts w:ascii="Arial" w:cs="Arial" w:eastAsia="Arial" w:hAnsi="Arial"/>
                <w:sz w:val="18"/>
                <w:szCs w:val="18"/>
                <w:color w:val="auto"/>
                <w:w w:val="98"/>
              </w:rPr>
              <w:t>Three Months Ended September 30,</w:t>
            </w:r>
          </w:p>
        </w:tc>
        <w:tc>
          <w:tcPr>
            <w:tcW w:w="160" w:type="dxa"/>
            <w:vAlign w:val="bottom"/>
          </w:tcPr>
          <w:p>
            <w:pPr>
              <w:spacing w:after="0"/>
              <w:rPr>
                <w:sz w:val="20"/>
                <w:szCs w:val="20"/>
                <w:color w:val="auto"/>
              </w:rPr>
            </w:pPr>
          </w:p>
        </w:tc>
        <w:tc>
          <w:tcPr>
            <w:tcW w:w="2780" w:type="dxa"/>
            <w:vAlign w:val="bottom"/>
            <w:gridSpan w:val="3"/>
          </w:tcPr>
          <w:p>
            <w:pPr>
              <w:jc w:val="right"/>
              <w:ind w:right="110"/>
              <w:spacing w:after="0"/>
              <w:rPr>
                <w:sz w:val="20"/>
                <w:szCs w:val="20"/>
                <w:color w:val="auto"/>
              </w:rPr>
            </w:pPr>
            <w:r>
              <w:rPr>
                <w:rFonts w:ascii="Arial" w:cs="Arial" w:eastAsia="Arial" w:hAnsi="Arial"/>
                <w:sz w:val="18"/>
                <w:szCs w:val="18"/>
                <w:color w:val="auto"/>
                <w:w w:val="91"/>
              </w:rPr>
              <w:t>Nine Months Ended September 30,</w:t>
            </w:r>
          </w:p>
        </w:tc>
      </w:tr>
      <w:tr>
        <w:trPr>
          <w:trHeight w:val="270"/>
        </w:trPr>
        <w:tc>
          <w:tcPr>
            <w:tcW w:w="5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3"/>
                <w:szCs w:val="23"/>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available for common stock</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11,740</w:t>
            </w:r>
          </w:p>
        </w:tc>
        <w:tc>
          <w:tcPr>
            <w:tcW w:w="40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16,950</w:t>
            </w:r>
          </w:p>
        </w:tc>
        <w:tc>
          <w:tcPr>
            <w:tcW w:w="120" w:type="dxa"/>
            <w:vAlign w:val="bottom"/>
            <w:tcBorders>
              <w:bottom w:val="single" w:sz="8" w:color="CEFFE7"/>
            </w:tcBorders>
            <w:shd w:val="clear" w:color="auto" w:fill="CEFFE7"/>
          </w:tcPr>
          <w:p>
            <w:pPr>
              <w:spacing w:after="0"/>
              <w:rPr>
                <w:sz w:val="22"/>
                <w:szCs w:val="22"/>
                <w:color w:val="auto"/>
              </w:rPr>
            </w:pP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130,131</w:t>
            </w:r>
          </w:p>
        </w:tc>
        <w:tc>
          <w:tcPr>
            <w:tcW w:w="38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171,871</w:t>
            </w: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Weighted average shares - basic</w:t>
            </w:r>
          </w:p>
        </w:tc>
        <w:tc>
          <w:tcPr>
            <w:tcW w:w="16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60,976</w:t>
            </w:r>
          </w:p>
        </w:tc>
        <w:tc>
          <w:tcPr>
            <w:tcW w:w="40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53,364</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60,458</w:t>
            </w:r>
          </w:p>
        </w:tc>
        <w:tc>
          <w:tcPr>
            <w:tcW w:w="38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53,346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Dilutive effect of:</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8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Equity Units </w:t>
            </w:r>
            <w:r>
              <w:rPr>
                <w:rFonts w:ascii="Arial" w:cs="Arial" w:eastAsia="Arial" w:hAnsi="Arial"/>
                <w:sz w:val="25"/>
                <w:szCs w:val="25"/>
                <w:color w:val="auto"/>
                <w:vertAlign w:val="superscript"/>
              </w:rPr>
              <w:t>(a)</w:t>
            </w:r>
          </w:p>
        </w:tc>
        <w:tc>
          <w:tcPr>
            <w:tcW w:w="160" w:type="dxa"/>
            <w:vAlign w:val="bottom"/>
            <w:shd w:val="clear" w:color="auto" w:fill="CEFFE7"/>
          </w:tcPr>
          <w:p>
            <w:pPr>
              <w:spacing w:after="0"/>
              <w:rPr>
                <w:sz w:val="23"/>
                <w:szCs w:val="23"/>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EFFE7"/>
          </w:tcPr>
          <w:p>
            <w:pPr>
              <w:spacing w:after="0"/>
              <w:rPr>
                <w:sz w:val="23"/>
                <w:szCs w:val="23"/>
                <w:color w:val="auto"/>
              </w:rPr>
            </w:pPr>
          </w:p>
        </w:tc>
        <w:tc>
          <w:tcPr>
            <w:tcW w:w="11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1,344</w:t>
            </w:r>
          </w:p>
        </w:tc>
        <w:tc>
          <w:tcPr>
            <w:tcW w:w="12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EFFE7"/>
          </w:tcPr>
          <w:p>
            <w:pPr>
              <w:spacing w:after="0"/>
              <w:rPr>
                <w:sz w:val="23"/>
                <w:szCs w:val="23"/>
                <w:color w:val="auto"/>
              </w:rPr>
            </w:pPr>
          </w:p>
        </w:tc>
        <w:tc>
          <w:tcPr>
            <w:tcW w:w="11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1,060</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Equity compensation</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w:t>
            </w: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538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Weighted average shares - diluted</w:t>
            </w:r>
          </w:p>
        </w:tc>
        <w:tc>
          <w:tcPr>
            <w:tcW w:w="160" w:type="dxa"/>
            <w:vAlign w:val="bottom"/>
            <w:tcBorders>
              <w:bottom w:val="single" w:sz="8" w:color="auto"/>
            </w:tcBorders>
            <w:shd w:val="clear" w:color="auto" w:fill="CEFFE7"/>
          </w:tcPr>
          <w:p>
            <w:pPr>
              <w:spacing w:after="0"/>
              <w:rPr>
                <w:sz w:val="22"/>
                <w:szCs w:val="22"/>
                <w:color w:val="auto"/>
              </w:rPr>
            </w:pP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61,104</w:t>
            </w:r>
          </w:p>
        </w:tc>
        <w:tc>
          <w:tcPr>
            <w:tcW w:w="400" w:type="dxa"/>
            <w:vAlign w:val="bottom"/>
            <w:tcBorders>
              <w:bottom w:val="single" w:sz="8" w:color="auto"/>
            </w:tcBorders>
            <w:shd w:val="clear" w:color="auto" w:fill="CEFFE7"/>
          </w:tcPr>
          <w:p>
            <w:pPr>
              <w:spacing w:after="0"/>
              <w:rPr>
                <w:sz w:val="22"/>
                <w:szCs w:val="22"/>
                <w:color w:val="auto"/>
              </w:rPr>
            </w:pP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54,819</w:t>
            </w:r>
          </w:p>
        </w:tc>
        <w:tc>
          <w:tcPr>
            <w:tcW w:w="120" w:type="dxa"/>
            <w:vAlign w:val="bottom"/>
            <w:tcBorders>
              <w:bottom w:val="single" w:sz="8" w:color="CEFFE7"/>
            </w:tcBorders>
            <w:shd w:val="clear" w:color="auto" w:fill="CEFFE7"/>
          </w:tcPr>
          <w:p>
            <w:pPr>
              <w:spacing w:after="0"/>
              <w:rPr>
                <w:sz w:val="22"/>
                <w:szCs w:val="22"/>
                <w:color w:val="auto"/>
              </w:rPr>
            </w:pPr>
          </w:p>
        </w:tc>
        <w:tc>
          <w:tcPr>
            <w:tcW w:w="160" w:type="dxa"/>
            <w:vAlign w:val="bottom"/>
            <w:tcBorders>
              <w:bottom w:val="single" w:sz="8" w:color="auto"/>
            </w:tcBorders>
            <w:shd w:val="clear" w:color="auto" w:fill="CEFFE7"/>
          </w:tcPr>
          <w:p>
            <w:pPr>
              <w:spacing w:after="0"/>
              <w:rPr>
                <w:sz w:val="22"/>
                <w:szCs w:val="22"/>
                <w:color w:val="auto"/>
              </w:rPr>
            </w:pP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60,578</w:t>
            </w:r>
          </w:p>
        </w:tc>
        <w:tc>
          <w:tcPr>
            <w:tcW w:w="380" w:type="dxa"/>
            <w:vAlign w:val="bottom"/>
            <w:tcBorders>
              <w:bottom w:val="single" w:sz="8" w:color="auto"/>
            </w:tcBorders>
            <w:shd w:val="clear" w:color="auto" w:fill="CEFFE7"/>
          </w:tcPr>
          <w:p>
            <w:pPr>
              <w:spacing w:after="0"/>
              <w:rPr>
                <w:sz w:val="22"/>
                <w:szCs w:val="22"/>
                <w:color w:val="auto"/>
              </w:rPr>
            </w:pP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54,508</w:t>
            </w: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right="300" w:hanging="332"/>
        <w:spacing w:after="0" w:line="257"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Calculated using the treasury stock method. On November 1, 2018, we completed settlement of the stock purchase contracts that were components of the Equity Units issued in November 2015.</w:t>
      </w:r>
    </w:p>
    <w:p>
      <w:pPr>
        <w:spacing w:after="0" w:line="15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outstanding securities were excluded in the computation of diluted net income (loss) per share as their inclusion would have been anti-dilutive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5"/>
          </w:tcPr>
          <w:p>
            <w:pPr>
              <w:jc w:val="right"/>
              <w:ind w:right="280"/>
              <w:spacing w:after="0"/>
              <w:rPr>
                <w:sz w:val="20"/>
                <w:szCs w:val="20"/>
                <w:color w:val="auto"/>
              </w:rPr>
            </w:pPr>
            <w:r>
              <w:rPr>
                <w:rFonts w:ascii="Arial" w:cs="Arial" w:eastAsia="Arial" w:hAnsi="Arial"/>
                <w:sz w:val="18"/>
                <w:szCs w:val="18"/>
                <w:color w:val="auto"/>
                <w:w w:val="92"/>
              </w:rPr>
              <w:t>Three Months Ended September 30,</w:t>
            </w:r>
          </w:p>
        </w:tc>
        <w:tc>
          <w:tcPr>
            <w:tcW w:w="160" w:type="dxa"/>
            <w:vAlign w:val="bottom"/>
          </w:tcPr>
          <w:p>
            <w:pPr>
              <w:spacing w:after="0"/>
              <w:rPr>
                <w:sz w:val="20"/>
                <w:szCs w:val="20"/>
                <w:color w:val="auto"/>
              </w:rPr>
            </w:pPr>
          </w:p>
        </w:tc>
        <w:tc>
          <w:tcPr>
            <w:tcW w:w="2780" w:type="dxa"/>
            <w:vAlign w:val="bottom"/>
            <w:gridSpan w:val="3"/>
          </w:tcPr>
          <w:p>
            <w:pPr>
              <w:jc w:val="right"/>
              <w:ind w:right="110"/>
              <w:spacing w:after="0"/>
              <w:rPr>
                <w:sz w:val="20"/>
                <w:szCs w:val="20"/>
                <w:color w:val="auto"/>
              </w:rPr>
            </w:pPr>
            <w:r>
              <w:rPr>
                <w:rFonts w:ascii="Arial" w:cs="Arial" w:eastAsia="Arial" w:hAnsi="Arial"/>
                <w:sz w:val="18"/>
                <w:szCs w:val="18"/>
                <w:color w:val="auto"/>
                <w:w w:val="91"/>
              </w:rPr>
              <w:t>Nine Months Ended September 30,</w:t>
            </w: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ind w:left="26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3"/>
                <w:szCs w:val="23"/>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89"/>
              </w:rPr>
              <w:t>2019</w:t>
            </w:r>
          </w:p>
        </w:tc>
        <w:tc>
          <w:tcPr>
            <w:tcW w:w="180" w:type="dxa"/>
            <w:vAlign w:val="bottom"/>
          </w:tcPr>
          <w:p>
            <w:pPr>
              <w:spacing w:after="0"/>
              <w:rPr>
                <w:sz w:val="23"/>
                <w:szCs w:val="23"/>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Equity compensation</w:t>
            </w:r>
          </w:p>
        </w:tc>
        <w:tc>
          <w:tcPr>
            <w:tcW w:w="12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Restricted Stock</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Anti-dilutive shares</w:t>
            </w:r>
          </w:p>
        </w:tc>
        <w:tc>
          <w:tcPr>
            <w:tcW w:w="120" w:type="dxa"/>
            <w:vAlign w:val="bottom"/>
            <w:tcBorders>
              <w:bottom w:val="single" w:sz="8" w:color="auto"/>
            </w:tcBorders>
            <w:shd w:val="clear" w:color="auto" w:fill="CEFFE7"/>
          </w:tcPr>
          <w:p>
            <w:pPr>
              <w:spacing w:after="0"/>
              <w:rPr>
                <w:sz w:val="22"/>
                <w:szCs w:val="22"/>
                <w:color w:val="auto"/>
              </w:rPr>
            </w:pPr>
          </w:p>
        </w:tc>
        <w:tc>
          <w:tcPr>
            <w:tcW w:w="200" w:type="dxa"/>
            <w:vAlign w:val="bottom"/>
            <w:tcBorders>
              <w:bottom w:val="single" w:sz="8" w:color="auto"/>
            </w:tcBorders>
            <w:shd w:val="clear" w:color="auto" w:fill="CEFFE7"/>
          </w:tcPr>
          <w:p>
            <w:pPr>
              <w:spacing w:after="0"/>
              <w:rPr>
                <w:sz w:val="22"/>
                <w:szCs w:val="22"/>
                <w:color w:val="auto"/>
              </w:rPr>
            </w:pPr>
          </w:p>
        </w:tc>
        <w:tc>
          <w:tcPr>
            <w:tcW w:w="126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shd w:val="clear" w:color="auto" w:fill="CEFFE7"/>
          </w:tcPr>
          <w:p>
            <w:pPr>
              <w:spacing w:after="0"/>
              <w:rPr>
                <w:sz w:val="22"/>
                <w:szCs w:val="22"/>
                <w:color w:val="auto"/>
              </w:rPr>
            </w:pP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EFFE7"/>
            </w:tcBorders>
            <w:shd w:val="clear" w:color="auto" w:fill="CEFFE7"/>
          </w:tcPr>
          <w:p>
            <w:pPr>
              <w:spacing w:after="0"/>
              <w:rPr>
                <w:sz w:val="22"/>
                <w:szCs w:val="22"/>
                <w:color w:val="auto"/>
              </w:rPr>
            </w:pPr>
          </w:p>
        </w:tc>
        <w:tc>
          <w:tcPr>
            <w:tcW w:w="160" w:type="dxa"/>
            <w:vAlign w:val="bottom"/>
            <w:tcBorders>
              <w:bottom w:val="single" w:sz="8" w:color="auto"/>
            </w:tcBorders>
            <w:shd w:val="clear" w:color="auto" w:fill="CEFFE7"/>
          </w:tcPr>
          <w:p>
            <w:pPr>
              <w:spacing w:after="0"/>
              <w:rPr>
                <w:sz w:val="22"/>
                <w:szCs w:val="22"/>
                <w:color w:val="auto"/>
              </w:rPr>
            </w:pP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shd w:val="clear" w:color="auto" w:fill="CEFFE7"/>
          </w:tcPr>
          <w:p>
            <w:pPr>
              <w:spacing w:after="0"/>
              <w:rPr>
                <w:sz w:val="22"/>
                <w:szCs w:val="22"/>
                <w:color w:val="auto"/>
              </w:rPr>
            </w:pPr>
          </w:p>
        </w:tc>
        <w:tc>
          <w:tcPr>
            <w:tcW w:w="13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(8)  NOTES PAYABLE, CURRENT MATURITIES AND DEBT</w:t>
            </w: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5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900" w:type="dxa"/>
            <w:vAlign w:val="bottom"/>
            <w:gridSpan w:val="9"/>
          </w:tcPr>
          <w:p>
            <w:pPr>
              <w:spacing w:after="0"/>
              <w:rPr>
                <w:sz w:val="20"/>
                <w:szCs w:val="20"/>
                <w:color w:val="auto"/>
              </w:rPr>
            </w:pPr>
            <w:r>
              <w:rPr>
                <w:rFonts w:ascii="Arial" w:cs="Arial" w:eastAsia="Arial" w:hAnsi="Arial"/>
                <w:sz w:val="18"/>
                <w:szCs w:val="18"/>
                <w:color w:val="auto"/>
                <w:w w:val="93"/>
              </w:rPr>
              <w:t>We had the following notes payable outstanding in the accompanying Condensed Consolidated Balance Sheets (in thousands) as of:</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4"/>
          </w:tcPr>
          <w:p>
            <w:pPr>
              <w:jc w:val="right"/>
              <w:ind w:right="760"/>
              <w:spacing w:after="0"/>
              <w:rPr>
                <w:sz w:val="20"/>
                <w:szCs w:val="20"/>
                <w:color w:val="auto"/>
              </w:rPr>
            </w:pPr>
            <w:r>
              <w:rPr>
                <w:rFonts w:ascii="Arial" w:cs="Arial" w:eastAsia="Arial" w:hAnsi="Arial"/>
                <w:sz w:val="18"/>
                <w:szCs w:val="18"/>
                <w:color w:val="auto"/>
              </w:rPr>
              <w:t>September 30, 2019</w:t>
            </w:r>
          </w:p>
        </w:tc>
        <w:tc>
          <w:tcPr>
            <w:tcW w:w="160" w:type="dxa"/>
            <w:vAlign w:val="bottom"/>
          </w:tcPr>
          <w:p>
            <w:pPr>
              <w:spacing w:after="0"/>
              <w:rPr>
                <w:sz w:val="24"/>
                <w:szCs w:val="24"/>
                <w:color w:val="auto"/>
              </w:rPr>
            </w:pPr>
          </w:p>
        </w:tc>
        <w:tc>
          <w:tcPr>
            <w:tcW w:w="2780" w:type="dxa"/>
            <w:vAlign w:val="bottom"/>
            <w:gridSpan w:val="3"/>
          </w:tcPr>
          <w:p>
            <w:pPr>
              <w:jc w:val="right"/>
              <w:ind w:right="670"/>
              <w:spacing w:after="0"/>
              <w:rPr>
                <w:sz w:val="20"/>
                <w:szCs w:val="20"/>
                <w:color w:val="auto"/>
              </w:rPr>
            </w:pPr>
            <w:r>
              <w:rPr>
                <w:rFonts w:ascii="Arial" w:cs="Arial" w:eastAsia="Arial" w:hAnsi="Arial"/>
                <w:sz w:val="18"/>
                <w:szCs w:val="18"/>
                <w:color w:val="auto"/>
              </w:rPr>
              <w:t>December 31, 2018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ind w:left="26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color w:val="auto"/>
                <w:w w:val="89"/>
              </w:rPr>
              <w:t>Balance</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w w:val="98"/>
              </w:rPr>
              <w:t>Outstanding</w:t>
            </w:r>
          </w:p>
        </w:tc>
        <w:tc>
          <w:tcPr>
            <w:tcW w:w="18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Letters of Credit</w:t>
            </w:r>
          </w:p>
        </w:tc>
        <w:tc>
          <w:tcPr>
            <w:tcW w:w="16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90"/>
              </w:rPr>
              <w:t>Outstanding</w:t>
            </w:r>
          </w:p>
        </w:tc>
        <w:tc>
          <w:tcPr>
            <w:tcW w:w="18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w w:val="92"/>
              </w:rPr>
              <w:t>Letters of Credit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Revolving Credit Facility</w:t>
            </w:r>
          </w:p>
        </w:tc>
        <w:tc>
          <w:tcPr>
            <w:tcW w:w="32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EFFE7"/>
            </w:tcBorders>
            <w:gridSpan w:val="2"/>
            <w:shd w:val="clear" w:color="auto" w:fill="CEFFE7"/>
          </w:tcPr>
          <w:p>
            <w:pPr>
              <w:jc w:val="right"/>
              <w:ind w:right="120"/>
              <w:spacing w:after="0"/>
              <w:rPr>
                <w:sz w:val="20"/>
                <w:szCs w:val="20"/>
                <w:color w:val="auto"/>
              </w:rPr>
            </w:pPr>
            <w:r>
              <w:rPr>
                <w:rFonts w:ascii="Arial" w:cs="Arial" w:eastAsia="Arial" w:hAnsi="Arial"/>
                <w:sz w:val="18"/>
                <w:szCs w:val="18"/>
                <w:color w:val="auto"/>
              </w:rPr>
              <w:t>18,313</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22,311</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CP Program</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244,900</w:t>
            </w:r>
          </w:p>
        </w:tc>
        <w:tc>
          <w:tcPr>
            <w:tcW w:w="18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185,620</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shd w:val="clear" w:color="auto" w:fill="CEFFE7"/>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294,900</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EFFE7"/>
          </w:tcPr>
          <w:p>
            <w:pPr>
              <w:jc w:val="right"/>
              <w:ind w:right="120"/>
              <w:spacing w:after="0"/>
              <w:rPr>
                <w:sz w:val="20"/>
                <w:szCs w:val="20"/>
                <w:color w:val="auto"/>
              </w:rPr>
            </w:pPr>
            <w:r>
              <w:rPr>
                <w:rFonts w:ascii="Arial" w:cs="Arial" w:eastAsia="Arial" w:hAnsi="Arial"/>
                <w:sz w:val="18"/>
                <w:szCs w:val="18"/>
                <w:color w:val="auto"/>
              </w:rPr>
              <w:t>18,313</w:t>
            </w:r>
          </w:p>
        </w:tc>
        <w:tc>
          <w:tcPr>
            <w:tcW w:w="16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185,620</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22,311</w:t>
            </w:r>
          </w:p>
        </w:tc>
        <w:tc>
          <w:tcPr>
            <w:tcW w:w="0" w:type="dxa"/>
            <w:vAlign w:val="bottom"/>
          </w:tcPr>
          <w:p>
            <w:pPr>
              <w:spacing w:after="0"/>
              <w:rPr>
                <w:sz w:val="1"/>
                <w:szCs w:val="1"/>
                <w:color w:val="auto"/>
              </w:rPr>
            </w:pPr>
          </w:p>
        </w:tc>
      </w:tr>
      <w:tr>
        <w:trPr>
          <w:trHeight w:val="20"/>
        </w:trPr>
        <w:tc>
          <w:tcPr>
            <w:tcW w:w="538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6" w:right="239" w:bottom="1440" w:gutter="0" w:footer="0" w:header="0"/>
          <w:type w:val="continuous"/>
        </w:sectPr>
      </w:pPr>
    </w:p>
    <w:bookmarkStart w:id="22" w:name="page23"/>
    <w:bookmarkEnd w:id="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$750 million corporate Revolving Credit Facility extends through July 30, 2023 with two, one year extension options (subject to consent from lenders). This facility includes an accordion feature that allows us, with the consent of the administrative agent, the issuing agents and each bank increasing or providing a new commitment, to increase total commitments up to $1.0 billion. Borrowings continue to be available under a base rate or various Eurodollar rate options. The interest costs associated with the letters of credit or borrowings and the commitment fee under the Revolving Credit Facility are determined based upon our Corporate credit rating from S&amp;P, Fitch, and Moody's for our senior unsecured long-term debt. Based on our credit ratings, the margins for base rate borrowings, Eurodollar borrowings, and letters of credit were 0.125%, 1.125%, and 1.125%, respectively, at September 30, 2019. Based on our credit ratings, a 0.175% commitment fee was charged on the unused amount at September 30, 2019.</w:t>
      </w:r>
    </w:p>
    <w:p>
      <w:pPr>
        <w:spacing w:after="0" w:line="16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have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w:t>
      </w:r>
    </w:p>
    <w:p>
      <w:pPr>
        <w:spacing w:after="0" w:line="15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net short-term borrowings (payments) during the nine months ended September 30, 2019 were $109 million. At September 30, 2019, the weighted average interest rate on short-term borrowings was 2.43%.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Covenants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our Revolving Credit Facility and term loan agreements, we are required to maintain a Consolidated Indebtedness to Capitalization Ratio not to exceed 0.65 to 1.00. Our Consolidated Indebtedness to Capitalization Ratio was calculated by dividing (i) Consolidated Indebtedness, which includes letters of credit and certain guarantees issued, by (ii) Capital, which includes Consolidated Indebtedness plus Net Worth, which excludes noncontrolling interest in subsidiaries. As of September 30, 2019, we were in compliance with these covenants.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Transaction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June 17, 2019, we amended our Corporate term loan due July 30, 2020. This amendment increased total commitments to $400 million from $300 million, extended the term through June 17, 2021, and had substantially similar terms and covenants as the amended and restated Revolving Credit Facility. The net proceeds from the increase in total commitments were used to pay down short-term debt. Proceeds from the October 3, 2019 public debt offering were used to repay this term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 - Debt Offering</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October 3, 2019, we completed a public debt offering of $700 million principal amount in senior unsecured notes. The debt offering consisted of $400 million of 3.05% 10-year senior notes due October 15, 2029 and $300 million of 3.875% 30-year senior notes due October 15, 2049 (together the “Notes”). The proceeds of the Notes were used for the following:</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Repay the $400 million Corporate term loan under the Amended and Restated Credit Agreement due June 17, 2021;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Retire the $200 million 5.875% senior notes due July 15, 2020;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Repay a portion of short-term debt.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6" w:right="25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3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At-the-Market Equity Offering Program</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ATM equity offering program allows us to sell shares of our common stock with an aggregate value of up to $300 million. The shares may be offered from time to time pursuant to a sales agreement dated August 4, 2017. Shares of common stock are offered pursuant to our shelf registration statement filed with the SEC. During the three months ended September 30, 2019, we issued a total of 389,237 shares of common stock under the ATM equity offering program for proceeds of $30 million, net of $0.3 million in commissions. During the nine months ended September 30, 2019, we issued a total of 1,328,332 shares of common stock under the ATM equity offering program for proceeds of $99 million, net of $1.0 million in commissions. As of September 30, 2019, there were no shares that were sold, but not settled.</w:t>
      </w:r>
    </w:p>
    <w:p>
      <w:pPr>
        <w:spacing w:after="0" w:line="200" w:lineRule="exact"/>
        <w:rPr>
          <w:sz w:val="20"/>
          <w:szCs w:val="20"/>
          <w:color w:val="auto"/>
        </w:rPr>
      </w:pPr>
    </w:p>
    <w:p>
      <w:pPr>
        <w:spacing w:after="0" w:line="20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(10)</w:t>
        <w:tab/>
        <w:t>RISK MANAGEMENT ACTIVITIES</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activities in the regulated and non-regulated energy sectors expose us to a number of risks in the normal operation of our businesses. Depending on the activity, we are exposed to varying degrees of market risk and credit risk. To manage and mitigate these identified risks, we have adopted the Black Hills Corporation Risk and Credit Policies and Procedures as discussed in our 2018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Risk</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Market risk is the potential loss that might occur as a result of an adverse change in market price or rate. We are exposed to, but not limited to, commodity price risk associated with our retail natural gas marketing activities and our fuel procurement for certain gas-fired generation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risk is the risk of financial loss resulting from non-performance of contractual obligations by a counterparty.</w:t>
      </w:r>
    </w:p>
    <w:p>
      <w:pPr>
        <w:spacing w:after="0" w:line="225"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For other than retail utility activities, 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guaranties, prepayments, letters of credit, and other security agreements.</w:t>
      </w:r>
    </w:p>
    <w:p>
      <w:pPr>
        <w:spacing w:after="0" w:line="16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perform ongoing credit evaluations of our customers and adjust credit limits based on payment history and the customer’s current creditworthiness, as determined by review of their current credit information. We maintain a provision for estimated credit losses based upon historical experience and any specific customer collection issue that is identified.</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derivative and hedging activities recorded in the accompanying Condensed Consolidated Balance Sheets, Condensed Consolidated Statements of Income and Condensed Consolidated Statements of Comprehensive Income are detailed below and in Note 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Utilities</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volatility in natural gas prices. Therefore, as allowed or required by state utility commissions, we have entered into commission-approved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Condensed Consolidated Balance Sheets, net of balance sheet offsetting as permitted by GAAP.</w:t>
      </w:r>
    </w:p>
    <w:p>
      <w:pPr>
        <w:spacing w:after="0" w:line="16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Condensed Consolidated Balance Sheets in accordance with state commission guidelines. When the related costs are recovered through our rates, the hedging activity is recognized in the Condensed Consolidated Statements of Income.</w:t>
      </w:r>
    </w:p>
    <w:p>
      <w:pPr>
        <w:spacing w:after="0" w:line="3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and/or sales during time frames ranging from October 2019 through October 2021; a portion of these swaps have been designated as cash flow hedges to mitigate the commodity price risk associated with forward contracts to deliver gas to our Choice Gas Program customers. The gain or loss on these designated derivatives is reported in AOCI in the accompanying Condensed Consolidated Balance Sheets. Effectiveness of our hedged position is evaluated at inception of the hedge, upon occurrence of a triggering event and as of the end of each quarter.</w:t>
      </w:r>
    </w:p>
    <w:p>
      <w:pPr>
        <w:sectPr>
          <w:pgSz w:w="11900" w:h="16838" w:orient="portrait"/>
          <w:cols w:equalWidth="0" w:num="1">
            <w:col w:w="11380"/>
          </w:cols>
          <w:pgMar w:left="240" w:top="126" w:right="27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80"/>
          </w:cols>
          <w:pgMar w:left="240" w:top="126" w:right="279" w:bottom="1440" w:gutter="0" w:footer="0" w:header="0"/>
          <w:type w:val="continuous"/>
        </w:sectPr>
      </w:pPr>
    </w:p>
    <w:bookmarkStart w:id="24" w:name="page25"/>
    <w:bookmarkEnd w:id="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contract or notional amounts and terms of the natural gas derivative commodity instruments held at our utilities are composed of both long and short positions. We were in a net long position as of:</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60" w:type="dxa"/>
            <w:vAlign w:val="bottom"/>
          </w:tcPr>
          <w:p>
            <w:pPr>
              <w:spacing w:after="0"/>
              <w:rPr>
                <w:sz w:val="17"/>
                <w:szCs w:val="17"/>
                <w:color w:val="auto"/>
              </w:rPr>
            </w:pPr>
          </w:p>
        </w:tc>
        <w:tc>
          <w:tcPr>
            <w:tcW w:w="2760" w:type="dxa"/>
            <w:vAlign w:val="bottom"/>
            <w:gridSpan w:val="2"/>
          </w:tcPr>
          <w:p>
            <w:pPr>
              <w:ind w:left="680"/>
              <w:spacing w:after="0"/>
              <w:rPr>
                <w:sz w:val="20"/>
                <w:szCs w:val="20"/>
                <w:color w:val="auto"/>
              </w:rPr>
            </w:pPr>
            <w:r>
              <w:rPr>
                <w:rFonts w:ascii="Arial" w:cs="Arial" w:eastAsia="Arial" w:hAnsi="Arial"/>
                <w:sz w:val="16"/>
                <w:szCs w:val="16"/>
                <w:color w:val="auto"/>
              </w:rPr>
              <w:t>September 30, 2019</w:t>
            </w:r>
          </w:p>
        </w:tc>
        <w:tc>
          <w:tcPr>
            <w:tcW w:w="2600" w:type="dxa"/>
            <w:vAlign w:val="bottom"/>
            <w:gridSpan w:val="2"/>
          </w:tcPr>
          <w:p>
            <w:pPr>
              <w:ind w:left="680"/>
              <w:spacing w:after="0"/>
              <w:rPr>
                <w:sz w:val="20"/>
                <w:szCs w:val="20"/>
                <w:color w:val="auto"/>
              </w:rPr>
            </w:pPr>
            <w:r>
              <w:rPr>
                <w:rFonts w:ascii="Arial" w:cs="Arial" w:eastAsia="Arial" w:hAnsi="Arial"/>
                <w:sz w:val="16"/>
                <w:szCs w:val="16"/>
                <w:color w:val="auto"/>
              </w:rPr>
              <w:t>December 31, 2018</w:t>
            </w:r>
          </w:p>
        </w:tc>
      </w:tr>
      <w:tr>
        <w:trPr>
          <w:trHeight w:val="33"/>
        </w:trPr>
        <w:tc>
          <w:tcPr>
            <w:tcW w:w="60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3"/>
        </w:trPr>
        <w:tc>
          <w:tcPr>
            <w:tcW w:w="6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Pr>
          <w:p>
            <w:pPr>
              <w:jc w:val="center"/>
              <w:ind w:right="19"/>
              <w:spacing w:after="0"/>
              <w:rPr>
                <w:sz w:val="20"/>
                <w:szCs w:val="20"/>
                <w:color w:val="auto"/>
              </w:rPr>
            </w:pPr>
            <w:r>
              <w:rPr>
                <w:rFonts w:ascii="Arial" w:cs="Arial" w:eastAsia="Arial" w:hAnsi="Arial"/>
                <w:sz w:val="16"/>
                <w:szCs w:val="16"/>
                <w:color w:val="auto"/>
                <w:w w:val="95"/>
              </w:rPr>
              <w:t>Maximum</w:t>
            </w:r>
          </w:p>
        </w:tc>
        <w:tc>
          <w:tcPr>
            <w:tcW w:w="14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8"/>
              </w:rPr>
              <w:t>Maximum</w:t>
            </w:r>
          </w:p>
        </w:tc>
      </w:tr>
      <w:tr>
        <w:trPr>
          <w:trHeight w:val="203"/>
        </w:trPr>
        <w:tc>
          <w:tcPr>
            <w:tcW w:w="6060" w:type="dxa"/>
            <w:vAlign w:val="bottom"/>
          </w:tcPr>
          <w:p>
            <w:pPr>
              <w:spacing w:after="0"/>
              <w:rPr>
                <w:sz w:val="17"/>
                <w:szCs w:val="17"/>
                <w:color w:val="auto"/>
              </w:rPr>
            </w:pP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Notional</w:t>
            </w:r>
          </w:p>
        </w:tc>
        <w:tc>
          <w:tcPr>
            <w:tcW w:w="1280" w:type="dxa"/>
            <w:vAlign w:val="bottom"/>
          </w:tcPr>
          <w:p>
            <w:pPr>
              <w:jc w:val="center"/>
              <w:ind w:right="19"/>
              <w:spacing w:after="0"/>
              <w:rPr>
                <w:sz w:val="20"/>
                <w:szCs w:val="20"/>
                <w:color w:val="auto"/>
              </w:rPr>
            </w:pPr>
            <w:r>
              <w:rPr>
                <w:rFonts w:ascii="Arial" w:cs="Arial" w:eastAsia="Arial" w:hAnsi="Arial"/>
                <w:sz w:val="16"/>
                <w:szCs w:val="16"/>
                <w:color w:val="auto"/>
                <w:w w:val="90"/>
              </w:rPr>
              <w:t>Term</w:t>
            </w:r>
          </w:p>
        </w:tc>
        <w:tc>
          <w:tcPr>
            <w:tcW w:w="1460" w:type="dxa"/>
            <w:vAlign w:val="bottom"/>
          </w:tcPr>
          <w:p>
            <w:pPr>
              <w:jc w:val="right"/>
              <w:ind w:right="419"/>
              <w:spacing w:after="0"/>
              <w:rPr>
                <w:sz w:val="20"/>
                <w:szCs w:val="20"/>
                <w:color w:val="auto"/>
              </w:rPr>
            </w:pPr>
            <w:r>
              <w:rPr>
                <w:rFonts w:ascii="Arial" w:cs="Arial" w:eastAsia="Arial" w:hAnsi="Arial"/>
                <w:sz w:val="16"/>
                <w:szCs w:val="16"/>
                <w:color w:val="auto"/>
              </w:rPr>
              <w:t>Notional</w:t>
            </w:r>
          </w:p>
        </w:tc>
        <w:tc>
          <w:tcPr>
            <w:tcW w:w="1140" w:type="dxa"/>
            <w:vAlign w:val="bottom"/>
          </w:tcPr>
          <w:p>
            <w:pPr>
              <w:jc w:val="center"/>
              <w:spacing w:after="0"/>
              <w:rPr>
                <w:sz w:val="20"/>
                <w:szCs w:val="20"/>
                <w:color w:val="auto"/>
              </w:rPr>
            </w:pPr>
            <w:r>
              <w:rPr>
                <w:rFonts w:ascii="Arial" w:cs="Arial" w:eastAsia="Arial" w:hAnsi="Arial"/>
                <w:sz w:val="16"/>
                <w:szCs w:val="16"/>
                <w:color w:val="auto"/>
                <w:w w:val="90"/>
              </w:rPr>
              <w:t>Term</w:t>
            </w:r>
          </w:p>
        </w:tc>
      </w:tr>
      <w:tr>
        <w:trPr>
          <w:trHeight w:val="239"/>
        </w:trPr>
        <w:tc>
          <w:tcPr>
            <w:tcW w:w="6060" w:type="dxa"/>
            <w:vAlign w:val="bottom"/>
            <w:tcBorders>
              <w:bottom w:val="single" w:sz="8" w:color="CEFFE7"/>
            </w:tcBorders>
          </w:tcPr>
          <w:p>
            <w:pPr>
              <w:spacing w:after="0"/>
              <w:rPr>
                <w:sz w:val="20"/>
                <w:szCs w:val="20"/>
                <w:color w:val="auto"/>
              </w:rPr>
            </w:pP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(MMBtus)</w:t>
            </w:r>
          </w:p>
        </w:tc>
        <w:tc>
          <w:tcPr>
            <w:tcW w:w="1280" w:type="dxa"/>
            <w:vAlign w:val="bottom"/>
            <w:tcBorders>
              <w:bottom w:val="single" w:sz="8" w:color="auto"/>
            </w:tcBorders>
          </w:tcPr>
          <w:p>
            <w:pPr>
              <w:jc w:val="center"/>
              <w:ind w:right="19"/>
              <w:spacing w:after="0" w:line="239" w:lineRule="exact"/>
              <w:rPr>
                <w:sz w:val="20"/>
                <w:szCs w:val="20"/>
                <w:color w:val="auto"/>
              </w:rPr>
            </w:pPr>
            <w:r>
              <w:rPr>
                <w:rFonts w:ascii="Arial" w:cs="Arial" w:eastAsia="Arial" w:hAnsi="Arial"/>
                <w:sz w:val="16"/>
                <w:szCs w:val="16"/>
                <w:color w:val="auto"/>
                <w:w w:val="87"/>
              </w:rPr>
              <w:t xml:space="preserve">(months) </w:t>
            </w:r>
            <w:r>
              <w:rPr>
                <w:rFonts w:ascii="Arial" w:cs="Arial" w:eastAsia="Arial" w:hAnsi="Arial"/>
                <w:sz w:val="21"/>
                <w:szCs w:val="21"/>
                <w:color w:val="auto"/>
                <w:w w:val="87"/>
                <w:vertAlign w:val="superscript"/>
              </w:rPr>
              <w:t>(a)</w:t>
            </w: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(MMBtus)</w:t>
            </w:r>
          </w:p>
        </w:tc>
        <w:tc>
          <w:tcPr>
            <w:tcW w:w="1140" w:type="dxa"/>
            <w:vAlign w:val="bottom"/>
            <w:tcBorders>
              <w:bottom w:val="single" w:sz="8" w:color="auto"/>
            </w:tcBorders>
          </w:tcPr>
          <w:p>
            <w:pPr>
              <w:jc w:val="center"/>
              <w:spacing w:after="0" w:line="239" w:lineRule="exact"/>
              <w:rPr>
                <w:sz w:val="20"/>
                <w:szCs w:val="20"/>
                <w:color w:val="auto"/>
              </w:rPr>
            </w:pPr>
            <w:r>
              <w:rPr>
                <w:rFonts w:ascii="Arial" w:cs="Arial" w:eastAsia="Arial" w:hAnsi="Arial"/>
                <w:sz w:val="16"/>
                <w:szCs w:val="16"/>
                <w:color w:val="auto"/>
                <w:w w:val="87"/>
              </w:rPr>
              <w:t xml:space="preserve">(months) </w:t>
            </w:r>
            <w:r>
              <w:rPr>
                <w:rFonts w:ascii="Arial" w:cs="Arial" w:eastAsia="Arial" w:hAnsi="Arial"/>
                <w:sz w:val="21"/>
                <w:szCs w:val="21"/>
                <w:color w:val="auto"/>
                <w:w w:val="87"/>
                <w:vertAlign w:val="superscript"/>
              </w:rPr>
              <w:t>(a)</w:t>
            </w:r>
          </w:p>
        </w:tc>
      </w:tr>
      <w:tr>
        <w:trPr>
          <w:trHeight w:val="244"/>
        </w:trPr>
        <w:tc>
          <w:tcPr>
            <w:tcW w:w="60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Natural gas futures purchased</w:t>
            </w:r>
          </w:p>
        </w:tc>
        <w:tc>
          <w:tcPr>
            <w:tcW w:w="14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2,350,000</w:t>
            </w:r>
          </w:p>
        </w:tc>
        <w:tc>
          <w:tcPr>
            <w:tcW w:w="12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15</w:t>
            </w:r>
          </w:p>
        </w:tc>
        <w:tc>
          <w:tcPr>
            <w:tcW w:w="146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4,000,000</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24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Natural gas options purchased, net</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8,580,000</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4,320,000</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13</w:t>
            </w:r>
          </w:p>
        </w:tc>
      </w:tr>
      <w:tr>
        <w:trPr>
          <w:trHeight w:val="33"/>
        </w:trPr>
        <w:tc>
          <w:tcPr>
            <w:tcW w:w="6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Natural gas basis swaps purchased</w:t>
            </w:r>
          </w:p>
        </w:tc>
        <w:tc>
          <w:tcPr>
            <w:tcW w:w="148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2,090,000</w:t>
            </w:r>
          </w:p>
        </w:tc>
        <w:tc>
          <w:tcPr>
            <w:tcW w:w="12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15</w:t>
            </w:r>
          </w:p>
        </w:tc>
        <w:tc>
          <w:tcPr>
            <w:tcW w:w="146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3,960,000</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24</w:t>
            </w: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5,460,000</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25</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3,660,000</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24</w:t>
            </w:r>
          </w:p>
        </w:tc>
      </w:tr>
      <w:tr>
        <w:trPr>
          <w:trHeight w:val="270"/>
        </w:trPr>
        <w:tc>
          <w:tcPr>
            <w:tcW w:w="6060" w:type="dxa"/>
            <w:vAlign w:val="bottom"/>
            <w:shd w:val="clear" w:color="auto" w:fill="CEFFE7"/>
          </w:tcPr>
          <w:p>
            <w:pPr>
              <w:ind w:left="40"/>
              <w:spacing w:after="0"/>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48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23,459,639</w:t>
            </w:r>
          </w:p>
        </w:tc>
        <w:tc>
          <w:tcPr>
            <w:tcW w:w="12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6</w:t>
            </w:r>
          </w:p>
        </w:tc>
        <w:tc>
          <w:tcPr>
            <w:tcW w:w="146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18,325,852</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30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Term reflects the maximum forward period hedged.</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of September 30, 2019, 1,812,500 MMBtus were designated as cash flow hedges.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Volumes exclude contracts that qualify for the normal purchase, normal sales exception.</w:t>
      </w:r>
    </w:p>
    <w:p>
      <w:pPr>
        <w:spacing w:after="0" w:line="20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Based on September 30, 2019 prices, a $0.4 million gain would be realized, reported in pre-tax earnings and reclassified from AOCI during the next 12 months. As market prices fluctuate, estimated and actual realized gains or losses will change during future periods.</w:t>
      </w:r>
    </w:p>
    <w:p>
      <w:pPr>
        <w:spacing w:after="0" w:line="17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We have certain derivative contracts which contain credit provisions. These credit provisions may require the Company to post collateral when credit exposure to the Company is in excess of a negotiated line of unsecured credit. At September 30, 2019, the Company posted $0.5 million related to such provisions, which is included in Other current assets on the Condensed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impacts of cash flow hedges on our Condensed Consolidated Statements of Income is presented below for the three and nine months ended</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September 30, 2019 and 2018. Note that this presentation does not reflect gains or losses arising from the underlying physical transactions; therefore, it is not indicative of the economic profit or loss we realized when the underlying physical and financial transactions were settled.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5280" w:type="dxa"/>
            <w:vAlign w:val="bottom"/>
          </w:tcPr>
          <w:p>
            <w:pPr>
              <w:jc w:val="center"/>
              <w:ind w:right="1979"/>
              <w:spacing w:after="0"/>
              <w:rPr>
                <w:sz w:val="20"/>
                <w:szCs w:val="20"/>
                <w:color w:val="auto"/>
              </w:rPr>
            </w:pPr>
            <w:r>
              <w:rPr>
                <w:rFonts w:ascii="Arial" w:cs="Arial" w:eastAsia="Arial" w:hAnsi="Arial"/>
                <w:sz w:val="16"/>
                <w:szCs w:val="16"/>
                <w:b w:val="1"/>
                <w:bCs w:val="1"/>
                <w:color w:val="auto"/>
                <w:w w:val="91"/>
              </w:rPr>
              <w:t>Three Months Ended September 30, 2019</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57"/>
        </w:trPr>
        <w:tc>
          <w:tcPr>
            <w:tcW w:w="4100" w:type="dxa"/>
            <w:vAlign w:val="bottom"/>
          </w:tcPr>
          <w:p>
            <w:pPr>
              <w:spacing w:after="0"/>
              <w:rPr>
                <w:sz w:val="22"/>
                <w:szCs w:val="22"/>
                <w:color w:val="auto"/>
              </w:rPr>
            </w:pPr>
          </w:p>
        </w:tc>
        <w:tc>
          <w:tcPr>
            <w:tcW w:w="5280" w:type="dxa"/>
            <w:vAlign w:val="bottom"/>
          </w:tcPr>
          <w:p>
            <w:pPr>
              <w:jc w:val="center"/>
              <w:ind w:right="1979"/>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53"/>
        </w:trPr>
        <w:tc>
          <w:tcPr>
            <w:tcW w:w="410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8"/>
              </w:rPr>
              <w:t>Amount of</w:t>
            </w:r>
          </w:p>
        </w:tc>
      </w:tr>
      <w:tr>
        <w:trPr>
          <w:trHeight w:val="203"/>
        </w:trPr>
        <w:tc>
          <w:tcPr>
            <w:tcW w:w="410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2"/>
              </w:rPr>
              <w:t>Gain/(Loss) Reclassified</w:t>
            </w:r>
          </w:p>
        </w:tc>
      </w:tr>
      <w:tr>
        <w:trPr>
          <w:trHeight w:val="203"/>
        </w:trPr>
        <w:tc>
          <w:tcPr>
            <w:tcW w:w="4100" w:type="dxa"/>
            <w:vAlign w:val="bottom"/>
          </w:tcPr>
          <w:p>
            <w:pPr>
              <w:spacing w:after="0"/>
              <w:rPr>
                <w:sz w:val="17"/>
                <w:szCs w:val="17"/>
                <w:color w:val="auto"/>
              </w:rPr>
            </w:pPr>
          </w:p>
        </w:tc>
        <w:tc>
          <w:tcPr>
            <w:tcW w:w="5280" w:type="dxa"/>
            <w:vAlign w:val="bottom"/>
          </w:tcPr>
          <w:p>
            <w:pPr>
              <w:jc w:val="center"/>
              <w:ind w:left="519"/>
              <w:spacing w:after="0"/>
              <w:rPr>
                <w:sz w:val="20"/>
                <w:szCs w:val="20"/>
                <w:color w:val="auto"/>
              </w:rPr>
            </w:pPr>
            <w:r>
              <w:rPr>
                <w:rFonts w:ascii="Arial" w:cs="Arial" w:eastAsia="Arial" w:hAnsi="Arial"/>
                <w:sz w:val="16"/>
                <w:szCs w:val="16"/>
                <w:color w:val="auto"/>
                <w:w w:val="97"/>
              </w:rPr>
              <w:t>Location of</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rPr>
              <w:t>from AOCI</w:t>
            </w:r>
          </w:p>
        </w:tc>
      </w:tr>
      <w:tr>
        <w:trPr>
          <w:trHeight w:val="206"/>
        </w:trPr>
        <w:tc>
          <w:tcPr>
            <w:tcW w:w="4100" w:type="dxa"/>
            <w:vAlign w:val="bottom"/>
          </w:tcPr>
          <w:p>
            <w:pPr>
              <w:ind w:left="760"/>
              <w:spacing w:after="0"/>
              <w:rPr>
                <w:sz w:val="20"/>
                <w:szCs w:val="20"/>
                <w:color w:val="auto"/>
              </w:rPr>
            </w:pPr>
            <w:r>
              <w:rPr>
                <w:rFonts w:ascii="Arial" w:cs="Arial" w:eastAsia="Arial" w:hAnsi="Arial"/>
                <w:sz w:val="16"/>
                <w:szCs w:val="16"/>
                <w:color w:val="auto"/>
                <w:w w:val="97"/>
              </w:rPr>
              <w:t>Derivatives in Cash Flow Hedging Relationships</w:t>
            </w:r>
          </w:p>
        </w:tc>
        <w:tc>
          <w:tcPr>
            <w:tcW w:w="5280" w:type="dxa"/>
            <w:vAlign w:val="bottom"/>
          </w:tcPr>
          <w:p>
            <w:pPr>
              <w:jc w:val="center"/>
              <w:ind w:left="519"/>
              <w:spacing w:after="0"/>
              <w:rPr>
                <w:sz w:val="20"/>
                <w:szCs w:val="20"/>
                <w:color w:val="auto"/>
              </w:rPr>
            </w:pPr>
            <w:r>
              <w:rPr>
                <w:rFonts w:ascii="Arial" w:cs="Arial" w:eastAsia="Arial" w:hAnsi="Arial"/>
                <w:sz w:val="16"/>
                <w:szCs w:val="16"/>
                <w:color w:val="auto"/>
                <w:w w:val="94"/>
              </w:rPr>
              <w:t>Reclassifications from AOCI into Income</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1"/>
              </w:rPr>
              <w:t>into Income</w:t>
            </w:r>
          </w:p>
        </w:tc>
      </w:tr>
      <w:tr>
        <w:trPr>
          <w:trHeight w:val="33"/>
        </w:trPr>
        <w:tc>
          <w:tcPr>
            <w:tcW w:w="410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Interest rate swaps</w:t>
            </w:r>
          </w:p>
        </w:tc>
        <w:tc>
          <w:tcPr>
            <w:tcW w:w="52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(713)</w:t>
            </w:r>
          </w:p>
        </w:tc>
      </w:tr>
      <w:tr>
        <w:trPr>
          <w:trHeight w:val="237"/>
        </w:trPr>
        <w:tc>
          <w:tcPr>
            <w:tcW w:w="4100" w:type="dxa"/>
            <w:vAlign w:val="bottom"/>
          </w:tcPr>
          <w:p>
            <w:pPr>
              <w:ind w:left="40"/>
              <w:spacing w:after="0"/>
              <w:rPr>
                <w:sz w:val="20"/>
                <w:szCs w:val="20"/>
                <w:color w:val="auto"/>
              </w:rPr>
            </w:pPr>
            <w:r>
              <w:rPr>
                <w:rFonts w:ascii="Arial" w:cs="Arial" w:eastAsia="Arial" w:hAnsi="Arial"/>
                <w:sz w:val="16"/>
                <w:szCs w:val="16"/>
                <w:color w:val="auto"/>
              </w:rPr>
              <w:t>Commodity derivatives</w:t>
            </w:r>
          </w:p>
        </w:tc>
        <w:tc>
          <w:tcPr>
            <w:tcW w:w="5280" w:type="dxa"/>
            <w:vAlign w:val="bottom"/>
          </w:tcPr>
          <w:p>
            <w:pPr>
              <w:ind w:left="740"/>
              <w:spacing w:after="0"/>
              <w:rPr>
                <w:sz w:val="20"/>
                <w:szCs w:val="20"/>
                <w:color w:val="auto"/>
              </w:rPr>
            </w:pPr>
            <w:r>
              <w:rPr>
                <w:rFonts w:ascii="Arial" w:cs="Arial" w:eastAsia="Arial" w:hAnsi="Arial"/>
                <w:sz w:val="16"/>
                <w:szCs w:val="16"/>
                <w:color w:val="auto"/>
              </w:rPr>
              <w:t>Fuel, purchased power and cost of natural gas sold</w:t>
            </w:r>
          </w:p>
        </w:tc>
        <w:tc>
          <w:tcPr>
            <w:tcW w:w="1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33"/>
        </w:trPr>
        <w:tc>
          <w:tcPr>
            <w:tcW w:w="4100" w:type="dxa"/>
            <w:vAlign w:val="bottom"/>
            <w:tcBorders>
              <w:bottom w:val="single" w:sz="8" w:color="CEFFE7"/>
            </w:tcBorders>
          </w:tcPr>
          <w:p>
            <w:pPr>
              <w:spacing w:after="0"/>
              <w:rPr>
                <w:sz w:val="2"/>
                <w:szCs w:val="2"/>
                <w:color w:val="auto"/>
              </w:rPr>
            </w:pPr>
          </w:p>
        </w:tc>
        <w:tc>
          <w:tcPr>
            <w:tcW w:w="528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Total</w:t>
            </w:r>
          </w:p>
        </w:tc>
        <w:tc>
          <w:tcPr>
            <w:tcW w:w="52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(842)</w:t>
            </w:r>
          </w:p>
        </w:tc>
      </w:tr>
      <w:tr>
        <w:trPr>
          <w:trHeight w:val="20"/>
        </w:trPr>
        <w:tc>
          <w:tcPr>
            <w:tcW w:w="41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5240" w:type="dxa"/>
            <w:vAlign w:val="bottom"/>
          </w:tcPr>
          <w:p>
            <w:pPr>
              <w:jc w:val="center"/>
              <w:ind w:right="1979"/>
              <w:spacing w:after="0"/>
              <w:rPr>
                <w:sz w:val="20"/>
                <w:szCs w:val="20"/>
                <w:color w:val="auto"/>
              </w:rPr>
            </w:pPr>
            <w:r>
              <w:rPr>
                <w:rFonts w:ascii="Arial" w:cs="Arial" w:eastAsia="Arial" w:hAnsi="Arial"/>
                <w:sz w:val="16"/>
                <w:szCs w:val="16"/>
                <w:b w:val="1"/>
                <w:bCs w:val="1"/>
                <w:color w:val="auto"/>
                <w:w w:val="91"/>
              </w:rPr>
              <w:t>Three Months Ended September 30, 2018</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57"/>
        </w:trPr>
        <w:tc>
          <w:tcPr>
            <w:tcW w:w="4080" w:type="dxa"/>
            <w:vAlign w:val="bottom"/>
          </w:tcPr>
          <w:p>
            <w:pPr>
              <w:spacing w:after="0"/>
              <w:rPr>
                <w:sz w:val="22"/>
                <w:szCs w:val="22"/>
                <w:color w:val="auto"/>
              </w:rPr>
            </w:pPr>
          </w:p>
        </w:tc>
        <w:tc>
          <w:tcPr>
            <w:tcW w:w="5240" w:type="dxa"/>
            <w:vAlign w:val="bottom"/>
          </w:tcPr>
          <w:p>
            <w:pPr>
              <w:jc w:val="center"/>
              <w:ind w:right="1979"/>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53"/>
        </w:trPr>
        <w:tc>
          <w:tcPr>
            <w:tcW w:w="408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8"/>
              </w:rPr>
              <w:t>Amount of</w:t>
            </w:r>
          </w:p>
        </w:tc>
      </w:tr>
      <w:tr>
        <w:trPr>
          <w:trHeight w:val="203"/>
        </w:trPr>
        <w:tc>
          <w:tcPr>
            <w:tcW w:w="408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2"/>
              </w:rPr>
              <w:t>Gain/(Loss) Reclassified</w:t>
            </w:r>
          </w:p>
        </w:tc>
      </w:tr>
      <w:tr>
        <w:trPr>
          <w:trHeight w:val="203"/>
        </w:trPr>
        <w:tc>
          <w:tcPr>
            <w:tcW w:w="4080" w:type="dxa"/>
            <w:vAlign w:val="bottom"/>
          </w:tcPr>
          <w:p>
            <w:pPr>
              <w:spacing w:after="0"/>
              <w:rPr>
                <w:sz w:val="17"/>
                <w:szCs w:val="17"/>
                <w:color w:val="auto"/>
              </w:rPr>
            </w:pPr>
          </w:p>
        </w:tc>
        <w:tc>
          <w:tcPr>
            <w:tcW w:w="5240" w:type="dxa"/>
            <w:vAlign w:val="bottom"/>
          </w:tcPr>
          <w:p>
            <w:pPr>
              <w:jc w:val="center"/>
              <w:ind w:left="499"/>
              <w:spacing w:after="0"/>
              <w:rPr>
                <w:sz w:val="20"/>
                <w:szCs w:val="20"/>
                <w:color w:val="auto"/>
              </w:rPr>
            </w:pPr>
            <w:r>
              <w:rPr>
                <w:rFonts w:ascii="Arial" w:cs="Arial" w:eastAsia="Arial" w:hAnsi="Arial"/>
                <w:sz w:val="16"/>
                <w:szCs w:val="16"/>
                <w:color w:val="auto"/>
                <w:w w:val="94"/>
              </w:rPr>
              <w:t>Location of</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rPr>
              <w:t>from AOCI</w:t>
            </w:r>
          </w:p>
        </w:tc>
      </w:tr>
      <w:tr>
        <w:trPr>
          <w:trHeight w:val="206"/>
        </w:trPr>
        <w:tc>
          <w:tcPr>
            <w:tcW w:w="4080" w:type="dxa"/>
            <w:vAlign w:val="bottom"/>
          </w:tcPr>
          <w:p>
            <w:pPr>
              <w:ind w:left="740"/>
              <w:spacing w:after="0"/>
              <w:rPr>
                <w:sz w:val="20"/>
                <w:szCs w:val="20"/>
                <w:color w:val="auto"/>
              </w:rPr>
            </w:pPr>
            <w:r>
              <w:rPr>
                <w:rFonts w:ascii="Arial" w:cs="Arial" w:eastAsia="Arial" w:hAnsi="Arial"/>
                <w:sz w:val="16"/>
                <w:szCs w:val="16"/>
                <w:color w:val="auto"/>
                <w:w w:val="97"/>
              </w:rPr>
              <w:t>Derivatives in Cash Flow Hedging Relationships</w:t>
            </w:r>
          </w:p>
        </w:tc>
        <w:tc>
          <w:tcPr>
            <w:tcW w:w="5240" w:type="dxa"/>
            <w:vAlign w:val="bottom"/>
          </w:tcPr>
          <w:p>
            <w:pPr>
              <w:jc w:val="center"/>
              <w:ind w:left="499"/>
              <w:spacing w:after="0"/>
              <w:rPr>
                <w:sz w:val="20"/>
                <w:szCs w:val="20"/>
                <w:color w:val="auto"/>
              </w:rPr>
            </w:pPr>
            <w:r>
              <w:rPr>
                <w:rFonts w:ascii="Arial" w:cs="Arial" w:eastAsia="Arial" w:hAnsi="Arial"/>
                <w:sz w:val="16"/>
                <w:szCs w:val="16"/>
                <w:color w:val="auto"/>
                <w:w w:val="94"/>
              </w:rPr>
              <w:t>Reclassifications from AOCI into Income</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1"/>
              </w:rPr>
              <w:t>into Income</w:t>
            </w:r>
          </w:p>
        </w:tc>
      </w:tr>
      <w:tr>
        <w:trPr>
          <w:trHeight w:val="33"/>
        </w:trPr>
        <w:tc>
          <w:tcPr>
            <w:tcW w:w="408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 rate swaps</w:t>
            </w:r>
          </w:p>
        </w:tc>
        <w:tc>
          <w:tcPr>
            <w:tcW w:w="5240" w:type="dxa"/>
            <w:vAlign w:val="bottom"/>
            <w:tcBorders>
              <w:bottom w:val="single" w:sz="8" w:color="CEFFE7"/>
            </w:tcBorders>
            <w:shd w:val="clear" w:color="auto" w:fill="CEFFE7"/>
          </w:tcPr>
          <w:p>
            <w:pPr>
              <w:ind w:left="72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(712)</w:t>
            </w:r>
          </w:p>
        </w:tc>
      </w:tr>
      <w:tr>
        <w:trPr>
          <w:trHeight w:val="237"/>
        </w:trPr>
        <w:tc>
          <w:tcPr>
            <w:tcW w:w="408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5240" w:type="dxa"/>
            <w:vAlign w:val="bottom"/>
          </w:tcPr>
          <w:p>
            <w:pPr>
              <w:ind w:left="720"/>
              <w:spacing w:after="0"/>
              <w:rPr>
                <w:sz w:val="20"/>
                <w:szCs w:val="20"/>
                <w:color w:val="auto"/>
              </w:rPr>
            </w:pPr>
            <w:r>
              <w:rPr>
                <w:rFonts w:ascii="Arial" w:cs="Arial" w:eastAsia="Arial" w:hAnsi="Arial"/>
                <w:sz w:val="16"/>
                <w:szCs w:val="16"/>
                <w:color w:val="auto"/>
              </w:rPr>
              <w:t>Fuel, purchased power and cost of natural gas sold</w:t>
            </w:r>
          </w:p>
        </w:tc>
        <w:tc>
          <w:tcPr>
            <w:tcW w:w="1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4080" w:type="dxa"/>
            <w:vAlign w:val="bottom"/>
            <w:tcBorders>
              <w:bottom w:val="single" w:sz="8" w:color="CEFFE7"/>
            </w:tcBorders>
          </w:tcPr>
          <w:p>
            <w:pPr>
              <w:spacing w:after="0"/>
              <w:rPr>
                <w:sz w:val="2"/>
                <w:szCs w:val="2"/>
                <w:color w:val="auto"/>
              </w:rPr>
            </w:pPr>
          </w:p>
        </w:tc>
        <w:tc>
          <w:tcPr>
            <w:tcW w:w="524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Total</w:t>
            </w:r>
          </w:p>
        </w:tc>
        <w:tc>
          <w:tcPr>
            <w:tcW w:w="524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(730)</w:t>
            </w:r>
          </w:p>
        </w:tc>
      </w:tr>
      <w:tr>
        <w:trPr>
          <w:trHeight w:val="20"/>
        </w:trPr>
        <w:tc>
          <w:tcPr>
            <w:tcW w:w="40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6"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414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609"/>
        </w:trPr>
        <w:tc>
          <w:tcPr>
            <w:tcW w:w="1220" w:type="dxa"/>
            <w:vAlign w:val="bottom"/>
            <w:tcBorders>
              <w:top w:val="single" w:sz="8" w:color="0000EE"/>
            </w:tcBorders>
          </w:tcPr>
          <w:p>
            <w:pPr>
              <w:spacing w:after="0"/>
              <w:rPr>
                <w:sz w:val="24"/>
                <w:szCs w:val="24"/>
                <w:color w:val="auto"/>
              </w:rPr>
            </w:pPr>
          </w:p>
        </w:tc>
        <w:tc>
          <w:tcPr>
            <w:tcW w:w="2920" w:type="dxa"/>
            <w:vAlign w:val="bottom"/>
          </w:tcPr>
          <w:p>
            <w:pPr>
              <w:spacing w:after="0"/>
              <w:rPr>
                <w:sz w:val="24"/>
                <w:szCs w:val="24"/>
                <w:color w:val="auto"/>
              </w:rPr>
            </w:pPr>
          </w:p>
        </w:tc>
        <w:tc>
          <w:tcPr>
            <w:tcW w:w="5240" w:type="dxa"/>
            <w:vAlign w:val="bottom"/>
          </w:tcPr>
          <w:p>
            <w:pPr>
              <w:jc w:val="center"/>
              <w:ind w:right="2019"/>
              <w:spacing w:after="0"/>
              <w:rPr>
                <w:sz w:val="20"/>
                <w:szCs w:val="20"/>
                <w:color w:val="auto"/>
              </w:rPr>
            </w:pPr>
            <w:r>
              <w:rPr>
                <w:rFonts w:ascii="Arial" w:cs="Arial" w:eastAsia="Arial" w:hAnsi="Arial"/>
                <w:sz w:val="16"/>
                <w:szCs w:val="16"/>
                <w:b w:val="1"/>
                <w:bCs w:val="1"/>
                <w:color w:val="auto"/>
                <w:w w:val="91"/>
              </w:rPr>
              <w:t>Nine Months Ended September 30, 2019</w:t>
            </w: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57"/>
        </w:trPr>
        <w:tc>
          <w:tcPr>
            <w:tcW w:w="12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5240" w:type="dxa"/>
            <w:vAlign w:val="bottom"/>
          </w:tcPr>
          <w:p>
            <w:pPr>
              <w:jc w:val="center"/>
              <w:ind w:right="2019"/>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53"/>
        </w:trPr>
        <w:tc>
          <w:tcPr>
            <w:tcW w:w="12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8"/>
              </w:rPr>
              <w:t>Amount of</w:t>
            </w:r>
          </w:p>
        </w:tc>
      </w:tr>
      <w:tr>
        <w:trPr>
          <w:trHeight w:val="203"/>
        </w:trPr>
        <w:tc>
          <w:tcPr>
            <w:tcW w:w="12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2"/>
              </w:rPr>
              <w:t>Gain/(Loss) Reclassified</w:t>
            </w:r>
          </w:p>
        </w:tc>
      </w:tr>
      <w:tr>
        <w:trPr>
          <w:trHeight w:val="203"/>
        </w:trPr>
        <w:tc>
          <w:tcPr>
            <w:tcW w:w="12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5240" w:type="dxa"/>
            <w:vAlign w:val="bottom"/>
          </w:tcPr>
          <w:p>
            <w:pPr>
              <w:jc w:val="center"/>
              <w:ind w:left="479"/>
              <w:spacing w:after="0"/>
              <w:rPr>
                <w:sz w:val="20"/>
                <w:szCs w:val="20"/>
                <w:color w:val="auto"/>
              </w:rPr>
            </w:pPr>
            <w:r>
              <w:rPr>
                <w:rFonts w:ascii="Arial" w:cs="Arial" w:eastAsia="Arial" w:hAnsi="Arial"/>
                <w:sz w:val="16"/>
                <w:szCs w:val="16"/>
                <w:color w:val="auto"/>
                <w:w w:val="97"/>
              </w:rPr>
              <w:t>Location of</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rPr>
              <w:t>from AOCI</w:t>
            </w:r>
          </w:p>
        </w:tc>
      </w:tr>
      <w:tr>
        <w:trPr>
          <w:trHeight w:val="206"/>
        </w:trPr>
        <w:tc>
          <w:tcPr>
            <w:tcW w:w="4140" w:type="dxa"/>
            <w:vAlign w:val="bottom"/>
            <w:gridSpan w:val="2"/>
          </w:tcPr>
          <w:p>
            <w:pPr>
              <w:ind w:left="760"/>
              <w:spacing w:after="0"/>
              <w:rPr>
                <w:sz w:val="20"/>
                <w:szCs w:val="20"/>
                <w:color w:val="auto"/>
              </w:rPr>
            </w:pPr>
            <w:r>
              <w:rPr>
                <w:rFonts w:ascii="Arial" w:cs="Arial" w:eastAsia="Arial" w:hAnsi="Arial"/>
                <w:sz w:val="16"/>
                <w:szCs w:val="16"/>
                <w:color w:val="auto"/>
                <w:w w:val="98"/>
              </w:rPr>
              <w:t>Derivatives in Cash Flow Hedging Relationships</w:t>
            </w:r>
          </w:p>
        </w:tc>
        <w:tc>
          <w:tcPr>
            <w:tcW w:w="5240" w:type="dxa"/>
            <w:vAlign w:val="bottom"/>
          </w:tcPr>
          <w:p>
            <w:pPr>
              <w:jc w:val="center"/>
              <w:ind w:left="479"/>
              <w:spacing w:after="0"/>
              <w:rPr>
                <w:sz w:val="20"/>
                <w:szCs w:val="20"/>
                <w:color w:val="auto"/>
              </w:rPr>
            </w:pPr>
            <w:r>
              <w:rPr>
                <w:rFonts w:ascii="Arial" w:cs="Arial" w:eastAsia="Arial" w:hAnsi="Arial"/>
                <w:sz w:val="16"/>
                <w:szCs w:val="16"/>
                <w:color w:val="auto"/>
                <w:w w:val="94"/>
              </w:rPr>
              <w:t>Reclassifications from AOCI into Income</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1"/>
              </w:rPr>
              <w:t>into Income</w:t>
            </w:r>
          </w:p>
        </w:tc>
      </w:tr>
      <w:tr>
        <w:trPr>
          <w:trHeight w:val="33"/>
        </w:trPr>
        <w:tc>
          <w:tcPr>
            <w:tcW w:w="12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Interest rate swaps</w:t>
            </w:r>
          </w:p>
        </w:tc>
        <w:tc>
          <w:tcPr>
            <w:tcW w:w="5240" w:type="dxa"/>
            <w:vAlign w:val="bottom"/>
            <w:tcBorders>
              <w:bottom w:val="single" w:sz="8" w:color="CEFFE7"/>
            </w:tcBorders>
            <w:shd w:val="clear" w:color="auto" w:fill="CEFFE7"/>
          </w:tcPr>
          <w:p>
            <w:pPr>
              <w:ind w:left="70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(2,139)</w:t>
            </w:r>
          </w:p>
        </w:tc>
      </w:tr>
      <w:tr>
        <w:trPr>
          <w:trHeight w:val="237"/>
        </w:trPr>
        <w:tc>
          <w:tcPr>
            <w:tcW w:w="4140" w:type="dxa"/>
            <w:vAlign w:val="bottom"/>
            <w:gridSpan w:val="2"/>
          </w:tcPr>
          <w:p>
            <w:pPr>
              <w:ind w:left="40"/>
              <w:spacing w:after="0"/>
              <w:rPr>
                <w:sz w:val="20"/>
                <w:szCs w:val="20"/>
                <w:color w:val="auto"/>
              </w:rPr>
            </w:pPr>
            <w:r>
              <w:rPr>
                <w:rFonts w:ascii="Arial" w:cs="Arial" w:eastAsia="Arial" w:hAnsi="Arial"/>
                <w:sz w:val="16"/>
                <w:szCs w:val="16"/>
                <w:color w:val="auto"/>
              </w:rPr>
              <w:t>Commodity derivatives</w:t>
            </w:r>
          </w:p>
        </w:tc>
        <w:tc>
          <w:tcPr>
            <w:tcW w:w="5240" w:type="dxa"/>
            <w:vAlign w:val="bottom"/>
          </w:tcPr>
          <w:p>
            <w:pPr>
              <w:ind w:left="700"/>
              <w:spacing w:after="0"/>
              <w:rPr>
                <w:sz w:val="20"/>
                <w:szCs w:val="20"/>
                <w:color w:val="auto"/>
              </w:rPr>
            </w:pPr>
            <w:r>
              <w:rPr>
                <w:rFonts w:ascii="Arial" w:cs="Arial" w:eastAsia="Arial" w:hAnsi="Arial"/>
                <w:sz w:val="16"/>
                <w:szCs w:val="16"/>
                <w:color w:val="auto"/>
              </w:rPr>
              <w:t>Fuel, purchased power and cost of natural gas sold</w:t>
            </w:r>
          </w:p>
        </w:tc>
        <w:tc>
          <w:tcPr>
            <w:tcW w:w="16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508</w:t>
            </w:r>
          </w:p>
        </w:tc>
      </w:tr>
      <w:tr>
        <w:trPr>
          <w:trHeight w:val="33"/>
        </w:trPr>
        <w:tc>
          <w:tcPr>
            <w:tcW w:w="1220" w:type="dxa"/>
            <w:vAlign w:val="bottom"/>
            <w:tcBorders>
              <w:bottom w:val="single" w:sz="8" w:color="CEFFE7"/>
            </w:tcBorders>
          </w:tcPr>
          <w:p>
            <w:pPr>
              <w:spacing w:after="0"/>
              <w:rPr>
                <w:sz w:val="2"/>
                <w:szCs w:val="2"/>
                <w:color w:val="auto"/>
              </w:rPr>
            </w:pPr>
          </w:p>
        </w:tc>
        <w:tc>
          <w:tcPr>
            <w:tcW w:w="2920" w:type="dxa"/>
            <w:vAlign w:val="bottom"/>
            <w:tcBorders>
              <w:bottom w:val="single" w:sz="8" w:color="CEFFE7"/>
            </w:tcBorders>
          </w:tcPr>
          <w:p>
            <w:pPr>
              <w:spacing w:after="0"/>
              <w:rPr>
                <w:sz w:val="2"/>
                <w:szCs w:val="2"/>
                <w:color w:val="auto"/>
              </w:rPr>
            </w:pPr>
          </w:p>
        </w:tc>
        <w:tc>
          <w:tcPr>
            <w:tcW w:w="524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EFFE7"/>
            </w:tcBorders>
            <w:gridSpan w:val="2"/>
            <w:shd w:val="clear" w:color="auto" w:fill="CEFFE7"/>
          </w:tcPr>
          <w:p>
            <w:pPr>
              <w:ind w:left="380"/>
              <w:spacing w:after="0"/>
              <w:rPr>
                <w:sz w:val="20"/>
                <w:szCs w:val="20"/>
                <w:color w:val="auto"/>
              </w:rPr>
            </w:pPr>
            <w:r>
              <w:rPr>
                <w:rFonts w:ascii="Arial" w:cs="Arial" w:eastAsia="Arial" w:hAnsi="Arial"/>
                <w:sz w:val="16"/>
                <w:szCs w:val="16"/>
                <w:color w:val="auto"/>
              </w:rPr>
              <w:t>Total</w:t>
            </w:r>
          </w:p>
        </w:tc>
        <w:tc>
          <w:tcPr>
            <w:tcW w:w="524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(1,631)</w:t>
            </w:r>
          </w:p>
        </w:tc>
      </w:tr>
      <w:tr>
        <w:trPr>
          <w:trHeight w:val="20"/>
        </w:trPr>
        <w:tc>
          <w:tcPr>
            <w:tcW w:w="1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5220" w:type="dxa"/>
            <w:vAlign w:val="bottom"/>
          </w:tcPr>
          <w:p>
            <w:pPr>
              <w:jc w:val="center"/>
              <w:ind w:right="1999"/>
              <w:spacing w:after="0"/>
              <w:rPr>
                <w:sz w:val="20"/>
                <w:szCs w:val="20"/>
                <w:color w:val="auto"/>
              </w:rPr>
            </w:pPr>
            <w:r>
              <w:rPr>
                <w:rFonts w:ascii="Arial" w:cs="Arial" w:eastAsia="Arial" w:hAnsi="Arial"/>
                <w:sz w:val="16"/>
                <w:szCs w:val="16"/>
                <w:b w:val="1"/>
                <w:bCs w:val="1"/>
                <w:color w:val="auto"/>
                <w:w w:val="91"/>
              </w:rPr>
              <w:t>Nine Months Ended September 30, 2018</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57"/>
        </w:trPr>
        <w:tc>
          <w:tcPr>
            <w:tcW w:w="4100" w:type="dxa"/>
            <w:vAlign w:val="bottom"/>
          </w:tcPr>
          <w:p>
            <w:pPr>
              <w:spacing w:after="0"/>
              <w:rPr>
                <w:sz w:val="22"/>
                <w:szCs w:val="22"/>
                <w:color w:val="auto"/>
              </w:rPr>
            </w:pPr>
          </w:p>
        </w:tc>
        <w:tc>
          <w:tcPr>
            <w:tcW w:w="5220" w:type="dxa"/>
            <w:vAlign w:val="bottom"/>
          </w:tcPr>
          <w:p>
            <w:pPr>
              <w:jc w:val="center"/>
              <w:ind w:right="1999"/>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53"/>
        </w:trPr>
        <w:tc>
          <w:tcPr>
            <w:tcW w:w="410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8"/>
              </w:rPr>
              <w:t>Amount of</w:t>
            </w:r>
          </w:p>
        </w:tc>
      </w:tr>
      <w:tr>
        <w:trPr>
          <w:trHeight w:val="203"/>
        </w:trPr>
        <w:tc>
          <w:tcPr>
            <w:tcW w:w="41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2"/>
              </w:rPr>
              <w:t>Gain/(Loss) Reclassified</w:t>
            </w:r>
          </w:p>
        </w:tc>
      </w:tr>
      <w:tr>
        <w:trPr>
          <w:trHeight w:val="203"/>
        </w:trPr>
        <w:tc>
          <w:tcPr>
            <w:tcW w:w="4100" w:type="dxa"/>
            <w:vAlign w:val="bottom"/>
          </w:tcPr>
          <w:p>
            <w:pPr>
              <w:spacing w:after="0"/>
              <w:rPr>
                <w:sz w:val="17"/>
                <w:szCs w:val="17"/>
                <w:color w:val="auto"/>
              </w:rPr>
            </w:pPr>
          </w:p>
        </w:tc>
        <w:tc>
          <w:tcPr>
            <w:tcW w:w="5220" w:type="dxa"/>
            <w:vAlign w:val="bottom"/>
          </w:tcPr>
          <w:p>
            <w:pPr>
              <w:jc w:val="center"/>
              <w:ind w:left="479"/>
              <w:spacing w:after="0"/>
              <w:rPr>
                <w:sz w:val="20"/>
                <w:szCs w:val="20"/>
                <w:color w:val="auto"/>
              </w:rPr>
            </w:pPr>
            <w:r>
              <w:rPr>
                <w:rFonts w:ascii="Arial" w:cs="Arial" w:eastAsia="Arial" w:hAnsi="Arial"/>
                <w:sz w:val="16"/>
                <w:szCs w:val="16"/>
                <w:color w:val="auto"/>
                <w:w w:val="94"/>
              </w:rPr>
              <w:t>Location of</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rPr>
              <w:t>from AOCI</w:t>
            </w:r>
          </w:p>
        </w:tc>
      </w:tr>
      <w:tr>
        <w:trPr>
          <w:trHeight w:val="206"/>
        </w:trPr>
        <w:tc>
          <w:tcPr>
            <w:tcW w:w="4100" w:type="dxa"/>
            <w:vAlign w:val="bottom"/>
          </w:tcPr>
          <w:p>
            <w:pPr>
              <w:ind w:left="740"/>
              <w:spacing w:after="0"/>
              <w:rPr>
                <w:sz w:val="20"/>
                <w:szCs w:val="20"/>
                <w:color w:val="auto"/>
              </w:rPr>
            </w:pPr>
            <w:r>
              <w:rPr>
                <w:rFonts w:ascii="Arial" w:cs="Arial" w:eastAsia="Arial" w:hAnsi="Arial"/>
                <w:sz w:val="16"/>
                <w:szCs w:val="16"/>
                <w:color w:val="auto"/>
                <w:w w:val="98"/>
              </w:rPr>
              <w:t>Derivatives in Cash Flow Hedging Relationships</w:t>
            </w:r>
          </w:p>
        </w:tc>
        <w:tc>
          <w:tcPr>
            <w:tcW w:w="5220" w:type="dxa"/>
            <w:vAlign w:val="bottom"/>
          </w:tcPr>
          <w:p>
            <w:pPr>
              <w:jc w:val="center"/>
              <w:ind w:left="479"/>
              <w:spacing w:after="0"/>
              <w:rPr>
                <w:sz w:val="20"/>
                <w:szCs w:val="20"/>
                <w:color w:val="auto"/>
              </w:rPr>
            </w:pPr>
            <w:r>
              <w:rPr>
                <w:rFonts w:ascii="Arial" w:cs="Arial" w:eastAsia="Arial" w:hAnsi="Arial"/>
                <w:sz w:val="16"/>
                <w:szCs w:val="16"/>
                <w:color w:val="auto"/>
                <w:w w:val="94"/>
              </w:rPr>
              <w:t>Reclassifications from AOCI into Income</w:t>
            </w: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1"/>
              </w:rPr>
              <w:t>into Income</w:t>
            </w:r>
          </w:p>
        </w:tc>
      </w:tr>
      <w:tr>
        <w:trPr>
          <w:trHeight w:val="33"/>
        </w:trPr>
        <w:tc>
          <w:tcPr>
            <w:tcW w:w="410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 rate swaps</w:t>
            </w:r>
          </w:p>
        </w:tc>
        <w:tc>
          <w:tcPr>
            <w:tcW w:w="5220" w:type="dxa"/>
            <w:vAlign w:val="bottom"/>
            <w:tcBorders>
              <w:bottom w:val="single" w:sz="8" w:color="CEFFE7"/>
            </w:tcBorders>
            <w:shd w:val="clear" w:color="auto" w:fill="CEFFE7"/>
          </w:tcPr>
          <w:p>
            <w:pPr>
              <w:ind w:left="70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(2,138)</w:t>
            </w: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5220" w:type="dxa"/>
            <w:vAlign w:val="bottom"/>
          </w:tcPr>
          <w:p>
            <w:pPr>
              <w:ind w:left="700"/>
              <w:spacing w:after="0"/>
              <w:rPr>
                <w:sz w:val="20"/>
                <w:szCs w:val="20"/>
                <w:color w:val="auto"/>
              </w:rPr>
            </w:pPr>
            <w:r>
              <w:rPr>
                <w:rFonts w:ascii="Arial" w:cs="Arial" w:eastAsia="Arial" w:hAnsi="Arial"/>
                <w:sz w:val="16"/>
                <w:szCs w:val="16"/>
                <w:color w:val="auto"/>
              </w:rPr>
              <w:t>Fuel, purchased power and cost of natural gas sold</w:t>
            </w:r>
          </w:p>
        </w:tc>
        <w:tc>
          <w:tcPr>
            <w:tcW w:w="1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(802)</w:t>
            </w:r>
          </w:p>
        </w:tc>
      </w:tr>
      <w:tr>
        <w:trPr>
          <w:trHeight w:val="33"/>
        </w:trPr>
        <w:tc>
          <w:tcPr>
            <w:tcW w:w="4100" w:type="dxa"/>
            <w:vAlign w:val="bottom"/>
            <w:tcBorders>
              <w:bottom w:val="single" w:sz="8" w:color="CEFFE7"/>
            </w:tcBorders>
          </w:tcPr>
          <w:p>
            <w:pPr>
              <w:spacing w:after="0"/>
              <w:rPr>
                <w:sz w:val="2"/>
                <w:szCs w:val="2"/>
                <w:color w:val="auto"/>
              </w:rPr>
            </w:pPr>
          </w:p>
        </w:tc>
        <w:tc>
          <w:tcPr>
            <w:tcW w:w="522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Total</w:t>
            </w:r>
          </w:p>
        </w:tc>
        <w:tc>
          <w:tcPr>
            <w:tcW w:w="52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(2,940)</w:t>
            </w:r>
          </w:p>
        </w:tc>
      </w:tr>
      <w:tr>
        <w:trPr>
          <w:trHeight w:val="20"/>
        </w:trPr>
        <w:tc>
          <w:tcPr>
            <w:tcW w:w="41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summarize the gains and losses arising from hedging transactions that were recognized as a component of other comprehensive income (loss) for the three and nine months ended September 30, 2019 and 2018.</w:t>
      </w:r>
    </w:p>
    <w:p>
      <w:pPr>
        <w:spacing w:after="0" w:line="238"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8400"/>
        <w:spacing w:after="0"/>
        <w:tabs>
          <w:tab w:leader="none" w:pos="1030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 (decrease) in fair value: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Forward commodity contracts</w:t>
            </w:r>
          </w:p>
        </w:tc>
        <w:tc>
          <w:tcPr>
            <w:tcW w:w="386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32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Recognition of (gains) losses in earnings due to settlements:</w:t>
            </w:r>
          </w:p>
        </w:tc>
        <w:tc>
          <w:tcPr>
            <w:tcW w:w="26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713</w:t>
            </w:r>
          </w:p>
        </w:tc>
        <w:tc>
          <w:tcPr>
            <w:tcW w:w="13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Forward commodity contracts</w:t>
            </w:r>
          </w:p>
        </w:tc>
        <w:tc>
          <w:tcPr>
            <w:tcW w:w="266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spacing w:after="0"/>
              <w:rPr>
                <w:sz w:val="23"/>
                <w:szCs w:val="23"/>
                <w:color w:val="auto"/>
              </w:rPr>
            </w:pPr>
          </w:p>
        </w:tc>
        <w:tc>
          <w:tcPr>
            <w:tcW w:w="6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129</w:t>
            </w:r>
          </w:p>
        </w:tc>
        <w:tc>
          <w:tcPr>
            <w:tcW w:w="1320" w:type="dxa"/>
            <w:vAlign w:val="bottom"/>
            <w:tcBorders>
              <w:bottom w:val="single" w:sz="8" w:color="CEFFE7"/>
            </w:tcBorders>
            <w:shd w:val="clear" w:color="auto" w:fill="CEFFE7"/>
          </w:tcPr>
          <w:p>
            <w:pPr>
              <w:spacing w:after="0"/>
              <w:rPr>
                <w:sz w:val="23"/>
                <w:szCs w:val="23"/>
                <w:color w:val="auto"/>
              </w:rPr>
            </w:pPr>
          </w:p>
        </w:tc>
        <w:tc>
          <w:tcPr>
            <w:tcW w:w="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5000" w:type="dxa"/>
            <w:vAlign w:val="bottom"/>
          </w:tcPr>
          <w:p>
            <w:pPr>
              <w:ind w:left="40"/>
              <w:spacing w:after="0"/>
              <w:rPr>
                <w:sz w:val="20"/>
                <w:szCs w:val="20"/>
                <w:color w:val="auto"/>
              </w:rPr>
            </w:pPr>
            <w:r>
              <w:rPr>
                <w:rFonts w:ascii="Arial" w:cs="Arial" w:eastAsia="Arial" w:hAnsi="Arial"/>
                <w:sz w:val="18"/>
                <w:szCs w:val="18"/>
                <w:color w:val="auto"/>
              </w:rPr>
              <w:t>Total other comprehensive income (loss) from hedging</w:t>
            </w:r>
          </w:p>
        </w:tc>
        <w:tc>
          <w:tcPr>
            <w:tcW w:w="266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692</w:t>
            </w:r>
          </w:p>
        </w:tc>
        <w:tc>
          <w:tcPr>
            <w:tcW w:w="132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00" w:type="dxa"/>
            <w:vAlign w:val="bottom"/>
            <w:gridSpan w:val="3"/>
          </w:tcPr>
          <w:p>
            <w:pPr>
              <w:jc w:val="right"/>
              <w:spacing w:after="0"/>
              <w:rPr>
                <w:sz w:val="20"/>
                <w:szCs w:val="20"/>
                <w:color w:val="auto"/>
              </w:rPr>
            </w:pPr>
            <w:r>
              <w:rPr>
                <w:rFonts w:ascii="Arial" w:cs="Arial" w:eastAsia="Arial" w:hAnsi="Arial"/>
                <w:sz w:val="18"/>
                <w:szCs w:val="18"/>
                <w:color w:val="auto"/>
              </w:rPr>
              <w:t>Nine Months Ended September 30,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3860" w:type="dxa"/>
            <w:vAlign w:val="bottom"/>
            <w:gridSpan w:val="2"/>
          </w:tcPr>
          <w:p>
            <w:pPr>
              <w:jc w:val="right"/>
              <w:ind w:right="10"/>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0" w:type="dxa"/>
            <w:vAlign w:val="bottom"/>
            <w:gridSpan w:val="2"/>
          </w:tcPr>
          <w:p>
            <w:pPr>
              <w:jc w:val="right"/>
              <w:ind w:right="710"/>
              <w:spacing w:after="0"/>
              <w:rPr>
                <w:sz w:val="20"/>
                <w:szCs w:val="20"/>
                <w:color w:val="auto"/>
              </w:rPr>
            </w:pPr>
            <w:r>
              <w:rPr>
                <w:rFonts w:ascii="Arial" w:cs="Arial" w:eastAsia="Arial" w:hAnsi="Arial"/>
                <w:sz w:val="18"/>
                <w:szCs w:val="18"/>
                <w:color w:val="auto"/>
              </w:rPr>
              <w:t>(in thousands)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Increase (decrease) in fair value:</w:t>
            </w:r>
          </w:p>
        </w:tc>
        <w:tc>
          <w:tcPr>
            <w:tcW w:w="26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Forward commodity contracts</w:t>
            </w:r>
          </w:p>
        </w:tc>
        <w:tc>
          <w:tcPr>
            <w:tcW w:w="386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132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Recognition of (gains) losses in earnings due to settlements:</w:t>
            </w:r>
          </w:p>
        </w:tc>
        <w:tc>
          <w:tcPr>
            <w:tcW w:w="26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26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2,139</w:t>
            </w:r>
          </w:p>
        </w:tc>
        <w:tc>
          <w:tcPr>
            <w:tcW w:w="13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2,138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Forward commodity contracts</w:t>
            </w:r>
          </w:p>
        </w:tc>
        <w:tc>
          <w:tcPr>
            <w:tcW w:w="266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spacing w:after="0"/>
              <w:rPr>
                <w:sz w:val="23"/>
                <w:szCs w:val="23"/>
                <w:color w:val="auto"/>
              </w:rPr>
            </w:pPr>
          </w:p>
        </w:tc>
        <w:tc>
          <w:tcPr>
            <w:tcW w:w="6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(508)</w:t>
            </w:r>
          </w:p>
        </w:tc>
        <w:tc>
          <w:tcPr>
            <w:tcW w:w="1320" w:type="dxa"/>
            <w:vAlign w:val="bottom"/>
            <w:tcBorders>
              <w:bottom w:val="single" w:sz="8" w:color="CEFFE7"/>
            </w:tcBorders>
            <w:shd w:val="clear" w:color="auto" w:fill="CEFFE7"/>
          </w:tcPr>
          <w:p>
            <w:pPr>
              <w:spacing w:after="0"/>
              <w:rPr>
                <w:sz w:val="23"/>
                <w:szCs w:val="23"/>
                <w:color w:val="auto"/>
              </w:rPr>
            </w:pPr>
          </w:p>
        </w:tc>
        <w:tc>
          <w:tcPr>
            <w:tcW w:w="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57"/>
        </w:trPr>
        <w:tc>
          <w:tcPr>
            <w:tcW w:w="5000" w:type="dxa"/>
            <w:vAlign w:val="bottom"/>
          </w:tcPr>
          <w:p>
            <w:pPr>
              <w:ind w:left="40"/>
              <w:spacing w:after="0"/>
              <w:rPr>
                <w:sz w:val="20"/>
                <w:szCs w:val="20"/>
                <w:color w:val="auto"/>
              </w:rPr>
            </w:pPr>
            <w:r>
              <w:rPr>
                <w:rFonts w:ascii="Arial" w:cs="Arial" w:eastAsia="Arial" w:hAnsi="Arial"/>
                <w:sz w:val="18"/>
                <w:szCs w:val="18"/>
                <w:color w:val="auto"/>
              </w:rPr>
              <w:t>Total other comprehensive income (loss) from hedging</w:t>
            </w:r>
          </w:p>
        </w:tc>
        <w:tc>
          <w:tcPr>
            <w:tcW w:w="266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1,197</w:t>
            </w:r>
          </w:p>
        </w:tc>
        <w:tc>
          <w:tcPr>
            <w:tcW w:w="132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2,721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660" w:type="dxa"/>
            <w:vAlign w:val="bottom"/>
            <w:vMerge w:val="restart"/>
          </w:tcPr>
          <w:p>
            <w:pPr>
              <w:jc w:val="right"/>
              <w:ind w:right="1770"/>
              <w:spacing w:after="0"/>
              <w:rPr>
                <w:sz w:val="20"/>
                <w:szCs w:val="20"/>
                <w:color w:val="auto"/>
              </w:rPr>
            </w:pPr>
            <w:r>
              <w:rPr>
                <w:rFonts w:ascii="Arial" w:cs="Arial" w:eastAsia="Arial" w:hAnsi="Arial"/>
                <w:sz w:val="18"/>
                <w:szCs w:val="18"/>
                <w:color w:val="auto"/>
              </w:rPr>
              <w:t>26</w:t>
            </w: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Not Designated as Hedge Instruments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summarizes the impacts of derivative instruments not designated as hedge instruments on our Condensed Consolidated Statements of Income for the three and nine months ended September 30, 2019 and 2018 (in thousands). Note that this presentation does not reflect gains or losses arising from the underlying physical transactions; therefore, it is not indicative of the economic profit or loss we realized when the underlying physical and financial transactions were settled.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20" w:type="dxa"/>
            <w:vAlign w:val="bottom"/>
            <w:gridSpan w:val="2"/>
          </w:tcPr>
          <w:p>
            <w:pPr>
              <w:jc w:val="right"/>
              <w:ind w:right="130"/>
              <w:spacing w:after="0"/>
              <w:rPr>
                <w:sz w:val="20"/>
                <w:szCs w:val="20"/>
                <w:color w:val="auto"/>
              </w:rPr>
            </w:pPr>
            <w:r>
              <w:rPr>
                <w:rFonts w:ascii="Arial" w:cs="Arial" w:eastAsia="Arial" w:hAnsi="Arial"/>
                <w:sz w:val="18"/>
                <w:szCs w:val="18"/>
                <w:color w:val="auto"/>
              </w:rPr>
              <w:t>Three Months Ended September 30,</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jc w:val="center"/>
              <w:ind w:right="270"/>
              <w:spacing w:after="0"/>
              <w:rPr>
                <w:sz w:val="20"/>
                <w:szCs w:val="20"/>
                <w:color w:val="auto"/>
              </w:rPr>
            </w:pPr>
            <w:r>
              <w:rPr>
                <w:rFonts w:ascii="Arial" w:cs="Arial" w:eastAsia="Arial" w:hAnsi="Arial"/>
                <w:sz w:val="18"/>
                <w:szCs w:val="18"/>
                <w:color w:val="auto"/>
                <w:w w:val="89"/>
              </w:rPr>
              <w:t>2019</w:t>
            </w:r>
          </w:p>
        </w:tc>
        <w:tc>
          <w:tcPr>
            <w:tcW w:w="1540" w:type="dxa"/>
            <w:vAlign w:val="bottom"/>
          </w:tcPr>
          <w:p>
            <w:pPr>
              <w:jc w:val="center"/>
              <w:ind w:left="410"/>
              <w:spacing w:after="0"/>
              <w:rPr>
                <w:sz w:val="20"/>
                <w:szCs w:val="20"/>
                <w:color w:val="auto"/>
              </w:rPr>
            </w:pPr>
            <w:r>
              <w:rPr>
                <w:rFonts w:ascii="Arial" w:cs="Arial" w:eastAsia="Arial" w:hAnsi="Arial"/>
                <w:sz w:val="18"/>
                <w:szCs w:val="18"/>
                <w:color w:val="auto"/>
                <w:w w:val="89"/>
              </w:rPr>
              <w:t>2018</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300" w:type="dxa"/>
            <w:vAlign w:val="bottom"/>
            <w:gridSpan w:val="2"/>
          </w:tcPr>
          <w:p>
            <w:pPr>
              <w:ind w:left="500"/>
              <w:spacing w:after="0"/>
              <w:rPr>
                <w:sz w:val="20"/>
                <w:szCs w:val="20"/>
                <w:color w:val="auto"/>
              </w:rPr>
            </w:pPr>
            <w:r>
              <w:rPr>
                <w:rFonts w:ascii="Arial" w:cs="Arial" w:eastAsia="Arial" w:hAnsi="Arial"/>
                <w:sz w:val="18"/>
                <w:szCs w:val="18"/>
                <w:color w:val="auto"/>
                <w:w w:val="95"/>
              </w:rPr>
              <w:t>Location of Gain/(Loss)</w:t>
            </w:r>
          </w:p>
        </w:tc>
        <w:tc>
          <w:tcPr>
            <w:tcW w:w="1920" w:type="dxa"/>
            <w:vAlign w:val="bottom"/>
            <w:gridSpan w:val="2"/>
          </w:tcPr>
          <w:p>
            <w:pPr>
              <w:jc w:val="center"/>
              <w:ind w:right="10"/>
              <w:spacing w:after="0"/>
              <w:rPr>
                <w:sz w:val="20"/>
                <w:szCs w:val="20"/>
                <w:color w:val="auto"/>
              </w:rPr>
            </w:pPr>
            <w:r>
              <w:rPr>
                <w:rFonts w:ascii="Arial" w:cs="Arial" w:eastAsia="Arial" w:hAnsi="Arial"/>
                <w:sz w:val="18"/>
                <w:szCs w:val="18"/>
                <w:color w:val="auto"/>
                <w:w w:val="94"/>
              </w:rPr>
              <w:t>Amount of Gain/(Loss)</w:t>
            </w:r>
          </w:p>
        </w:tc>
        <w:tc>
          <w:tcPr>
            <w:tcW w:w="1940" w:type="dxa"/>
            <w:vAlign w:val="bottom"/>
            <w:gridSpan w:val="3"/>
          </w:tcPr>
          <w:p>
            <w:pPr>
              <w:jc w:val="center"/>
              <w:ind w:left="30"/>
              <w:spacing w:after="0"/>
              <w:rPr>
                <w:sz w:val="20"/>
                <w:szCs w:val="20"/>
                <w:color w:val="auto"/>
              </w:rPr>
            </w:pPr>
            <w:r>
              <w:rPr>
                <w:rFonts w:ascii="Arial" w:cs="Arial" w:eastAsia="Arial" w:hAnsi="Arial"/>
                <w:sz w:val="18"/>
                <w:szCs w:val="18"/>
                <w:color w:val="auto"/>
                <w:w w:val="94"/>
              </w:rPr>
              <w:t>Amount of Gain/(Loss)</w:t>
            </w:r>
          </w:p>
        </w:tc>
      </w:tr>
      <w:tr>
        <w:trPr>
          <w:trHeight w:val="216"/>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on Derivatives</w:t>
            </w:r>
          </w:p>
        </w:tc>
        <w:tc>
          <w:tcPr>
            <w:tcW w:w="240" w:type="dxa"/>
            <w:vAlign w:val="bottom"/>
          </w:tcPr>
          <w:p>
            <w:pPr>
              <w:spacing w:after="0"/>
              <w:rPr>
                <w:sz w:val="18"/>
                <w:szCs w:val="18"/>
                <w:color w:val="auto"/>
              </w:rPr>
            </w:pPr>
          </w:p>
        </w:tc>
        <w:tc>
          <w:tcPr>
            <w:tcW w:w="1680" w:type="dxa"/>
            <w:vAlign w:val="bottom"/>
          </w:tcPr>
          <w:p>
            <w:pPr>
              <w:jc w:val="center"/>
              <w:ind w:right="250"/>
              <w:spacing w:after="0"/>
              <w:rPr>
                <w:sz w:val="20"/>
                <w:szCs w:val="20"/>
                <w:color w:val="auto"/>
              </w:rPr>
            </w:pPr>
            <w:r>
              <w:rPr>
                <w:rFonts w:ascii="Arial" w:cs="Arial" w:eastAsia="Arial" w:hAnsi="Arial"/>
                <w:sz w:val="18"/>
                <w:szCs w:val="18"/>
                <w:color w:val="auto"/>
                <w:w w:val="92"/>
              </w:rPr>
              <w:t>on Derivatives</w:t>
            </w:r>
          </w:p>
        </w:tc>
        <w:tc>
          <w:tcPr>
            <w:tcW w:w="194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on Derivatives</w:t>
            </w:r>
          </w:p>
        </w:tc>
      </w:tr>
      <w:tr>
        <w:trPr>
          <w:trHeight w:val="230"/>
        </w:trPr>
        <w:tc>
          <w:tcPr>
            <w:tcW w:w="40" w:type="dxa"/>
            <w:vAlign w:val="bottom"/>
          </w:tcPr>
          <w:p>
            <w:pPr>
              <w:spacing w:after="0"/>
              <w:rPr>
                <w:sz w:val="20"/>
                <w:szCs w:val="20"/>
                <w:color w:val="auto"/>
              </w:rPr>
            </w:pPr>
          </w:p>
        </w:tc>
        <w:tc>
          <w:tcPr>
            <w:tcW w:w="5220" w:type="dxa"/>
            <w:vAlign w:val="bottom"/>
          </w:tcPr>
          <w:p>
            <w:pPr>
              <w:ind w:left="940"/>
              <w:spacing w:after="0"/>
              <w:rPr>
                <w:sz w:val="20"/>
                <w:szCs w:val="20"/>
                <w:color w:val="auto"/>
              </w:rPr>
            </w:pPr>
            <w:r>
              <w:rPr>
                <w:rFonts w:ascii="Arial" w:cs="Arial" w:eastAsia="Arial" w:hAnsi="Arial"/>
                <w:sz w:val="18"/>
                <w:szCs w:val="18"/>
                <w:color w:val="auto"/>
              </w:rPr>
              <w:t>Derivatives Not Designated as Hedging Instruments</w:t>
            </w:r>
          </w:p>
        </w:tc>
        <w:tc>
          <w:tcPr>
            <w:tcW w:w="230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Recognized in Income</w:t>
            </w:r>
          </w:p>
        </w:tc>
        <w:tc>
          <w:tcPr>
            <w:tcW w:w="1920" w:type="dxa"/>
            <w:vAlign w:val="bottom"/>
            <w:gridSpan w:val="2"/>
          </w:tcPr>
          <w:p>
            <w:pPr>
              <w:jc w:val="center"/>
              <w:ind w:right="10"/>
              <w:spacing w:after="0"/>
              <w:rPr>
                <w:sz w:val="20"/>
                <w:szCs w:val="20"/>
                <w:color w:val="auto"/>
              </w:rPr>
            </w:pPr>
            <w:r>
              <w:rPr>
                <w:rFonts w:ascii="Arial" w:cs="Arial" w:eastAsia="Arial" w:hAnsi="Arial"/>
                <w:sz w:val="18"/>
                <w:szCs w:val="18"/>
                <w:color w:val="auto"/>
                <w:w w:val="90"/>
              </w:rPr>
              <w:t>Recognized in Income</w:t>
            </w:r>
          </w:p>
        </w:tc>
        <w:tc>
          <w:tcPr>
            <w:tcW w:w="194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Recognized in Income</w:t>
            </w:r>
          </w:p>
        </w:tc>
      </w:tr>
      <w:tr>
        <w:trPr>
          <w:trHeight w:val="27"/>
        </w:trPr>
        <w:tc>
          <w:tcPr>
            <w:tcW w:w="4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 w:type="dxa"/>
            <w:vAlign w:val="bottom"/>
            <w:shd w:val="clear" w:color="auto" w:fill="CEFFE7"/>
          </w:tcPr>
          <w:p>
            <w:pPr>
              <w:spacing w:after="0"/>
              <w:rPr>
                <w:sz w:val="19"/>
                <w:szCs w:val="19"/>
                <w:color w:val="auto"/>
              </w:rPr>
            </w:pPr>
          </w:p>
        </w:tc>
        <w:tc>
          <w:tcPr>
            <w:tcW w:w="5220" w:type="dxa"/>
            <w:vAlign w:val="bottom"/>
            <w:shd w:val="clear" w:color="auto" w:fill="CEFFE7"/>
          </w:tcPr>
          <w:p>
            <w:pPr>
              <w:spacing w:after="0"/>
              <w:rPr>
                <w:sz w:val="19"/>
                <w:szCs w:val="19"/>
                <w:color w:val="auto"/>
              </w:rPr>
            </w:pPr>
          </w:p>
        </w:tc>
        <w:tc>
          <w:tcPr>
            <w:tcW w:w="2300" w:type="dxa"/>
            <w:vAlign w:val="bottom"/>
            <w:gridSpan w:val="2"/>
            <w:shd w:val="clear" w:color="auto" w:fill="CEFFE7"/>
          </w:tcPr>
          <w:p>
            <w:pPr>
              <w:ind w:left="480"/>
              <w:spacing w:after="0"/>
              <w:rPr>
                <w:sz w:val="20"/>
                <w:szCs w:val="20"/>
                <w:color w:val="auto"/>
              </w:rPr>
            </w:pPr>
            <w:r>
              <w:rPr>
                <w:rFonts w:ascii="Arial" w:cs="Arial" w:eastAsia="Arial" w:hAnsi="Arial"/>
                <w:sz w:val="18"/>
                <w:szCs w:val="18"/>
                <w:color w:val="auto"/>
                <w:w w:val="98"/>
              </w:rPr>
              <w:t>Fuel, purchased power</w:t>
            </w:r>
          </w:p>
        </w:tc>
        <w:tc>
          <w:tcPr>
            <w:tcW w:w="240" w:type="dxa"/>
            <w:vAlign w:val="bottom"/>
            <w:shd w:val="clear" w:color="auto" w:fill="CEFFE7"/>
          </w:tcPr>
          <w:p>
            <w:pPr>
              <w:spacing w:after="0"/>
              <w:rPr>
                <w:sz w:val="19"/>
                <w:szCs w:val="19"/>
                <w:color w:val="auto"/>
              </w:rPr>
            </w:pPr>
          </w:p>
        </w:tc>
        <w:tc>
          <w:tcPr>
            <w:tcW w:w="1680" w:type="dxa"/>
            <w:vAlign w:val="bottom"/>
            <w:shd w:val="clear" w:color="auto" w:fill="CEFFE7"/>
          </w:tcPr>
          <w:p>
            <w:pPr>
              <w:spacing w:after="0"/>
              <w:rPr>
                <w:sz w:val="19"/>
                <w:szCs w:val="19"/>
                <w:color w:val="auto"/>
              </w:rPr>
            </w:pPr>
          </w:p>
        </w:tc>
        <w:tc>
          <w:tcPr>
            <w:tcW w:w="1540" w:type="dxa"/>
            <w:vAlign w:val="bottom"/>
            <w:shd w:val="clear" w:color="auto" w:fill="CEFFE7"/>
          </w:tcPr>
          <w:p>
            <w:pPr>
              <w:spacing w:after="0"/>
              <w:rPr>
                <w:sz w:val="19"/>
                <w:szCs w:val="19"/>
                <w:color w:val="auto"/>
              </w:rPr>
            </w:pPr>
          </w:p>
        </w:tc>
        <w:tc>
          <w:tcPr>
            <w:tcW w:w="38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r>
      <w:tr>
        <w:trPr>
          <w:trHeight w:val="216"/>
        </w:trPr>
        <w:tc>
          <w:tcPr>
            <w:tcW w:w="40" w:type="dxa"/>
            <w:vAlign w:val="bottom"/>
            <w:shd w:val="clear" w:color="auto" w:fill="CEFFE7"/>
          </w:tcPr>
          <w:p>
            <w:pPr>
              <w:spacing w:after="0"/>
              <w:rPr>
                <w:sz w:val="18"/>
                <w:szCs w:val="18"/>
                <w:color w:val="auto"/>
              </w:rPr>
            </w:pPr>
          </w:p>
        </w:tc>
        <w:tc>
          <w:tcPr>
            <w:tcW w:w="5220" w:type="dxa"/>
            <w:vAlign w:val="bottom"/>
            <w:shd w:val="clear" w:color="auto" w:fill="CEFFE7"/>
          </w:tcPr>
          <w:p>
            <w:pPr>
              <w:spacing w:after="0"/>
              <w:rPr>
                <w:sz w:val="18"/>
                <w:szCs w:val="18"/>
                <w:color w:val="auto"/>
              </w:rPr>
            </w:pPr>
          </w:p>
        </w:tc>
        <w:tc>
          <w:tcPr>
            <w:tcW w:w="2300" w:type="dxa"/>
            <w:vAlign w:val="bottom"/>
            <w:gridSpan w:val="2"/>
            <w:shd w:val="clear" w:color="auto" w:fill="CEFFE7"/>
          </w:tcPr>
          <w:p>
            <w:pPr>
              <w:ind w:left="480"/>
              <w:spacing w:after="0"/>
              <w:rPr>
                <w:sz w:val="20"/>
                <w:szCs w:val="20"/>
                <w:color w:val="auto"/>
              </w:rPr>
            </w:pPr>
            <w:r>
              <w:rPr>
                <w:rFonts w:ascii="Arial" w:cs="Arial" w:eastAsia="Arial" w:hAnsi="Arial"/>
                <w:sz w:val="18"/>
                <w:szCs w:val="18"/>
                <w:color w:val="auto"/>
                <w:w w:val="98"/>
              </w:rPr>
              <w:t>and cost of natural gas</w:t>
            </w:r>
          </w:p>
        </w:tc>
        <w:tc>
          <w:tcPr>
            <w:tcW w:w="240" w:type="dxa"/>
            <w:vAlign w:val="bottom"/>
            <w:shd w:val="clear" w:color="auto" w:fill="CEFFE7"/>
          </w:tcPr>
          <w:p>
            <w:pPr>
              <w:spacing w:after="0"/>
              <w:rPr>
                <w:sz w:val="18"/>
                <w:szCs w:val="18"/>
                <w:color w:val="auto"/>
              </w:rPr>
            </w:pPr>
          </w:p>
        </w:tc>
        <w:tc>
          <w:tcPr>
            <w:tcW w:w="1680" w:type="dxa"/>
            <w:vAlign w:val="bottom"/>
            <w:shd w:val="clear" w:color="auto" w:fill="CEFFE7"/>
          </w:tcPr>
          <w:p>
            <w:pPr>
              <w:spacing w:after="0"/>
              <w:rPr>
                <w:sz w:val="18"/>
                <w:szCs w:val="18"/>
                <w:color w:val="auto"/>
              </w:rPr>
            </w:pPr>
          </w:p>
        </w:tc>
        <w:tc>
          <w:tcPr>
            <w:tcW w:w="1540" w:type="dxa"/>
            <w:vAlign w:val="bottom"/>
            <w:shd w:val="clear" w:color="auto" w:fill="CEFFE7"/>
          </w:tcPr>
          <w:p>
            <w:pPr>
              <w:spacing w:after="0"/>
              <w:rPr>
                <w:sz w:val="18"/>
                <w:szCs w:val="18"/>
                <w:color w:val="auto"/>
              </w:rPr>
            </w:pPr>
          </w:p>
        </w:tc>
        <w:tc>
          <w:tcPr>
            <w:tcW w:w="380" w:type="dxa"/>
            <w:vAlign w:val="bottom"/>
            <w:shd w:val="clear" w:color="auto" w:fill="CEFFE7"/>
          </w:tcPr>
          <w:p>
            <w:pPr>
              <w:spacing w:after="0"/>
              <w:rPr>
                <w:sz w:val="18"/>
                <w:szCs w:val="18"/>
                <w:color w:val="auto"/>
              </w:rPr>
            </w:pPr>
          </w:p>
        </w:tc>
        <w:tc>
          <w:tcPr>
            <w:tcW w:w="20" w:type="dxa"/>
            <w:vAlign w:val="bottom"/>
            <w:shd w:val="clear" w:color="auto" w:fill="CEFFE7"/>
          </w:tcPr>
          <w:p>
            <w:pPr>
              <w:spacing w:after="0"/>
              <w:rPr>
                <w:sz w:val="18"/>
                <w:szCs w:val="18"/>
                <w:color w:val="auto"/>
              </w:rPr>
            </w:pPr>
          </w:p>
        </w:tc>
      </w:tr>
      <w:tr>
        <w:trPr>
          <w:trHeight w:val="237"/>
        </w:trPr>
        <w:tc>
          <w:tcPr>
            <w:tcW w:w="52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Commodity derivatives</w:t>
            </w:r>
          </w:p>
        </w:tc>
        <w:tc>
          <w:tcPr>
            <w:tcW w:w="2300" w:type="dxa"/>
            <w:vAlign w:val="bottom"/>
            <w:tcBorders>
              <w:bottom w:val="single" w:sz="8" w:color="CEFFE7"/>
            </w:tcBorders>
            <w:gridSpan w:val="2"/>
            <w:shd w:val="clear" w:color="auto" w:fill="CEFFE7"/>
          </w:tcPr>
          <w:p>
            <w:pPr>
              <w:ind w:left="480"/>
              <w:spacing w:after="0"/>
              <w:rPr>
                <w:sz w:val="20"/>
                <w:szCs w:val="20"/>
                <w:color w:val="auto"/>
              </w:rPr>
            </w:pPr>
            <w:r>
              <w:rPr>
                <w:rFonts w:ascii="Arial" w:cs="Arial" w:eastAsia="Arial" w:hAnsi="Arial"/>
                <w:sz w:val="18"/>
                <w:szCs w:val="18"/>
                <w:color w:val="auto"/>
              </w:rPr>
              <w:t>sold</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(20)</w:t>
            </w:r>
          </w:p>
        </w:tc>
        <w:tc>
          <w:tcPr>
            <w:tcW w:w="1540" w:type="dxa"/>
            <w:vAlign w:val="bottom"/>
            <w:tcBorders>
              <w:bottom w:val="single" w:sz="8" w:color="CEFFE7"/>
            </w:tcBorders>
            <w:shd w:val="clear" w:color="auto" w:fill="CEFFE7"/>
          </w:tcPr>
          <w:p>
            <w:pPr>
              <w:jc w:val="right"/>
              <w:ind w:right="12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(96)</w:t>
            </w:r>
          </w:p>
        </w:tc>
        <w:tc>
          <w:tcPr>
            <w:tcW w:w="20" w:type="dxa"/>
            <w:vAlign w:val="bottom"/>
            <w:tcBorders>
              <w:bottom w:val="single" w:sz="8" w:color="CEFFE7"/>
            </w:tcBorders>
            <w:shd w:val="clear" w:color="auto" w:fill="CEFFE7"/>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300" w:type="dxa"/>
            <w:vAlign w:val="bottom"/>
            <w:gridSpan w:val="2"/>
          </w:tcPr>
          <w:p>
            <w:pPr>
              <w:ind w:left="480"/>
              <w:spacing w:after="0"/>
              <w:rPr>
                <w:sz w:val="20"/>
                <w:szCs w:val="20"/>
                <w:color w:val="auto"/>
              </w:rPr>
            </w:pPr>
            <w:r>
              <w:rPr>
                <w:rFonts w:ascii="Arial" w:cs="Arial" w:eastAsia="Arial" w:hAnsi="Arial"/>
                <w:sz w:val="18"/>
                <w:szCs w:val="18"/>
                <w:color w:val="auto"/>
                <w:w w:val="90"/>
              </w:rPr>
              <w:t>Other income (expense),</w:t>
            </w: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Commodity derivatives</w:t>
            </w:r>
          </w:p>
        </w:tc>
        <w:tc>
          <w:tcPr>
            <w:tcW w:w="2300" w:type="dxa"/>
            <w:vAlign w:val="bottom"/>
            <w:gridSpan w:val="2"/>
          </w:tcPr>
          <w:p>
            <w:pPr>
              <w:ind w:left="48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20"/>
                <w:szCs w:val="20"/>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142</w:t>
            </w:r>
          </w:p>
        </w:tc>
        <w:tc>
          <w:tcPr>
            <w:tcW w:w="154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EFFE7"/>
            </w:tcBorders>
          </w:tcPr>
          <w:p>
            <w:pPr>
              <w:spacing w:after="0"/>
              <w:rPr>
                <w:sz w:val="2"/>
                <w:szCs w:val="2"/>
                <w:color w:val="auto"/>
              </w:rPr>
            </w:pPr>
          </w:p>
        </w:tc>
        <w:tc>
          <w:tcPr>
            <w:tcW w:w="5220" w:type="dxa"/>
            <w:vAlign w:val="bottom"/>
            <w:tcBorders>
              <w:bottom w:val="single" w:sz="8" w:color="CEFFE7"/>
            </w:tcBorders>
          </w:tcPr>
          <w:p>
            <w:pPr>
              <w:spacing w:after="0"/>
              <w:rPr>
                <w:sz w:val="2"/>
                <w:szCs w:val="2"/>
                <w:color w:val="auto"/>
              </w:rPr>
            </w:pPr>
          </w:p>
        </w:tc>
        <w:tc>
          <w:tcPr>
            <w:tcW w:w="228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EFFE7"/>
            </w:tcBorders>
            <w:shd w:val="clear" w:color="auto" w:fill="CEFFE7"/>
          </w:tcPr>
          <w:p>
            <w:pPr>
              <w:spacing w:after="0"/>
              <w:rPr>
                <w:sz w:val="22"/>
                <w:szCs w:val="22"/>
                <w:color w:val="auto"/>
              </w:rPr>
            </w:pPr>
          </w:p>
        </w:tc>
        <w:tc>
          <w:tcPr>
            <w:tcW w:w="5220" w:type="dxa"/>
            <w:vAlign w:val="bottom"/>
            <w:tcBorders>
              <w:bottom w:val="single" w:sz="8" w:color="CEFFE7"/>
            </w:tcBorders>
            <w:shd w:val="clear" w:color="auto" w:fill="CEFFE7"/>
          </w:tcPr>
          <w:p>
            <w:pPr>
              <w:spacing w:after="0"/>
              <w:rPr>
                <w:sz w:val="22"/>
                <w:szCs w:val="22"/>
                <w:color w:val="auto"/>
              </w:rPr>
            </w:pPr>
          </w:p>
        </w:tc>
        <w:tc>
          <w:tcPr>
            <w:tcW w:w="2280" w:type="dxa"/>
            <w:vAlign w:val="bottom"/>
            <w:tcBorders>
              <w:bottom w:val="single" w:sz="8" w:color="CEFFE7"/>
            </w:tcBorders>
            <w:shd w:val="clear" w:color="auto" w:fill="CEFFE7"/>
          </w:tcPr>
          <w:p>
            <w:pPr>
              <w:spacing w:after="0"/>
              <w:rPr>
                <w:sz w:val="22"/>
                <w:szCs w:val="22"/>
                <w:color w:val="auto"/>
              </w:rPr>
            </w:pPr>
          </w:p>
        </w:tc>
        <w:tc>
          <w:tcPr>
            <w:tcW w:w="20" w:type="dxa"/>
            <w:vAlign w:val="bottom"/>
            <w:tcBorders>
              <w:bottom w:val="single" w:sz="8" w:color="CEFFE7"/>
            </w:tcBorders>
            <w:shd w:val="clear" w:color="auto" w:fill="CEFFE7"/>
          </w:tcPr>
          <w:p>
            <w:pPr>
              <w:spacing w:after="0"/>
              <w:rPr>
                <w:sz w:val="22"/>
                <w:szCs w:val="22"/>
                <w:color w:val="auto"/>
              </w:rPr>
            </w:pP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122</w:t>
            </w:r>
          </w:p>
        </w:tc>
        <w:tc>
          <w:tcPr>
            <w:tcW w:w="1540" w:type="dxa"/>
            <w:vAlign w:val="bottom"/>
            <w:tcBorders>
              <w:bottom w:val="single" w:sz="8" w:color="CEFFE7"/>
            </w:tcBorders>
            <w:shd w:val="clear" w:color="auto" w:fill="CEFFE7"/>
          </w:tcPr>
          <w:p>
            <w:pPr>
              <w:jc w:val="right"/>
              <w:ind w:right="12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(96)</w:t>
            </w:r>
          </w:p>
        </w:tc>
        <w:tc>
          <w:tcPr>
            <w:tcW w:w="20" w:type="dxa"/>
            <w:vAlign w:val="bottom"/>
            <w:tcBorders>
              <w:bottom w:val="single" w:sz="8" w:color="CEFFE7"/>
            </w:tcBorders>
            <w:shd w:val="clear" w:color="auto" w:fill="CEFFE7"/>
          </w:tcPr>
          <w:p>
            <w:pPr>
              <w:spacing w:after="0"/>
              <w:rPr>
                <w:sz w:val="22"/>
                <w:szCs w:val="22"/>
                <w:color w:val="auto"/>
              </w:rPr>
            </w:pPr>
          </w:p>
        </w:tc>
      </w:tr>
      <w:tr>
        <w:trPr>
          <w:trHeight w:val="20"/>
        </w:trPr>
        <w:tc>
          <w:tcPr>
            <w:tcW w:w="40" w:type="dxa"/>
            <w:vAlign w:val="bottom"/>
            <w:tcBorders>
              <w:top w:val="single" w:sz="8" w:color="CEFFE7"/>
            </w:tcBorders>
          </w:tcPr>
          <w:p>
            <w:pPr>
              <w:spacing w:after="0" w:line="20" w:lineRule="exact"/>
              <w:rPr>
                <w:sz w:val="1"/>
                <w:szCs w:val="1"/>
                <w:color w:val="auto"/>
              </w:rPr>
            </w:pPr>
          </w:p>
        </w:tc>
        <w:tc>
          <w:tcPr>
            <w:tcW w:w="5220" w:type="dxa"/>
            <w:vAlign w:val="bottom"/>
            <w:tcBorders>
              <w:top w:val="single" w:sz="8" w:color="CEFFE7"/>
            </w:tcBorders>
          </w:tcPr>
          <w:p>
            <w:pPr>
              <w:spacing w:after="0" w:line="20" w:lineRule="exact"/>
              <w:rPr>
                <w:sz w:val="1"/>
                <w:szCs w:val="1"/>
                <w:color w:val="auto"/>
              </w:rPr>
            </w:pPr>
          </w:p>
        </w:tc>
        <w:tc>
          <w:tcPr>
            <w:tcW w:w="228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2"/>
          </w:tcPr>
          <w:p>
            <w:pPr>
              <w:jc w:val="right"/>
              <w:ind w:right="190"/>
              <w:spacing w:after="0"/>
              <w:rPr>
                <w:sz w:val="20"/>
                <w:szCs w:val="20"/>
                <w:color w:val="auto"/>
              </w:rPr>
            </w:pPr>
            <w:r>
              <w:rPr>
                <w:rFonts w:ascii="Arial" w:cs="Arial" w:eastAsia="Arial" w:hAnsi="Arial"/>
                <w:sz w:val="18"/>
                <w:szCs w:val="18"/>
                <w:color w:val="auto"/>
              </w:rPr>
              <w:t>Nine Months Ended September 30,</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jc w:val="center"/>
              <w:ind w:right="270"/>
              <w:spacing w:after="0"/>
              <w:rPr>
                <w:sz w:val="20"/>
                <w:szCs w:val="20"/>
                <w:color w:val="auto"/>
              </w:rPr>
            </w:pPr>
            <w:r>
              <w:rPr>
                <w:rFonts w:ascii="Arial" w:cs="Arial" w:eastAsia="Arial" w:hAnsi="Arial"/>
                <w:sz w:val="18"/>
                <w:szCs w:val="18"/>
                <w:color w:val="auto"/>
                <w:w w:val="89"/>
              </w:rPr>
              <w:t>2019</w:t>
            </w:r>
          </w:p>
        </w:tc>
        <w:tc>
          <w:tcPr>
            <w:tcW w:w="1540" w:type="dxa"/>
            <w:vAlign w:val="bottom"/>
          </w:tcPr>
          <w:p>
            <w:pPr>
              <w:jc w:val="center"/>
              <w:ind w:left="370"/>
              <w:spacing w:after="0"/>
              <w:rPr>
                <w:sz w:val="20"/>
                <w:szCs w:val="20"/>
                <w:color w:val="auto"/>
              </w:rPr>
            </w:pPr>
            <w:r>
              <w:rPr>
                <w:rFonts w:ascii="Arial" w:cs="Arial" w:eastAsia="Arial" w:hAnsi="Arial"/>
                <w:sz w:val="18"/>
                <w:szCs w:val="18"/>
                <w:color w:val="auto"/>
                <w:w w:val="89"/>
              </w:rPr>
              <w:t>2018</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300" w:type="dxa"/>
            <w:vAlign w:val="bottom"/>
            <w:gridSpan w:val="2"/>
          </w:tcPr>
          <w:p>
            <w:pPr>
              <w:ind w:left="500"/>
              <w:spacing w:after="0"/>
              <w:rPr>
                <w:sz w:val="20"/>
                <w:szCs w:val="20"/>
                <w:color w:val="auto"/>
              </w:rPr>
            </w:pPr>
            <w:r>
              <w:rPr>
                <w:rFonts w:ascii="Arial" w:cs="Arial" w:eastAsia="Arial" w:hAnsi="Arial"/>
                <w:sz w:val="18"/>
                <w:szCs w:val="18"/>
                <w:color w:val="auto"/>
                <w:w w:val="95"/>
              </w:rPr>
              <w:t>Location of Gain/(Loss)</w:t>
            </w:r>
          </w:p>
        </w:tc>
        <w:tc>
          <w:tcPr>
            <w:tcW w:w="192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Amount of Gain/(Loss)</w:t>
            </w:r>
          </w:p>
        </w:tc>
        <w:tc>
          <w:tcPr>
            <w:tcW w:w="1940" w:type="dxa"/>
            <w:vAlign w:val="bottom"/>
            <w:gridSpan w:val="3"/>
          </w:tcPr>
          <w:p>
            <w:pPr>
              <w:jc w:val="center"/>
              <w:spacing w:after="0"/>
              <w:rPr>
                <w:sz w:val="20"/>
                <w:szCs w:val="20"/>
                <w:color w:val="auto"/>
              </w:rPr>
            </w:pPr>
            <w:r>
              <w:rPr>
                <w:rFonts w:ascii="Arial" w:cs="Arial" w:eastAsia="Arial" w:hAnsi="Arial"/>
                <w:sz w:val="18"/>
                <w:szCs w:val="18"/>
                <w:color w:val="auto"/>
                <w:w w:val="94"/>
              </w:rPr>
              <w:t>Amount of Gain/(Loss)</w:t>
            </w:r>
          </w:p>
        </w:tc>
      </w:tr>
      <w:tr>
        <w:trPr>
          <w:trHeight w:val="216"/>
        </w:trPr>
        <w:tc>
          <w:tcPr>
            <w:tcW w:w="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300" w:type="dxa"/>
            <w:vAlign w:val="bottom"/>
            <w:gridSpan w:val="2"/>
          </w:tcPr>
          <w:p>
            <w:pPr>
              <w:jc w:val="center"/>
              <w:ind w:left="350"/>
              <w:spacing w:after="0"/>
              <w:rPr>
                <w:sz w:val="20"/>
                <w:szCs w:val="20"/>
                <w:color w:val="auto"/>
              </w:rPr>
            </w:pPr>
            <w:r>
              <w:rPr>
                <w:rFonts w:ascii="Arial" w:cs="Arial" w:eastAsia="Arial" w:hAnsi="Arial"/>
                <w:sz w:val="18"/>
                <w:szCs w:val="18"/>
                <w:color w:val="auto"/>
                <w:w w:val="92"/>
              </w:rPr>
              <w:t>on Derivatives</w:t>
            </w:r>
          </w:p>
        </w:tc>
        <w:tc>
          <w:tcPr>
            <w:tcW w:w="240" w:type="dxa"/>
            <w:vAlign w:val="bottom"/>
          </w:tcPr>
          <w:p>
            <w:pPr>
              <w:spacing w:after="0"/>
              <w:rPr>
                <w:sz w:val="18"/>
                <w:szCs w:val="18"/>
                <w:color w:val="auto"/>
              </w:rPr>
            </w:pPr>
          </w:p>
        </w:tc>
        <w:tc>
          <w:tcPr>
            <w:tcW w:w="1680" w:type="dxa"/>
            <w:vAlign w:val="bottom"/>
          </w:tcPr>
          <w:p>
            <w:pPr>
              <w:jc w:val="center"/>
              <w:ind w:right="290"/>
              <w:spacing w:after="0"/>
              <w:rPr>
                <w:sz w:val="20"/>
                <w:szCs w:val="20"/>
                <w:color w:val="auto"/>
              </w:rPr>
            </w:pPr>
            <w:r>
              <w:rPr>
                <w:rFonts w:ascii="Arial" w:cs="Arial" w:eastAsia="Arial" w:hAnsi="Arial"/>
                <w:sz w:val="18"/>
                <w:szCs w:val="18"/>
                <w:color w:val="auto"/>
                <w:w w:val="92"/>
              </w:rPr>
              <w:t>on Derivatives</w:t>
            </w:r>
          </w:p>
        </w:tc>
        <w:tc>
          <w:tcPr>
            <w:tcW w:w="1540" w:type="dxa"/>
            <w:vAlign w:val="bottom"/>
          </w:tcPr>
          <w:p>
            <w:pPr>
              <w:jc w:val="center"/>
              <w:ind w:left="390"/>
              <w:spacing w:after="0"/>
              <w:rPr>
                <w:sz w:val="20"/>
                <w:szCs w:val="20"/>
                <w:color w:val="auto"/>
              </w:rPr>
            </w:pPr>
            <w:r>
              <w:rPr>
                <w:rFonts w:ascii="Arial" w:cs="Arial" w:eastAsia="Arial" w:hAnsi="Arial"/>
                <w:sz w:val="18"/>
                <w:szCs w:val="18"/>
                <w:color w:val="auto"/>
                <w:w w:val="92"/>
              </w:rPr>
              <w:t>on Derivatives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5220" w:type="dxa"/>
            <w:vAlign w:val="bottom"/>
          </w:tcPr>
          <w:p>
            <w:pPr>
              <w:ind w:left="960"/>
              <w:spacing w:after="0"/>
              <w:rPr>
                <w:sz w:val="20"/>
                <w:szCs w:val="20"/>
                <w:color w:val="auto"/>
              </w:rPr>
            </w:pPr>
            <w:r>
              <w:rPr>
                <w:rFonts w:ascii="Arial" w:cs="Arial" w:eastAsia="Arial" w:hAnsi="Arial"/>
                <w:sz w:val="18"/>
                <w:szCs w:val="18"/>
                <w:color w:val="auto"/>
              </w:rPr>
              <w:t>Derivatives Not Designated as Hedging Instruments</w:t>
            </w:r>
          </w:p>
        </w:tc>
        <w:tc>
          <w:tcPr>
            <w:tcW w:w="230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Recognized in Income</w:t>
            </w:r>
          </w:p>
        </w:tc>
        <w:tc>
          <w:tcPr>
            <w:tcW w:w="192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Recognized in Income</w:t>
            </w:r>
          </w:p>
        </w:tc>
        <w:tc>
          <w:tcPr>
            <w:tcW w:w="1940" w:type="dxa"/>
            <w:vAlign w:val="bottom"/>
            <w:gridSpan w:val="3"/>
          </w:tcPr>
          <w:p>
            <w:pPr>
              <w:jc w:val="center"/>
              <w:spacing w:after="0"/>
              <w:rPr>
                <w:sz w:val="20"/>
                <w:szCs w:val="20"/>
                <w:color w:val="auto"/>
              </w:rPr>
            </w:pPr>
            <w:r>
              <w:rPr>
                <w:rFonts w:ascii="Arial" w:cs="Arial" w:eastAsia="Arial" w:hAnsi="Arial"/>
                <w:sz w:val="18"/>
                <w:szCs w:val="18"/>
                <w:color w:val="auto"/>
                <w:w w:val="90"/>
              </w:rPr>
              <w:t>Recognized in Income</w:t>
            </w:r>
          </w:p>
        </w:tc>
      </w:tr>
      <w:tr>
        <w:trPr>
          <w:trHeight w:val="27"/>
        </w:trPr>
        <w:tc>
          <w:tcPr>
            <w:tcW w:w="4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5220" w:type="dxa"/>
            <w:vAlign w:val="bottom"/>
            <w:shd w:val="clear" w:color="auto" w:fill="CEFFE7"/>
          </w:tcPr>
          <w:p>
            <w:pPr>
              <w:spacing w:after="0"/>
              <w:rPr>
                <w:sz w:val="19"/>
                <w:szCs w:val="19"/>
                <w:color w:val="auto"/>
              </w:rPr>
            </w:pPr>
          </w:p>
        </w:tc>
        <w:tc>
          <w:tcPr>
            <w:tcW w:w="2300" w:type="dxa"/>
            <w:vAlign w:val="bottom"/>
            <w:gridSpan w:val="2"/>
            <w:shd w:val="clear" w:color="auto" w:fill="CEFFE7"/>
          </w:tcPr>
          <w:p>
            <w:pPr>
              <w:ind w:left="480"/>
              <w:spacing w:after="0"/>
              <w:rPr>
                <w:sz w:val="20"/>
                <w:szCs w:val="20"/>
                <w:color w:val="auto"/>
              </w:rPr>
            </w:pPr>
            <w:r>
              <w:rPr>
                <w:rFonts w:ascii="Arial" w:cs="Arial" w:eastAsia="Arial" w:hAnsi="Arial"/>
                <w:sz w:val="18"/>
                <w:szCs w:val="18"/>
                <w:color w:val="auto"/>
                <w:w w:val="98"/>
              </w:rPr>
              <w:t>Fuel, purchased power</w:t>
            </w:r>
          </w:p>
        </w:tc>
        <w:tc>
          <w:tcPr>
            <w:tcW w:w="240" w:type="dxa"/>
            <w:vAlign w:val="bottom"/>
            <w:shd w:val="clear" w:color="auto" w:fill="CEFFE7"/>
          </w:tcPr>
          <w:p>
            <w:pPr>
              <w:spacing w:after="0"/>
              <w:rPr>
                <w:sz w:val="19"/>
                <w:szCs w:val="19"/>
                <w:color w:val="auto"/>
              </w:rPr>
            </w:pPr>
          </w:p>
        </w:tc>
        <w:tc>
          <w:tcPr>
            <w:tcW w:w="1680" w:type="dxa"/>
            <w:vAlign w:val="bottom"/>
            <w:shd w:val="clear" w:color="auto" w:fill="CEFFE7"/>
          </w:tcPr>
          <w:p>
            <w:pPr>
              <w:spacing w:after="0"/>
              <w:rPr>
                <w:sz w:val="19"/>
                <w:szCs w:val="19"/>
                <w:color w:val="auto"/>
              </w:rPr>
            </w:pPr>
          </w:p>
        </w:tc>
        <w:tc>
          <w:tcPr>
            <w:tcW w:w="1540" w:type="dxa"/>
            <w:vAlign w:val="bottom"/>
            <w:shd w:val="clear" w:color="auto" w:fill="CEFFE7"/>
          </w:tcPr>
          <w:p>
            <w:pPr>
              <w:spacing w:after="0"/>
              <w:rPr>
                <w:sz w:val="19"/>
                <w:szCs w:val="19"/>
                <w:color w:val="auto"/>
              </w:rPr>
            </w:pPr>
          </w:p>
        </w:tc>
        <w:tc>
          <w:tcPr>
            <w:tcW w:w="380" w:type="dxa"/>
            <w:vAlign w:val="bottom"/>
            <w:shd w:val="clear" w:color="auto" w:fill="CEFFE7"/>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5220" w:type="dxa"/>
            <w:vAlign w:val="bottom"/>
            <w:shd w:val="clear" w:color="auto" w:fill="CEFFE7"/>
          </w:tcPr>
          <w:p>
            <w:pPr>
              <w:spacing w:after="0"/>
              <w:rPr>
                <w:sz w:val="18"/>
                <w:szCs w:val="18"/>
                <w:color w:val="auto"/>
              </w:rPr>
            </w:pPr>
          </w:p>
        </w:tc>
        <w:tc>
          <w:tcPr>
            <w:tcW w:w="2300" w:type="dxa"/>
            <w:vAlign w:val="bottom"/>
            <w:gridSpan w:val="2"/>
            <w:shd w:val="clear" w:color="auto" w:fill="CEFFE7"/>
          </w:tcPr>
          <w:p>
            <w:pPr>
              <w:ind w:left="480"/>
              <w:spacing w:after="0"/>
              <w:rPr>
                <w:sz w:val="20"/>
                <w:szCs w:val="20"/>
                <w:color w:val="auto"/>
              </w:rPr>
            </w:pPr>
            <w:r>
              <w:rPr>
                <w:rFonts w:ascii="Arial" w:cs="Arial" w:eastAsia="Arial" w:hAnsi="Arial"/>
                <w:sz w:val="18"/>
                <w:szCs w:val="18"/>
                <w:color w:val="auto"/>
                <w:w w:val="98"/>
              </w:rPr>
              <w:t>and cost of natural gas</w:t>
            </w:r>
          </w:p>
        </w:tc>
        <w:tc>
          <w:tcPr>
            <w:tcW w:w="240" w:type="dxa"/>
            <w:vAlign w:val="bottom"/>
            <w:shd w:val="clear" w:color="auto" w:fill="CEFFE7"/>
          </w:tcPr>
          <w:p>
            <w:pPr>
              <w:spacing w:after="0"/>
              <w:rPr>
                <w:sz w:val="18"/>
                <w:szCs w:val="18"/>
                <w:color w:val="auto"/>
              </w:rPr>
            </w:pPr>
          </w:p>
        </w:tc>
        <w:tc>
          <w:tcPr>
            <w:tcW w:w="1680" w:type="dxa"/>
            <w:vAlign w:val="bottom"/>
            <w:shd w:val="clear" w:color="auto" w:fill="CEFFE7"/>
          </w:tcPr>
          <w:p>
            <w:pPr>
              <w:spacing w:after="0"/>
              <w:rPr>
                <w:sz w:val="18"/>
                <w:szCs w:val="18"/>
                <w:color w:val="auto"/>
              </w:rPr>
            </w:pPr>
          </w:p>
        </w:tc>
        <w:tc>
          <w:tcPr>
            <w:tcW w:w="1540" w:type="dxa"/>
            <w:vAlign w:val="bottom"/>
            <w:shd w:val="clear" w:color="auto" w:fill="CEFFE7"/>
          </w:tcPr>
          <w:p>
            <w:pPr>
              <w:spacing w:after="0"/>
              <w:rPr>
                <w:sz w:val="18"/>
                <w:szCs w:val="18"/>
                <w:color w:val="auto"/>
              </w:rPr>
            </w:pPr>
          </w:p>
        </w:tc>
        <w:tc>
          <w:tcPr>
            <w:tcW w:w="380" w:type="dxa"/>
            <w:vAlign w:val="bottom"/>
            <w:shd w:val="clear" w:color="auto" w:fill="CEFFE7"/>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0" w:type="dxa"/>
            <w:vAlign w:val="bottom"/>
          </w:tcPr>
          <w:p>
            <w:pPr>
              <w:spacing w:after="0"/>
              <w:rPr>
                <w:sz w:val="20"/>
                <w:szCs w:val="20"/>
                <w:color w:val="auto"/>
              </w:rPr>
            </w:pPr>
          </w:p>
        </w:tc>
        <w:tc>
          <w:tcPr>
            <w:tcW w:w="52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Commodity derivatives</w:t>
            </w:r>
          </w:p>
        </w:tc>
        <w:tc>
          <w:tcPr>
            <w:tcW w:w="2300" w:type="dxa"/>
            <w:vAlign w:val="bottom"/>
            <w:tcBorders>
              <w:bottom w:val="single" w:sz="8" w:color="CEFFE7"/>
            </w:tcBorders>
            <w:gridSpan w:val="2"/>
            <w:shd w:val="clear" w:color="auto" w:fill="CEFFE7"/>
          </w:tcPr>
          <w:p>
            <w:pPr>
              <w:ind w:left="480"/>
              <w:spacing w:after="0"/>
              <w:rPr>
                <w:sz w:val="20"/>
                <w:szCs w:val="20"/>
                <w:color w:val="auto"/>
              </w:rPr>
            </w:pPr>
            <w:r>
              <w:rPr>
                <w:rFonts w:ascii="Arial" w:cs="Arial" w:eastAsia="Arial" w:hAnsi="Arial"/>
                <w:sz w:val="18"/>
                <w:szCs w:val="18"/>
                <w:color w:val="auto"/>
              </w:rPr>
              <w:t>sold</w:t>
            </w:r>
          </w:p>
        </w:tc>
        <w:tc>
          <w:tcPr>
            <w:tcW w:w="2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(1,180)</w:t>
            </w:r>
          </w:p>
        </w:tc>
        <w:tc>
          <w:tcPr>
            <w:tcW w:w="1540" w:type="dxa"/>
            <w:vAlign w:val="bottom"/>
            <w:tcBorders>
              <w:bottom w:val="single" w:sz="8" w:color="CEFFE7"/>
            </w:tcBorders>
            <w:shd w:val="clear" w:color="auto" w:fill="CEFFE7"/>
          </w:tcPr>
          <w:p>
            <w:pPr>
              <w:jc w:val="right"/>
              <w:ind w:right="12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79"/>
              </w:rPr>
              <w:t>929</w:t>
            </w:r>
          </w:p>
        </w:tc>
        <w:tc>
          <w:tcPr>
            <w:tcW w:w="2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300" w:type="dxa"/>
            <w:vAlign w:val="bottom"/>
            <w:gridSpan w:val="2"/>
          </w:tcPr>
          <w:p>
            <w:pPr>
              <w:ind w:left="48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2300" w:type="dxa"/>
            <w:vAlign w:val="bottom"/>
            <w:gridSpan w:val="2"/>
          </w:tcPr>
          <w:p>
            <w:pPr>
              <w:ind w:left="480"/>
              <w:spacing w:after="0"/>
              <w:rPr>
                <w:sz w:val="20"/>
                <w:szCs w:val="20"/>
                <w:color w:val="auto"/>
              </w:rPr>
            </w:pPr>
            <w:r>
              <w:rPr>
                <w:rFonts w:ascii="Arial" w:cs="Arial" w:eastAsia="Arial" w:hAnsi="Arial"/>
                <w:sz w:val="18"/>
                <w:szCs w:val="18"/>
                <w:color w:val="auto"/>
              </w:rPr>
              <w:t>(expense),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142</w:t>
            </w:r>
          </w:p>
        </w:tc>
        <w:tc>
          <w:tcPr>
            <w:tcW w:w="1540" w:type="dxa"/>
            <w:vAlign w:val="bottom"/>
          </w:tcPr>
          <w:p>
            <w:pPr>
              <w:jc w:val="right"/>
              <w:ind w:right="123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5220" w:type="dxa"/>
            <w:vAlign w:val="bottom"/>
            <w:tcBorders>
              <w:bottom w:val="single" w:sz="8" w:color="CEFFE7"/>
            </w:tcBorders>
          </w:tcPr>
          <w:p>
            <w:pPr>
              <w:spacing w:after="0"/>
              <w:rPr>
                <w:sz w:val="2"/>
                <w:szCs w:val="2"/>
                <w:color w:val="auto"/>
              </w:rPr>
            </w:pPr>
          </w:p>
        </w:tc>
        <w:tc>
          <w:tcPr>
            <w:tcW w:w="2280" w:type="dxa"/>
            <w:vAlign w:val="bottom"/>
            <w:tcBorders>
              <w:bottom w:val="single" w:sz="8" w:color="CEFFE7"/>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5220" w:type="dxa"/>
            <w:vAlign w:val="bottom"/>
            <w:tcBorders>
              <w:bottom w:val="single" w:sz="8" w:color="CEFFE7"/>
            </w:tcBorders>
            <w:shd w:val="clear" w:color="auto" w:fill="CEFFE7"/>
          </w:tcPr>
          <w:p>
            <w:pPr>
              <w:spacing w:after="0"/>
              <w:rPr>
                <w:sz w:val="22"/>
                <w:szCs w:val="22"/>
                <w:color w:val="auto"/>
              </w:rPr>
            </w:pPr>
          </w:p>
        </w:tc>
        <w:tc>
          <w:tcPr>
            <w:tcW w:w="2280" w:type="dxa"/>
            <w:vAlign w:val="bottom"/>
            <w:tcBorders>
              <w:bottom w:val="single" w:sz="8" w:color="CEFFE7"/>
            </w:tcBorders>
            <w:shd w:val="clear" w:color="auto" w:fill="CEFFE7"/>
          </w:tcPr>
          <w:p>
            <w:pPr>
              <w:spacing w:after="0"/>
              <w:rPr>
                <w:sz w:val="22"/>
                <w:szCs w:val="22"/>
                <w:color w:val="auto"/>
              </w:rPr>
            </w:pPr>
          </w:p>
        </w:tc>
        <w:tc>
          <w:tcPr>
            <w:tcW w:w="20" w:type="dxa"/>
            <w:vAlign w:val="bottom"/>
            <w:tcBorders>
              <w:bottom w:val="single" w:sz="8" w:color="CEFFE7"/>
            </w:tcBorders>
            <w:shd w:val="clear" w:color="auto" w:fill="CEFFE7"/>
          </w:tcPr>
          <w:p>
            <w:pPr>
              <w:spacing w:after="0"/>
              <w:rPr>
                <w:sz w:val="22"/>
                <w:szCs w:val="22"/>
                <w:color w:val="auto"/>
              </w:rPr>
            </w:pPr>
          </w:p>
        </w:tc>
        <w:tc>
          <w:tcPr>
            <w:tcW w:w="2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(1,038)</w:t>
            </w:r>
          </w:p>
        </w:tc>
        <w:tc>
          <w:tcPr>
            <w:tcW w:w="1540" w:type="dxa"/>
            <w:vAlign w:val="bottom"/>
            <w:tcBorders>
              <w:bottom w:val="single" w:sz="8" w:color="CEFFE7"/>
            </w:tcBorders>
            <w:shd w:val="clear" w:color="auto" w:fill="CEFFE7"/>
          </w:tcPr>
          <w:p>
            <w:pPr>
              <w:jc w:val="right"/>
              <w:ind w:right="12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79"/>
              </w:rPr>
              <w:t>929</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220" w:type="dxa"/>
            <w:vAlign w:val="bottom"/>
            <w:tcBorders>
              <w:top w:val="single" w:sz="8" w:color="CEFFE7"/>
            </w:tcBorders>
          </w:tcPr>
          <w:p>
            <w:pPr>
              <w:spacing w:after="0" w:line="20" w:lineRule="exact"/>
              <w:rPr>
                <w:sz w:val="1"/>
                <w:szCs w:val="1"/>
                <w:color w:val="auto"/>
              </w:rPr>
            </w:pPr>
          </w:p>
        </w:tc>
        <w:tc>
          <w:tcPr>
            <w:tcW w:w="228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above, financial instruments used in our regulated utilities are not designated as cash flow hedges. However, there is no earnings impact because the unrealized gains and losses arising from the use of these financial instruments are recorded as Regulatory assets or Regulatory liabilities. The net unrealized losses included in our Regulatory asset or Regulatory liability accounts related to the hedges in our utilities were $4.3 million and $6.2 million as of September 30, 2019 and December 31, 2018, respectively.</w:t>
      </w:r>
    </w:p>
    <w:p>
      <w:pPr>
        <w:spacing w:after="0" w:line="200" w:lineRule="exact"/>
        <w:rPr>
          <w:sz w:val="20"/>
          <w:szCs w:val="20"/>
          <w:color w:val="auto"/>
        </w:rPr>
      </w:pPr>
    </w:p>
    <w:p>
      <w:pPr>
        <w:spacing w:after="0" w:line="203" w:lineRule="exact"/>
        <w:rPr>
          <w:sz w:val="20"/>
          <w:szCs w:val="20"/>
          <w:color w:val="auto"/>
        </w:rPr>
      </w:pPr>
    </w:p>
    <w:p>
      <w:pPr>
        <w:ind w:right="8400" w:firstLine="8"/>
        <w:spacing w:after="0" w:line="530" w:lineRule="auto"/>
        <w:tabs>
          <w:tab w:leader="none" w:pos="473"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FAIR VALUE MEASUREMENTS </w:t>
      </w:r>
      <w:r>
        <w:rPr>
          <w:rFonts w:ascii="Arial" w:cs="Arial" w:eastAsia="Arial" w:hAnsi="Arial"/>
          <w:sz w:val="17"/>
          <w:szCs w:val="17"/>
          <w:u w:val="single" w:color="auto"/>
          <w:color w:val="auto"/>
        </w:rPr>
        <w:t>Derivative Financial Instruments</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accounting guidance for fair value measurements requires certain disclosures about assets and liabilities measured at fair value. This guidance establishes a hierarchical framework for disclosing the observability of the inputs utilized in measuring assets and liabilities at fair value. 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 For additional information, see Notes 1, 9, 10 and 11 to the Consolidated Financial Statements included in our 2018 Annual Report on Form 10-K filed with the SEC.</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Methodologies for Derivatives</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commodity contracts for our Utilities Segments, are valued using the market approach and include exchange-traded futures, options, basis swaps and over-the-counter swaps and options (Level 2) for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CVA based on the credit spreads of the counterparties when we are in an unrealized gain position or on our own credit spread when we are in an unrealized loss position.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Nonrecurring 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discussion of the fair value of our investment in equity securities of a privately held oil and gas company, a Level 3 asset, is included in Note 21.</w:t>
      </w:r>
    </w:p>
    <w:p>
      <w:pPr>
        <w:sectPr>
          <w:pgSz w:w="11900" w:h="16838" w:orient="portrait"/>
          <w:cols w:equalWidth="0" w:num="1">
            <w:col w:w="11420"/>
          </w:cols>
          <w:pgMar w:left="240" w:top="126" w:right="239"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4120" w:type="dxa"/>
            <w:vAlign w:val="bottom"/>
            <w:gridSpan w:val="2"/>
          </w:tcPr>
          <w:p>
            <w:pPr>
              <w:spacing w:after="0"/>
              <w:rPr>
                <w:sz w:val="20"/>
                <w:szCs w:val="20"/>
                <w:color w:val="auto"/>
              </w:rPr>
            </w:pPr>
            <w:r>
              <w:rPr>
                <w:rFonts w:ascii="Arial" w:cs="Arial" w:eastAsia="Arial" w:hAnsi="Arial"/>
                <w:sz w:val="18"/>
                <w:szCs w:val="18"/>
                <w:color w:val="auto"/>
              </w:rPr>
              <w:t>Recurring Fair Value Measurements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574"/>
        </w:trPr>
        <w:tc>
          <w:tcPr>
            <w:tcW w:w="262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00" w:type="dxa"/>
            <w:vAlign w:val="bottom"/>
            <w:gridSpan w:val="4"/>
          </w:tcPr>
          <w:p>
            <w:pPr>
              <w:jc w:val="center"/>
              <w:ind w:right="1130"/>
              <w:spacing w:after="0"/>
              <w:rPr>
                <w:sz w:val="20"/>
                <w:szCs w:val="20"/>
                <w:color w:val="auto"/>
              </w:rPr>
            </w:pPr>
            <w:r>
              <w:rPr>
                <w:rFonts w:ascii="Arial" w:cs="Arial" w:eastAsia="Arial" w:hAnsi="Arial"/>
                <w:sz w:val="18"/>
                <w:szCs w:val="18"/>
                <w:color w:val="auto"/>
                <w:w w:val="89"/>
              </w:rPr>
              <w:t>As of September 30, 2019</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2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6"/>
        </w:trPr>
        <w:tc>
          <w:tcPr>
            <w:tcW w:w="2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2"/>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12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center"/>
              <w:ind w:right="39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2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(in thousands)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Commodity derivatives — Utilities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2,750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0" w:type="dxa"/>
            <w:vAlign w:val="bottom"/>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(2,335)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415</w:t>
            </w:r>
          </w:p>
        </w:tc>
      </w:tr>
      <w:tr>
        <w:trPr>
          <w:trHeight w:val="27"/>
        </w:trPr>
        <w:tc>
          <w:tcPr>
            <w:tcW w:w="2620" w:type="dxa"/>
            <w:vAlign w:val="bottom"/>
            <w:tcBorders>
              <w:bottom w:val="single" w:sz="8" w:color="CEFFE7"/>
            </w:tcBorders>
          </w:tcPr>
          <w:p>
            <w:pPr>
              <w:spacing w:after="0"/>
              <w:rPr>
                <w:sz w:val="2"/>
                <w:szCs w:val="2"/>
                <w:color w:val="auto"/>
              </w:rPr>
            </w:pPr>
          </w:p>
        </w:tc>
        <w:tc>
          <w:tcPr>
            <w:tcW w:w="15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ind w:left="7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2,750</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1200" w:type="dxa"/>
            <w:vAlign w:val="bottom"/>
            <w:tcBorders>
              <w:bottom w:val="single" w:sz="8" w:color="auto"/>
            </w:tcBorders>
            <w:shd w:val="clear" w:color="auto" w:fill="CEFFE7"/>
          </w:tcPr>
          <w:p>
            <w:pPr>
              <w:ind w:left="7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(2,335)</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415</w:t>
            </w:r>
          </w:p>
        </w:tc>
      </w:tr>
      <w:tr>
        <w:trPr>
          <w:trHeight w:val="20"/>
        </w:trPr>
        <w:tc>
          <w:tcPr>
            <w:tcW w:w="2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2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0"/>
        </w:trPr>
        <w:tc>
          <w:tcPr>
            <w:tcW w:w="41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Commodity derivatives — Utilities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6,080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0" w:type="dxa"/>
            <w:vAlign w:val="bottom"/>
          </w:tcPr>
          <w:p>
            <w:pPr>
              <w:ind w:left="7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(3,471)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2,609</w:t>
            </w:r>
          </w:p>
        </w:tc>
      </w:tr>
      <w:tr>
        <w:trPr>
          <w:trHeight w:val="27"/>
        </w:trPr>
        <w:tc>
          <w:tcPr>
            <w:tcW w:w="2620" w:type="dxa"/>
            <w:vAlign w:val="bottom"/>
            <w:tcBorders>
              <w:bottom w:val="single" w:sz="8" w:color="CEFFE7"/>
            </w:tcBorders>
          </w:tcPr>
          <w:p>
            <w:pPr>
              <w:spacing w:after="0"/>
              <w:rPr>
                <w:sz w:val="2"/>
                <w:szCs w:val="2"/>
                <w:color w:val="auto"/>
              </w:rPr>
            </w:pPr>
          </w:p>
        </w:tc>
        <w:tc>
          <w:tcPr>
            <w:tcW w:w="15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ind w:left="7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6,080</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1200" w:type="dxa"/>
            <w:vAlign w:val="bottom"/>
            <w:tcBorders>
              <w:bottom w:val="single" w:sz="8" w:color="auto"/>
            </w:tcBorders>
            <w:shd w:val="clear" w:color="auto" w:fill="CEFFE7"/>
          </w:tcPr>
          <w:p>
            <w:pPr>
              <w:ind w:left="7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(3,471)</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2,609</w:t>
            </w:r>
          </w:p>
        </w:tc>
      </w:tr>
      <w:tr>
        <w:trPr>
          <w:trHeight w:val="20"/>
        </w:trPr>
        <w:tc>
          <w:tcPr>
            <w:tcW w:w="2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38"/>
        </w:trPr>
        <w:tc>
          <w:tcPr>
            <w:tcW w:w="2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73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588"/>
        </w:trPr>
        <w:tc>
          <w:tcPr>
            <w:tcW w:w="122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20" w:type="dxa"/>
            <w:vAlign w:val="bottom"/>
            <w:gridSpan w:val="5"/>
          </w:tcPr>
          <w:p>
            <w:pPr>
              <w:jc w:val="center"/>
              <w:ind w:right="1090"/>
              <w:spacing w:after="0"/>
              <w:rPr>
                <w:sz w:val="20"/>
                <w:szCs w:val="20"/>
                <w:color w:val="auto"/>
              </w:rPr>
            </w:pPr>
            <w:r>
              <w:rPr>
                <w:rFonts w:ascii="Arial" w:cs="Arial" w:eastAsia="Arial" w:hAnsi="Arial"/>
                <w:sz w:val="18"/>
                <w:szCs w:val="18"/>
                <w:color w:val="auto"/>
                <w:w w:val="91"/>
              </w:rPr>
              <w:t>As of December 31, 2018</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6"/>
        </w:trPr>
        <w:tc>
          <w:tcPr>
            <w:tcW w:w="12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2"/>
          </w:tcPr>
          <w:p>
            <w:pPr>
              <w:jc w:val="center"/>
              <w:ind w:right="50"/>
              <w:spacing w:after="0"/>
              <w:rPr>
                <w:sz w:val="20"/>
                <w:szCs w:val="20"/>
                <w:color w:val="auto"/>
              </w:rPr>
            </w:pPr>
            <w:r>
              <w:rPr>
                <w:rFonts w:ascii="Arial" w:cs="Arial" w:eastAsia="Arial" w:hAnsi="Arial"/>
                <w:sz w:val="18"/>
                <w:szCs w:val="18"/>
                <w:color w:val="auto"/>
                <w:w w:val="89"/>
              </w:rPr>
              <w:t>Cash Collateral and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0"/>
              <w:spacing w:after="0"/>
              <w:rPr>
                <w:sz w:val="20"/>
                <w:szCs w:val="20"/>
                <w:color w:val="auto"/>
              </w:rPr>
            </w:pPr>
            <w:r>
              <w:rPr>
                <w:rFonts w:ascii="Arial" w:cs="Arial" w:eastAsia="Arial" w:hAnsi="Arial"/>
                <w:sz w:val="18"/>
                <w:szCs w:val="18"/>
                <w:color w:val="auto"/>
                <w:w w:val="92"/>
              </w:rPr>
              <w:t>Counterparty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Level 3</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center"/>
              <w:ind w:right="390"/>
              <w:spacing w:after="0"/>
              <w:rPr>
                <w:sz w:val="20"/>
                <w:szCs w:val="20"/>
                <w:color w:val="auto"/>
              </w:rPr>
            </w:pPr>
            <w:r>
              <w:rPr>
                <w:rFonts w:ascii="Arial" w:cs="Arial" w:eastAsia="Arial" w:hAnsi="Arial"/>
                <w:sz w:val="18"/>
                <w:szCs w:val="18"/>
                <w:color w:val="auto"/>
                <w:w w:val="94"/>
              </w:rPr>
              <w:t>Netting</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12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(in thousands)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12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(1,408)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1,519</w:t>
            </w:r>
          </w:p>
        </w:tc>
      </w:tr>
      <w:tr>
        <w:trPr>
          <w:trHeight w:val="27"/>
        </w:trPr>
        <w:tc>
          <w:tcPr>
            <w:tcW w:w="1220" w:type="dxa"/>
            <w:vAlign w:val="bottom"/>
            <w:tcBorders>
              <w:bottom w:val="single" w:sz="8" w:color="CEFFE7"/>
            </w:tcBorders>
          </w:tcPr>
          <w:p>
            <w:pPr>
              <w:spacing w:after="0"/>
              <w:rPr>
                <w:sz w:val="2"/>
                <w:szCs w:val="2"/>
                <w:color w:val="auto"/>
              </w:rPr>
            </w:pPr>
          </w:p>
        </w:tc>
        <w:tc>
          <w:tcPr>
            <w:tcW w:w="290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2,927</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1180" w:type="dxa"/>
            <w:vAlign w:val="bottom"/>
            <w:tcBorders>
              <w:bottom w:val="single" w:sz="8" w:color="auto"/>
            </w:tcBorders>
            <w:shd w:val="clear" w:color="auto" w:fill="CEFFE7"/>
          </w:tcPr>
          <w:p>
            <w:pPr>
              <w:ind w:left="7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(1,408)</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1,519</w:t>
            </w:r>
          </w:p>
        </w:tc>
      </w:tr>
      <w:tr>
        <w:trPr>
          <w:trHeight w:val="20"/>
        </w:trPr>
        <w:tc>
          <w:tcPr>
            <w:tcW w:w="1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12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0"/>
        </w:trPr>
        <w:tc>
          <w:tcPr>
            <w:tcW w:w="41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Liabilities:</w:t>
            </w: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4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Commodity derivatives — Utilities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(5,794)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1,007</w:t>
            </w:r>
          </w:p>
        </w:tc>
      </w:tr>
      <w:tr>
        <w:trPr>
          <w:trHeight w:val="27"/>
        </w:trPr>
        <w:tc>
          <w:tcPr>
            <w:tcW w:w="1220" w:type="dxa"/>
            <w:vAlign w:val="bottom"/>
            <w:tcBorders>
              <w:bottom w:val="single" w:sz="8" w:color="CEFFE7"/>
            </w:tcBorders>
          </w:tcPr>
          <w:p>
            <w:pPr>
              <w:spacing w:after="0"/>
              <w:rPr>
                <w:sz w:val="2"/>
                <w:szCs w:val="2"/>
                <w:color w:val="auto"/>
              </w:rPr>
            </w:pPr>
          </w:p>
        </w:tc>
        <w:tc>
          <w:tcPr>
            <w:tcW w:w="290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6,801</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EFFE7"/>
          </w:tcPr>
          <w:p>
            <w:pPr>
              <w:spacing w:after="0"/>
              <w:rPr>
                <w:sz w:val="22"/>
                <w:szCs w:val="22"/>
                <w:color w:val="auto"/>
              </w:rPr>
            </w:pPr>
          </w:p>
        </w:tc>
        <w:tc>
          <w:tcPr>
            <w:tcW w:w="1180" w:type="dxa"/>
            <w:vAlign w:val="bottom"/>
            <w:tcBorders>
              <w:bottom w:val="single" w:sz="8" w:color="auto"/>
            </w:tcBorders>
            <w:shd w:val="clear" w:color="auto" w:fill="CEFFE7"/>
          </w:tcPr>
          <w:p>
            <w:pPr>
              <w:ind w:left="7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(5,794)</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1,007</w:t>
            </w:r>
          </w:p>
        </w:tc>
      </w:tr>
      <w:tr>
        <w:trPr>
          <w:trHeight w:val="20"/>
        </w:trPr>
        <w:tc>
          <w:tcPr>
            <w:tcW w:w="1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Measures by Balance Sheet Classification</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required by accounting standards for derivatives and hedges, fair values within the following tables are presented on a gross basis aside from the netting of asset and liability positions permitted in accordance with accounting standards for offsetting and under terms of our master netting agreements and the impact of legally enforceable master netting agreements that allow us to settle positive and negative positions.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and balance sheet classification of our derivative instruments (in thousands)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3880" w:type="dxa"/>
            <w:vAlign w:val="bottom"/>
          </w:tcPr>
          <w:p>
            <w:pPr>
              <w:ind w:left="1120"/>
              <w:spacing w:after="0"/>
              <w:rPr>
                <w:sz w:val="20"/>
                <w:szCs w:val="20"/>
                <w:color w:val="auto"/>
              </w:rPr>
            </w:pPr>
            <w:r>
              <w:rPr>
                <w:rFonts w:ascii="Arial" w:cs="Arial" w:eastAsia="Arial" w:hAnsi="Arial"/>
                <w:sz w:val="16"/>
                <w:szCs w:val="16"/>
                <w:color w:val="auto"/>
              </w:rPr>
              <w:t>Balance Sheet Location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1"/>
              </w:rPr>
              <w:t>September 30, 2019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December 31, 2018</w:t>
            </w:r>
          </w:p>
        </w:tc>
        <w:tc>
          <w:tcPr>
            <w:tcW w:w="0" w:type="dxa"/>
            <w:vAlign w:val="bottom"/>
          </w:tcPr>
          <w:p>
            <w:pPr>
              <w:spacing w:after="0"/>
              <w:rPr>
                <w:sz w:val="1"/>
                <w:szCs w:val="1"/>
                <w:color w:val="auto"/>
              </w:rPr>
            </w:pPr>
          </w:p>
        </w:tc>
      </w:tr>
      <w:tr>
        <w:trPr>
          <w:trHeight w:val="27"/>
        </w:trPr>
        <w:tc>
          <w:tcPr>
            <w:tcW w:w="4360" w:type="dxa"/>
            <w:vAlign w:val="bottom"/>
            <w:vMerge w:val="restart"/>
          </w:tcPr>
          <w:p>
            <w:pPr>
              <w:ind w:left="40"/>
              <w:spacing w:after="0"/>
              <w:rPr>
                <w:sz w:val="20"/>
                <w:szCs w:val="20"/>
                <w:color w:val="auto"/>
              </w:rPr>
            </w:pPr>
            <w:r>
              <w:rPr>
                <w:rFonts w:ascii="Arial" w:cs="Arial" w:eastAsia="Arial" w:hAnsi="Arial"/>
                <w:sz w:val="16"/>
                <w:szCs w:val="16"/>
                <w:color w:val="auto"/>
              </w:rPr>
              <w:t>Derivatives designated as hedges:</w:t>
            </w:r>
          </w:p>
        </w:tc>
        <w:tc>
          <w:tcPr>
            <w:tcW w:w="3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60" w:type="dxa"/>
            <w:vAlign w:val="bottom"/>
            <w:vMerge w:val="continue"/>
          </w:tcPr>
          <w:p>
            <w:pPr>
              <w:spacing w:after="0"/>
              <w:rPr>
                <w:sz w:val="20"/>
                <w:szCs w:val="20"/>
                <w:color w:val="auto"/>
              </w:rPr>
            </w:pPr>
          </w:p>
        </w:tc>
        <w:tc>
          <w:tcPr>
            <w:tcW w:w="3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Asset derivative instruments:</w:t>
            </w:r>
          </w:p>
        </w:tc>
        <w:tc>
          <w:tcPr>
            <w:tcW w:w="388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340"/>
              <w:spacing w:after="0"/>
              <w:rPr>
                <w:sz w:val="20"/>
                <w:szCs w:val="20"/>
                <w:color w:val="auto"/>
              </w:rPr>
            </w:pPr>
            <w:r>
              <w:rPr>
                <w:rFonts w:ascii="Arial" w:cs="Arial" w:eastAsia="Arial" w:hAnsi="Arial"/>
                <w:sz w:val="16"/>
                <w:szCs w:val="16"/>
                <w:color w:val="auto"/>
              </w:rPr>
              <w:t>Current commodity derivatives</w:t>
            </w:r>
          </w:p>
        </w:tc>
        <w:tc>
          <w:tcPr>
            <w:tcW w:w="3880" w:type="dxa"/>
            <w:vAlign w:val="bottom"/>
          </w:tcPr>
          <w:p>
            <w:pPr>
              <w:ind w:left="20"/>
              <w:spacing w:after="0"/>
              <w:rPr>
                <w:sz w:val="20"/>
                <w:szCs w:val="20"/>
                <w:color w:val="auto"/>
              </w:rPr>
            </w:pPr>
            <w:r>
              <w:rPr>
                <w:rFonts w:ascii="Arial" w:cs="Arial" w:eastAsia="Arial" w:hAnsi="Arial"/>
                <w:sz w:val="16"/>
                <w:szCs w:val="16"/>
                <w:color w:val="auto"/>
              </w:rPr>
              <w:t>Derivative assets — current</w:t>
            </w:r>
          </w:p>
        </w:tc>
        <w:tc>
          <w:tcPr>
            <w:tcW w:w="600" w:type="dxa"/>
            <w:vAlign w:val="bottom"/>
          </w:tcPr>
          <w:p>
            <w:pPr>
              <w:jc w:val="right"/>
              <w:ind w:right="397"/>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7"/>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6"/>
                <w:szCs w:val="16"/>
                <w:color w:val="auto"/>
              </w:rPr>
              <w:t>Noncurrent commodity derivatives</w:t>
            </w:r>
          </w:p>
        </w:tc>
        <w:tc>
          <w:tcPr>
            <w:tcW w:w="38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Other assets, non-current</w:t>
            </w:r>
          </w:p>
        </w:tc>
        <w:tc>
          <w:tcPr>
            <w:tcW w:w="6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w:t>
            </w:r>
          </w:p>
        </w:tc>
        <w:tc>
          <w:tcPr>
            <w:tcW w:w="62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4360" w:type="dxa"/>
            <w:vAlign w:val="bottom"/>
          </w:tcPr>
          <w:p>
            <w:pPr>
              <w:ind w:left="240"/>
              <w:spacing w:after="0"/>
              <w:rPr>
                <w:sz w:val="20"/>
                <w:szCs w:val="20"/>
                <w:color w:val="auto"/>
              </w:rPr>
            </w:pPr>
            <w:r>
              <w:rPr>
                <w:rFonts w:ascii="Arial" w:cs="Arial" w:eastAsia="Arial" w:hAnsi="Arial"/>
                <w:sz w:val="16"/>
                <w:szCs w:val="16"/>
                <w:color w:val="auto"/>
              </w:rPr>
              <w:t>Liability derivative instruments:</w:t>
            </w:r>
          </w:p>
        </w:tc>
        <w:tc>
          <w:tcPr>
            <w:tcW w:w="3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6"/>
                <w:szCs w:val="16"/>
                <w:color w:val="auto"/>
              </w:rPr>
              <w:t>Current commodity derivatives</w:t>
            </w:r>
          </w:p>
        </w:tc>
        <w:tc>
          <w:tcPr>
            <w:tcW w:w="38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Derivative liabilities — current</w:t>
            </w:r>
          </w:p>
        </w:tc>
        <w:tc>
          <w:tcPr>
            <w:tcW w:w="6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(427)</w:t>
            </w:r>
          </w:p>
        </w:tc>
        <w:tc>
          <w:tcPr>
            <w:tcW w:w="62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37"/>
        </w:trPr>
        <w:tc>
          <w:tcPr>
            <w:tcW w:w="4360" w:type="dxa"/>
            <w:vAlign w:val="bottom"/>
          </w:tcPr>
          <w:p>
            <w:pPr>
              <w:ind w:left="340"/>
              <w:spacing w:after="0"/>
              <w:rPr>
                <w:sz w:val="20"/>
                <w:szCs w:val="20"/>
                <w:color w:val="auto"/>
              </w:rPr>
            </w:pPr>
            <w:r>
              <w:rPr>
                <w:rFonts w:ascii="Arial" w:cs="Arial" w:eastAsia="Arial" w:hAnsi="Arial"/>
                <w:sz w:val="16"/>
                <w:szCs w:val="16"/>
                <w:color w:val="auto"/>
              </w:rPr>
              <w:t>Noncurrent commodity derivatives</w:t>
            </w:r>
          </w:p>
        </w:tc>
        <w:tc>
          <w:tcPr>
            <w:tcW w:w="3880" w:type="dxa"/>
            <w:vAlign w:val="bottom"/>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w:t>
            </w: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EFFE7"/>
            </w:tcBorders>
          </w:tcPr>
          <w:p>
            <w:pPr>
              <w:spacing w:after="0"/>
              <w:rPr>
                <w:sz w:val="2"/>
                <w:szCs w:val="2"/>
                <w:color w:val="auto"/>
              </w:rPr>
            </w:pPr>
          </w:p>
        </w:tc>
        <w:tc>
          <w:tcPr>
            <w:tcW w:w="3880" w:type="dxa"/>
            <w:vAlign w:val="bottom"/>
            <w:tcBorders>
              <w:bottom w:val="single" w:sz="8" w:color="CEFFE7"/>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derivatives designated as hedges</w:t>
            </w:r>
          </w:p>
        </w:tc>
        <w:tc>
          <w:tcPr>
            <w:tcW w:w="388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auto"/>
            </w:tcBorders>
            <w:shd w:val="clear" w:color="auto" w:fill="CEFFE7"/>
          </w:tcPr>
          <w:p>
            <w:pPr>
              <w:jc w:val="right"/>
              <w:ind w:right="397"/>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(495)</w:t>
            </w:r>
          </w:p>
        </w:tc>
        <w:tc>
          <w:tcPr>
            <w:tcW w:w="620" w:type="dxa"/>
            <w:vAlign w:val="bottom"/>
            <w:tcBorders>
              <w:bottom w:val="single" w:sz="8" w:color="auto"/>
            </w:tcBorders>
            <w:shd w:val="clear" w:color="auto" w:fill="CEFFE7"/>
          </w:tcPr>
          <w:p>
            <w:pPr>
              <w:jc w:val="right"/>
              <w:ind w:right="417"/>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36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Derivatives not designated as hedges:</w:t>
            </w:r>
          </w:p>
        </w:tc>
        <w:tc>
          <w:tcPr>
            <w:tcW w:w="388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240"/>
              <w:spacing w:after="0"/>
              <w:rPr>
                <w:sz w:val="20"/>
                <w:szCs w:val="20"/>
                <w:color w:val="auto"/>
              </w:rPr>
            </w:pPr>
            <w:r>
              <w:rPr>
                <w:rFonts w:ascii="Arial" w:cs="Arial" w:eastAsia="Arial" w:hAnsi="Arial"/>
                <w:sz w:val="16"/>
                <w:szCs w:val="16"/>
                <w:color w:val="auto"/>
              </w:rPr>
              <w:t>Asset derivative instruments:</w:t>
            </w:r>
          </w:p>
        </w:tc>
        <w:tc>
          <w:tcPr>
            <w:tcW w:w="3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6"/>
                <w:szCs w:val="16"/>
                <w:color w:val="auto"/>
              </w:rPr>
              <w:t>Current commodity derivatives</w:t>
            </w:r>
          </w:p>
        </w:tc>
        <w:tc>
          <w:tcPr>
            <w:tcW w:w="38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Derivative assets — current</w:t>
            </w:r>
          </w:p>
        </w:tc>
        <w:tc>
          <w:tcPr>
            <w:tcW w:w="600" w:type="dxa"/>
            <w:vAlign w:val="bottom"/>
            <w:tcBorders>
              <w:bottom w:val="single" w:sz="8" w:color="CEFFE7"/>
            </w:tcBorders>
            <w:shd w:val="clear" w:color="auto" w:fill="CEFFE7"/>
          </w:tcPr>
          <w:p>
            <w:pPr>
              <w:jc w:val="right"/>
              <w:ind w:right="397"/>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412</w:t>
            </w:r>
          </w:p>
        </w:tc>
        <w:tc>
          <w:tcPr>
            <w:tcW w:w="620" w:type="dxa"/>
            <w:vAlign w:val="bottom"/>
            <w:tcBorders>
              <w:bottom w:val="single" w:sz="8" w:color="CEFFE7"/>
            </w:tcBorders>
            <w:shd w:val="clear" w:color="auto" w:fill="CEFFE7"/>
          </w:tcPr>
          <w:p>
            <w:pPr>
              <w:jc w:val="right"/>
              <w:ind w:right="417"/>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1,085</w:t>
            </w:r>
          </w:p>
        </w:tc>
        <w:tc>
          <w:tcPr>
            <w:tcW w:w="0" w:type="dxa"/>
            <w:vAlign w:val="bottom"/>
          </w:tcPr>
          <w:p>
            <w:pPr>
              <w:spacing w:after="0"/>
              <w:rPr>
                <w:sz w:val="1"/>
                <w:szCs w:val="1"/>
                <w:color w:val="auto"/>
              </w:rPr>
            </w:pPr>
          </w:p>
        </w:tc>
      </w:tr>
      <w:tr>
        <w:trPr>
          <w:trHeight w:val="237"/>
        </w:trPr>
        <w:tc>
          <w:tcPr>
            <w:tcW w:w="4360" w:type="dxa"/>
            <w:vAlign w:val="bottom"/>
          </w:tcPr>
          <w:p>
            <w:pPr>
              <w:ind w:left="340"/>
              <w:spacing w:after="0"/>
              <w:rPr>
                <w:sz w:val="20"/>
                <w:szCs w:val="20"/>
                <w:color w:val="auto"/>
              </w:rPr>
            </w:pPr>
            <w:r>
              <w:rPr>
                <w:rFonts w:ascii="Arial" w:cs="Arial" w:eastAsia="Arial" w:hAnsi="Arial"/>
                <w:sz w:val="16"/>
                <w:szCs w:val="16"/>
                <w:color w:val="auto"/>
              </w:rPr>
              <w:t>Noncurrent commodity derivatives</w:t>
            </w:r>
          </w:p>
        </w:tc>
        <w:tc>
          <w:tcPr>
            <w:tcW w:w="3880" w:type="dxa"/>
            <w:vAlign w:val="bottom"/>
          </w:tcPr>
          <w:p>
            <w:pPr>
              <w:ind w:left="20"/>
              <w:spacing w:after="0"/>
              <w:rPr>
                <w:sz w:val="20"/>
                <w:szCs w:val="20"/>
                <w:color w:val="auto"/>
              </w:rPr>
            </w:pPr>
            <w:r>
              <w:rPr>
                <w:rFonts w:ascii="Arial" w:cs="Arial" w:eastAsia="Arial" w:hAnsi="Arial"/>
                <w:sz w:val="16"/>
                <w:szCs w:val="16"/>
                <w:color w:val="auto"/>
              </w:rPr>
              <w:t>Other assets, non-current</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6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Liability derivative instruments:</w:t>
            </w:r>
          </w:p>
        </w:tc>
        <w:tc>
          <w:tcPr>
            <w:tcW w:w="388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340"/>
              <w:spacing w:after="0"/>
              <w:rPr>
                <w:sz w:val="20"/>
                <w:szCs w:val="20"/>
                <w:color w:val="auto"/>
              </w:rPr>
            </w:pPr>
            <w:r>
              <w:rPr>
                <w:rFonts w:ascii="Arial" w:cs="Arial" w:eastAsia="Arial" w:hAnsi="Arial"/>
                <w:sz w:val="16"/>
                <w:szCs w:val="16"/>
                <w:color w:val="auto"/>
              </w:rPr>
              <w:t>Current commodity derivatives</w:t>
            </w:r>
          </w:p>
        </w:tc>
        <w:tc>
          <w:tcPr>
            <w:tcW w:w="3880" w:type="dxa"/>
            <w:vAlign w:val="bottom"/>
          </w:tcPr>
          <w:p>
            <w:pPr>
              <w:ind w:left="20"/>
              <w:spacing w:after="0"/>
              <w:rPr>
                <w:sz w:val="20"/>
                <w:szCs w:val="20"/>
                <w:color w:val="auto"/>
              </w:rPr>
            </w:pPr>
            <w:r>
              <w:rPr>
                <w:rFonts w:ascii="Arial" w:cs="Arial" w:eastAsia="Arial" w:hAnsi="Arial"/>
                <w:sz w:val="16"/>
                <w:szCs w:val="16"/>
                <w:color w:val="auto"/>
              </w:rPr>
              <w:t>Derivative liabilities — current</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(1,969)</w:t>
            </w: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EFFE7"/>
            </w:tcBorders>
            <w:shd w:val="clear" w:color="auto" w:fill="CEFFE7"/>
          </w:tcPr>
          <w:p>
            <w:pPr>
              <w:ind w:left="340"/>
              <w:spacing w:after="0"/>
              <w:rPr>
                <w:sz w:val="20"/>
                <w:szCs w:val="20"/>
                <w:color w:val="auto"/>
              </w:rPr>
            </w:pPr>
            <w:r>
              <w:rPr>
                <w:rFonts w:ascii="Arial" w:cs="Arial" w:eastAsia="Arial" w:hAnsi="Arial"/>
                <w:sz w:val="16"/>
                <w:szCs w:val="16"/>
                <w:color w:val="auto"/>
              </w:rPr>
              <w:t>Noncurrent commodity derivatives</w:t>
            </w:r>
          </w:p>
        </w:tc>
        <w:tc>
          <w:tcPr>
            <w:tcW w:w="38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60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(143)</w:t>
            </w:r>
          </w:p>
        </w:tc>
        <w:tc>
          <w:tcPr>
            <w:tcW w:w="62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44"/>
        </w:trPr>
        <w:tc>
          <w:tcPr>
            <w:tcW w:w="4360" w:type="dxa"/>
            <w:vAlign w:val="bottom"/>
          </w:tcPr>
          <w:p>
            <w:pPr>
              <w:ind w:left="40"/>
              <w:spacing w:after="0"/>
              <w:rPr>
                <w:sz w:val="20"/>
                <w:szCs w:val="20"/>
                <w:color w:val="auto"/>
              </w:rPr>
            </w:pPr>
            <w:r>
              <w:rPr>
                <w:rFonts w:ascii="Arial" w:cs="Arial" w:eastAsia="Arial" w:hAnsi="Arial"/>
                <w:sz w:val="16"/>
                <w:szCs w:val="16"/>
                <w:color w:val="auto"/>
              </w:rPr>
              <w:t>Total derivatives not designated as hedges</w:t>
            </w:r>
          </w:p>
        </w:tc>
        <w:tc>
          <w:tcPr>
            <w:tcW w:w="388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(1,699)</w:t>
            </w:r>
          </w:p>
        </w:tc>
        <w:tc>
          <w:tcPr>
            <w:tcW w:w="62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18 to the Consolidated Financial Statements included in our 2018 Annual Report on Form 10-K.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instruments for which the carrying value did not equal fair value were as follows (in thousands)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4"/>
          </w:tcPr>
          <w:p>
            <w:pPr>
              <w:ind w:left="420"/>
              <w:spacing w:after="0"/>
              <w:rPr>
                <w:sz w:val="20"/>
                <w:szCs w:val="20"/>
                <w:color w:val="auto"/>
              </w:rPr>
            </w:pPr>
            <w:r>
              <w:rPr>
                <w:rFonts w:ascii="Arial" w:cs="Arial" w:eastAsia="Arial" w:hAnsi="Arial"/>
                <w:sz w:val="18"/>
                <w:szCs w:val="18"/>
                <w:color w:val="auto"/>
              </w:rPr>
              <w:t>September 30, 2019</w:t>
            </w:r>
          </w:p>
        </w:tc>
        <w:tc>
          <w:tcPr>
            <w:tcW w:w="240" w:type="dxa"/>
            <w:vAlign w:val="bottom"/>
          </w:tcPr>
          <w:p>
            <w:pPr>
              <w:spacing w:after="0"/>
              <w:rPr>
                <w:sz w:val="20"/>
                <w:szCs w:val="20"/>
                <w:color w:val="auto"/>
              </w:rPr>
            </w:pPr>
          </w:p>
        </w:tc>
        <w:tc>
          <w:tcPr>
            <w:tcW w:w="2480" w:type="dxa"/>
            <w:vAlign w:val="bottom"/>
            <w:gridSpan w:val="3"/>
          </w:tcPr>
          <w:p>
            <w:pPr>
              <w:jc w:val="right"/>
              <w:ind w:right="550"/>
              <w:spacing w:after="0"/>
              <w:rPr>
                <w:sz w:val="20"/>
                <w:szCs w:val="20"/>
                <w:color w:val="auto"/>
              </w:rPr>
            </w:pPr>
            <w:r>
              <w:rPr>
                <w:rFonts w:ascii="Arial" w:cs="Arial" w:eastAsia="Arial" w:hAnsi="Arial"/>
                <w:sz w:val="18"/>
                <w:szCs w:val="18"/>
                <w:color w:val="auto"/>
              </w:rPr>
              <w:t>December 31, 2018</w:t>
            </w:r>
          </w:p>
        </w:tc>
      </w:tr>
      <w:tr>
        <w:trPr>
          <w:trHeight w:val="27"/>
        </w:trPr>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2"/>
        </w:trPr>
        <w:tc>
          <w:tcPr>
            <w:tcW w:w="5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4"/>
              </w:rPr>
              <w:t>Carrying</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4"/>
              </w:rPr>
              <w:t>Carrying</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Amount</w:t>
            </w:r>
          </w:p>
        </w:tc>
        <w:tc>
          <w:tcPr>
            <w:tcW w:w="2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color w:val="auto"/>
              </w:rPr>
              <w:t>Fair Value</w:t>
            </w:r>
          </w:p>
        </w:tc>
        <w:tc>
          <w:tcPr>
            <w:tcW w:w="240" w:type="dxa"/>
            <w:vAlign w:val="bottom"/>
          </w:tcPr>
          <w:p>
            <w:pPr>
              <w:spacing w:after="0"/>
              <w:rPr>
                <w:sz w:val="20"/>
                <w:szCs w:val="20"/>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93"/>
              </w:rPr>
              <w:t>Amount</w:t>
            </w:r>
          </w:p>
        </w:tc>
        <w:tc>
          <w:tcPr>
            <w:tcW w:w="24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Fair Value</w:t>
            </w:r>
          </w:p>
        </w:tc>
      </w:tr>
      <w:tr>
        <w:trPr>
          <w:trHeight w:val="27"/>
        </w:trPr>
        <w:tc>
          <w:tcPr>
            <w:tcW w:w="5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820" w:type="dxa"/>
            <w:vAlign w:val="bottom"/>
            <w:shd w:val="clear" w:color="auto" w:fill="CEFFE7"/>
          </w:tcPr>
          <w:p>
            <w:pPr>
              <w:jc w:val="right"/>
              <w:ind w:right="2110"/>
              <w:spacing w:after="0" w:line="264" w:lineRule="exact"/>
              <w:rPr>
                <w:sz w:val="20"/>
                <w:szCs w:val="20"/>
                <w:color w:val="auto"/>
              </w:rPr>
            </w:pPr>
            <w:r>
              <w:rPr>
                <w:rFonts w:ascii="Arial" w:cs="Arial" w:eastAsia="Arial" w:hAnsi="Arial"/>
                <w:sz w:val="18"/>
                <w:szCs w:val="18"/>
                <w:color w:val="auto"/>
                <w:w w:val="90"/>
              </w:rPr>
              <w:t xml:space="preserve">Long-term debt, including current maturities </w:t>
            </w:r>
            <w:r>
              <w:rPr>
                <w:rFonts w:ascii="Arial" w:cs="Arial" w:eastAsia="Arial" w:hAnsi="Arial"/>
                <w:sz w:val="25"/>
                <w:szCs w:val="25"/>
                <w:color w:val="auto"/>
                <w:w w:val="90"/>
                <w:vertAlign w:val="superscript"/>
              </w:rPr>
              <w:t>(a) (b)</w:t>
            </w:r>
          </w:p>
        </w:tc>
        <w:tc>
          <w:tcPr>
            <w:tcW w:w="26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3,054,978</w:t>
            </w:r>
          </w:p>
        </w:tc>
        <w:tc>
          <w:tcPr>
            <w:tcW w:w="2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3,424,747</w:t>
            </w:r>
          </w:p>
        </w:tc>
        <w:tc>
          <w:tcPr>
            <w:tcW w:w="120" w:type="dxa"/>
            <w:vAlign w:val="bottom"/>
            <w:shd w:val="clear" w:color="auto" w:fill="CEFFE7"/>
          </w:tcPr>
          <w:p>
            <w:pPr>
              <w:spacing w:after="0"/>
              <w:rPr>
                <w:sz w:val="22"/>
                <w:szCs w:val="22"/>
                <w:color w:val="auto"/>
              </w:rPr>
            </w:pPr>
          </w:p>
        </w:tc>
        <w:tc>
          <w:tcPr>
            <w:tcW w:w="24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2,956,578</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3,039,108</w:t>
            </w:r>
          </w:p>
        </w:tc>
      </w:tr>
      <w:tr>
        <w:trPr>
          <w:trHeight w:val="220"/>
        </w:trPr>
        <w:tc>
          <w:tcPr>
            <w:tcW w:w="5820" w:type="dxa"/>
            <w:vAlign w:val="bottom"/>
          </w:tcPr>
          <w:p>
            <w:pPr>
              <w:jc w:val="right"/>
              <w:ind w:right="4830"/>
              <w:spacing w:after="0"/>
              <w:rPr>
                <w:sz w:val="20"/>
                <w:szCs w:val="20"/>
                <w:color w:val="auto"/>
              </w:rPr>
            </w:pPr>
            <w:r>
              <w:rPr>
                <w:rFonts w:ascii="Arial" w:cs="Arial" w:eastAsia="Arial" w:hAnsi="Arial"/>
                <w:sz w:val="18"/>
                <w:szCs w:val="18"/>
                <w:color w:val="auto"/>
                <w:w w:val="87"/>
              </w:rPr>
              <w:t>__________</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ind w:left="340" w:right="180" w:hanging="332"/>
        <w:spacing w:after="0" w:line="246"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Long-term debt is valued based on observable inputs available either directly or indirectly for similar liabilities in active markets and therefore is classified in Level 2 in the fair value hierarchy.</w:t>
      </w: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Carrying amount of long-term debt is net of deferred financing costs.</w:t>
      </w:r>
    </w:p>
    <w:p>
      <w:pPr>
        <w:spacing w:after="0" w:line="39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COMPREHENSIVE INCOME (LOSS)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reclassifications out of AOCI and into net income. The amounts in parentheses below indicate decreases to net income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 for the period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20" w:type="dxa"/>
            <w:vAlign w:val="bottom"/>
            <w:gridSpan w:val="4"/>
          </w:tcPr>
          <w:p>
            <w:pPr>
              <w:jc w:val="right"/>
              <w:spacing w:after="0"/>
              <w:rPr>
                <w:sz w:val="20"/>
                <w:szCs w:val="20"/>
                <w:color w:val="auto"/>
              </w:rPr>
            </w:pPr>
            <w:r>
              <w:rPr>
                <w:rFonts w:ascii="Arial" w:cs="Arial" w:eastAsia="Arial" w:hAnsi="Arial"/>
                <w:sz w:val="18"/>
                <w:szCs w:val="18"/>
                <w:color w:val="auto"/>
                <w:w w:val="94"/>
              </w:rPr>
              <w:t>Amount Reclassified from AOCI</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80" w:type="dxa"/>
            <w:vAlign w:val="bottom"/>
            <w:gridSpan w:val="3"/>
          </w:tcPr>
          <w:p>
            <w:pPr>
              <w:jc w:val="right"/>
              <w:ind w:right="330"/>
              <w:spacing w:after="0"/>
              <w:rPr>
                <w:sz w:val="20"/>
                <w:szCs w:val="20"/>
                <w:color w:val="auto"/>
              </w:rPr>
            </w:pPr>
            <w:r>
              <w:rPr>
                <w:rFonts w:ascii="Arial" w:cs="Arial" w:eastAsia="Arial" w:hAnsi="Arial"/>
                <w:sz w:val="18"/>
                <w:szCs w:val="18"/>
                <w:color w:val="auto"/>
                <w:w w:val="97"/>
              </w:rPr>
              <w:t>Three Months Ended</w:t>
            </w:r>
          </w:p>
        </w:tc>
        <w:tc>
          <w:tcPr>
            <w:tcW w:w="320" w:type="dxa"/>
            <w:vAlign w:val="bottom"/>
          </w:tcPr>
          <w:p>
            <w:pPr>
              <w:spacing w:after="0"/>
              <w:rPr>
                <w:sz w:val="23"/>
                <w:szCs w:val="23"/>
                <w:color w:val="auto"/>
              </w:rPr>
            </w:pPr>
          </w:p>
        </w:tc>
        <w:tc>
          <w:tcPr>
            <w:tcW w:w="2020" w:type="dxa"/>
            <w:vAlign w:val="bottom"/>
            <w:gridSpan w:val="3"/>
          </w:tcPr>
          <w:p>
            <w:pPr>
              <w:jc w:val="right"/>
              <w:ind w:right="31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rPr>
              <w:t>Location on the Condensed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September 30,</w:t>
            </w:r>
          </w:p>
        </w:tc>
        <w:tc>
          <w:tcPr>
            <w:tcW w:w="1200" w:type="dxa"/>
            <w:vAlign w:val="bottom"/>
            <w:gridSpan w:val="2"/>
          </w:tcPr>
          <w:p>
            <w:pPr>
              <w:ind w:left="80"/>
              <w:spacing w:after="0"/>
              <w:rPr>
                <w:sz w:val="20"/>
                <w:szCs w:val="20"/>
                <w:color w:val="auto"/>
              </w:rPr>
            </w:pPr>
            <w:r>
              <w:rPr>
                <w:rFonts w:ascii="Arial" w:cs="Arial" w:eastAsia="Arial" w:hAnsi="Arial"/>
                <w:sz w:val="18"/>
                <w:szCs w:val="18"/>
                <w:color w:val="auto"/>
                <w:w w:val="93"/>
              </w:rPr>
              <w:t>September 30,</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w w:val="91"/>
              </w:rPr>
              <w:t>September 30,</w:t>
            </w:r>
          </w:p>
        </w:tc>
        <w:tc>
          <w:tcPr>
            <w:tcW w:w="1120" w:type="dxa"/>
            <w:vAlign w:val="bottom"/>
            <w:gridSpan w:val="2"/>
          </w:tcPr>
          <w:p>
            <w:pPr>
              <w:ind w:left="40"/>
              <w:spacing w:after="0"/>
              <w:rPr>
                <w:sz w:val="20"/>
                <w:szCs w:val="20"/>
                <w:color w:val="auto"/>
              </w:rPr>
            </w:pPr>
            <w:r>
              <w:rPr>
                <w:rFonts w:ascii="Arial" w:cs="Arial" w:eastAsia="Arial" w:hAnsi="Arial"/>
                <w:sz w:val="18"/>
                <w:szCs w:val="18"/>
                <w:color w:val="auto"/>
                <w:w w:val="89"/>
              </w:rPr>
              <w:t>September 30,</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w w:val="91"/>
              </w:rPr>
              <w:t>Consolidated Statements of Income</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39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Gains and (losses) on cash flow hedges:</w:t>
            </w:r>
          </w:p>
        </w:tc>
        <w:tc>
          <w:tcPr>
            <w:tcW w:w="27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278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(713)</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(712)</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(2,139)</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60" w:type="dxa"/>
            <w:vAlign w:val="bottom"/>
            <w:shd w:val="clear" w:color="auto" w:fill="CEFFE7"/>
          </w:tcPr>
          <w:p>
            <w:pPr>
              <w:spacing w:after="0"/>
              <w:rPr>
                <w:sz w:val="19"/>
                <w:szCs w:val="19"/>
                <w:color w:val="auto"/>
              </w:rPr>
            </w:pPr>
          </w:p>
        </w:tc>
        <w:tc>
          <w:tcPr>
            <w:tcW w:w="2780" w:type="dxa"/>
            <w:vAlign w:val="bottom"/>
            <w:shd w:val="clear" w:color="auto" w:fill="CEFFE7"/>
          </w:tcPr>
          <w:p>
            <w:pPr>
              <w:ind w:left="80"/>
              <w:spacing w:after="0"/>
              <w:rPr>
                <w:sz w:val="20"/>
                <w:szCs w:val="20"/>
                <w:color w:val="auto"/>
              </w:rPr>
            </w:pPr>
            <w:r>
              <w:rPr>
                <w:rFonts w:ascii="Arial" w:cs="Arial" w:eastAsia="Arial" w:hAnsi="Arial"/>
                <w:sz w:val="18"/>
                <w:szCs w:val="18"/>
                <w:color w:val="auto"/>
                <w:w w:val="97"/>
              </w:rPr>
              <w:t>Fuel, purchased power and cost of</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92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9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vMerge w:val="restart"/>
            <w:shd w:val="clear" w:color="auto" w:fill="CEFFE7"/>
          </w:tcPr>
          <w:p>
            <w:pPr>
              <w:ind w:left="180"/>
              <w:spacing w:after="0"/>
              <w:rPr>
                <w:sz w:val="20"/>
                <w:szCs w:val="20"/>
                <w:color w:val="auto"/>
              </w:rPr>
            </w:pPr>
            <w:r>
              <w:rPr>
                <w:rFonts w:ascii="Arial" w:cs="Arial" w:eastAsia="Arial" w:hAnsi="Arial"/>
                <w:sz w:val="18"/>
                <w:szCs w:val="18"/>
                <w:color w:val="auto"/>
              </w:rPr>
              <w:t>Commodity contracts</w:t>
            </w:r>
          </w:p>
        </w:tc>
        <w:tc>
          <w:tcPr>
            <w:tcW w:w="2780" w:type="dxa"/>
            <w:vAlign w:val="bottom"/>
            <w:shd w:val="clear" w:color="auto" w:fill="CEFFE7"/>
          </w:tcPr>
          <w:p>
            <w:pPr>
              <w:ind w:left="80"/>
              <w:spacing w:after="0"/>
              <w:rPr>
                <w:sz w:val="20"/>
                <w:szCs w:val="20"/>
                <w:color w:val="auto"/>
              </w:rPr>
            </w:pPr>
            <w:r>
              <w:rPr>
                <w:rFonts w:ascii="Arial" w:cs="Arial" w:eastAsia="Arial" w:hAnsi="Arial"/>
                <w:sz w:val="18"/>
                <w:szCs w:val="18"/>
                <w:color w:val="auto"/>
              </w:rPr>
              <w:t>natural gas sold</w:t>
            </w:r>
          </w:p>
        </w:tc>
        <w:tc>
          <w:tcPr>
            <w:tcW w:w="260" w:type="dxa"/>
            <w:vAlign w:val="bottom"/>
            <w:shd w:val="clear" w:color="auto" w:fill="CEFFE7"/>
          </w:tcPr>
          <w:p>
            <w:pPr>
              <w:spacing w:after="0"/>
              <w:rPr>
                <w:sz w:val="20"/>
                <w:szCs w:val="20"/>
                <w:color w:val="auto"/>
              </w:rPr>
            </w:pPr>
          </w:p>
        </w:tc>
        <w:tc>
          <w:tcPr>
            <w:tcW w:w="88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EFFE7"/>
          </w:tcPr>
          <w:p>
            <w:pPr>
              <w:spacing w:after="0"/>
              <w:rPr>
                <w:sz w:val="20"/>
                <w:szCs w:val="20"/>
                <w:color w:val="auto"/>
              </w:rPr>
            </w:pPr>
          </w:p>
        </w:tc>
        <w:tc>
          <w:tcPr>
            <w:tcW w:w="92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EFFE7"/>
          </w:tcPr>
          <w:p>
            <w:pPr>
              <w:spacing w:after="0"/>
              <w:rPr>
                <w:sz w:val="20"/>
                <w:szCs w:val="20"/>
                <w:color w:val="auto"/>
              </w:rPr>
            </w:pPr>
          </w:p>
        </w:tc>
        <w:tc>
          <w:tcPr>
            <w:tcW w:w="900" w:type="dxa"/>
            <w:vAlign w:val="bottom"/>
            <w:vMerge w:val="restart"/>
            <w:shd w:val="clear" w:color="auto" w:fill="CEFFE7"/>
          </w:tcPr>
          <w:p>
            <w:pPr>
              <w:jc w:val="right"/>
              <w:ind w:right="30"/>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EFFE7"/>
          </w:tcPr>
          <w:p>
            <w:pPr>
              <w:spacing w:after="0"/>
              <w:rPr>
                <w:sz w:val="20"/>
                <w:szCs w:val="20"/>
                <w:color w:val="auto"/>
              </w:rPr>
            </w:pPr>
          </w:p>
        </w:tc>
        <w:tc>
          <w:tcPr>
            <w:tcW w:w="88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43"/>
        </w:trPr>
        <w:tc>
          <w:tcPr>
            <w:tcW w:w="3960" w:type="dxa"/>
            <w:vAlign w:val="bottom"/>
            <w:tcBorders>
              <w:bottom w:val="single" w:sz="8" w:color="CEFFE7"/>
            </w:tcBorders>
            <w:vMerge w:val="continue"/>
            <w:shd w:val="clear" w:color="auto" w:fill="CEFFE7"/>
          </w:tcPr>
          <w:p>
            <w:pPr>
              <w:spacing w:after="0"/>
              <w:rPr>
                <w:sz w:val="21"/>
                <w:szCs w:val="21"/>
                <w:color w:val="auto"/>
              </w:rPr>
            </w:pPr>
          </w:p>
        </w:tc>
        <w:tc>
          <w:tcPr>
            <w:tcW w:w="27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vMerge w:val="continue"/>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vMerge w:val="continue"/>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vMerge w:val="continue"/>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vMerge w:val="continue"/>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Income tax</w:t>
            </w:r>
          </w:p>
        </w:tc>
        <w:tc>
          <w:tcPr>
            <w:tcW w:w="278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149</w:t>
            </w:r>
          </w:p>
        </w:tc>
        <w:tc>
          <w:tcPr>
            <w:tcW w:w="32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358</w:t>
            </w:r>
          </w:p>
        </w:tc>
        <w:tc>
          <w:tcPr>
            <w:tcW w:w="24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9"/>
        </w:trPr>
        <w:tc>
          <w:tcPr>
            <w:tcW w:w="3960" w:type="dxa"/>
            <w:vAlign w:val="bottom"/>
          </w:tcPr>
          <w:p>
            <w:pPr>
              <w:ind w:left="40"/>
              <w:spacing w:after="0"/>
              <w:rPr>
                <w:sz w:val="20"/>
                <w:szCs w:val="20"/>
                <w:color w:val="auto"/>
              </w:rPr>
            </w:pPr>
            <w:r>
              <w:rPr>
                <w:rFonts w:ascii="Arial" w:cs="Arial" w:eastAsia="Arial" w:hAnsi="Arial"/>
                <w:sz w:val="18"/>
                <w:szCs w:val="18"/>
                <w:color w:val="auto"/>
                <w:w w:val="91"/>
              </w:rPr>
              <w:t>Total reclassification adjustments related to cash flow</w:t>
            </w:r>
          </w:p>
        </w:tc>
        <w:tc>
          <w:tcPr>
            <w:tcW w:w="27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40"/>
              <w:spacing w:after="0"/>
              <w:rPr>
                <w:sz w:val="20"/>
                <w:szCs w:val="20"/>
                <w:color w:val="auto"/>
              </w:rPr>
            </w:pPr>
            <w:r>
              <w:rPr>
                <w:rFonts w:ascii="Arial" w:cs="Arial" w:eastAsia="Arial" w:hAnsi="Arial"/>
                <w:sz w:val="18"/>
                <w:szCs w:val="18"/>
                <w:color w:val="auto"/>
              </w:rPr>
              <w:t>hedges, net of tax</w:t>
            </w:r>
          </w:p>
        </w:tc>
        <w:tc>
          <w:tcPr>
            <w:tcW w:w="27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(672)</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(581)</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(1,273)</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EFFE7"/>
            </w:tcBorders>
          </w:tcPr>
          <w:p>
            <w:pPr>
              <w:spacing w:after="0"/>
              <w:rPr>
                <w:sz w:val="2"/>
                <w:szCs w:val="2"/>
                <w:color w:val="auto"/>
              </w:rPr>
            </w:pPr>
          </w:p>
        </w:tc>
        <w:tc>
          <w:tcPr>
            <w:tcW w:w="27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EFFE7"/>
          </w:tcPr>
          <w:p>
            <w:pPr>
              <w:spacing w:after="0"/>
              <w:rPr>
                <w:sz w:val="19"/>
                <w:szCs w:val="19"/>
                <w:color w:val="auto"/>
              </w:rPr>
            </w:pPr>
          </w:p>
        </w:tc>
        <w:tc>
          <w:tcPr>
            <w:tcW w:w="278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92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9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w w:val="93"/>
              </w:rPr>
              <w:t>Amortization of components of defined benefit plans:</w:t>
            </w:r>
          </w:p>
        </w:tc>
        <w:tc>
          <w:tcPr>
            <w:tcW w:w="2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Prior service cost</w:t>
            </w:r>
          </w:p>
        </w:tc>
        <w:tc>
          <w:tcPr>
            <w:tcW w:w="278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59</w:t>
            </w:r>
          </w:p>
        </w:tc>
        <w:tc>
          <w:tcPr>
            <w:tcW w:w="2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97"/>
        </w:trPr>
        <w:tc>
          <w:tcPr>
            <w:tcW w:w="39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Actuarial gain (loss)</w:t>
            </w:r>
          </w:p>
        </w:tc>
        <w:tc>
          <w:tcPr>
            <w:tcW w:w="278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(621)</w:t>
            </w:r>
          </w:p>
        </w:tc>
        <w:tc>
          <w:tcPr>
            <w:tcW w:w="32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(525)</w:t>
            </w:r>
          </w:p>
        </w:tc>
        <w:tc>
          <w:tcPr>
            <w:tcW w:w="24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Income tax</w:t>
            </w:r>
          </w:p>
        </w:tc>
        <w:tc>
          <w:tcPr>
            <w:tcW w:w="278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89</w:t>
            </w:r>
          </w:p>
        </w:tc>
        <w:tc>
          <w:tcPr>
            <w:tcW w:w="28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128</w:t>
            </w:r>
          </w:p>
        </w:tc>
        <w:tc>
          <w:tcPr>
            <w:tcW w:w="32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184</w:t>
            </w:r>
          </w:p>
        </w:tc>
        <w:tc>
          <w:tcPr>
            <w:tcW w:w="24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9"/>
        </w:trPr>
        <w:tc>
          <w:tcPr>
            <w:tcW w:w="3960" w:type="dxa"/>
            <w:vAlign w:val="bottom"/>
          </w:tcPr>
          <w:p>
            <w:pPr>
              <w:ind w:left="40"/>
              <w:spacing w:after="0"/>
              <w:rPr>
                <w:sz w:val="20"/>
                <w:szCs w:val="20"/>
                <w:color w:val="auto"/>
              </w:rPr>
            </w:pPr>
            <w:r>
              <w:rPr>
                <w:rFonts w:ascii="Arial" w:cs="Arial" w:eastAsia="Arial" w:hAnsi="Arial"/>
                <w:sz w:val="18"/>
                <w:szCs w:val="18"/>
                <w:color w:val="auto"/>
                <w:w w:val="95"/>
              </w:rPr>
              <w:t>Total reclassification adjustments related to defined</w:t>
            </w:r>
          </w:p>
        </w:tc>
        <w:tc>
          <w:tcPr>
            <w:tcW w:w="27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40"/>
              <w:spacing w:after="0"/>
              <w:rPr>
                <w:sz w:val="20"/>
                <w:szCs w:val="20"/>
                <w:color w:val="auto"/>
              </w:rPr>
            </w:pPr>
            <w:r>
              <w:rPr>
                <w:rFonts w:ascii="Arial" w:cs="Arial" w:eastAsia="Arial" w:hAnsi="Arial"/>
                <w:sz w:val="18"/>
                <w:szCs w:val="18"/>
                <w:color w:val="auto"/>
              </w:rPr>
              <w:t>benefit plans, net of tax</w:t>
            </w:r>
          </w:p>
        </w:tc>
        <w:tc>
          <w:tcPr>
            <w:tcW w:w="27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(449)</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(282)</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EFFE7"/>
            </w:tcBorders>
          </w:tcPr>
          <w:p>
            <w:pPr>
              <w:spacing w:after="0"/>
              <w:rPr>
                <w:sz w:val="2"/>
                <w:szCs w:val="2"/>
                <w:color w:val="auto"/>
              </w:rPr>
            </w:pPr>
          </w:p>
        </w:tc>
        <w:tc>
          <w:tcPr>
            <w:tcW w:w="27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reclassifications</w:t>
            </w:r>
          </w:p>
        </w:tc>
        <w:tc>
          <w:tcPr>
            <w:tcW w:w="2780" w:type="dxa"/>
            <w:vAlign w:val="bottom"/>
            <w:tcBorders>
              <w:bottom w:val="single" w:sz="8" w:color="CEFFE7"/>
            </w:tcBorders>
            <w:shd w:val="clear" w:color="auto" w:fill="CEFFE7"/>
          </w:tcPr>
          <w:p>
            <w:pPr>
              <w:spacing w:after="0"/>
              <w:rPr>
                <w:sz w:val="22"/>
                <w:szCs w:val="22"/>
                <w:color w:val="auto"/>
              </w:rPr>
            </w:pP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(647)</w:t>
            </w:r>
          </w:p>
        </w:tc>
        <w:tc>
          <w:tcPr>
            <w:tcW w:w="280" w:type="dxa"/>
            <w:vAlign w:val="bottom"/>
            <w:tcBorders>
              <w:bottom w:val="single" w:sz="8" w:color="auto"/>
            </w:tcBorders>
            <w:shd w:val="clear" w:color="auto" w:fill="CEFFE7"/>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(1,030)</w:t>
            </w:r>
          </w:p>
        </w:tc>
        <w:tc>
          <w:tcPr>
            <w:tcW w:w="320" w:type="dxa"/>
            <w:vAlign w:val="bottom"/>
            <w:tcBorders>
              <w:bottom w:val="single" w:sz="8" w:color="auto"/>
            </w:tcBorders>
            <w:shd w:val="clear" w:color="auto" w:fill="CEFFE7"/>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(1,555)</w:t>
            </w:r>
          </w:p>
        </w:tc>
        <w:tc>
          <w:tcPr>
            <w:tcW w:w="2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780" w:type="dxa"/>
            <w:vAlign w:val="bottom"/>
            <w:vMerge w:val="restart"/>
          </w:tcPr>
          <w:p>
            <w:pPr>
              <w:ind w:left="1660"/>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Condensed Consolidated Balance Sheets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70"/>
              <w:spacing w:after="0"/>
              <w:rPr>
                <w:sz w:val="20"/>
                <w:szCs w:val="20"/>
                <w:color w:val="auto"/>
              </w:rPr>
            </w:pPr>
            <w:r>
              <w:rPr>
                <w:rFonts w:ascii="Arial" w:cs="Arial" w:eastAsia="Arial" w:hAnsi="Arial"/>
                <w:sz w:val="18"/>
                <w:szCs w:val="18"/>
                <w:color w:val="auto"/>
                <w:w w:val="92"/>
              </w:rPr>
              <w:t>Employee Benefit</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6"/>
              </w:rPr>
              <w:t>Interest Rate Swaps</w:t>
            </w:r>
          </w:p>
        </w:tc>
        <w:tc>
          <w:tcPr>
            <w:tcW w:w="160" w:type="dxa"/>
            <w:vAlign w:val="bottom"/>
          </w:tcPr>
          <w:p>
            <w:pPr>
              <w:spacing w:after="0"/>
              <w:rPr>
                <w:sz w:val="20"/>
                <w:szCs w:val="20"/>
                <w:color w:val="auto"/>
              </w:rPr>
            </w:pPr>
          </w:p>
        </w:tc>
        <w:tc>
          <w:tcPr>
            <w:tcW w:w="1900" w:type="dxa"/>
            <w:vAlign w:val="bottom"/>
            <w:gridSpan w:val="2"/>
          </w:tcPr>
          <w:p>
            <w:pPr>
              <w:jc w:val="right"/>
              <w:ind w:right="70"/>
              <w:spacing w:after="0"/>
              <w:rPr>
                <w:sz w:val="20"/>
                <w:szCs w:val="20"/>
                <w:color w:val="auto"/>
              </w:rPr>
            </w:pPr>
            <w:r>
              <w:rPr>
                <w:rFonts w:ascii="Arial" w:cs="Arial" w:eastAsia="Arial" w:hAnsi="Arial"/>
                <w:sz w:val="18"/>
                <w:szCs w:val="18"/>
                <w:color w:val="auto"/>
                <w:w w:val="92"/>
              </w:rPr>
              <w:t>Commodity Derivatives</w:t>
            </w:r>
          </w:p>
        </w:tc>
        <w:tc>
          <w:tcPr>
            <w:tcW w:w="160" w:type="dxa"/>
            <w:vAlign w:val="bottom"/>
          </w:tcPr>
          <w:p>
            <w:pPr>
              <w:spacing w:after="0"/>
              <w:rPr>
                <w:sz w:val="20"/>
                <w:szCs w:val="20"/>
                <w:color w:val="auto"/>
              </w:rPr>
            </w:pPr>
          </w:p>
        </w:tc>
        <w:tc>
          <w:tcPr>
            <w:tcW w:w="1160" w:type="dxa"/>
            <w:vAlign w:val="bottom"/>
          </w:tcPr>
          <w:p>
            <w:pPr>
              <w:jc w:val="center"/>
              <w:ind w:left="150"/>
              <w:spacing w:after="0"/>
              <w:rPr>
                <w:sz w:val="20"/>
                <w:szCs w:val="20"/>
                <w:color w:val="auto"/>
              </w:rPr>
            </w:pPr>
            <w:r>
              <w:rPr>
                <w:rFonts w:ascii="Arial" w:cs="Arial" w:eastAsia="Arial" w:hAnsi="Arial"/>
                <w:sz w:val="18"/>
                <w:szCs w:val="18"/>
                <w:color w:val="auto"/>
                <w:w w:val="88"/>
              </w:rPr>
              <w:t>Plans</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As of December 31, 2018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(17,307)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0"/>
              <w:spacing w:after="0"/>
              <w:rPr>
                <w:sz w:val="20"/>
                <w:szCs w:val="20"/>
                <w:color w:val="auto"/>
              </w:rPr>
            </w:pPr>
            <w:r>
              <w:rPr>
                <w:rFonts w:ascii="Arial" w:cs="Arial" w:eastAsia="Arial" w:hAnsi="Arial"/>
                <w:sz w:val="18"/>
                <w:szCs w:val="18"/>
                <w:color w:val="auto"/>
              </w:rPr>
              <w:t>328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(9,937)</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(26,916)</w:t>
            </w: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before reclassifications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Amounts reclassified from AOCI</w:t>
            </w:r>
          </w:p>
        </w:tc>
        <w:tc>
          <w:tcPr>
            <w:tcW w:w="280" w:type="dxa"/>
            <w:vAlign w:val="bottom"/>
            <w:tcBorders>
              <w:bottom w:val="single" w:sz="8" w:color="CEFFE7"/>
            </w:tcBorders>
            <w:shd w:val="clear" w:color="auto" w:fill="CEFFE7"/>
          </w:tcPr>
          <w:p>
            <w:pPr>
              <w:spacing w:after="0"/>
              <w:rPr>
                <w:sz w:val="23"/>
                <w:szCs w:val="23"/>
                <w:color w:val="auto"/>
              </w:rPr>
            </w:pPr>
          </w:p>
        </w:tc>
        <w:tc>
          <w:tcPr>
            <w:tcW w:w="2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1,639</w:t>
            </w:r>
          </w:p>
        </w:tc>
        <w:tc>
          <w:tcPr>
            <w:tcW w:w="160" w:type="dxa"/>
            <w:vAlign w:val="bottom"/>
            <w:tcBorders>
              <w:bottom w:val="single" w:sz="8" w:color="CEFFE7"/>
            </w:tcBorders>
            <w:shd w:val="clear" w:color="auto" w:fill="CEFFE7"/>
          </w:tcPr>
          <w:p>
            <w:pPr>
              <w:spacing w:after="0"/>
              <w:rPr>
                <w:sz w:val="23"/>
                <w:szCs w:val="23"/>
                <w:color w:val="auto"/>
              </w:rPr>
            </w:pPr>
          </w:p>
        </w:tc>
        <w:tc>
          <w:tcPr>
            <w:tcW w:w="190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spacing w:after="0"/>
              <w:rPr>
                <w:sz w:val="23"/>
                <w:szCs w:val="23"/>
                <w:color w:val="auto"/>
              </w:rPr>
            </w:pP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86"/>
              </w:rPr>
              <w:t>282</w:t>
            </w:r>
          </w:p>
        </w:tc>
        <w:tc>
          <w:tcPr>
            <w:tcW w:w="400" w:type="dxa"/>
            <w:vAlign w:val="bottom"/>
            <w:tcBorders>
              <w:bottom w:val="single" w:sz="8" w:color="CEFFE7"/>
            </w:tcBorders>
            <w:shd w:val="clear" w:color="auto" w:fill="CEFFE7"/>
          </w:tcPr>
          <w:p>
            <w:pPr>
              <w:spacing w:after="0"/>
              <w:rPr>
                <w:sz w:val="23"/>
                <w:szCs w:val="23"/>
                <w:color w:val="auto"/>
              </w:rPr>
            </w:pPr>
          </w:p>
        </w:tc>
        <w:tc>
          <w:tcPr>
            <w:tcW w:w="10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1,555</w:t>
            </w:r>
          </w:p>
        </w:tc>
      </w:tr>
      <w:tr>
        <w:trPr>
          <w:trHeight w:val="297"/>
        </w:trPr>
        <w:tc>
          <w:tcPr>
            <w:tcW w:w="390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As of September 30, 2019</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(9,655)</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(25,695)</w:t>
            </w:r>
          </w:p>
        </w:tc>
      </w:tr>
      <w:tr>
        <w:trPr>
          <w:trHeight w:val="311"/>
        </w:trPr>
        <w:tc>
          <w:tcPr>
            <w:tcW w:w="39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200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56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16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400" w:type="dxa"/>
            <w:vAlign w:val="bottom"/>
            <w:shd w:val="clear" w:color="auto" w:fill="CEFFE7"/>
          </w:tcPr>
          <w:p>
            <w:pPr>
              <w:spacing w:after="0"/>
              <w:rPr>
                <w:sz w:val="24"/>
                <w:szCs w:val="24"/>
                <w:color w:val="auto"/>
              </w:rPr>
            </w:pPr>
          </w:p>
        </w:tc>
        <w:tc>
          <w:tcPr>
            <w:tcW w:w="1080" w:type="dxa"/>
            <w:vAlign w:val="bottom"/>
            <w:shd w:val="clear" w:color="auto" w:fill="CEFFE7"/>
          </w:tcPr>
          <w:p>
            <w:pPr>
              <w:spacing w:after="0"/>
              <w:rPr>
                <w:sz w:val="24"/>
                <w:szCs w:val="24"/>
                <w:color w:val="auto"/>
              </w:rPr>
            </w:pPr>
          </w:p>
        </w:tc>
      </w:tr>
      <w:tr>
        <w:trPr>
          <w:trHeight w:val="324"/>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9"/>
        </w:trPr>
        <w:tc>
          <w:tcPr>
            <w:tcW w:w="390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200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56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540" w:type="dxa"/>
            <w:vAlign w:val="bottom"/>
            <w:gridSpan w:val="2"/>
            <w:shd w:val="clear" w:color="auto" w:fill="CEFFE7"/>
          </w:tcPr>
          <w:p>
            <w:pPr>
              <w:jc w:val="center"/>
              <w:ind w:right="70"/>
              <w:spacing w:after="0"/>
              <w:rPr>
                <w:sz w:val="20"/>
                <w:szCs w:val="20"/>
                <w:color w:val="auto"/>
              </w:rPr>
            </w:pPr>
            <w:r>
              <w:rPr>
                <w:rFonts w:ascii="Arial" w:cs="Arial" w:eastAsia="Arial" w:hAnsi="Arial"/>
                <w:sz w:val="18"/>
                <w:szCs w:val="18"/>
                <w:color w:val="auto"/>
                <w:w w:val="92"/>
              </w:rPr>
              <w:t>Employee Benefit</w:t>
            </w:r>
          </w:p>
        </w:tc>
        <w:tc>
          <w:tcPr>
            <w:tcW w:w="400" w:type="dxa"/>
            <w:vAlign w:val="bottom"/>
            <w:shd w:val="clear" w:color="auto" w:fill="CEFFE7"/>
          </w:tcPr>
          <w:p>
            <w:pPr>
              <w:spacing w:after="0"/>
              <w:rPr>
                <w:sz w:val="19"/>
                <w:szCs w:val="19"/>
                <w:color w:val="auto"/>
              </w:rPr>
            </w:pPr>
          </w:p>
        </w:tc>
        <w:tc>
          <w:tcPr>
            <w:tcW w:w="1080" w:type="dxa"/>
            <w:vAlign w:val="bottom"/>
            <w:shd w:val="clear" w:color="auto" w:fill="CEFFE7"/>
          </w:tcPr>
          <w:p>
            <w:pPr>
              <w:spacing w:after="0"/>
              <w:rPr>
                <w:sz w:val="19"/>
                <w:szCs w:val="19"/>
                <w:color w:val="auto"/>
              </w:rPr>
            </w:pPr>
          </w:p>
        </w:tc>
      </w:tr>
      <w:tr>
        <w:trPr>
          <w:trHeight w:val="257"/>
        </w:trPr>
        <w:tc>
          <w:tcPr>
            <w:tcW w:w="390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CEFFE7"/>
            </w:tcBorders>
            <w:shd w:val="clear" w:color="auto" w:fill="CEFFE7"/>
          </w:tcPr>
          <w:p>
            <w:pPr>
              <w:spacing w:after="0"/>
              <w:rPr>
                <w:sz w:val="22"/>
                <w:szCs w:val="22"/>
                <w:color w:val="auto"/>
              </w:rPr>
            </w:pPr>
          </w:p>
        </w:tc>
        <w:tc>
          <w:tcPr>
            <w:tcW w:w="200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w w:val="96"/>
              </w:rPr>
              <w:t>Interest Rate Swaps</w:t>
            </w:r>
          </w:p>
        </w:tc>
        <w:tc>
          <w:tcPr>
            <w:tcW w:w="160" w:type="dxa"/>
            <w:vAlign w:val="bottom"/>
            <w:tcBorders>
              <w:bottom w:val="single" w:sz="8" w:color="CEFFE7"/>
            </w:tcBorders>
            <w:shd w:val="clear" w:color="auto" w:fill="CEFFE7"/>
          </w:tcPr>
          <w:p>
            <w:pPr>
              <w:spacing w:after="0"/>
              <w:rPr>
                <w:sz w:val="22"/>
                <w:szCs w:val="22"/>
                <w:color w:val="auto"/>
              </w:rPr>
            </w:pPr>
          </w:p>
        </w:tc>
        <w:tc>
          <w:tcPr>
            <w:tcW w:w="1900" w:type="dxa"/>
            <w:vAlign w:val="bottom"/>
            <w:tcBorders>
              <w:bottom w:val="single" w:sz="8" w:color="CEFFE7"/>
            </w:tcBorders>
            <w:gridSpan w:val="2"/>
            <w:shd w:val="clear" w:color="auto" w:fill="CEFFE7"/>
          </w:tcPr>
          <w:p>
            <w:pPr>
              <w:jc w:val="right"/>
              <w:ind w:right="70"/>
              <w:spacing w:after="0"/>
              <w:rPr>
                <w:sz w:val="20"/>
                <w:szCs w:val="20"/>
                <w:color w:val="auto"/>
              </w:rPr>
            </w:pPr>
            <w:r>
              <w:rPr>
                <w:rFonts w:ascii="Arial" w:cs="Arial" w:eastAsia="Arial" w:hAnsi="Arial"/>
                <w:sz w:val="18"/>
                <w:szCs w:val="18"/>
                <w:color w:val="auto"/>
                <w:w w:val="92"/>
              </w:rPr>
              <w:t>Commodity Derivatives</w:t>
            </w:r>
          </w:p>
        </w:tc>
        <w:tc>
          <w:tcPr>
            <w:tcW w:w="160" w:type="dxa"/>
            <w:vAlign w:val="bottom"/>
            <w:tcBorders>
              <w:bottom w:val="single" w:sz="8" w:color="CEFFE7"/>
            </w:tcBorders>
            <w:shd w:val="clear" w:color="auto" w:fill="CEFFE7"/>
          </w:tcPr>
          <w:p>
            <w:pPr>
              <w:spacing w:after="0"/>
              <w:rPr>
                <w:sz w:val="22"/>
                <w:szCs w:val="22"/>
                <w:color w:val="auto"/>
              </w:rPr>
            </w:pPr>
          </w:p>
        </w:tc>
        <w:tc>
          <w:tcPr>
            <w:tcW w:w="1160" w:type="dxa"/>
            <w:vAlign w:val="bottom"/>
            <w:tcBorders>
              <w:bottom w:val="single" w:sz="8" w:color="CEFFE7"/>
            </w:tcBorders>
            <w:shd w:val="clear" w:color="auto" w:fill="CEFFE7"/>
          </w:tcPr>
          <w:p>
            <w:pPr>
              <w:jc w:val="center"/>
              <w:ind w:left="150"/>
              <w:spacing w:after="0"/>
              <w:rPr>
                <w:sz w:val="20"/>
                <w:szCs w:val="20"/>
                <w:color w:val="auto"/>
              </w:rPr>
            </w:pPr>
            <w:r>
              <w:rPr>
                <w:rFonts w:ascii="Arial" w:cs="Arial" w:eastAsia="Arial" w:hAnsi="Arial"/>
                <w:sz w:val="18"/>
                <w:szCs w:val="18"/>
                <w:color w:val="auto"/>
                <w:w w:val="88"/>
              </w:rPr>
              <w:t>Plans</w:t>
            </w:r>
          </w:p>
        </w:tc>
        <w:tc>
          <w:tcPr>
            <w:tcW w:w="380" w:type="dxa"/>
            <w:vAlign w:val="bottom"/>
            <w:tcBorders>
              <w:bottom w:val="single" w:sz="8" w:color="CEFFE7"/>
            </w:tcBorders>
            <w:shd w:val="clear" w:color="auto" w:fill="CEFFE7"/>
          </w:tcPr>
          <w:p>
            <w:pPr>
              <w:spacing w:after="0"/>
              <w:rPr>
                <w:sz w:val="22"/>
                <w:szCs w:val="22"/>
                <w:color w:val="auto"/>
              </w:rPr>
            </w:pPr>
          </w:p>
        </w:tc>
        <w:tc>
          <w:tcPr>
            <w:tcW w:w="400" w:type="dxa"/>
            <w:vAlign w:val="bottom"/>
            <w:tcBorders>
              <w:bottom w:val="single" w:sz="8" w:color="CEFFE7"/>
            </w:tcBorders>
            <w:shd w:val="clear" w:color="auto" w:fill="CEFFE7"/>
          </w:tcPr>
          <w:p>
            <w:pPr>
              <w:spacing w:after="0"/>
              <w:rPr>
                <w:sz w:val="22"/>
                <w:szCs w:val="22"/>
                <w:color w:val="auto"/>
              </w:rPr>
            </w:pPr>
          </w:p>
        </w:tc>
        <w:tc>
          <w:tcPr>
            <w:tcW w:w="1080" w:type="dxa"/>
            <w:vAlign w:val="bottom"/>
            <w:tcBorders>
              <w:bottom w:val="single" w:sz="8" w:color="CEFFE7"/>
            </w:tcBorders>
            <w:shd w:val="clear" w:color="auto" w:fill="CEFFE7"/>
          </w:tcPr>
          <w:p>
            <w:pPr>
              <w:jc w:val="right"/>
              <w:ind w:right="470"/>
              <w:spacing w:after="0"/>
              <w:rPr>
                <w:sz w:val="20"/>
                <w:szCs w:val="20"/>
                <w:color w:val="auto"/>
              </w:rPr>
            </w:pPr>
            <w:r>
              <w:rPr>
                <w:rFonts w:ascii="Arial" w:cs="Arial" w:eastAsia="Arial" w:hAnsi="Arial"/>
                <w:sz w:val="18"/>
                <w:szCs w:val="18"/>
                <w:color w:val="auto"/>
              </w:rPr>
              <w:t>Total</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As of December 31, 2017</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(21,103)</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(41,202)</w:t>
            </w: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before reclassifications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Amounts reclassified from AOCI</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1,682</w:t>
            </w:r>
          </w:p>
        </w:tc>
        <w:tc>
          <w:tcPr>
            <w:tcW w:w="16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615</w:t>
            </w:r>
          </w:p>
        </w:tc>
        <w:tc>
          <w:tcPr>
            <w:tcW w:w="16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1,352</w:t>
            </w:r>
          </w:p>
        </w:tc>
        <w:tc>
          <w:tcPr>
            <w:tcW w:w="4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3,649</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w w:val="98"/>
              </w:rPr>
              <w:t>Reclassifications of certain tax effects from AOCI</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 of September 30, 2018</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(17,884)</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8"/>
                <w:szCs w:val="18"/>
                <w:color w:val="auto"/>
              </w:rPr>
              <w:t>(19,748)</w:t>
            </w:r>
          </w:p>
        </w:tc>
        <w:tc>
          <w:tcPr>
            <w:tcW w:w="40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(37,703)</w:t>
            </w:r>
          </w:p>
        </w:tc>
      </w:tr>
      <w:tr>
        <w:trPr>
          <w:trHeight w:val="20"/>
        </w:trPr>
        <w:tc>
          <w:tcPr>
            <w:tcW w:w="390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51"/>
        </w:trPr>
        <w:tc>
          <w:tcPr>
            <w:tcW w:w="6180" w:type="dxa"/>
            <w:vAlign w:val="bottom"/>
            <w:gridSpan w:val="3"/>
          </w:tcPr>
          <w:p>
            <w:pPr>
              <w:spacing w:after="0"/>
              <w:rPr>
                <w:sz w:val="20"/>
                <w:szCs w:val="20"/>
                <w:color w:val="auto"/>
              </w:rPr>
            </w:pPr>
            <w:r>
              <w:rPr>
                <w:rFonts w:ascii="Arial" w:cs="Arial" w:eastAsia="Arial" w:hAnsi="Arial"/>
                <w:sz w:val="18"/>
                <w:szCs w:val="18"/>
                <w:color w:val="auto"/>
              </w:rPr>
              <w:t>(14)  SUPPLEMENTAL DISCLOSURE OF CASH FLOW INFORMATION</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94"/>
        </w:trPr>
        <w:tc>
          <w:tcPr>
            <w:tcW w:w="3900" w:type="dxa"/>
            <w:vAlign w:val="bottom"/>
          </w:tcPr>
          <w:p>
            <w:pPr>
              <w:ind w:left="40"/>
              <w:spacing w:after="0"/>
              <w:rPr>
                <w:sz w:val="20"/>
                <w:szCs w:val="20"/>
                <w:color w:val="auto"/>
              </w:rPr>
            </w:pPr>
            <w:r>
              <w:rPr>
                <w:rFonts w:ascii="Arial" w:cs="Arial" w:eastAsia="Arial" w:hAnsi="Arial"/>
                <w:sz w:val="18"/>
                <w:szCs w:val="18"/>
                <w:color w:val="auto"/>
              </w:rPr>
              <w:t>Nine Months Ended</w:t>
            </w: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w w:val="95"/>
              </w:rPr>
              <w:t>September 30, 2019</w:t>
            </w:r>
          </w:p>
        </w:tc>
        <w:tc>
          <w:tcPr>
            <w:tcW w:w="1860" w:type="dxa"/>
            <w:vAlign w:val="bottom"/>
            <w:gridSpan w:val="3"/>
          </w:tcPr>
          <w:p>
            <w:pPr>
              <w:jc w:val="right"/>
              <w:ind w:right="30"/>
              <w:spacing w:after="0"/>
              <w:rPr>
                <w:sz w:val="20"/>
                <w:szCs w:val="20"/>
                <w:color w:val="auto"/>
              </w:rPr>
            </w:pPr>
            <w:r>
              <w:rPr>
                <w:rFonts w:ascii="Arial" w:cs="Arial" w:eastAsia="Arial" w:hAnsi="Arial"/>
                <w:sz w:val="18"/>
                <w:szCs w:val="18"/>
                <w:color w:val="auto"/>
              </w:rPr>
              <w:t>September 30, 2018</w:t>
            </w: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3"/>
          </w:tcPr>
          <w:p>
            <w:pPr>
              <w:jc w:val="right"/>
              <w:ind w:right="70"/>
              <w:spacing w:after="0"/>
              <w:rPr>
                <w:sz w:val="20"/>
                <w:szCs w:val="20"/>
                <w:color w:val="auto"/>
              </w:rPr>
            </w:pPr>
            <w:r>
              <w:rPr>
                <w:rFonts w:ascii="Arial" w:cs="Arial" w:eastAsia="Arial" w:hAnsi="Arial"/>
                <w:sz w:val="18"/>
                <w:szCs w:val="18"/>
                <w:color w:val="auto"/>
              </w:rPr>
              <w:t>(in thousands)</w:t>
            </w:r>
          </w:p>
        </w:tc>
        <w:tc>
          <w:tcPr>
            <w:tcW w:w="1080" w:type="dxa"/>
            <w:vAlign w:val="bottom"/>
          </w:tcPr>
          <w:p>
            <w:pPr>
              <w:spacing w:after="0"/>
              <w:rPr>
                <w:sz w:val="20"/>
                <w:szCs w:val="20"/>
                <w:color w:val="auto"/>
              </w:rPr>
            </w:pP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 —</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
        </w:trPr>
        <w:tc>
          <w:tcPr>
            <w:tcW w:w="618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80" w:type="dxa"/>
            <w:vAlign w:val="bottom"/>
            <w:tcBorders>
              <w:bottom w:val="single" w:sz="8" w:color="CEFFE7"/>
            </w:tcBorders>
            <w:gridSpan w:val="3"/>
            <w:shd w:val="clear" w:color="auto" w:fill="CEFFE7"/>
          </w:tcPr>
          <w:p>
            <w:pPr>
              <w:ind w:left="180"/>
              <w:spacing w:after="0"/>
              <w:rPr>
                <w:sz w:val="20"/>
                <w:szCs w:val="20"/>
                <w:color w:val="auto"/>
              </w:rPr>
            </w:pPr>
            <w:r>
              <w:rPr>
                <w:rFonts w:ascii="Arial" w:cs="Arial" w:eastAsia="Arial" w:hAnsi="Arial"/>
                <w:sz w:val="18"/>
                <w:szCs w:val="18"/>
                <w:color w:val="auto"/>
              </w:rPr>
              <w:t>Property, plant and equipment acquired with accrued liabilities</w:t>
            </w:r>
          </w:p>
        </w:tc>
        <w:tc>
          <w:tcPr>
            <w:tcW w:w="16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gridSpan w:val="2"/>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86,661</w:t>
            </w: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49,631</w:t>
            </w:r>
          </w:p>
        </w:tc>
      </w:tr>
      <w:tr>
        <w:trPr>
          <w:trHeight w:val="324"/>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Cash (paid) refunded during the period —</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Interest (net of amounts capitalized)</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(99,375)</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(104,035)</w:t>
            </w: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CEFFE7"/>
            </w:tcBorders>
            <w:shd w:val="clear" w:color="auto" w:fill="CEFFE7"/>
          </w:tcPr>
          <w:p>
            <w:pPr>
              <w:spacing w:after="0"/>
              <w:rPr>
                <w:sz w:val="21"/>
                <w:szCs w:val="21"/>
                <w:color w:val="auto"/>
              </w:rPr>
            </w:pPr>
          </w:p>
        </w:tc>
        <w:tc>
          <w:tcPr>
            <w:tcW w:w="20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gridSpan w:val="2"/>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2,255</w:t>
            </w:r>
          </w:p>
        </w:tc>
        <w:tc>
          <w:tcPr>
            <w:tcW w:w="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(14,842)</w:t>
            </w:r>
          </w:p>
        </w:tc>
      </w:tr>
      <w:tr>
        <w:trPr>
          <w:trHeight w:val="1080"/>
        </w:trPr>
        <w:tc>
          <w:tcPr>
            <w:tcW w:w="3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jc w:val="right"/>
              <w:ind w:right="29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ind w:right="8580" w:firstLine="8"/>
        <w:spacing w:after="0" w:line="530" w:lineRule="auto"/>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EMPLOYEE BENEFIT PLANS </w:t>
      </w:r>
      <w:r>
        <w:rPr>
          <w:rFonts w:ascii="Arial" w:cs="Arial" w:eastAsia="Arial" w:hAnsi="Arial"/>
          <w:sz w:val="17"/>
          <w:szCs w:val="17"/>
          <w:u w:val="single" w:color="auto"/>
          <w:color w:val="auto"/>
        </w:rPr>
        <w:t>Defined Benefit Pension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Defined Benefit Pension Plan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40"/>
              <w:spacing w:after="0"/>
              <w:rPr>
                <w:sz w:val="20"/>
                <w:szCs w:val="20"/>
                <w:color w:val="auto"/>
              </w:rPr>
            </w:pPr>
            <w:r>
              <w:rPr>
                <w:rFonts w:ascii="Arial" w:cs="Arial" w:eastAsia="Arial" w:hAnsi="Arial"/>
                <w:sz w:val="18"/>
                <w:szCs w:val="18"/>
                <w:color w:val="auto"/>
                <w:w w:val="98"/>
              </w:rPr>
              <w:t>Three Months Ended September 30,</w:t>
            </w:r>
          </w:p>
        </w:tc>
        <w:tc>
          <w:tcPr>
            <w:tcW w:w="160" w:type="dxa"/>
            <w:vAlign w:val="bottom"/>
          </w:tcPr>
          <w:p>
            <w:pPr>
              <w:spacing w:after="0"/>
              <w:rPr>
                <w:sz w:val="20"/>
                <w:szCs w:val="20"/>
                <w:color w:val="auto"/>
              </w:rPr>
            </w:pPr>
          </w:p>
        </w:tc>
        <w:tc>
          <w:tcPr>
            <w:tcW w:w="2780" w:type="dxa"/>
            <w:vAlign w:val="bottom"/>
            <w:gridSpan w:val="3"/>
          </w:tcPr>
          <w:p>
            <w:pPr>
              <w:jc w:val="right"/>
              <w:ind w:right="110"/>
              <w:spacing w:after="0"/>
              <w:rPr>
                <w:sz w:val="20"/>
                <w:szCs w:val="20"/>
                <w:color w:val="auto"/>
              </w:rPr>
            </w:pPr>
            <w:r>
              <w:rPr>
                <w:rFonts w:ascii="Arial" w:cs="Arial" w:eastAsia="Arial" w:hAnsi="Arial"/>
                <w:sz w:val="18"/>
                <w:szCs w:val="18"/>
                <w:color w:val="auto"/>
                <w:w w:val="91"/>
              </w:rPr>
              <w:t>Nine Months Ended September 30,</w:t>
            </w:r>
          </w:p>
        </w:tc>
      </w:tr>
      <w:tr>
        <w:trPr>
          <w:trHeight w:val="270"/>
        </w:trPr>
        <w:tc>
          <w:tcPr>
            <w:tcW w:w="5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3"/>
                <w:szCs w:val="23"/>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r>
      <w:tr>
        <w:trPr>
          <w:trHeight w:val="27"/>
        </w:trPr>
        <w:tc>
          <w:tcPr>
            <w:tcW w:w="538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1,346</w:t>
            </w:r>
          </w:p>
        </w:tc>
        <w:tc>
          <w:tcPr>
            <w:tcW w:w="3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1,708</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4,037</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5,125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4,344</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13,031</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11,602</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(6,100)</w:t>
            </w:r>
          </w:p>
        </w:tc>
        <w:tc>
          <w:tcPr>
            <w:tcW w:w="3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(6,185)</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(18,300)</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(18,555)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loss (gain)</w:t>
            </w:r>
          </w:p>
        </w:tc>
        <w:tc>
          <w:tcPr>
            <w:tcW w:w="160" w:type="dxa"/>
            <w:vAlign w:val="bottom"/>
            <w:tcBorders>
              <w:bottom w:val="single" w:sz="8" w:color="CEFFE7"/>
            </w:tcBorders>
            <w:shd w:val="clear" w:color="auto" w:fill="CEFFE7"/>
          </w:tcPr>
          <w:p>
            <w:pPr>
              <w:spacing w:after="0"/>
              <w:rPr>
                <w:sz w:val="23"/>
                <w:szCs w:val="23"/>
                <w:color w:val="auto"/>
              </w:rPr>
            </w:pPr>
          </w:p>
        </w:tc>
        <w:tc>
          <w:tcPr>
            <w:tcW w:w="13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941</w:t>
            </w:r>
          </w:p>
        </w:tc>
        <w:tc>
          <w:tcPr>
            <w:tcW w:w="36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2,158</w:t>
            </w:r>
          </w:p>
        </w:tc>
        <w:tc>
          <w:tcPr>
            <w:tcW w:w="12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2,822</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6,473</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537</w:t>
            </w: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1,609</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4,689</w:t>
            </w: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Defined Benefit Postretirement Healthcare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Defined Benefit Postretirement Healthcare Plans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3100" w:type="dxa"/>
            <w:vAlign w:val="bottom"/>
            <w:gridSpan w:val="5"/>
          </w:tcPr>
          <w:p>
            <w:pPr>
              <w:ind w:left="200"/>
              <w:spacing w:after="0"/>
              <w:rPr>
                <w:sz w:val="20"/>
                <w:szCs w:val="20"/>
                <w:color w:val="auto"/>
              </w:rPr>
            </w:pPr>
            <w:r>
              <w:rPr>
                <w:rFonts w:ascii="Arial" w:cs="Arial" w:eastAsia="Arial" w:hAnsi="Arial"/>
                <w:sz w:val="18"/>
                <w:szCs w:val="18"/>
                <w:color w:val="auto"/>
                <w:w w:val="98"/>
              </w:rPr>
              <w:t>Three Months Ended September 30,</w:t>
            </w:r>
          </w:p>
        </w:tc>
        <w:tc>
          <w:tcPr>
            <w:tcW w:w="160" w:type="dxa"/>
            <w:vAlign w:val="bottom"/>
          </w:tcPr>
          <w:p>
            <w:pPr>
              <w:spacing w:after="0"/>
              <w:rPr>
                <w:sz w:val="20"/>
                <w:szCs w:val="20"/>
                <w:color w:val="auto"/>
              </w:rPr>
            </w:pPr>
          </w:p>
        </w:tc>
        <w:tc>
          <w:tcPr>
            <w:tcW w:w="2780" w:type="dxa"/>
            <w:vAlign w:val="bottom"/>
            <w:gridSpan w:val="3"/>
          </w:tcPr>
          <w:p>
            <w:pPr>
              <w:jc w:val="right"/>
              <w:ind w:right="110"/>
              <w:spacing w:after="0"/>
              <w:rPr>
                <w:sz w:val="20"/>
                <w:szCs w:val="20"/>
                <w:color w:val="auto"/>
              </w:rPr>
            </w:pPr>
            <w:r>
              <w:rPr>
                <w:rFonts w:ascii="Arial" w:cs="Arial" w:eastAsia="Arial" w:hAnsi="Arial"/>
                <w:sz w:val="18"/>
                <w:szCs w:val="18"/>
                <w:color w:val="auto"/>
                <w:w w:val="91"/>
              </w:rPr>
              <w:t>Nine Months Ended September 30,</w:t>
            </w:r>
          </w:p>
        </w:tc>
      </w:tr>
      <w:tr>
        <w:trPr>
          <w:trHeight w:val="270"/>
        </w:trPr>
        <w:tc>
          <w:tcPr>
            <w:tcW w:w="5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r>
      <w:tr>
        <w:trPr>
          <w:trHeight w:val="27"/>
        </w:trPr>
        <w:tc>
          <w:tcPr>
            <w:tcW w:w="5380" w:type="dxa"/>
            <w:vAlign w:val="bottom"/>
            <w:tcBorders>
              <w:bottom w:val="single" w:sz="8" w:color="CEFFE7"/>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040" w:type="dxa"/>
            <w:vAlign w:val="bottom"/>
            <w:tcBorders>
              <w:bottom w:val="single" w:sz="8" w:color="CEFFE7"/>
            </w:tcBorders>
            <w:shd w:val="clear" w:color="auto" w:fill="CEFFE7"/>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454</w:t>
            </w:r>
          </w:p>
        </w:tc>
        <w:tc>
          <w:tcPr>
            <w:tcW w:w="3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1,362</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1,718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560</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1,683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1,563</w:t>
            </w:r>
          </w:p>
        </w:tc>
      </w:tr>
      <w:tr>
        <w:trPr>
          <w:trHeight w:val="27"/>
        </w:trPr>
        <w:tc>
          <w:tcPr>
            <w:tcW w:w="5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Expected return on plan assets</w:t>
            </w:r>
          </w:p>
        </w:tc>
        <w:tc>
          <w:tcPr>
            <w:tcW w:w="104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w:t>
            </w:r>
          </w:p>
        </w:tc>
        <w:tc>
          <w:tcPr>
            <w:tcW w:w="3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(172)</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Prior service cost (benefit)</w:t>
            </w: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(298)</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5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loss (gain)</w:t>
            </w:r>
          </w:p>
        </w:tc>
        <w:tc>
          <w:tcPr>
            <w:tcW w:w="1040" w:type="dxa"/>
            <w:vAlign w:val="bottom"/>
            <w:tcBorders>
              <w:bottom w:val="single" w:sz="8" w:color="CEFFE7"/>
            </w:tcBorders>
            <w:shd w:val="clear" w:color="auto" w:fill="CEFFE7"/>
          </w:tcPr>
          <w:p>
            <w:pPr>
              <w:spacing w:after="0"/>
              <w:rPr>
                <w:sz w:val="23"/>
                <w:szCs w:val="23"/>
                <w:color w:val="auto"/>
              </w:rPr>
            </w:pPr>
          </w:p>
        </w:tc>
        <w:tc>
          <w:tcPr>
            <w:tcW w:w="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162</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858</w:t>
            </w: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2,575</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2,976</w:t>
            </w:r>
          </w:p>
        </w:tc>
      </w:tr>
      <w:tr>
        <w:trPr>
          <w:trHeight w:val="20"/>
        </w:trPr>
        <w:tc>
          <w:tcPr>
            <w:tcW w:w="5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Non-qualified Defined Benefit and Defined Contribution Plans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components of net periodic benefit cost for the Supplemental Non-qualified Defined Benefit and Defined Contribution Plans were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3100" w:type="dxa"/>
            <w:vAlign w:val="bottom"/>
            <w:gridSpan w:val="5"/>
          </w:tcPr>
          <w:p>
            <w:pPr>
              <w:ind w:left="200"/>
              <w:spacing w:after="0"/>
              <w:rPr>
                <w:sz w:val="20"/>
                <w:szCs w:val="20"/>
                <w:color w:val="auto"/>
              </w:rPr>
            </w:pPr>
            <w:r>
              <w:rPr>
                <w:rFonts w:ascii="Arial" w:cs="Arial" w:eastAsia="Arial" w:hAnsi="Arial"/>
                <w:sz w:val="18"/>
                <w:szCs w:val="18"/>
                <w:color w:val="auto"/>
                <w:w w:val="98"/>
              </w:rPr>
              <w:t>Three Months Ended September 30,</w:t>
            </w:r>
          </w:p>
        </w:tc>
        <w:tc>
          <w:tcPr>
            <w:tcW w:w="160" w:type="dxa"/>
            <w:vAlign w:val="bottom"/>
          </w:tcPr>
          <w:p>
            <w:pPr>
              <w:spacing w:after="0"/>
              <w:rPr>
                <w:sz w:val="20"/>
                <w:szCs w:val="20"/>
                <w:color w:val="auto"/>
              </w:rPr>
            </w:pPr>
          </w:p>
        </w:tc>
        <w:tc>
          <w:tcPr>
            <w:tcW w:w="2780" w:type="dxa"/>
            <w:vAlign w:val="bottom"/>
            <w:gridSpan w:val="3"/>
          </w:tcPr>
          <w:p>
            <w:pPr>
              <w:jc w:val="right"/>
              <w:ind w:right="110"/>
              <w:spacing w:after="0"/>
              <w:rPr>
                <w:sz w:val="20"/>
                <w:szCs w:val="20"/>
                <w:color w:val="auto"/>
              </w:rPr>
            </w:pPr>
            <w:r>
              <w:rPr>
                <w:rFonts w:ascii="Arial" w:cs="Arial" w:eastAsia="Arial" w:hAnsi="Arial"/>
                <w:sz w:val="18"/>
                <w:szCs w:val="18"/>
                <w:color w:val="auto"/>
                <w:w w:val="91"/>
              </w:rPr>
              <w:t>Nine Months Ended September 30,</w:t>
            </w:r>
          </w:p>
        </w:tc>
      </w:tr>
      <w:tr>
        <w:trPr>
          <w:trHeight w:val="270"/>
        </w:trPr>
        <w:tc>
          <w:tcPr>
            <w:tcW w:w="5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r>
      <w:tr>
        <w:trPr>
          <w:trHeight w:val="27"/>
        </w:trPr>
        <w:tc>
          <w:tcPr>
            <w:tcW w:w="5380" w:type="dxa"/>
            <w:vAlign w:val="bottom"/>
            <w:tcBorders>
              <w:bottom w:val="single" w:sz="8" w:color="CEFFE7"/>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040" w:type="dxa"/>
            <w:vAlign w:val="bottom"/>
            <w:tcBorders>
              <w:bottom w:val="single" w:sz="8" w:color="CEFFE7"/>
            </w:tcBorders>
            <w:shd w:val="clear" w:color="auto" w:fill="CEFFE7"/>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429</w:t>
            </w:r>
          </w:p>
        </w:tc>
        <w:tc>
          <w:tcPr>
            <w:tcW w:w="40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2,406</w:t>
            </w:r>
          </w:p>
        </w:tc>
        <w:tc>
          <w:tcPr>
            <w:tcW w:w="3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1,347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324</w:t>
            </w: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972</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878</w:t>
            </w:r>
          </w:p>
        </w:tc>
      </w:tr>
      <w:tr>
        <w:trPr>
          <w:trHeight w:val="27"/>
        </w:trPr>
        <w:tc>
          <w:tcPr>
            <w:tcW w:w="5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Prior service cost</w:t>
            </w:r>
          </w:p>
        </w:tc>
        <w:tc>
          <w:tcPr>
            <w:tcW w:w="104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gridSpan w:val="2"/>
            <w:shd w:val="clear" w:color="auto" w:fill="CEFFE7"/>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loss (gain)</w:t>
            </w: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134</w:t>
            </w: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402</w:t>
            </w:r>
          </w:p>
        </w:tc>
        <w:tc>
          <w:tcPr>
            <w:tcW w:w="3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
        </w:trPr>
        <w:tc>
          <w:tcPr>
            <w:tcW w:w="5380" w:type="dxa"/>
            <w:vAlign w:val="bottom"/>
            <w:tcBorders>
              <w:bottom w:val="single" w:sz="8" w:color="CEFFE7"/>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periodic benefit cost</w:t>
            </w:r>
          </w:p>
        </w:tc>
        <w:tc>
          <w:tcPr>
            <w:tcW w:w="1040" w:type="dxa"/>
            <w:vAlign w:val="bottom"/>
            <w:tcBorders>
              <w:bottom w:val="single" w:sz="8" w:color="auto"/>
            </w:tcBorders>
            <w:shd w:val="clear" w:color="auto" w:fill="CEFFE7"/>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887</w:t>
            </w:r>
          </w:p>
        </w:tc>
        <w:tc>
          <w:tcPr>
            <w:tcW w:w="40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1,175</w:t>
            </w:r>
          </w:p>
        </w:tc>
        <w:tc>
          <w:tcPr>
            <w:tcW w:w="120" w:type="dxa"/>
            <w:vAlign w:val="bottom"/>
            <w:tcBorders>
              <w:bottom w:val="single" w:sz="8" w:color="CEFFE7"/>
            </w:tcBorders>
            <w:shd w:val="clear" w:color="auto" w:fill="CEFFE7"/>
          </w:tcPr>
          <w:p>
            <w:pPr>
              <w:spacing w:after="0"/>
              <w:rPr>
                <w:sz w:val="22"/>
                <w:szCs w:val="22"/>
                <w:color w:val="auto"/>
              </w:rPr>
            </w:pP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3,781</w:t>
            </w:r>
          </w:p>
        </w:tc>
        <w:tc>
          <w:tcPr>
            <w:tcW w:w="38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2,976</w:t>
            </w:r>
          </w:p>
        </w:tc>
      </w:tr>
      <w:tr>
        <w:trPr>
          <w:trHeight w:val="20"/>
        </w:trPr>
        <w:tc>
          <w:tcPr>
            <w:tcW w:w="5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51"/>
        </w:trPr>
        <w:tc>
          <w:tcPr>
            <w:tcW w:w="5380" w:type="dxa"/>
            <w:vAlign w:val="bottom"/>
          </w:tcPr>
          <w:p>
            <w:pPr>
              <w:spacing w:after="0"/>
              <w:rPr>
                <w:sz w:val="24"/>
                <w:szCs w:val="24"/>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Contributions to the Defined Benefit Pension Plan are cash contributions made directly to the Pension Plan Trust account. Contributions to the Postretirement Healthcare and Supplemental Plans are made in the form of benefit payments. Contributions made in 2019 and anticipated contributions for 2019 and 2020 are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92"/>
              </w:rPr>
              <w:t>Contributions Made</w:t>
            </w:r>
          </w:p>
        </w:tc>
        <w:tc>
          <w:tcPr>
            <w:tcW w:w="26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color w:val="auto"/>
                <w:w w:val="97"/>
              </w:rPr>
              <w:t>Contributions Made</w:t>
            </w:r>
          </w:p>
        </w:tc>
        <w:tc>
          <w:tcPr>
            <w:tcW w:w="1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w w:val="93"/>
              </w:rPr>
              <w:t>Additional Contributions</w:t>
            </w:r>
          </w:p>
        </w:tc>
        <w:tc>
          <w:tcPr>
            <w:tcW w:w="240" w:type="dxa"/>
            <w:vAlign w:val="bottom"/>
          </w:tcPr>
          <w:p>
            <w:pPr>
              <w:spacing w:after="0"/>
              <w:rPr>
                <w:sz w:val="20"/>
                <w:szCs w:val="20"/>
                <w:color w:val="auto"/>
              </w:rPr>
            </w:pPr>
          </w:p>
        </w:tc>
        <w:tc>
          <w:tcPr>
            <w:tcW w:w="1860" w:type="dxa"/>
            <w:vAlign w:val="bottom"/>
          </w:tcPr>
          <w:p>
            <w:pPr>
              <w:jc w:val="right"/>
              <w:ind w:right="450"/>
              <w:spacing w:after="0"/>
              <w:rPr>
                <w:sz w:val="20"/>
                <w:szCs w:val="20"/>
                <w:color w:val="auto"/>
              </w:rPr>
            </w:pPr>
            <w:r>
              <w:rPr>
                <w:rFonts w:ascii="Arial" w:cs="Arial" w:eastAsia="Arial" w:hAnsi="Arial"/>
                <w:sz w:val="18"/>
                <w:szCs w:val="18"/>
                <w:color w:val="auto"/>
              </w:rPr>
              <w:t>Contributions</w:t>
            </w:r>
          </w:p>
        </w:tc>
      </w:tr>
      <w:tr>
        <w:trPr>
          <w:trHeight w:val="256"/>
        </w:trPr>
        <w:tc>
          <w:tcPr>
            <w:tcW w:w="3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22"/>
                <w:szCs w:val="22"/>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color w:val="auto"/>
                <w:w w:val="96"/>
              </w:rPr>
              <w:t>Nine Months Ended</w:t>
            </w:r>
          </w:p>
        </w:tc>
        <w:tc>
          <w:tcPr>
            <w:tcW w:w="160" w:type="dxa"/>
            <w:vAlign w:val="bottom"/>
          </w:tcPr>
          <w:p>
            <w:pPr>
              <w:spacing w:after="0"/>
              <w:rPr>
                <w:sz w:val="22"/>
                <w:szCs w:val="22"/>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Anticipated for 2019</w:t>
            </w:r>
          </w:p>
        </w:tc>
        <w:tc>
          <w:tcPr>
            <w:tcW w:w="240" w:type="dxa"/>
            <w:vAlign w:val="bottom"/>
          </w:tcPr>
          <w:p>
            <w:pPr>
              <w:spacing w:after="0"/>
              <w:rPr>
                <w:sz w:val="22"/>
                <w:szCs w:val="22"/>
                <w:color w:val="auto"/>
              </w:rPr>
            </w:pPr>
          </w:p>
        </w:tc>
        <w:tc>
          <w:tcPr>
            <w:tcW w:w="1860" w:type="dxa"/>
            <w:vAlign w:val="bottom"/>
          </w:tcPr>
          <w:p>
            <w:pPr>
              <w:jc w:val="right"/>
              <w:ind w:right="190"/>
              <w:spacing w:after="0"/>
              <w:rPr>
                <w:sz w:val="20"/>
                <w:szCs w:val="20"/>
                <w:color w:val="auto"/>
              </w:rPr>
            </w:pPr>
            <w:r>
              <w:rPr>
                <w:rFonts w:ascii="Arial" w:cs="Arial" w:eastAsia="Arial" w:hAnsi="Arial"/>
                <w:sz w:val="18"/>
                <w:szCs w:val="18"/>
                <w:color w:val="auto"/>
                <w:w w:val="97"/>
              </w:rPr>
              <w:t>Anticipated for 2020</w:t>
            </w:r>
          </w:p>
        </w:tc>
      </w:tr>
      <w:tr>
        <w:trPr>
          <w:trHeight w:val="230"/>
        </w:trPr>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color w:val="auto"/>
                <w:w w:val="88"/>
              </w:rPr>
              <w:t>September 30, 2019</w:t>
            </w:r>
          </w:p>
        </w:tc>
        <w:tc>
          <w:tcPr>
            <w:tcW w:w="26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color w:val="auto"/>
                <w:w w:val="93"/>
              </w:rPr>
              <w:t>September 30, 2019</w:t>
            </w: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32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Defined Benefit Pension Plan</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12,700</w:t>
            </w:r>
          </w:p>
        </w:tc>
        <w:tc>
          <w:tcPr>
            <w:tcW w:w="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12,700</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12,700</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Non-pension Defined Benefit</w:t>
            </w: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Postretirement Healthcare Plans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1,109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3,326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1,109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4,815</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29"/>
        </w:trPr>
        <w:tc>
          <w:tcPr>
            <w:tcW w:w="3200" w:type="dxa"/>
            <w:vAlign w:val="bottom"/>
            <w:shd w:val="clear" w:color="auto" w:fill="CEFFE7"/>
          </w:tcPr>
          <w:p>
            <w:pPr>
              <w:ind w:left="40"/>
              <w:spacing w:after="0"/>
              <w:rPr>
                <w:sz w:val="20"/>
                <w:szCs w:val="20"/>
                <w:color w:val="auto"/>
              </w:rPr>
            </w:pPr>
            <w:r>
              <w:rPr>
                <w:rFonts w:ascii="Arial" w:cs="Arial" w:eastAsia="Arial" w:hAnsi="Arial"/>
                <w:sz w:val="18"/>
                <w:szCs w:val="18"/>
                <w:color w:val="auto"/>
              </w:rPr>
              <w:t>Supplemental Non-qualified Defined</w:t>
            </w:r>
          </w:p>
        </w:tc>
        <w:tc>
          <w:tcPr>
            <w:tcW w:w="200" w:type="dxa"/>
            <w:vAlign w:val="bottom"/>
            <w:shd w:val="clear" w:color="auto" w:fill="CEFFE7"/>
          </w:tcPr>
          <w:p>
            <w:pPr>
              <w:spacing w:after="0"/>
              <w:rPr>
                <w:sz w:val="19"/>
                <w:szCs w:val="19"/>
                <w:color w:val="auto"/>
              </w:rPr>
            </w:pPr>
          </w:p>
        </w:tc>
        <w:tc>
          <w:tcPr>
            <w:tcW w:w="182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180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88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860" w:type="dxa"/>
            <w:vAlign w:val="bottom"/>
            <w:shd w:val="clear" w:color="auto" w:fill="CEFFE7"/>
          </w:tcPr>
          <w:p>
            <w:pPr>
              <w:spacing w:after="0"/>
              <w:rPr>
                <w:sz w:val="19"/>
                <w:szCs w:val="19"/>
                <w:color w:val="auto"/>
              </w:rPr>
            </w:pPr>
          </w:p>
        </w:tc>
      </w:tr>
      <w:tr>
        <w:trPr>
          <w:trHeight w:val="230"/>
        </w:trPr>
        <w:tc>
          <w:tcPr>
            <w:tcW w:w="3200" w:type="dxa"/>
            <w:vAlign w:val="bottom"/>
            <w:shd w:val="clear" w:color="auto" w:fill="CEFFE7"/>
          </w:tcPr>
          <w:p>
            <w:pPr>
              <w:ind w:left="40"/>
              <w:spacing w:after="0"/>
              <w:rPr>
                <w:sz w:val="20"/>
                <w:szCs w:val="20"/>
                <w:color w:val="auto"/>
              </w:rPr>
            </w:pPr>
            <w:r>
              <w:rPr>
                <w:rFonts w:ascii="Arial" w:cs="Arial" w:eastAsia="Arial" w:hAnsi="Arial"/>
                <w:sz w:val="18"/>
                <w:szCs w:val="18"/>
                <w:color w:val="auto"/>
              </w:rPr>
              <w:t>Benefit and Defined Contribution Plans</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366</w:t>
            </w:r>
          </w:p>
        </w:tc>
        <w:tc>
          <w:tcPr>
            <w:tcW w:w="2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1,098</w:t>
            </w:r>
          </w:p>
        </w:tc>
        <w:tc>
          <w:tcPr>
            <w:tcW w:w="1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366</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1,406</w:t>
            </w:r>
          </w:p>
        </w:tc>
      </w:tr>
      <w:tr>
        <w:trPr>
          <w:trHeight w:val="27"/>
        </w:trPr>
        <w:tc>
          <w:tcPr>
            <w:tcW w:w="320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1820" w:type="dxa"/>
            <w:vAlign w:val="bottom"/>
            <w:shd w:val="clear" w:color="auto" w:fill="CEFFE7"/>
          </w:tcPr>
          <w:p>
            <w:pPr>
              <w:spacing w:after="0"/>
              <w:rPr>
                <w:sz w:val="2"/>
                <w:szCs w:val="2"/>
                <w:color w:val="auto"/>
              </w:rPr>
            </w:pPr>
          </w:p>
        </w:tc>
        <w:tc>
          <w:tcPr>
            <w:tcW w:w="260" w:type="dxa"/>
            <w:vAlign w:val="bottom"/>
            <w:shd w:val="clear" w:color="auto" w:fill="CEFFE7"/>
          </w:tcPr>
          <w:p>
            <w:pPr>
              <w:spacing w:after="0"/>
              <w:rPr>
                <w:sz w:val="2"/>
                <w:szCs w:val="2"/>
                <w:color w:val="auto"/>
              </w:rPr>
            </w:pPr>
          </w:p>
        </w:tc>
        <w:tc>
          <w:tcPr>
            <w:tcW w:w="1800" w:type="dxa"/>
            <w:vAlign w:val="bottom"/>
            <w:shd w:val="clear" w:color="auto" w:fill="CEFFE7"/>
          </w:tcPr>
          <w:p>
            <w:pPr>
              <w:spacing w:after="0"/>
              <w:rPr>
                <w:sz w:val="2"/>
                <w:szCs w:val="2"/>
                <w:color w:val="auto"/>
              </w:rPr>
            </w:pPr>
          </w:p>
        </w:tc>
        <w:tc>
          <w:tcPr>
            <w:tcW w:w="160" w:type="dxa"/>
            <w:vAlign w:val="bottom"/>
            <w:shd w:val="clear" w:color="auto" w:fill="CEFFE7"/>
          </w:tcPr>
          <w:p>
            <w:pPr>
              <w:spacing w:after="0"/>
              <w:rPr>
                <w:sz w:val="2"/>
                <w:szCs w:val="2"/>
                <w:color w:val="auto"/>
              </w:rPr>
            </w:pPr>
          </w:p>
        </w:tc>
        <w:tc>
          <w:tcPr>
            <w:tcW w:w="188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86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COMMITMENTS AND CONTINGENCIES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There have been no significant changes to commitments and contingencies from those previously disclosed in Note 19 of our Notes to the Consolidated Financial Statements in our 2018 Annual Report on Form 10-K except for those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Purchase Agreement - Related Party</w:t>
      </w:r>
    </w:p>
    <w:p>
      <w:pPr>
        <w:spacing w:after="0" w:line="22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On August 2, 2019, Black Hills Wyoming and Wyoming Electric filed a request with FERC for approval of a new 60 MW PPA. If approved, Black Hills Wyoming will continue to deliver 60 MW of energy to Wyoming Electric from its Wygen I power plant starting January 1, 2023, and continuing for 20 additional years. A decision from FERC is pending.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Platte River Power Authority PPAs</w:t>
      </w:r>
    </w:p>
    <w:p>
      <w:pPr>
        <w:spacing w:after="0" w:line="225" w:lineRule="exact"/>
        <w:rPr>
          <w:sz w:val="20"/>
          <w:szCs w:val="20"/>
          <w:color w:val="auto"/>
        </w:rPr>
      </w:pPr>
    </w:p>
    <w:p>
      <w:pPr>
        <w:ind w:left="660" w:right="82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June 26, 2019, Colorado Electric entered into a PPA with Platte River Power Authority to purchase up to 60 MW of wind energy upon construction completion of a new wind project, which is expected in mid-2020. This agreement will expire May 31, 2030.</w:t>
      </w:r>
    </w:p>
    <w:p>
      <w:pPr>
        <w:spacing w:after="0" w:line="146" w:lineRule="exact"/>
        <w:rPr>
          <w:rFonts w:ascii="Arial" w:cs="Arial" w:eastAsia="Arial" w:hAnsi="Arial"/>
          <w:sz w:val="17"/>
          <w:szCs w:val="17"/>
          <w:color w:val="auto"/>
        </w:rPr>
      </w:pPr>
    </w:p>
    <w:p>
      <w:pPr>
        <w:ind w:left="660" w:right="5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June 26, 2019, Colorado Electric entered into a PPA with Platte River Power Authority to purchase 25 MW of unit contingent energy. This agreement was effective September 1, 2019 and will expire June 30, 2024.</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following is a schedule of unconditional purchase obligations required under the 25 MW Platte River Power Authority PPA as of</w:t>
      </w:r>
    </w:p>
    <w:p>
      <w:pPr>
        <w:spacing w:after="0" w:line="3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September 30, 2019 (in thousands):</w:t>
      </w:r>
    </w:p>
    <w:p>
      <w:pPr>
        <w:spacing w:after="0" w:line="144" w:lineRule="exact"/>
        <w:rPr>
          <w:sz w:val="20"/>
          <w:szCs w:val="20"/>
          <w:color w:val="auto"/>
        </w:rPr>
      </w:pPr>
    </w:p>
    <w:tbl>
      <w:tblPr>
        <w:tblLayout w:type="fixed"/>
        <w:tblInd w:w="860" w:type="dxa"/>
        <w:tblCellMar>
          <w:top w:w="0" w:type="dxa"/>
          <w:left w:w="0" w:type="dxa"/>
          <w:bottom w:w="0" w:type="dxa"/>
          <w:right w:w="0" w:type="dxa"/>
        </w:tblCellMar>
      </w:tblPr>
      <w:tr>
        <w:trPr>
          <w:trHeight w:val="270"/>
        </w:trPr>
        <w:tc>
          <w:tcPr>
            <w:tcW w:w="4140" w:type="dxa"/>
            <w:vAlign w:val="bottom"/>
            <w:shd w:val="clear" w:color="auto" w:fill="CEFFE7"/>
          </w:tcPr>
          <w:p>
            <w:pPr>
              <w:ind w:left="20"/>
              <w:spacing w:after="0"/>
              <w:rPr>
                <w:sz w:val="20"/>
                <w:szCs w:val="20"/>
                <w:color w:val="auto"/>
              </w:rPr>
            </w:pPr>
            <w:r>
              <w:rPr>
                <w:rFonts w:ascii="Arial" w:cs="Arial" w:eastAsia="Arial" w:hAnsi="Arial"/>
                <w:sz w:val="18"/>
                <w:szCs w:val="18"/>
                <w:color w:val="auto"/>
              </w:rPr>
              <w:t>2019</w:t>
            </w:r>
          </w:p>
        </w:tc>
        <w:tc>
          <w:tcPr>
            <w:tcW w:w="4260" w:type="dxa"/>
            <w:vAlign w:val="bottom"/>
            <w:shd w:val="clear" w:color="auto" w:fill="CEFFE7"/>
          </w:tcPr>
          <w:p>
            <w:pPr>
              <w:jc w:val="right"/>
              <w:ind w:right="7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1,369</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2020</w:t>
            </w:r>
          </w:p>
        </w:tc>
        <w:tc>
          <w:tcPr>
            <w:tcW w:w="42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5,475</w:t>
            </w:r>
          </w:p>
        </w:tc>
      </w:tr>
      <w:tr>
        <w:trPr>
          <w:trHeight w:val="27"/>
        </w:trPr>
        <w:tc>
          <w:tcPr>
            <w:tcW w:w="4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2021</w:t>
            </w:r>
          </w:p>
        </w:tc>
        <w:tc>
          <w:tcPr>
            <w:tcW w:w="4260" w:type="dxa"/>
            <w:vAlign w:val="bottom"/>
            <w:tcBorders>
              <w:bottom w:val="single" w:sz="8" w:color="CEFFE7"/>
            </w:tcBorders>
            <w:shd w:val="clear" w:color="auto" w:fill="CEFFE7"/>
          </w:tcPr>
          <w:p>
            <w:pPr>
              <w:jc w:val="right"/>
              <w:ind w:right="7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5,475</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2022</w:t>
            </w:r>
          </w:p>
        </w:tc>
        <w:tc>
          <w:tcPr>
            <w:tcW w:w="42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5,475</w:t>
            </w:r>
          </w:p>
        </w:tc>
      </w:tr>
      <w:tr>
        <w:trPr>
          <w:trHeight w:val="27"/>
        </w:trPr>
        <w:tc>
          <w:tcPr>
            <w:tcW w:w="41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2023</w:t>
            </w:r>
          </w:p>
        </w:tc>
        <w:tc>
          <w:tcPr>
            <w:tcW w:w="4260" w:type="dxa"/>
            <w:vAlign w:val="bottom"/>
            <w:tcBorders>
              <w:bottom w:val="single" w:sz="8" w:color="CEFFE7"/>
            </w:tcBorders>
            <w:shd w:val="clear" w:color="auto" w:fill="CEFFE7"/>
          </w:tcPr>
          <w:p>
            <w:pPr>
              <w:jc w:val="right"/>
              <w:ind w:right="7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5,475</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2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6" w:right="2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DISCONTINUED OPERATIONS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Results of operations for discontinued operations were classified as Loss from discontinued operations, net of income taxes in the accompanying Condensed Consolidated Statements of Income. Prior periods relating to our discontinued operations were also reclassified to reflect consistency within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Oil and Gas Segment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November 1, 2017, the BHC Board of Directors approved a complete divestiture of our Oil and Gas segment. We completed the divestiture in 2018. See Note 21 for more information.</w:t>
      </w:r>
    </w:p>
    <w:p>
      <w:pPr>
        <w:spacing w:after="0" w:line="38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 benefit (expense) for the Three Months Ended September 30, 2019 Compared to the Three Months Ended September 30, 2018.</w:t>
      </w:r>
    </w:p>
    <w:p>
      <w:pPr>
        <w:spacing w:after="0" w:line="24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Income tax benefit (expense) for the three months ended September 30, 2019 was $(2.5) million compared to $(7.5) million reported for the same period in 2018. The decrease in tax expense was primarily due to a prior year $(5.3) million income tax expense associated with changes in the previously estimated impact of tax reform on deferred income taxes.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months ended September 30, 2019 the effective tax rate was 14.0% compared to 7.6% excluding the tax reform adjustments, for the same period in 2018. The higher effective tax rate is primarily due to a prior year state tax benefit.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 benefit (expense) for the Nine Months Ended September 30, 2019 Compared to the Nine Months Ended September 30, 2018.</w:t>
      </w:r>
    </w:p>
    <w:p>
      <w:pPr>
        <w:spacing w:after="0" w:line="24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Income tax benefit (expense) for the nine months ended September 30, 2019 was $(22) million compared to $12 million reported for the same period in 2018. The increase in tax expense was primarily due to a prior year $49 million tax benefit resulting from legal entity restructuring partially offset by a prior year $(7.5) million income tax expense associated with changes in the previously estimated impact of tax reform on deferred income taxes.</w:t>
      </w:r>
    </w:p>
    <w:p>
      <w:pPr>
        <w:spacing w:after="0" w:line="16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For the nine months ended September 30, 2019 the effective tax rate was 13.6% compared to 17.1% excluding the legal entity restructuring and tax reform adjustments, for the same period in 2018. The lower effective tax rate is primarily due to $5.0 million of federal production tax credits and related state investment tax credits associated with new wind assets and a $1.0 million tax benefit for deferred tax amortization related to tax reform.</w:t>
      </w:r>
    </w:p>
    <w:p>
      <w:pPr>
        <w:spacing w:after="0" w:line="38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(19)</w:t>
        <w:tab/>
        <w:t>ACCRUED LIABILITIES</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amounts by major classification are included in Accrued liabilities in the accompanying Condensed Consolidated Balance Sheets (in thousands) as of:</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jc w:val="right"/>
              <w:ind w:right="210"/>
              <w:spacing w:after="0"/>
              <w:rPr>
                <w:sz w:val="20"/>
                <w:szCs w:val="20"/>
                <w:color w:val="auto"/>
              </w:rPr>
            </w:pPr>
            <w:r>
              <w:rPr>
                <w:rFonts w:ascii="Arial" w:cs="Arial" w:eastAsia="Arial" w:hAnsi="Arial"/>
                <w:sz w:val="18"/>
                <w:szCs w:val="18"/>
                <w:color w:val="auto"/>
                <w:w w:val="94"/>
              </w:rPr>
              <w:t>September 30, 2019</w:t>
            </w:r>
          </w:p>
        </w:tc>
        <w:tc>
          <w:tcPr>
            <w:tcW w:w="280" w:type="dxa"/>
            <w:vAlign w:val="bottom"/>
          </w:tcPr>
          <w:p>
            <w:pPr>
              <w:spacing w:after="0"/>
              <w:rPr>
                <w:sz w:val="20"/>
                <w:szCs w:val="20"/>
                <w:color w:val="auto"/>
              </w:rPr>
            </w:pPr>
          </w:p>
        </w:tc>
        <w:tc>
          <w:tcPr>
            <w:tcW w:w="1900" w:type="dxa"/>
            <w:vAlign w:val="bottom"/>
          </w:tcPr>
          <w:p>
            <w:pPr>
              <w:jc w:val="right"/>
              <w:ind w:right="270"/>
              <w:spacing w:after="0"/>
              <w:rPr>
                <w:sz w:val="20"/>
                <w:szCs w:val="20"/>
                <w:color w:val="auto"/>
              </w:rPr>
            </w:pPr>
            <w:r>
              <w:rPr>
                <w:rFonts w:ascii="Arial" w:cs="Arial" w:eastAsia="Arial" w:hAnsi="Arial"/>
                <w:sz w:val="18"/>
                <w:szCs w:val="18"/>
                <w:color w:val="auto"/>
                <w:w w:val="96"/>
              </w:rPr>
              <w:t>December 31, 2018</w:t>
            </w:r>
          </w:p>
        </w:tc>
      </w:tr>
      <w:tr>
        <w:trPr>
          <w:trHeight w:val="27"/>
        </w:trPr>
        <w:tc>
          <w:tcPr>
            <w:tcW w:w="70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Accrued employee compensation, benefits and withholdings</w:t>
            </w:r>
          </w:p>
        </w:tc>
        <w:tc>
          <w:tcPr>
            <w:tcW w:w="2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57,313</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63,742</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Accrued property taxes</w:t>
            </w: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38,937</w:t>
            </w:r>
          </w:p>
        </w:tc>
        <w:tc>
          <w:tcPr>
            <w:tcW w:w="2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42,510</w:t>
            </w: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Customer deposits and prepayments</w:t>
            </w:r>
          </w:p>
        </w:tc>
        <w:tc>
          <w:tcPr>
            <w:tcW w:w="220" w:type="dxa"/>
            <w:vAlign w:val="bottom"/>
            <w:tcBorders>
              <w:bottom w:val="single" w:sz="8" w:color="CEFFE7"/>
            </w:tcBorders>
            <w:shd w:val="clear" w:color="auto" w:fill="CEFFE7"/>
          </w:tcPr>
          <w:p>
            <w:pPr>
              <w:spacing w:after="0"/>
              <w:rPr>
                <w:sz w:val="21"/>
                <w:szCs w:val="21"/>
                <w:color w:val="auto"/>
              </w:rPr>
            </w:pPr>
          </w:p>
        </w:tc>
        <w:tc>
          <w:tcPr>
            <w:tcW w:w="1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56,220</w:t>
            </w:r>
          </w:p>
        </w:tc>
        <w:tc>
          <w:tcPr>
            <w:tcW w:w="28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43,574</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Accrued interest and contract adjustment payments</w:t>
            </w: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35,100</w:t>
            </w:r>
          </w:p>
        </w:tc>
        <w:tc>
          <w:tcPr>
            <w:tcW w:w="2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31,759</w:t>
            </w: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7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(none of which is individually significant)</w:t>
            </w:r>
          </w:p>
        </w:tc>
        <w:tc>
          <w:tcPr>
            <w:tcW w:w="220" w:type="dxa"/>
            <w:vAlign w:val="bottom"/>
            <w:tcBorders>
              <w:bottom w:val="single" w:sz="8" w:color="CEFFE7"/>
            </w:tcBorders>
            <w:shd w:val="clear" w:color="auto" w:fill="CEFFE7"/>
          </w:tcPr>
          <w:p>
            <w:pPr>
              <w:spacing w:after="0"/>
              <w:rPr>
                <w:sz w:val="23"/>
                <w:szCs w:val="23"/>
                <w:color w:val="auto"/>
              </w:rPr>
            </w:pPr>
          </w:p>
        </w:tc>
        <w:tc>
          <w:tcPr>
            <w:tcW w:w="1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30,262</w:t>
            </w:r>
          </w:p>
        </w:tc>
        <w:tc>
          <w:tcPr>
            <w:tcW w:w="280" w:type="dxa"/>
            <w:vAlign w:val="bottom"/>
            <w:tcBorders>
              <w:bottom w:val="single" w:sz="8" w:color="CEFFE7"/>
            </w:tcBorders>
            <w:shd w:val="clear" w:color="auto" w:fill="CEFFE7"/>
          </w:tcPr>
          <w:p>
            <w:pPr>
              <w:spacing w:after="0"/>
              <w:rPr>
                <w:sz w:val="23"/>
                <w:szCs w:val="23"/>
                <w:color w:val="auto"/>
              </w:rPr>
            </w:pPr>
          </w:p>
        </w:tc>
        <w:tc>
          <w:tcPr>
            <w:tcW w:w="1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33,916</w:t>
            </w:r>
          </w:p>
        </w:tc>
      </w:tr>
      <w:tr>
        <w:trPr>
          <w:trHeight w:val="257"/>
        </w:trPr>
        <w:tc>
          <w:tcPr>
            <w:tcW w:w="7000" w:type="dxa"/>
            <w:vAlign w:val="bottom"/>
          </w:tcPr>
          <w:p>
            <w:pPr>
              <w:ind w:left="280"/>
              <w:spacing w:after="0"/>
              <w:rPr>
                <w:sz w:val="20"/>
                <w:szCs w:val="20"/>
                <w:color w:val="auto"/>
              </w:rPr>
            </w:pPr>
            <w:r>
              <w:rPr>
                <w:rFonts w:ascii="Arial" w:cs="Arial" w:eastAsia="Arial" w:hAnsi="Arial"/>
                <w:sz w:val="18"/>
                <w:szCs w:val="18"/>
                <w:color w:val="auto"/>
              </w:rPr>
              <w:t>Total accrued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217,832</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215,501</w:t>
            </w: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6" w:right="27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Lessee</w:t>
      </w:r>
    </w:p>
    <w:p>
      <w:pPr>
        <w:spacing w:after="0" w:line="18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We lease from third parties certain office and operation center facilities, communication tower sites, equipment, and materials storage. Our leases have remaining terms ranging from less than one year to 37 years, including options to extend that are reasonably certain to be exercised.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w w:val="91"/>
              </w:rPr>
              <w:t>Three Months Ended</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Nine Months Ended</w:t>
            </w:r>
          </w:p>
        </w:tc>
      </w:tr>
      <w:tr>
        <w:trPr>
          <w:trHeight w:val="230"/>
        </w:trPr>
        <w:tc>
          <w:tcPr>
            <w:tcW w:w="4240" w:type="dxa"/>
            <w:vAlign w:val="bottom"/>
          </w:tcPr>
          <w:p>
            <w:pPr>
              <w:spacing w:after="0"/>
              <w:rPr>
                <w:sz w:val="20"/>
                <w:szCs w:val="20"/>
                <w:color w:val="auto"/>
              </w:rPr>
            </w:pPr>
          </w:p>
        </w:tc>
        <w:tc>
          <w:tcPr>
            <w:tcW w:w="4000" w:type="dxa"/>
            <w:vAlign w:val="bottom"/>
          </w:tcPr>
          <w:p>
            <w:pPr>
              <w:ind w:left="1000"/>
              <w:spacing w:after="0"/>
              <w:rPr>
                <w:sz w:val="20"/>
                <w:szCs w:val="20"/>
                <w:color w:val="auto"/>
              </w:rPr>
            </w:pPr>
            <w:r>
              <w:rPr>
                <w:rFonts w:ascii="Arial" w:cs="Arial" w:eastAsia="Arial" w:hAnsi="Arial"/>
                <w:sz w:val="18"/>
                <w:szCs w:val="18"/>
                <w:color w:val="auto"/>
              </w:rPr>
              <w:t>Income Statement Location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1"/>
              </w:rPr>
              <w:t>September 30, 2019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1"/>
              </w:rPr>
              <w:t>September 30, 2019</w:t>
            </w:r>
          </w:p>
        </w:tc>
      </w:tr>
      <w:tr>
        <w:trPr>
          <w:trHeight w:val="27"/>
        </w:trPr>
        <w:tc>
          <w:tcPr>
            <w:tcW w:w="4240" w:type="dxa"/>
            <w:vAlign w:val="bottom"/>
            <w:tcBorders>
              <w:bottom w:val="single" w:sz="8" w:color="CEFFE7"/>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Operating lease cost</w:t>
            </w:r>
          </w:p>
        </w:tc>
        <w:tc>
          <w:tcPr>
            <w:tcW w:w="40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Operations and maintenance</w:t>
            </w:r>
          </w:p>
        </w:tc>
        <w:tc>
          <w:tcPr>
            <w:tcW w:w="6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380</w:t>
            </w:r>
          </w:p>
        </w:tc>
        <w:tc>
          <w:tcPr>
            <w:tcW w:w="60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1,076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4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2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Amortization of right-of-use asset</w:t>
            </w:r>
          </w:p>
        </w:tc>
        <w:tc>
          <w:tcPr>
            <w:tcW w:w="40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66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w:t>
            </w:r>
          </w:p>
        </w:tc>
        <w:tc>
          <w:tcPr>
            <w:tcW w:w="60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72</w:t>
            </w:r>
          </w:p>
        </w:tc>
      </w:tr>
      <w:tr>
        <w:trPr>
          <w:trHeight w:val="229"/>
        </w:trPr>
        <w:tc>
          <w:tcPr>
            <w:tcW w:w="424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w w:val="94"/>
              </w:rPr>
              <w:t>Interest expense incurred net of amounts capitalized</w:t>
            </w: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424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(including amortization of debt issuance costs,</w:t>
            </w: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4240" w:type="dxa"/>
            <w:vAlign w:val="bottom"/>
          </w:tcPr>
          <w:p>
            <w:pPr>
              <w:ind w:left="280"/>
              <w:spacing w:after="0"/>
              <w:rPr>
                <w:sz w:val="20"/>
                <w:szCs w:val="20"/>
                <w:color w:val="auto"/>
              </w:rPr>
            </w:pPr>
            <w:r>
              <w:rPr>
                <w:rFonts w:ascii="Arial" w:cs="Arial" w:eastAsia="Arial" w:hAnsi="Arial"/>
                <w:sz w:val="18"/>
                <w:szCs w:val="18"/>
                <w:color w:val="auto"/>
              </w:rPr>
              <w:t>Interest on lease liabilities</w:t>
            </w:r>
          </w:p>
        </w:tc>
        <w:tc>
          <w:tcPr>
            <w:tcW w:w="4000" w:type="dxa"/>
            <w:vAlign w:val="bottom"/>
          </w:tcPr>
          <w:p>
            <w:pPr>
              <w:ind w:left="20"/>
              <w:spacing w:after="0"/>
              <w:rPr>
                <w:sz w:val="20"/>
                <w:szCs w:val="20"/>
                <w:color w:val="auto"/>
              </w:rPr>
            </w:pPr>
            <w:r>
              <w:rPr>
                <w:rFonts w:ascii="Arial" w:cs="Arial" w:eastAsia="Arial" w:hAnsi="Arial"/>
                <w:sz w:val="18"/>
                <w:szCs w:val="18"/>
                <w:color w:val="auto"/>
              </w:rPr>
              <w:t>premiums and discounts)</w:t>
            </w:r>
          </w:p>
        </w:tc>
        <w:tc>
          <w:tcPr>
            <w:tcW w:w="6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4240" w:type="dxa"/>
            <w:vAlign w:val="bottom"/>
            <w:tcBorders>
              <w:bottom w:val="single" w:sz="8" w:color="CEFFE7"/>
            </w:tcBorders>
          </w:tcPr>
          <w:p>
            <w:pPr>
              <w:spacing w:after="0"/>
              <w:rPr>
                <w:sz w:val="2"/>
                <w:szCs w:val="2"/>
                <w:color w:val="auto"/>
              </w:rPr>
            </w:pPr>
          </w:p>
        </w:tc>
        <w:tc>
          <w:tcPr>
            <w:tcW w:w="4000" w:type="dxa"/>
            <w:vAlign w:val="bottom"/>
            <w:tcBorders>
              <w:bottom w:val="single" w:sz="8" w:color="CEFFE7"/>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lease cost</w:t>
            </w:r>
          </w:p>
        </w:tc>
        <w:tc>
          <w:tcPr>
            <w:tcW w:w="4000" w:type="dxa"/>
            <w:vAlign w:val="bottom"/>
            <w:tcBorders>
              <w:bottom w:val="single" w:sz="8" w:color="CEFFE7"/>
            </w:tcBorders>
            <w:shd w:val="clear" w:color="auto" w:fill="CEFFE7"/>
          </w:tcPr>
          <w:p>
            <w:pPr>
              <w:spacing w:after="0"/>
              <w:rPr>
                <w:sz w:val="22"/>
                <w:szCs w:val="22"/>
                <w:color w:val="auto"/>
              </w:rPr>
            </w:pPr>
          </w:p>
        </w:tc>
        <w:tc>
          <w:tcPr>
            <w:tcW w:w="66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413</w:t>
            </w:r>
          </w:p>
        </w:tc>
        <w:tc>
          <w:tcPr>
            <w:tcW w:w="600" w:type="dxa"/>
            <w:vAlign w:val="bottom"/>
            <w:tcBorders>
              <w:bottom w:val="single" w:sz="8" w:color="auto"/>
            </w:tcBorders>
            <w:shd w:val="clear" w:color="auto" w:fill="CEFFE7"/>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1,162</w:t>
            </w:r>
          </w:p>
        </w:tc>
      </w:tr>
      <w:tr>
        <w:trPr>
          <w:trHeight w:val="20"/>
        </w:trPr>
        <w:tc>
          <w:tcPr>
            <w:tcW w:w="42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 (in 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p>
        </w:tc>
        <w:tc>
          <w:tcPr>
            <w:tcW w:w="4220" w:type="dxa"/>
            <w:vAlign w:val="bottom"/>
          </w:tcPr>
          <w:p>
            <w:pPr>
              <w:ind w:left="1260"/>
              <w:spacing w:after="0"/>
              <w:rPr>
                <w:sz w:val="20"/>
                <w:szCs w:val="20"/>
                <w:color w:val="auto"/>
              </w:rPr>
            </w:pPr>
            <w:r>
              <w:rPr>
                <w:rFonts w:ascii="Arial" w:cs="Arial" w:eastAsia="Arial" w:hAnsi="Arial"/>
                <w:sz w:val="18"/>
                <w:szCs w:val="18"/>
                <w:color w:val="auto"/>
              </w:rPr>
              <w:t>Balance Sheet Location</w:t>
            </w:r>
          </w:p>
        </w:tc>
        <w:tc>
          <w:tcPr>
            <w:tcW w:w="160" w:type="dxa"/>
            <w:vAlign w:val="bottom"/>
          </w:tcPr>
          <w:p>
            <w:pPr>
              <w:spacing w:after="0"/>
              <w:rPr>
                <w:sz w:val="20"/>
                <w:szCs w:val="20"/>
                <w:color w:val="auto"/>
              </w:rPr>
            </w:pPr>
          </w:p>
        </w:tc>
        <w:tc>
          <w:tcPr>
            <w:tcW w:w="2100" w:type="dxa"/>
            <w:vAlign w:val="bottom"/>
          </w:tcPr>
          <w:p>
            <w:pPr>
              <w:jc w:val="right"/>
              <w:ind w:right="90"/>
              <w:spacing w:after="0"/>
              <w:rPr>
                <w:sz w:val="20"/>
                <w:szCs w:val="20"/>
                <w:color w:val="auto"/>
              </w:rPr>
            </w:pPr>
            <w:r>
              <w:rPr>
                <w:rFonts w:ascii="Arial" w:cs="Arial" w:eastAsia="Arial" w:hAnsi="Arial"/>
                <w:sz w:val="18"/>
                <w:szCs w:val="18"/>
                <w:color w:val="auto"/>
                <w:w w:val="90"/>
              </w:rPr>
              <w:t>As of September 30, 2019</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EFFE7"/>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Assets:</w:t>
            </w:r>
          </w:p>
        </w:tc>
        <w:tc>
          <w:tcPr>
            <w:tcW w:w="42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21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Operating lease assets</w:t>
            </w:r>
          </w:p>
        </w:tc>
        <w:tc>
          <w:tcPr>
            <w:tcW w:w="4220" w:type="dxa"/>
            <w:vAlign w:val="bottom"/>
          </w:tcPr>
          <w:p>
            <w:pPr>
              <w:ind w:left="40"/>
              <w:spacing w:after="0"/>
              <w:rPr>
                <w:sz w:val="20"/>
                <w:szCs w:val="20"/>
                <w:color w:val="auto"/>
              </w:rPr>
            </w:pPr>
            <w:r>
              <w:rPr>
                <w:rFonts w:ascii="Arial" w:cs="Arial" w:eastAsia="Arial" w:hAnsi="Arial"/>
                <w:sz w:val="18"/>
                <w:szCs w:val="18"/>
                <w:color w:val="auto"/>
              </w:rPr>
              <w:t>Other assets,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Finance lease assets</w:t>
            </w:r>
          </w:p>
        </w:tc>
        <w:tc>
          <w:tcPr>
            <w:tcW w:w="42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assets, non-current</w:t>
            </w:r>
          </w:p>
        </w:tc>
        <w:tc>
          <w:tcPr>
            <w:tcW w:w="160" w:type="dxa"/>
            <w:vAlign w:val="bottom"/>
            <w:tcBorders>
              <w:bottom w:val="single" w:sz="8" w:color="CEFFE7"/>
            </w:tcBorders>
            <w:shd w:val="clear" w:color="auto" w:fill="CEFFE7"/>
          </w:tcPr>
          <w:p>
            <w:pPr>
              <w:spacing w:after="0"/>
              <w:rPr>
                <w:sz w:val="23"/>
                <w:szCs w:val="23"/>
                <w:color w:val="auto"/>
              </w:rPr>
            </w:pPr>
          </w:p>
        </w:tc>
        <w:tc>
          <w:tcPr>
            <w:tcW w:w="2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97"/>
        </w:trPr>
        <w:tc>
          <w:tcPr>
            <w:tcW w:w="4900" w:type="dxa"/>
            <w:vAlign w:val="bottom"/>
            <w:tcBorders>
              <w:bottom w:val="single" w:sz="8" w:color="CEFFE7"/>
            </w:tcBorders>
          </w:tcPr>
          <w:p>
            <w:pPr>
              <w:ind w:left="20"/>
              <w:spacing w:after="0"/>
              <w:rPr>
                <w:sz w:val="20"/>
                <w:szCs w:val="20"/>
                <w:color w:val="auto"/>
              </w:rPr>
            </w:pPr>
            <w:r>
              <w:rPr>
                <w:rFonts w:ascii="Arial" w:cs="Arial" w:eastAsia="Arial" w:hAnsi="Arial"/>
                <w:sz w:val="18"/>
                <w:szCs w:val="18"/>
                <w:color w:val="auto"/>
              </w:rPr>
              <w:t>Total lease assets</w:t>
            </w:r>
          </w:p>
        </w:tc>
        <w:tc>
          <w:tcPr>
            <w:tcW w:w="4220" w:type="dxa"/>
            <w:vAlign w:val="bottom"/>
            <w:tcBorders>
              <w:bottom w:val="single" w:sz="8" w:color="CEFFE7"/>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5,357</w:t>
            </w:r>
          </w:p>
        </w:tc>
        <w:tc>
          <w:tcPr>
            <w:tcW w:w="0" w:type="dxa"/>
            <w:vAlign w:val="bottom"/>
          </w:tcPr>
          <w:p>
            <w:pPr>
              <w:spacing w:after="0"/>
              <w:rPr>
                <w:sz w:val="1"/>
                <w:szCs w:val="1"/>
                <w:color w:val="auto"/>
              </w:rPr>
            </w:pPr>
          </w:p>
        </w:tc>
      </w:tr>
      <w:tr>
        <w:trPr>
          <w:trHeight w:val="311"/>
        </w:trPr>
        <w:tc>
          <w:tcPr>
            <w:tcW w:w="4900" w:type="dxa"/>
            <w:vAlign w:val="bottom"/>
            <w:shd w:val="clear" w:color="auto" w:fill="CEFFE7"/>
          </w:tcPr>
          <w:p>
            <w:pPr>
              <w:spacing w:after="0"/>
              <w:rPr>
                <w:sz w:val="24"/>
                <w:szCs w:val="24"/>
                <w:color w:val="auto"/>
              </w:rPr>
            </w:pPr>
          </w:p>
        </w:tc>
        <w:tc>
          <w:tcPr>
            <w:tcW w:w="422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21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4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Current:</w:t>
            </w:r>
          </w:p>
        </w:tc>
        <w:tc>
          <w:tcPr>
            <w:tcW w:w="42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21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422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Finance lease</w:t>
            </w:r>
          </w:p>
        </w:tc>
        <w:tc>
          <w:tcPr>
            <w:tcW w:w="42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EFFE7"/>
            </w:tcBorders>
            <w:shd w:val="clear" w:color="auto" w:fill="CEFFE7"/>
          </w:tcPr>
          <w:p>
            <w:pPr>
              <w:spacing w:after="0"/>
              <w:rPr>
                <w:sz w:val="21"/>
                <w:szCs w:val="21"/>
                <w:color w:val="auto"/>
              </w:rPr>
            </w:pPr>
          </w:p>
        </w:tc>
        <w:tc>
          <w:tcPr>
            <w:tcW w:w="2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24"/>
        </w:trPr>
        <w:tc>
          <w:tcPr>
            <w:tcW w:w="49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Noncurrent:</w:t>
            </w:r>
          </w:p>
        </w:tc>
        <w:tc>
          <w:tcPr>
            <w:tcW w:w="42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21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4220" w:type="dxa"/>
            <w:vAlign w:val="bottom"/>
          </w:tcPr>
          <w:p>
            <w:pPr>
              <w:ind w:left="40"/>
              <w:spacing w:after="0"/>
              <w:rPr>
                <w:sz w:val="20"/>
                <w:szCs w:val="20"/>
                <w:color w:val="auto"/>
              </w:rPr>
            </w:pPr>
            <w:r>
              <w:rPr>
                <w:rFonts w:ascii="Arial" w:cs="Arial" w:eastAsia="Arial" w:hAnsi="Arial"/>
                <w:sz w:val="18"/>
                <w:szCs w:val="18"/>
                <w:color w:val="auto"/>
              </w:rPr>
              <w:t>Other deferred credits and other liabilities</w:t>
            </w:r>
          </w:p>
        </w:tc>
        <w:tc>
          <w:tcPr>
            <w:tcW w:w="16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Finance lease</w:t>
            </w:r>
          </w:p>
        </w:tc>
        <w:tc>
          <w:tcPr>
            <w:tcW w:w="42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deferred credits and other liabilities</w:t>
            </w:r>
          </w:p>
        </w:tc>
        <w:tc>
          <w:tcPr>
            <w:tcW w:w="160" w:type="dxa"/>
            <w:vAlign w:val="bottom"/>
            <w:tcBorders>
              <w:bottom w:val="single" w:sz="8" w:color="CEFFE7"/>
            </w:tcBorders>
            <w:shd w:val="clear" w:color="auto" w:fill="CEFFE7"/>
          </w:tcPr>
          <w:p>
            <w:pPr>
              <w:spacing w:after="0"/>
              <w:rPr>
                <w:sz w:val="23"/>
                <w:szCs w:val="23"/>
                <w:color w:val="auto"/>
              </w:rPr>
            </w:pPr>
          </w:p>
        </w:tc>
        <w:tc>
          <w:tcPr>
            <w:tcW w:w="2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4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220" w:type="dxa"/>
            <w:vAlign w:val="bottom"/>
            <w:vMerge w:val="restart"/>
          </w:tcPr>
          <w:p>
            <w:pPr>
              <w:ind w:left="700"/>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90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tcPr>
          <w:p>
            <w:pPr>
              <w:jc w:val="right"/>
              <w:ind w:right="310"/>
              <w:spacing w:after="0"/>
              <w:rPr>
                <w:sz w:val="20"/>
                <w:szCs w:val="20"/>
                <w:color w:val="auto"/>
              </w:rPr>
            </w:pPr>
            <w:r>
              <w:rPr>
                <w:rFonts w:ascii="Arial" w:cs="Arial" w:eastAsia="Arial" w:hAnsi="Arial"/>
                <w:sz w:val="18"/>
                <w:szCs w:val="18"/>
                <w:color w:val="auto"/>
              </w:rPr>
              <w:t>Nine Months Ended</w:t>
            </w:r>
          </w:p>
        </w:tc>
      </w:tr>
      <w:tr>
        <w:trPr>
          <w:trHeight w:val="230"/>
        </w:trPr>
        <w:tc>
          <w:tcPr>
            <w:tcW w:w="9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tcPr>
          <w:p>
            <w:pPr>
              <w:jc w:val="right"/>
              <w:ind w:right="310"/>
              <w:spacing w:after="0"/>
              <w:rPr>
                <w:sz w:val="20"/>
                <w:szCs w:val="20"/>
                <w:color w:val="auto"/>
              </w:rPr>
            </w:pPr>
            <w:r>
              <w:rPr>
                <w:rFonts w:ascii="Arial" w:cs="Arial" w:eastAsia="Arial" w:hAnsi="Arial"/>
                <w:sz w:val="18"/>
                <w:szCs w:val="18"/>
                <w:color w:val="auto"/>
              </w:rPr>
              <w:t>September 30, 2019</w:t>
            </w:r>
          </w:p>
        </w:tc>
      </w:tr>
      <w:tr>
        <w:trPr>
          <w:trHeight w:val="27"/>
        </w:trPr>
        <w:tc>
          <w:tcPr>
            <w:tcW w:w="9040" w:type="dxa"/>
            <w:vAlign w:val="bottom"/>
            <w:tcBorders>
              <w:bottom w:val="single" w:sz="8" w:color="CEFFE7"/>
            </w:tcBorders>
          </w:tcPr>
          <w:p>
            <w:pPr>
              <w:spacing w:after="0"/>
              <w:rPr>
                <w:sz w:val="2"/>
                <w:szCs w:val="2"/>
                <w:color w:val="auto"/>
              </w:rPr>
            </w:pPr>
          </w:p>
        </w:tc>
        <w:tc>
          <w:tcPr>
            <w:tcW w:w="8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Cash paid included in the measurement of lease liabilities:</w:t>
            </w:r>
          </w:p>
        </w:tc>
        <w:tc>
          <w:tcPr>
            <w:tcW w:w="140" w:type="dxa"/>
            <w:vAlign w:val="bottom"/>
            <w:tcBorders>
              <w:bottom w:val="single" w:sz="8" w:color="CEFFE7"/>
            </w:tcBorders>
            <w:shd w:val="clear" w:color="auto" w:fill="CEFFE7"/>
          </w:tcPr>
          <w:p>
            <w:pPr>
              <w:spacing w:after="0"/>
              <w:rPr>
                <w:sz w:val="21"/>
                <w:szCs w:val="21"/>
                <w:color w:val="auto"/>
              </w:rPr>
            </w:pPr>
          </w:p>
        </w:tc>
        <w:tc>
          <w:tcPr>
            <w:tcW w:w="2120" w:type="dxa"/>
            <w:vAlign w:val="bottom"/>
            <w:tcBorders>
              <w:bottom w:val="single" w:sz="8" w:color="CEFFE7"/>
            </w:tcBorders>
            <w:shd w:val="clear" w:color="auto" w:fill="CEFFE7"/>
          </w:tcPr>
          <w:p>
            <w:pPr>
              <w:spacing w:after="0"/>
              <w:rPr>
                <w:sz w:val="21"/>
                <w:szCs w:val="21"/>
                <w:color w:val="auto"/>
              </w:rPr>
            </w:pPr>
          </w:p>
        </w:tc>
      </w:tr>
      <w:tr>
        <w:trPr>
          <w:trHeight w:val="243"/>
        </w:trPr>
        <w:tc>
          <w:tcPr>
            <w:tcW w:w="9120" w:type="dxa"/>
            <w:vAlign w:val="bottom"/>
            <w:gridSpan w:val="2"/>
          </w:tcPr>
          <w:p>
            <w:pPr>
              <w:ind w:left="280"/>
              <w:spacing w:after="0"/>
              <w:rPr>
                <w:sz w:val="20"/>
                <w:szCs w:val="20"/>
                <w:color w:val="auto"/>
              </w:rPr>
            </w:pPr>
            <w:r>
              <w:rPr>
                <w:rFonts w:ascii="Arial" w:cs="Arial" w:eastAsia="Arial" w:hAnsi="Arial"/>
                <w:sz w:val="18"/>
                <w:szCs w:val="18"/>
                <w:color w:val="auto"/>
              </w:rPr>
              <w:t>Operating cash flows from operating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895</w:t>
            </w:r>
          </w:p>
        </w:tc>
      </w:tr>
      <w:tr>
        <w:trPr>
          <w:trHeight w:val="27"/>
        </w:trPr>
        <w:tc>
          <w:tcPr>
            <w:tcW w:w="9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912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8"/>
                <w:szCs w:val="18"/>
                <w:color w:val="auto"/>
              </w:rPr>
              <w:t>Operating cash flows from finance lease</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9120" w:type="dxa"/>
            <w:vAlign w:val="bottom"/>
            <w:gridSpan w:val="2"/>
          </w:tcPr>
          <w:p>
            <w:pPr>
              <w:ind w:left="280"/>
              <w:spacing w:after="0"/>
              <w:rPr>
                <w:sz w:val="20"/>
                <w:szCs w:val="20"/>
                <w:color w:val="auto"/>
              </w:rPr>
            </w:pPr>
            <w:r>
              <w:rPr>
                <w:rFonts w:ascii="Arial" w:cs="Arial" w:eastAsia="Arial" w:hAnsi="Arial"/>
                <w:sz w:val="18"/>
                <w:szCs w:val="18"/>
                <w:color w:val="auto"/>
              </w:rPr>
              <w:t>Financing cash flows from finance lease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9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91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140" w:type="dxa"/>
            <w:vAlign w:val="bottom"/>
            <w:tcBorders>
              <w:bottom w:val="single" w:sz="8" w:color="CEFFE7"/>
            </w:tcBorders>
            <w:shd w:val="clear" w:color="auto" w:fill="CEFFE7"/>
          </w:tcPr>
          <w:p>
            <w:pPr>
              <w:spacing w:after="0"/>
              <w:rPr>
                <w:sz w:val="21"/>
                <w:szCs w:val="21"/>
                <w:color w:val="auto"/>
              </w:rPr>
            </w:pPr>
          </w:p>
        </w:tc>
        <w:tc>
          <w:tcPr>
            <w:tcW w:w="2120" w:type="dxa"/>
            <w:vAlign w:val="bottom"/>
            <w:tcBorders>
              <w:bottom w:val="single" w:sz="8" w:color="CEFFE7"/>
            </w:tcBorders>
            <w:shd w:val="clear" w:color="auto" w:fill="CEFFE7"/>
          </w:tcPr>
          <w:p>
            <w:pPr>
              <w:spacing w:after="0"/>
              <w:rPr>
                <w:sz w:val="21"/>
                <w:szCs w:val="21"/>
                <w:color w:val="auto"/>
              </w:rPr>
            </w:pPr>
          </w:p>
        </w:tc>
      </w:tr>
      <w:tr>
        <w:trPr>
          <w:trHeight w:val="243"/>
        </w:trPr>
        <w:tc>
          <w:tcPr>
            <w:tcW w:w="9120" w:type="dxa"/>
            <w:vAlign w:val="bottom"/>
            <w:gridSpan w:val="2"/>
          </w:tcPr>
          <w:p>
            <w:pPr>
              <w:ind w:left="280"/>
              <w:spacing w:after="0"/>
              <w:rPr>
                <w:sz w:val="20"/>
                <w:szCs w:val="20"/>
                <w:color w:val="auto"/>
              </w:rPr>
            </w:pPr>
            <w:r>
              <w:rPr>
                <w:rFonts w:ascii="Arial" w:cs="Arial" w:eastAsia="Arial" w:hAnsi="Arial"/>
                <w:sz w:val="18"/>
                <w:szCs w:val="18"/>
                <w:color w:val="auto"/>
              </w:rPr>
              <w:t>Operating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2,775</w:t>
            </w:r>
          </w:p>
        </w:tc>
      </w:tr>
      <w:tr>
        <w:trPr>
          <w:trHeight w:val="27"/>
        </w:trPr>
        <w:tc>
          <w:tcPr>
            <w:tcW w:w="9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912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8"/>
                <w:szCs w:val="18"/>
                <w:color w:val="auto"/>
              </w:rPr>
              <w:t>Finance lease</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w:t>
            </w:r>
          </w:p>
        </w:tc>
      </w:tr>
      <w:tr>
        <w:trPr>
          <w:trHeight w:val="810"/>
        </w:trPr>
        <w:tc>
          <w:tcPr>
            <w:tcW w:w="9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jc w:val="right"/>
              <w:ind w:right="130"/>
              <w:spacing w:after="0"/>
              <w:rPr>
                <w:sz w:val="20"/>
                <w:szCs w:val="20"/>
                <w:color w:val="auto"/>
              </w:rPr>
            </w:pPr>
            <w:r>
              <w:rPr>
                <w:rFonts w:ascii="Arial" w:cs="Arial" w:eastAsia="Arial" w:hAnsi="Arial"/>
                <w:sz w:val="18"/>
                <w:szCs w:val="18"/>
                <w:color w:val="auto"/>
                <w:w w:val="89"/>
              </w:rPr>
              <w:t>As of September 30, 2019</w:t>
            </w:r>
          </w:p>
        </w:tc>
      </w:tr>
      <w:tr>
        <w:trPr>
          <w:trHeight w:val="27"/>
        </w:trPr>
        <w:tc>
          <w:tcPr>
            <w:tcW w:w="9040" w:type="dxa"/>
            <w:vAlign w:val="bottom"/>
            <w:tcBorders>
              <w:bottom w:val="single" w:sz="8" w:color="CEFFE7"/>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40" w:type="dxa"/>
            <w:vAlign w:val="bottom"/>
            <w:tcBorders>
              <w:bottom w:val="single" w:sz="8" w:color="CEFFE7"/>
            </w:tcBorders>
            <w:shd w:val="clear" w:color="auto" w:fill="CEFFE7"/>
          </w:tcPr>
          <w:p>
            <w:pPr>
              <w:spacing w:after="0"/>
              <w:rPr>
                <w:sz w:val="21"/>
                <w:szCs w:val="21"/>
                <w:color w:val="auto"/>
              </w:rPr>
            </w:pPr>
          </w:p>
        </w:tc>
        <w:tc>
          <w:tcPr>
            <w:tcW w:w="2120" w:type="dxa"/>
            <w:vAlign w:val="bottom"/>
            <w:tcBorders>
              <w:bottom w:val="single" w:sz="8" w:color="CEFFE7"/>
            </w:tcBorders>
            <w:shd w:val="clear" w:color="auto" w:fill="CEFFE7"/>
          </w:tcPr>
          <w:p>
            <w:pPr>
              <w:spacing w:after="0"/>
              <w:rPr>
                <w:sz w:val="21"/>
                <w:szCs w:val="21"/>
                <w:color w:val="auto"/>
              </w:rPr>
            </w:pPr>
          </w:p>
        </w:tc>
      </w:tr>
      <w:tr>
        <w:trPr>
          <w:trHeight w:val="243"/>
        </w:trPr>
        <w:tc>
          <w:tcPr>
            <w:tcW w:w="9120" w:type="dxa"/>
            <w:vAlign w:val="bottom"/>
            <w:gridSpan w:val="2"/>
          </w:tcPr>
          <w:p>
            <w:pPr>
              <w:ind w:left="16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21"/>
                <w:szCs w:val="21"/>
                <w:color w:val="auto"/>
              </w:rPr>
            </w:pPr>
          </w:p>
        </w:tc>
        <w:tc>
          <w:tcPr>
            <w:tcW w:w="2120" w:type="dxa"/>
            <w:vAlign w:val="bottom"/>
          </w:tcPr>
          <w:p>
            <w:pPr>
              <w:jc w:val="right"/>
              <w:ind w:right="90"/>
              <w:spacing w:after="0"/>
              <w:rPr>
                <w:sz w:val="20"/>
                <w:szCs w:val="20"/>
                <w:color w:val="auto"/>
              </w:rPr>
            </w:pPr>
            <w:r>
              <w:rPr>
                <w:rFonts w:ascii="Arial" w:cs="Arial" w:eastAsia="Arial" w:hAnsi="Arial"/>
                <w:sz w:val="18"/>
                <w:szCs w:val="18"/>
                <w:color w:val="auto"/>
              </w:rPr>
              <w:t>8 years</w:t>
            </w:r>
          </w:p>
        </w:tc>
      </w:tr>
      <w:tr>
        <w:trPr>
          <w:trHeight w:val="27"/>
        </w:trPr>
        <w:tc>
          <w:tcPr>
            <w:tcW w:w="9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91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8"/>
                <w:szCs w:val="18"/>
                <w:color w:val="auto"/>
              </w:rPr>
              <w:t>Finance lease</w:t>
            </w:r>
          </w:p>
        </w:tc>
        <w:tc>
          <w:tcPr>
            <w:tcW w:w="140" w:type="dxa"/>
            <w:vAlign w:val="bottom"/>
            <w:tcBorders>
              <w:bottom w:val="single" w:sz="8" w:color="CEFFE7"/>
            </w:tcBorders>
            <w:shd w:val="clear" w:color="auto" w:fill="CEFFE7"/>
          </w:tcPr>
          <w:p>
            <w:pPr>
              <w:spacing w:after="0"/>
              <w:rPr>
                <w:sz w:val="21"/>
                <w:szCs w:val="21"/>
                <w:color w:val="auto"/>
              </w:rPr>
            </w:pPr>
          </w:p>
        </w:tc>
        <w:tc>
          <w:tcPr>
            <w:tcW w:w="21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4 years</w:t>
            </w:r>
          </w:p>
        </w:tc>
      </w:tr>
      <w:tr>
        <w:trPr>
          <w:trHeight w:val="500"/>
        </w:trPr>
        <w:tc>
          <w:tcPr>
            <w:tcW w:w="9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50"/>
        </w:trPr>
        <w:tc>
          <w:tcPr>
            <w:tcW w:w="91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Weighted average discount rate:</w:t>
            </w:r>
          </w:p>
        </w:tc>
        <w:tc>
          <w:tcPr>
            <w:tcW w:w="140" w:type="dxa"/>
            <w:vAlign w:val="bottom"/>
            <w:tcBorders>
              <w:bottom w:val="single" w:sz="8" w:color="CEFFE7"/>
            </w:tcBorders>
            <w:shd w:val="clear" w:color="auto" w:fill="CEFFE7"/>
          </w:tcPr>
          <w:p>
            <w:pPr>
              <w:spacing w:after="0"/>
              <w:rPr>
                <w:sz w:val="21"/>
                <w:szCs w:val="21"/>
                <w:color w:val="auto"/>
              </w:rPr>
            </w:pPr>
          </w:p>
        </w:tc>
        <w:tc>
          <w:tcPr>
            <w:tcW w:w="2120" w:type="dxa"/>
            <w:vAlign w:val="bottom"/>
            <w:tcBorders>
              <w:bottom w:val="single" w:sz="8" w:color="CEFFE7"/>
            </w:tcBorders>
            <w:shd w:val="clear" w:color="auto" w:fill="CEFFE7"/>
          </w:tcPr>
          <w:p>
            <w:pPr>
              <w:spacing w:after="0"/>
              <w:rPr>
                <w:sz w:val="21"/>
                <w:szCs w:val="21"/>
                <w:color w:val="auto"/>
              </w:rPr>
            </w:pPr>
          </w:p>
        </w:tc>
      </w:tr>
      <w:tr>
        <w:trPr>
          <w:trHeight w:val="243"/>
        </w:trPr>
        <w:tc>
          <w:tcPr>
            <w:tcW w:w="9120" w:type="dxa"/>
            <w:vAlign w:val="bottom"/>
            <w:gridSpan w:val="2"/>
          </w:tcPr>
          <w:p>
            <w:pPr>
              <w:ind w:left="16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7"/>
        </w:trPr>
        <w:tc>
          <w:tcPr>
            <w:tcW w:w="9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9120" w:type="dxa"/>
            <w:vAlign w:val="bottom"/>
            <w:gridSpan w:val="2"/>
            <w:shd w:val="clear" w:color="auto" w:fill="CEFFE7"/>
          </w:tcPr>
          <w:p>
            <w:pPr>
              <w:ind w:left="160"/>
              <w:spacing w:after="0"/>
              <w:rPr>
                <w:sz w:val="20"/>
                <w:szCs w:val="20"/>
                <w:color w:val="auto"/>
              </w:rPr>
            </w:pPr>
            <w:r>
              <w:rPr>
                <w:rFonts w:ascii="Arial" w:cs="Arial" w:eastAsia="Arial" w:hAnsi="Arial"/>
                <w:sz w:val="18"/>
                <w:szCs w:val="18"/>
                <w:color w:val="auto"/>
              </w:rPr>
              <w:t>Finance lease</w:t>
            </w:r>
          </w:p>
        </w:tc>
        <w:tc>
          <w:tcPr>
            <w:tcW w:w="140" w:type="dxa"/>
            <w:vAlign w:val="bottom"/>
            <w:shd w:val="clear" w:color="auto" w:fill="CEFFE7"/>
          </w:tcPr>
          <w:p>
            <w:pPr>
              <w:spacing w:after="0"/>
              <w:rPr>
                <w:sz w:val="21"/>
                <w:szCs w:val="21"/>
                <w:color w:val="auto"/>
              </w:rPr>
            </w:pPr>
          </w:p>
        </w:tc>
        <w:tc>
          <w:tcPr>
            <w:tcW w:w="21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4.19%</w:t>
            </w:r>
          </w:p>
        </w:tc>
      </w:tr>
      <w:tr>
        <w:trPr>
          <w:trHeight w:val="27"/>
        </w:trPr>
        <w:tc>
          <w:tcPr>
            <w:tcW w:w="9040" w:type="dxa"/>
            <w:vAlign w:val="bottom"/>
            <w:shd w:val="clear" w:color="auto" w:fill="CEFFE7"/>
          </w:tcPr>
          <w:p>
            <w:pPr>
              <w:spacing w:after="0"/>
              <w:rPr>
                <w:sz w:val="2"/>
                <w:szCs w:val="2"/>
                <w:color w:val="auto"/>
              </w:rPr>
            </w:pPr>
          </w:p>
        </w:tc>
        <w:tc>
          <w:tcPr>
            <w:tcW w:w="80" w:type="dxa"/>
            <w:vAlign w:val="bottom"/>
            <w:shd w:val="clear" w:color="auto" w:fill="CEFFE7"/>
          </w:tcPr>
          <w:p>
            <w:pPr>
              <w:spacing w:after="0"/>
              <w:rPr>
                <w:sz w:val="2"/>
                <w:szCs w:val="2"/>
                <w:color w:val="auto"/>
              </w:rPr>
            </w:pPr>
          </w:p>
        </w:tc>
        <w:tc>
          <w:tcPr>
            <w:tcW w:w="140" w:type="dxa"/>
            <w:vAlign w:val="bottom"/>
            <w:shd w:val="clear" w:color="auto" w:fill="CEFFE7"/>
          </w:tcPr>
          <w:p>
            <w:pPr>
              <w:spacing w:after="0"/>
              <w:rPr>
                <w:sz w:val="2"/>
                <w:szCs w:val="2"/>
                <w:color w:val="auto"/>
              </w:rPr>
            </w:pPr>
          </w:p>
        </w:tc>
        <w:tc>
          <w:tcPr>
            <w:tcW w:w="212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scheduled maturities of lease liabilities for future years were as follows (in 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color w:val="auto"/>
                <w:w w:val="92"/>
              </w:rPr>
              <w:t>Operating Leases</w:t>
            </w:r>
          </w:p>
        </w:tc>
        <w:tc>
          <w:tcPr>
            <w:tcW w:w="1480" w:type="dxa"/>
            <w:vAlign w:val="bottom"/>
          </w:tcPr>
          <w:p>
            <w:pPr>
              <w:jc w:val="right"/>
              <w:spacing w:after="0"/>
              <w:rPr>
                <w:sz w:val="20"/>
                <w:szCs w:val="20"/>
                <w:color w:val="auto"/>
              </w:rPr>
            </w:pPr>
            <w:r>
              <w:rPr>
                <w:rFonts w:ascii="Arial" w:cs="Arial" w:eastAsia="Arial" w:hAnsi="Arial"/>
                <w:sz w:val="18"/>
                <w:szCs w:val="18"/>
                <w:color w:val="auto"/>
              </w:rPr>
              <w:t>Finance Lease</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Total</w:t>
            </w:r>
          </w:p>
        </w:tc>
      </w:tr>
      <w:tr>
        <w:trPr>
          <w:trHeight w:val="27"/>
        </w:trPr>
        <w:tc>
          <w:tcPr>
            <w:tcW w:w="59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920" w:type="dxa"/>
            <w:vAlign w:val="bottom"/>
            <w:shd w:val="clear" w:color="auto" w:fill="CEFFE7"/>
          </w:tcPr>
          <w:p>
            <w:pPr>
              <w:ind w:left="20"/>
              <w:spacing w:after="0" w:line="264"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25"/>
                <w:szCs w:val="25"/>
                <w:color w:val="auto"/>
                <w:vertAlign w:val="superscript"/>
              </w:rPr>
              <w:t>(a)</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368</w:t>
            </w:r>
          </w:p>
        </w:tc>
        <w:tc>
          <w:tcPr>
            <w:tcW w:w="1480" w:type="dxa"/>
            <w:vAlign w:val="bottom"/>
            <w:shd w:val="clear" w:color="auto" w:fill="CEFFE7"/>
          </w:tcPr>
          <w:p>
            <w:pPr>
              <w:jc w:val="right"/>
              <w:ind w:right="12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32</w:t>
            </w:r>
          </w:p>
        </w:tc>
        <w:tc>
          <w:tcPr>
            <w:tcW w:w="460" w:type="dxa"/>
            <w:vAlign w:val="bottom"/>
            <w:shd w:val="clear" w:color="auto" w:fill="CEFFE7"/>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992</w:t>
            </w:r>
          </w:p>
        </w:tc>
        <w:tc>
          <w:tcPr>
            <w:tcW w:w="14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126</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1,118</w:t>
            </w:r>
          </w:p>
        </w:tc>
      </w:tr>
      <w:tr>
        <w:trPr>
          <w:trHeight w:val="27"/>
        </w:trPr>
        <w:tc>
          <w:tcPr>
            <w:tcW w:w="5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855</w:t>
            </w:r>
          </w:p>
        </w:tc>
        <w:tc>
          <w:tcPr>
            <w:tcW w:w="14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86"/>
              </w:rPr>
              <w:t>126</w:t>
            </w:r>
          </w:p>
        </w:tc>
        <w:tc>
          <w:tcPr>
            <w:tcW w:w="4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981</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736</w:t>
            </w:r>
          </w:p>
        </w:tc>
        <w:tc>
          <w:tcPr>
            <w:tcW w:w="14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126</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862</w:t>
            </w:r>
          </w:p>
        </w:tc>
      </w:tr>
      <w:tr>
        <w:trPr>
          <w:trHeight w:val="27"/>
        </w:trPr>
        <w:tc>
          <w:tcPr>
            <w:tcW w:w="5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9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714</w:t>
            </w:r>
          </w:p>
        </w:tc>
        <w:tc>
          <w:tcPr>
            <w:tcW w:w="14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86"/>
              </w:rPr>
              <w:t>126</w:t>
            </w:r>
          </w:p>
        </w:tc>
        <w:tc>
          <w:tcPr>
            <w:tcW w:w="4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840</w:t>
            </w:r>
          </w:p>
        </w:tc>
      </w:tr>
      <w:tr>
        <w:trPr>
          <w:trHeight w:val="243"/>
        </w:trPr>
        <w:tc>
          <w:tcPr>
            <w:tcW w:w="5920" w:type="dxa"/>
            <w:vAlign w:val="bottom"/>
          </w:tcPr>
          <w:p>
            <w:pPr>
              <w:ind w:left="5140"/>
              <w:spacing w:after="0"/>
              <w:rPr>
                <w:sz w:val="20"/>
                <w:szCs w:val="20"/>
                <w:color w:val="auto"/>
              </w:rPr>
            </w:pPr>
            <w:r>
              <w:rPr>
                <w:rFonts w:ascii="Arial" w:cs="Arial" w:eastAsia="Arial" w:hAnsi="Arial"/>
                <w:sz w:val="18"/>
                <w:szCs w:val="18"/>
                <w:color w:val="auto"/>
                <w:w w:val="91"/>
              </w:rPr>
              <w:t>Thereafter</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2,682</w:t>
            </w:r>
          </w:p>
        </w:tc>
        <w:tc>
          <w:tcPr>
            <w:tcW w:w="14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2,692</w:t>
            </w:r>
          </w:p>
        </w:tc>
      </w:tr>
      <w:tr>
        <w:trPr>
          <w:trHeight w:val="27"/>
        </w:trPr>
        <w:tc>
          <w:tcPr>
            <w:tcW w:w="59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920" w:type="dxa"/>
            <w:vAlign w:val="bottom"/>
            <w:shd w:val="clear" w:color="auto" w:fill="CEFFE7"/>
          </w:tcPr>
          <w:p>
            <w:pPr>
              <w:ind w:left="20"/>
              <w:spacing w:after="0" w:line="264" w:lineRule="exact"/>
              <w:rPr>
                <w:sz w:val="20"/>
                <w:szCs w:val="20"/>
                <w:color w:val="auto"/>
              </w:rPr>
            </w:pPr>
            <w:r>
              <w:rPr>
                <w:rFonts w:ascii="Arial" w:cs="Arial" w:eastAsia="Arial" w:hAnsi="Arial"/>
                <w:sz w:val="18"/>
                <w:szCs w:val="18"/>
                <w:color w:val="auto"/>
              </w:rPr>
              <w:t xml:space="preserve">Total lease payments </w:t>
            </w:r>
            <w:r>
              <w:rPr>
                <w:rFonts w:ascii="Arial" w:cs="Arial" w:eastAsia="Arial" w:hAnsi="Arial"/>
                <w:sz w:val="25"/>
                <w:szCs w:val="25"/>
                <w:color w:val="auto"/>
                <w:vertAlign w:val="superscript"/>
              </w:rPr>
              <w:t>(b)</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6,347</w:t>
            </w:r>
          </w:p>
        </w:tc>
        <w:tc>
          <w:tcPr>
            <w:tcW w:w="1480" w:type="dxa"/>
            <w:vAlign w:val="bottom"/>
            <w:shd w:val="clear" w:color="auto" w:fill="CEFFE7"/>
          </w:tcPr>
          <w:p>
            <w:pPr>
              <w:jc w:val="right"/>
              <w:ind w:right="12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EFFE7"/>
          </w:tcPr>
          <w:p>
            <w:pPr>
              <w:jc w:val="right"/>
              <w:spacing w:after="0"/>
              <w:rPr>
                <w:sz w:val="20"/>
                <w:szCs w:val="20"/>
                <w:color w:val="auto"/>
              </w:rPr>
            </w:pPr>
            <w:r>
              <w:rPr>
                <w:rFonts w:ascii="Arial" w:cs="Arial" w:eastAsia="Arial" w:hAnsi="Arial"/>
                <w:sz w:val="18"/>
                <w:szCs w:val="18"/>
                <w:color w:val="auto"/>
                <w:w w:val="86"/>
              </w:rPr>
              <w:t>546</w:t>
            </w:r>
          </w:p>
        </w:tc>
        <w:tc>
          <w:tcPr>
            <w:tcW w:w="460" w:type="dxa"/>
            <w:vAlign w:val="bottom"/>
            <w:shd w:val="clear" w:color="auto" w:fill="CEFFE7"/>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6,893</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1,125</w:t>
            </w:r>
          </w:p>
        </w:tc>
        <w:tc>
          <w:tcPr>
            <w:tcW w:w="14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1,172</w:t>
            </w:r>
          </w:p>
        </w:tc>
      </w:tr>
      <w:tr>
        <w:trPr>
          <w:trHeight w:val="27"/>
        </w:trPr>
        <w:tc>
          <w:tcPr>
            <w:tcW w:w="59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9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5,222</w:t>
            </w:r>
          </w:p>
        </w:tc>
        <w:tc>
          <w:tcPr>
            <w:tcW w:w="1480" w:type="dxa"/>
            <w:vAlign w:val="bottom"/>
            <w:tcBorders>
              <w:bottom w:val="single" w:sz="8" w:color="auto"/>
            </w:tcBorders>
            <w:shd w:val="clear" w:color="auto" w:fill="CEFFE7"/>
          </w:tcPr>
          <w:p>
            <w:pPr>
              <w:jc w:val="right"/>
              <w:ind w:right="12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86"/>
              </w:rPr>
              <w:t>499</w:t>
            </w:r>
          </w:p>
        </w:tc>
        <w:tc>
          <w:tcPr>
            <w:tcW w:w="460" w:type="dxa"/>
            <w:vAlign w:val="bottom"/>
            <w:tcBorders>
              <w:bottom w:val="single" w:sz="8" w:color="auto"/>
            </w:tcBorders>
            <w:shd w:val="clear" w:color="auto" w:fill="CEFFE7"/>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5,721</w:t>
            </w:r>
          </w:p>
        </w:tc>
      </w:tr>
      <w:tr>
        <w:trPr>
          <w:trHeight w:val="20"/>
        </w:trPr>
        <w:tc>
          <w:tcPr>
            <w:tcW w:w="5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lease liabilities for the remaining three months of 2019.</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Lease payments exclude payments to landlords for common area maintenance, real estate taxes, and insurance.</w:t>
      </w:r>
    </w:p>
    <w:p>
      <w:pPr>
        <w:spacing w:after="0" w:line="20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As previously disclosed in Note 14 of the Notes to the Consolidated Financial Statements in our 2018 Annual Report on Form 10-K, prior to the adoption of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future minimum payments required under operating lease agreements as of December 31, 2018 were as follows (in thousands):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tcPr>
          <w:p>
            <w:pPr>
              <w:jc w:val="right"/>
              <w:ind w:right="410"/>
              <w:spacing w:after="0"/>
              <w:rPr>
                <w:sz w:val="20"/>
                <w:szCs w:val="20"/>
                <w:color w:val="auto"/>
              </w:rPr>
            </w:pPr>
            <w:r>
              <w:rPr>
                <w:rFonts w:ascii="Arial" w:cs="Arial" w:eastAsia="Arial" w:hAnsi="Arial"/>
                <w:sz w:val="18"/>
                <w:szCs w:val="18"/>
                <w:color w:val="auto"/>
              </w:rPr>
              <w:t>Operating Leases</w:t>
            </w:r>
          </w:p>
        </w:tc>
      </w:tr>
      <w:tr>
        <w:trPr>
          <w:trHeight w:val="27"/>
        </w:trPr>
        <w:tc>
          <w:tcPr>
            <w:tcW w:w="912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1,052</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464</w:t>
            </w:r>
          </w:p>
        </w:tc>
      </w:tr>
      <w:tr>
        <w:trPr>
          <w:trHeight w:val="27"/>
        </w:trPr>
        <w:tc>
          <w:tcPr>
            <w:tcW w:w="9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1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Borders>
              <w:bottom w:val="single" w:sz="8" w:color="CEFFE7"/>
            </w:tcBorders>
            <w:shd w:val="clear" w:color="auto" w:fill="CEFFE7"/>
          </w:tcPr>
          <w:p>
            <w:pPr>
              <w:spacing w:after="0"/>
              <w:rPr>
                <w:sz w:val="21"/>
                <w:szCs w:val="21"/>
                <w:color w:val="auto"/>
              </w:rPr>
            </w:pP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344</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9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1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EFFE7"/>
            </w:tcBorders>
            <w:shd w:val="clear" w:color="auto" w:fill="CEFFE7"/>
          </w:tcPr>
          <w:p>
            <w:pPr>
              <w:spacing w:after="0"/>
              <w:rPr>
                <w:sz w:val="21"/>
                <w:szCs w:val="21"/>
                <w:color w:val="auto"/>
              </w:rPr>
            </w:pP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216</w:t>
            </w:r>
          </w:p>
        </w:tc>
      </w:tr>
      <w:tr>
        <w:trPr>
          <w:trHeight w:val="243"/>
        </w:trPr>
        <w:tc>
          <w:tcPr>
            <w:tcW w:w="9120" w:type="dxa"/>
            <w:vAlign w:val="bottom"/>
          </w:tcPr>
          <w:p>
            <w:pPr>
              <w:ind w:left="8340"/>
              <w:spacing w:after="0"/>
              <w:rPr>
                <w:sz w:val="20"/>
                <w:szCs w:val="20"/>
                <w:color w:val="auto"/>
              </w:rPr>
            </w:pPr>
            <w:r>
              <w:rPr>
                <w:rFonts w:ascii="Arial" w:cs="Arial" w:eastAsia="Arial" w:hAnsi="Arial"/>
                <w:sz w:val="18"/>
                <w:szCs w:val="18"/>
                <w:color w:val="auto"/>
                <w:w w:val="91"/>
              </w:rPr>
              <w:t>Thereafter</w:t>
            </w:r>
          </w:p>
        </w:tc>
        <w:tc>
          <w:tcPr>
            <w:tcW w:w="3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1,776</w:t>
            </w:r>
          </w:p>
        </w:tc>
      </w:tr>
      <w:tr>
        <w:trPr>
          <w:trHeight w:val="27"/>
        </w:trPr>
        <w:tc>
          <w:tcPr>
            <w:tcW w:w="912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lease payments</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4,076</w:t>
            </w:r>
          </w:p>
        </w:tc>
      </w:tr>
      <w:tr>
        <w:trPr>
          <w:trHeight w:val="20"/>
        </w:trPr>
        <w:tc>
          <w:tcPr>
            <w:tcW w:w="9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6"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126" w:right="259" w:bottom="1440" w:gutter="0" w:footer="0" w:header="0"/>
          <w:type w:val="continuous"/>
        </w:sectPr>
      </w:pPr>
    </w:p>
    <w:bookmarkStart w:id="36" w:name="page37"/>
    <w:bookmarkEnd w:id="3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Lessor</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lease to third parties certain generating station ground leases, communication tower sites, and a natural gas pipeline. These leases have remaining terms ranging from less than one year to 35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revenue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00" w:type="dxa"/>
            <w:vAlign w:val="bottom"/>
          </w:tcPr>
          <w:p>
            <w:pPr>
              <w:jc w:val="center"/>
              <w:ind w:right="9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18"/>
                <w:szCs w:val="18"/>
                <w:color w:val="auto"/>
              </w:rPr>
            </w:pPr>
          </w:p>
        </w:tc>
        <w:tc>
          <w:tcPr>
            <w:tcW w:w="1840" w:type="dxa"/>
            <w:vAlign w:val="bottom"/>
          </w:tcPr>
          <w:p>
            <w:pPr>
              <w:ind w:left="80"/>
              <w:spacing w:after="0"/>
              <w:rPr>
                <w:sz w:val="20"/>
                <w:szCs w:val="20"/>
                <w:color w:val="auto"/>
              </w:rPr>
            </w:pPr>
            <w:r>
              <w:rPr>
                <w:rFonts w:ascii="Arial" w:cs="Arial" w:eastAsia="Arial" w:hAnsi="Arial"/>
                <w:sz w:val="18"/>
                <w:szCs w:val="18"/>
                <w:color w:val="auto"/>
              </w:rPr>
              <w:t>Nine Months Ended</w:t>
            </w:r>
          </w:p>
        </w:tc>
      </w:tr>
      <w:tr>
        <w:trPr>
          <w:trHeight w:val="230"/>
        </w:trPr>
        <w:tc>
          <w:tcPr>
            <w:tcW w:w="3540" w:type="dxa"/>
            <w:vAlign w:val="bottom"/>
          </w:tcPr>
          <w:p>
            <w:pPr>
              <w:spacing w:after="0"/>
              <w:rPr>
                <w:sz w:val="20"/>
                <w:szCs w:val="20"/>
                <w:color w:val="auto"/>
              </w:rPr>
            </w:pPr>
          </w:p>
        </w:tc>
        <w:tc>
          <w:tcPr>
            <w:tcW w:w="3260" w:type="dxa"/>
            <w:vAlign w:val="bottom"/>
          </w:tcPr>
          <w:p>
            <w:pPr>
              <w:ind w:left="840"/>
              <w:spacing w:after="0"/>
              <w:rPr>
                <w:sz w:val="20"/>
                <w:szCs w:val="20"/>
                <w:color w:val="auto"/>
              </w:rPr>
            </w:pPr>
            <w:r>
              <w:rPr>
                <w:rFonts w:ascii="Arial" w:cs="Arial" w:eastAsia="Arial" w:hAnsi="Arial"/>
                <w:sz w:val="18"/>
                <w:szCs w:val="18"/>
                <w:color w:val="auto"/>
              </w:rPr>
              <w:t>Income Statement Location</w:t>
            </w:r>
          </w:p>
        </w:tc>
        <w:tc>
          <w:tcPr>
            <w:tcW w:w="620" w:type="dxa"/>
            <w:vAlign w:val="bottom"/>
          </w:tcPr>
          <w:p>
            <w:pPr>
              <w:spacing w:after="0"/>
              <w:rPr>
                <w:sz w:val="20"/>
                <w:szCs w:val="20"/>
                <w:color w:val="auto"/>
              </w:rPr>
            </w:pPr>
          </w:p>
        </w:tc>
        <w:tc>
          <w:tcPr>
            <w:tcW w:w="1900" w:type="dxa"/>
            <w:vAlign w:val="bottom"/>
          </w:tcPr>
          <w:p>
            <w:pPr>
              <w:jc w:val="center"/>
              <w:ind w:right="90"/>
              <w:spacing w:after="0"/>
              <w:rPr>
                <w:sz w:val="20"/>
                <w:szCs w:val="20"/>
                <w:color w:val="auto"/>
              </w:rPr>
            </w:pPr>
            <w:r>
              <w:rPr>
                <w:rFonts w:ascii="Arial" w:cs="Arial" w:eastAsia="Arial" w:hAnsi="Arial"/>
                <w:sz w:val="18"/>
                <w:szCs w:val="18"/>
                <w:color w:val="auto"/>
                <w:w w:val="88"/>
              </w:rPr>
              <w:t>September 30, 2019</w:t>
            </w:r>
          </w:p>
        </w:tc>
        <w:tc>
          <w:tcPr>
            <w:tcW w:w="260" w:type="dxa"/>
            <w:vAlign w:val="bottom"/>
          </w:tcPr>
          <w:p>
            <w:pPr>
              <w:spacing w:after="0"/>
              <w:rPr>
                <w:sz w:val="20"/>
                <w:szCs w:val="20"/>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rPr>
              <w:t>September 30, 2019</w:t>
            </w:r>
          </w:p>
        </w:tc>
      </w:tr>
      <w:tr>
        <w:trPr>
          <w:trHeight w:val="27"/>
        </w:trPr>
        <w:tc>
          <w:tcPr>
            <w:tcW w:w="3540" w:type="dxa"/>
            <w:vAlign w:val="bottom"/>
            <w:tcBorders>
              <w:bottom w:val="single" w:sz="8" w:color="CEFFE7"/>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3540" w:type="dxa"/>
            <w:vAlign w:val="bottom"/>
            <w:shd w:val="clear" w:color="auto" w:fill="CEFFE7"/>
          </w:tcPr>
          <w:p>
            <w:pPr>
              <w:ind w:left="40"/>
              <w:spacing w:after="0"/>
              <w:rPr>
                <w:sz w:val="20"/>
                <w:szCs w:val="20"/>
                <w:color w:val="auto"/>
              </w:rPr>
            </w:pPr>
            <w:r>
              <w:rPr>
                <w:rFonts w:ascii="Arial" w:cs="Arial" w:eastAsia="Arial" w:hAnsi="Arial"/>
                <w:sz w:val="18"/>
                <w:szCs w:val="18"/>
                <w:color w:val="auto"/>
              </w:rPr>
              <w:t>Operating lease income</w:t>
            </w:r>
          </w:p>
        </w:tc>
        <w:tc>
          <w:tcPr>
            <w:tcW w:w="3260" w:type="dxa"/>
            <w:vAlign w:val="bottom"/>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6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544</w:t>
            </w:r>
          </w:p>
        </w:tc>
        <w:tc>
          <w:tcPr>
            <w:tcW w:w="2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1,749</w:t>
            </w:r>
          </w:p>
        </w:tc>
      </w:tr>
      <w:tr>
        <w:trPr>
          <w:trHeight w:val="27"/>
        </w:trPr>
        <w:tc>
          <w:tcPr>
            <w:tcW w:w="3540" w:type="dxa"/>
            <w:vAlign w:val="bottom"/>
            <w:shd w:val="clear" w:color="auto" w:fill="CEFFE7"/>
          </w:tcPr>
          <w:p>
            <w:pPr>
              <w:spacing w:after="0"/>
              <w:rPr>
                <w:sz w:val="2"/>
                <w:szCs w:val="2"/>
                <w:color w:val="auto"/>
              </w:rPr>
            </w:pPr>
          </w:p>
        </w:tc>
        <w:tc>
          <w:tcPr>
            <w:tcW w:w="3260" w:type="dxa"/>
            <w:vAlign w:val="bottom"/>
            <w:shd w:val="clear" w:color="auto" w:fill="CEFFE7"/>
          </w:tcPr>
          <w:p>
            <w:pPr>
              <w:spacing w:after="0"/>
              <w:rPr>
                <w:sz w:val="2"/>
                <w:szCs w:val="2"/>
                <w:color w:val="auto"/>
              </w:rPr>
            </w:pPr>
          </w:p>
        </w:tc>
        <w:tc>
          <w:tcPr>
            <w:tcW w:w="620" w:type="dxa"/>
            <w:vAlign w:val="bottom"/>
            <w:shd w:val="clear" w:color="auto" w:fill="CEFFE7"/>
          </w:tcPr>
          <w:p>
            <w:pPr>
              <w:spacing w:after="0"/>
              <w:rPr>
                <w:sz w:val="2"/>
                <w:szCs w:val="2"/>
                <w:color w:val="auto"/>
              </w:rPr>
            </w:pPr>
          </w:p>
        </w:tc>
        <w:tc>
          <w:tcPr>
            <w:tcW w:w="1900" w:type="dxa"/>
            <w:vAlign w:val="bottom"/>
            <w:shd w:val="clear" w:color="auto" w:fill="CEFFE7"/>
          </w:tcPr>
          <w:p>
            <w:pPr>
              <w:spacing w:after="0"/>
              <w:rPr>
                <w:sz w:val="2"/>
                <w:szCs w:val="2"/>
                <w:color w:val="auto"/>
              </w:rPr>
            </w:pPr>
          </w:p>
        </w:tc>
        <w:tc>
          <w:tcPr>
            <w:tcW w:w="260" w:type="dxa"/>
            <w:vAlign w:val="bottom"/>
            <w:shd w:val="clear" w:color="auto" w:fill="CEFFE7"/>
          </w:tcPr>
          <w:p>
            <w:pPr>
              <w:spacing w:after="0"/>
              <w:rPr>
                <w:sz w:val="2"/>
                <w:szCs w:val="2"/>
                <w:color w:val="auto"/>
              </w:rPr>
            </w:pPr>
          </w:p>
        </w:tc>
        <w:tc>
          <w:tcPr>
            <w:tcW w:w="184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scheduled maturities of lease receivables for future years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jc w:val="right"/>
              <w:ind w:right="430"/>
              <w:spacing w:after="0"/>
              <w:rPr>
                <w:sz w:val="20"/>
                <w:szCs w:val="20"/>
                <w:color w:val="auto"/>
              </w:rPr>
            </w:pPr>
            <w:r>
              <w:rPr>
                <w:rFonts w:ascii="Arial" w:cs="Arial" w:eastAsia="Arial" w:hAnsi="Arial"/>
                <w:sz w:val="18"/>
                <w:szCs w:val="18"/>
                <w:color w:val="auto"/>
                <w:w w:val="99"/>
              </w:rPr>
              <w:t>Operating Leases</w:t>
            </w:r>
          </w:p>
        </w:tc>
      </w:tr>
      <w:tr>
        <w:trPr>
          <w:trHeight w:val="27"/>
        </w:trPr>
        <w:tc>
          <w:tcPr>
            <w:tcW w:w="4040" w:type="dxa"/>
            <w:vAlign w:val="bottom"/>
            <w:tcBorders>
              <w:bottom w:val="single" w:sz="8" w:color="CEFFE7"/>
            </w:tcBorders>
          </w:tcPr>
          <w:p>
            <w:pPr>
              <w:spacing w:after="0"/>
              <w:rPr>
                <w:sz w:val="2"/>
                <w:szCs w:val="2"/>
                <w:color w:val="auto"/>
              </w:rPr>
            </w:pPr>
          </w:p>
        </w:tc>
        <w:tc>
          <w:tcPr>
            <w:tcW w:w="510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4"/>
        </w:trPr>
        <w:tc>
          <w:tcPr>
            <w:tcW w:w="404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25"/>
                <w:szCs w:val="25"/>
                <w:color w:val="auto"/>
                <w:vertAlign w:val="superscript"/>
              </w:rPr>
              <w:t>(a)</w:t>
            </w:r>
          </w:p>
        </w:tc>
        <w:tc>
          <w:tcPr>
            <w:tcW w:w="5420" w:type="dxa"/>
            <w:vAlign w:val="bottom"/>
            <w:gridSpan w:val="2"/>
            <w:shd w:val="clear" w:color="auto" w:fill="CEFFE7"/>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551</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2020</w:t>
            </w:r>
          </w:p>
        </w:tc>
        <w:tc>
          <w:tcPr>
            <w:tcW w:w="5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2,035</w:t>
            </w:r>
          </w:p>
        </w:tc>
      </w:tr>
      <w:tr>
        <w:trPr>
          <w:trHeight w:val="27"/>
        </w:trPr>
        <w:tc>
          <w:tcPr>
            <w:tcW w:w="40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2021</w:t>
            </w:r>
          </w:p>
        </w:tc>
        <w:tc>
          <w:tcPr>
            <w:tcW w:w="5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1,857</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2022</w:t>
            </w:r>
          </w:p>
        </w:tc>
        <w:tc>
          <w:tcPr>
            <w:tcW w:w="5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1,793</w:t>
            </w:r>
          </w:p>
        </w:tc>
      </w:tr>
      <w:tr>
        <w:trPr>
          <w:trHeight w:val="27"/>
        </w:trPr>
        <w:tc>
          <w:tcPr>
            <w:tcW w:w="40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2023</w:t>
            </w:r>
          </w:p>
        </w:tc>
        <w:tc>
          <w:tcPr>
            <w:tcW w:w="510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1,799</w:t>
            </w:r>
          </w:p>
        </w:tc>
      </w:tr>
      <w:tr>
        <w:trPr>
          <w:trHeight w:val="243"/>
        </w:trPr>
        <w:tc>
          <w:tcPr>
            <w:tcW w:w="4040" w:type="dxa"/>
            <w:vAlign w:val="bottom"/>
          </w:tcPr>
          <w:p>
            <w:pPr>
              <w:spacing w:after="0"/>
              <w:rPr>
                <w:sz w:val="21"/>
                <w:szCs w:val="21"/>
                <w:color w:val="auto"/>
              </w:rPr>
            </w:pPr>
          </w:p>
        </w:tc>
        <w:tc>
          <w:tcPr>
            <w:tcW w:w="5420" w:type="dxa"/>
            <w:vAlign w:val="bottom"/>
            <w:gridSpan w:val="2"/>
          </w:tcPr>
          <w:p>
            <w:pPr>
              <w:jc w:val="right"/>
              <w:ind w:right="340"/>
              <w:spacing w:after="0"/>
              <w:rPr>
                <w:sz w:val="20"/>
                <w:szCs w:val="20"/>
                <w:color w:val="auto"/>
              </w:rPr>
            </w:pPr>
            <w:r>
              <w:rPr>
                <w:rFonts w:ascii="Arial" w:cs="Arial" w:eastAsia="Arial" w:hAnsi="Arial"/>
                <w:sz w:val="18"/>
                <w:szCs w:val="18"/>
                <w:color w:val="auto"/>
              </w:rPr>
              <w:t>Thereafter</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55,481</w:t>
            </w:r>
          </w:p>
        </w:tc>
      </w:tr>
      <w:tr>
        <w:trPr>
          <w:trHeight w:val="27"/>
        </w:trPr>
        <w:tc>
          <w:tcPr>
            <w:tcW w:w="4040" w:type="dxa"/>
            <w:vAlign w:val="bottom"/>
            <w:tcBorders>
              <w:bottom w:val="single" w:sz="8" w:color="CEFFE7"/>
            </w:tcBorders>
          </w:tcPr>
          <w:p>
            <w:pPr>
              <w:spacing w:after="0"/>
              <w:rPr>
                <w:sz w:val="2"/>
                <w:szCs w:val="2"/>
                <w:color w:val="auto"/>
              </w:rPr>
            </w:pPr>
          </w:p>
        </w:tc>
        <w:tc>
          <w:tcPr>
            <w:tcW w:w="510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4040" w:type="dxa"/>
            <w:vAlign w:val="bottom"/>
            <w:shd w:val="clear" w:color="auto" w:fill="CEFFE7"/>
          </w:tcPr>
          <w:p>
            <w:pPr>
              <w:spacing w:after="0"/>
              <w:rPr>
                <w:sz w:val="22"/>
                <w:szCs w:val="22"/>
                <w:color w:val="auto"/>
              </w:rPr>
            </w:pPr>
          </w:p>
        </w:tc>
        <w:tc>
          <w:tcPr>
            <w:tcW w:w="5420" w:type="dxa"/>
            <w:vAlign w:val="bottom"/>
            <w:gridSpan w:val="2"/>
            <w:shd w:val="clear" w:color="auto" w:fill="CEFFE7"/>
          </w:tcPr>
          <w:p>
            <w:pPr>
              <w:jc w:val="right"/>
              <w:ind w:right="200"/>
              <w:spacing w:after="0"/>
              <w:rPr>
                <w:sz w:val="20"/>
                <w:szCs w:val="20"/>
                <w:color w:val="auto"/>
              </w:rPr>
            </w:pPr>
            <w:r>
              <w:rPr>
                <w:rFonts w:ascii="Arial" w:cs="Arial" w:eastAsia="Arial" w:hAnsi="Arial"/>
                <w:sz w:val="18"/>
                <w:szCs w:val="18"/>
                <w:color w:val="auto"/>
              </w:rPr>
              <w:t>Total lease receivables $</w:t>
            </w:r>
          </w:p>
        </w:tc>
        <w:tc>
          <w:tcPr>
            <w:tcW w:w="19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63,516</w:t>
            </w:r>
          </w:p>
        </w:tc>
      </w:tr>
      <w:tr>
        <w:trPr>
          <w:trHeight w:val="20"/>
        </w:trPr>
        <w:tc>
          <w:tcPr>
            <w:tcW w:w="4040" w:type="dxa"/>
            <w:vAlign w:val="bottom"/>
            <w:tcBorders>
              <w:top w:val="single" w:sz="8" w:color="CEFFE7"/>
            </w:tcBorders>
          </w:tcPr>
          <w:p>
            <w:pPr>
              <w:spacing w:after="0" w:line="20" w:lineRule="exact"/>
              <w:rPr>
                <w:sz w:val="1"/>
                <w:szCs w:val="1"/>
                <w:color w:val="auto"/>
              </w:rPr>
            </w:pPr>
          </w:p>
        </w:tc>
        <w:tc>
          <w:tcPr>
            <w:tcW w:w="5100" w:type="dxa"/>
            <w:vAlign w:val="bottom"/>
            <w:tcBorders>
              <w:top w:val="single" w:sz="8" w:color="CEFFE7"/>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lease receivables for the remaining three months of 2019.</w:t>
      </w:r>
    </w:p>
    <w:p>
      <w:pPr>
        <w:spacing w:after="0" w:line="379"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225"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In February 2018, we made a contribution of $28 million of assets in exchange for equity securities in a privately held oil and gas company as we divested from our Oil and Gas segment. The carrying value of our investment in the equity securities was recorded at cost. We review this investment on a periodic basis to determine whether a significant event or change in circumstances has occurred that may have an adverse effect on the value of the investment.</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third quarter of 2019, we assessed our investment for impairment as a result of a deterioration in earnings performance of the privately held oil and gas company and an adverse change in future natural gas prices. We engaged a third-party valuation consultant to estimate the fair value of our investment. The valuation was primarily based on an income approach but also considered a market valuation approach. The significant inputs used to estimate the fair value were the oil and gas reserve quantities and values utilizing forward market price curves, industry standard reserve adjustment factors and a discount rate of 10%. Based on the results of the valuation, we concluded that the carrying value of the investment exceeded fair value. As a result, we recorded a pre-tax impairment loss of $20 million for the three and nine months ended September 30, 2019, which was the difference between the carrying amount and the fair value of the investment.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w w:val="97"/>
              </w:rPr>
              <w:t>The following table presents the carrying value of our investments (in thousands) as of:</w:t>
            </w: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78"/>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color w:val="auto"/>
                <w:w w:val="96"/>
              </w:rPr>
              <w:t>September 30, 2019</w:t>
            </w:r>
          </w:p>
        </w:tc>
        <w:tc>
          <w:tcPr>
            <w:tcW w:w="380" w:type="dxa"/>
            <w:vAlign w:val="bottom"/>
          </w:tcPr>
          <w:p>
            <w:pPr>
              <w:spacing w:after="0"/>
              <w:rPr>
                <w:sz w:val="24"/>
                <w:szCs w:val="24"/>
                <w:color w:val="auto"/>
              </w:rPr>
            </w:pPr>
          </w:p>
        </w:tc>
        <w:tc>
          <w:tcPr>
            <w:tcW w:w="2000" w:type="dxa"/>
            <w:vAlign w:val="bottom"/>
          </w:tcPr>
          <w:p>
            <w:pPr>
              <w:jc w:val="right"/>
              <w:ind w:right="350"/>
              <w:spacing w:after="0"/>
              <w:rPr>
                <w:sz w:val="20"/>
                <w:szCs w:val="20"/>
                <w:color w:val="auto"/>
              </w:rPr>
            </w:pPr>
            <w:r>
              <w:rPr>
                <w:rFonts w:ascii="Arial" w:cs="Arial" w:eastAsia="Arial" w:hAnsi="Arial"/>
                <w:sz w:val="18"/>
                <w:szCs w:val="18"/>
                <w:color w:val="auto"/>
                <w:w w:val="97"/>
              </w:rPr>
              <w:t>December 31, 2018</w:t>
            </w:r>
          </w:p>
        </w:tc>
      </w:tr>
      <w:tr>
        <w:trPr>
          <w:trHeight w:val="27"/>
        </w:trPr>
        <w:tc>
          <w:tcPr>
            <w:tcW w:w="674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Investment in privately held oil and gas company</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8,359</w:t>
            </w:r>
          </w:p>
        </w:tc>
        <w:tc>
          <w:tcPr>
            <w:tcW w:w="3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28,100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surrender value of life insurance contracts</w:t>
            </w:r>
          </w:p>
        </w:tc>
        <w:tc>
          <w:tcPr>
            <w:tcW w:w="28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12,907</w:t>
            </w:r>
          </w:p>
        </w:tc>
        <w:tc>
          <w:tcPr>
            <w:tcW w:w="3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12,812</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7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investments</w:t>
            </w:r>
          </w:p>
        </w:tc>
        <w:tc>
          <w:tcPr>
            <w:tcW w:w="280" w:type="dxa"/>
            <w:vAlign w:val="bottom"/>
            <w:tcBorders>
              <w:bottom w:val="single" w:sz="8" w:color="CEFFE7"/>
            </w:tcBorders>
            <w:shd w:val="clear" w:color="auto" w:fill="CEFFE7"/>
          </w:tcPr>
          <w:p>
            <w:pPr>
              <w:spacing w:after="0"/>
              <w:rPr>
                <w:sz w:val="23"/>
                <w:szCs w:val="23"/>
                <w:color w:val="auto"/>
              </w:rPr>
            </w:pPr>
          </w:p>
        </w:tc>
        <w:tc>
          <w:tcPr>
            <w:tcW w:w="2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317</w:t>
            </w:r>
          </w:p>
        </w:tc>
        <w:tc>
          <w:tcPr>
            <w:tcW w:w="380" w:type="dxa"/>
            <w:vAlign w:val="bottom"/>
            <w:tcBorders>
              <w:bottom w:val="single" w:sz="8" w:color="CEFFE7"/>
            </w:tcBorders>
            <w:shd w:val="clear" w:color="auto" w:fill="CEFFE7"/>
          </w:tcPr>
          <w:p>
            <w:pPr>
              <w:spacing w:after="0"/>
              <w:rPr>
                <w:sz w:val="23"/>
                <w:szCs w:val="23"/>
                <w:color w:val="auto"/>
              </w:rPr>
            </w:pPr>
          </w:p>
        </w:tc>
        <w:tc>
          <w:tcPr>
            <w:tcW w:w="2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101</w:t>
            </w: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Total investments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21,583</w:t>
            </w:r>
          </w:p>
        </w:tc>
        <w:tc>
          <w:tcPr>
            <w:tcW w:w="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41,013</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6" w:right="2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subsequent events, other than those disclosed in Note 8.</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We are a customer-focused, growth-oriented utility company operating in the United States. We report our operations and results in the following financial segments:</w:t>
      </w:r>
    </w:p>
    <w:p>
      <w:pPr>
        <w:spacing w:after="0" w:line="170"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u w:val="single" w:color="auto"/>
          <w:color w:val="auto"/>
        </w:rPr>
        <w:t>Electric Utilities</w:t>
      </w:r>
      <w:r>
        <w:rPr>
          <w:rFonts w:ascii="Arial" w:cs="Arial" w:eastAsia="Arial" w:hAnsi="Arial"/>
          <w:sz w:val="17"/>
          <w:szCs w:val="17"/>
          <w:color w:val="auto"/>
        </w:rPr>
        <w:t>: Our Electric Utilities segment generates, transmits and distributes electricity to approximately 212,000 customers in Colorado, Montana, South Dakota and Wyoming. Our electric generating facilities and power purchase agreements provide for the supply of electricity principally to our own distribution systems. Additionally, we sell excess power to other utilities and marketing companies, including our affiliates.</w:t>
      </w:r>
    </w:p>
    <w:p>
      <w:pPr>
        <w:spacing w:after="0" w:line="166"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u w:val="single" w:color="auto"/>
          <w:color w:val="auto"/>
        </w:rPr>
        <w:t>Gas Utilities</w:t>
      </w:r>
      <w:r>
        <w:rPr>
          <w:rFonts w:ascii="Arial" w:cs="Arial" w:eastAsia="Arial" w:hAnsi="Arial"/>
          <w:sz w:val="16"/>
          <w:szCs w:val="16"/>
          <w:color w:val="auto"/>
        </w:rPr>
        <w:t>: Our Gas Utilities conduct natural gas utility operations through our Arkansas, Colorado, Iowa, Kansas, Nebraska and Wyoming subsidiaries. Our Gas Utilities distribute and transport natural gas through our pipeline network to approximately 1,054,000 natural gas customers. Additionally, we sell contractual pipeline capacity and gas commodities to other utilities and marketing companies, including our affiliates, on an as-available basis.</w:t>
      </w:r>
    </w:p>
    <w:p>
      <w:pPr>
        <w:spacing w:after="0" w:line="14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Gas Utilities also provide non-regulated services through Black Hills Energy Services. Black Hills Energy Services provides approximately 47,000 retail distribution customers in Nebraska and Wyoming with unbundled natural gas commodity offerings under the regulator-approved Choice Gas Program. We also sell, install and service air conditioning, heating and water-heating equipment, and provide associated repair service and protection plans under various trade names. Service Guard and CAPP provide appliance repair services to approximately 62,000 and 28,000 residential customers, respectively, through Company technicians and third-party service providers, typically through on-going monthly service agreements. Tech Services serves gas transportation customers throughout our service territory by constructing and maintaining customer-owned gas infrastructure facilities, typically through one-time contracts.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Power Generation</w:t>
      </w:r>
      <w:r>
        <w:rPr>
          <w:rFonts w:ascii="Arial" w:cs="Arial" w:eastAsia="Arial" w:hAnsi="Arial"/>
          <w:sz w:val="18"/>
          <w:szCs w:val="18"/>
          <w:color w:val="auto"/>
        </w:rPr>
        <w:t>: Our Power Generation segment produces electric power from its generating plants and sells the electric capacity and energy principally to our utilities under long-term contracts.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u w:val="single" w:color="auto"/>
          <w:color w:val="auto"/>
        </w:rPr>
        <w:t>Mining</w:t>
      </w:r>
      <w:r>
        <w:rPr>
          <w:rFonts w:ascii="Arial" w:cs="Arial" w:eastAsia="Arial" w:hAnsi="Arial"/>
          <w:sz w:val="18"/>
          <w:szCs w:val="18"/>
          <w:color w:val="auto"/>
        </w:rPr>
        <w:t>: Our Mining segment extracts coal at our coal mine near Gillette, Wyoming and sells the coal primarily to on-site, mine-mouth power generation facilities.</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reportable segments are based on our method of internal reporting, which is generally segregated by differences in products, services and regulation. All of our operations and assets are located within the United States. All of our non-utility business segments support our utilities. Certain unallocated corporate expenses that support our operating segments are presented as Corporate and Other.</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January 1, 2019, we changed our measure of segment performance to adjusted operating income, which impacted our segment disclosures for all periods presented. See Note 3 of the Notes to Condensed Consolidated Financial Statements for more information.</w:t>
      </w:r>
    </w:p>
    <w:p>
      <w:pPr>
        <w:spacing w:after="0" w:line="170"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color w:val="auto"/>
        </w:rPr>
        <w:t>Certain industries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w:t>
      </w:r>
    </w:p>
    <w:p>
      <w:pPr>
        <w:ind w:right="100"/>
        <w:spacing w:after="0" w:line="302" w:lineRule="auto"/>
        <w:rPr>
          <w:sz w:val="20"/>
          <w:szCs w:val="20"/>
          <w:color w:val="auto"/>
        </w:rPr>
      </w:pPr>
      <w:r>
        <w:rPr>
          <w:rFonts w:ascii="Arial" w:cs="Arial" w:eastAsia="Arial" w:hAnsi="Arial"/>
          <w:sz w:val="16"/>
          <w:szCs w:val="16"/>
          <w:color w:val="auto"/>
        </w:rPr>
        <w:t>Significant earnings variances can be expected between the Gas Utilities segment’s peak and off-peak seasons. Due to this seasonal nature, our results of operations for the three and nine months ended September 30, 2019 and 2018, and our financial condition as of September 30, 2019 and December 31, 2018, are not necessarily indicative of the results of operations and financial condition to be expected as of or for any other period or for the entire year.</w:t>
      </w:r>
    </w:p>
    <w:p>
      <w:pPr>
        <w:spacing w:after="0" w:line="318"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See Forward-Looking Information in the Liquidity and Capital Resources section of this Item 2, beginning on Page </w:t>
      </w:r>
      <w:hyperlink w:anchor="page59">
        <w:r>
          <w:rPr>
            <w:rFonts w:ascii="Arial" w:cs="Arial" w:eastAsia="Arial" w:hAnsi="Arial"/>
            <w:sz w:val="18"/>
            <w:szCs w:val="18"/>
            <w:color w:val="0000EE"/>
          </w:rPr>
          <w:t>58</w:t>
        </w:r>
      </w:hyperlink>
      <w:r>
        <w:rPr>
          <w:rFonts w:ascii="Arial" w:cs="Arial" w:eastAsia="Arial" w:hAnsi="Arial"/>
          <w:sz w:val="18"/>
          <w:szCs w:val="18"/>
          <w:color w:val="auto"/>
        </w:rPr>
        <w:t>.</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The segment information does not include inter-company eliminations. Minor differences in amounts may result due to rounding. All amounts are presented on a pre-tax basis unless otherwise indicated.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6" w:right="2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 Significant Events and Overview</w:t>
      </w:r>
    </w:p>
    <w:p>
      <w:pPr>
        <w:spacing w:after="0" w:line="39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60" w:type="dxa"/>
            <w:vAlign w:val="bottom"/>
            <w:gridSpan w:val="9"/>
          </w:tcPr>
          <w:p>
            <w:pPr>
              <w:ind w:left="300"/>
              <w:spacing w:after="0"/>
              <w:rPr>
                <w:sz w:val="20"/>
                <w:szCs w:val="20"/>
                <w:color w:val="auto"/>
              </w:rPr>
            </w:pPr>
            <w:r>
              <w:rPr>
                <w:rFonts w:ascii="Arial" w:cs="Arial" w:eastAsia="Arial" w:hAnsi="Arial"/>
                <w:sz w:val="18"/>
                <w:szCs w:val="18"/>
                <w:color w:val="auto"/>
              </w:rPr>
              <w:t>Three Months Ended September 30,</w:t>
            </w:r>
          </w:p>
        </w:tc>
        <w:tc>
          <w:tcPr>
            <w:tcW w:w="140" w:type="dxa"/>
            <w:vAlign w:val="bottom"/>
          </w:tcPr>
          <w:p>
            <w:pPr>
              <w:spacing w:after="0"/>
              <w:rPr>
                <w:sz w:val="20"/>
                <w:szCs w:val="20"/>
                <w:color w:val="auto"/>
              </w:rPr>
            </w:pPr>
          </w:p>
        </w:tc>
        <w:tc>
          <w:tcPr>
            <w:tcW w:w="3340" w:type="dxa"/>
            <w:vAlign w:val="bottom"/>
            <w:gridSpan w:val="8"/>
          </w:tcPr>
          <w:p>
            <w:pPr>
              <w:jc w:val="right"/>
              <w:ind w:right="370"/>
              <w:spacing w:after="0"/>
              <w:rPr>
                <w:sz w:val="20"/>
                <w:szCs w:val="20"/>
                <w:color w:val="auto"/>
              </w:rPr>
            </w:pPr>
            <w:r>
              <w:rPr>
                <w:rFonts w:ascii="Arial" w:cs="Arial" w:eastAsia="Arial" w:hAnsi="Arial"/>
                <w:sz w:val="18"/>
                <w:szCs w:val="18"/>
                <w:color w:val="auto"/>
              </w:rPr>
              <w:t>Nine Months Ended September 30,</w:t>
            </w:r>
          </w:p>
        </w:tc>
      </w:tr>
      <w:tr>
        <w:trPr>
          <w:trHeight w:val="270"/>
        </w:trPr>
        <w:tc>
          <w:tcPr>
            <w:tcW w:w="4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600" w:type="dxa"/>
            <w:vAlign w:val="bottom"/>
          </w:tcPr>
          <w:p>
            <w:pPr>
              <w:spacing w:after="0"/>
              <w:rPr>
                <w:sz w:val="23"/>
                <w:szCs w:val="23"/>
                <w:color w:val="auto"/>
              </w:rPr>
            </w:pPr>
          </w:p>
        </w:tc>
      </w:tr>
      <w:tr>
        <w:trPr>
          <w:trHeight w:val="27"/>
        </w:trPr>
        <w:tc>
          <w:tcPr>
            <w:tcW w:w="4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16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Income</w:t>
            </w:r>
          </w:p>
        </w:tc>
        <w:tc>
          <w:tcPr>
            <w:tcW w:w="2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EPS</w:t>
            </w: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94"/>
              </w:rPr>
              <w:t>Income</w:t>
            </w:r>
          </w:p>
        </w:tc>
        <w:tc>
          <w:tcPr>
            <w:tcW w:w="18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EPS</w:t>
            </w:r>
          </w:p>
        </w:tc>
        <w:tc>
          <w:tcPr>
            <w:tcW w:w="14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w w:val="94"/>
              </w:rPr>
              <w:t>Income</w:t>
            </w:r>
          </w:p>
        </w:tc>
        <w:tc>
          <w:tcPr>
            <w:tcW w:w="2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EPS</w:t>
            </w: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94"/>
              </w:rPr>
              <w:t>Income</w:t>
            </w:r>
          </w:p>
        </w:tc>
        <w:tc>
          <w:tcPr>
            <w:tcW w:w="200" w:type="dxa"/>
            <w:vAlign w:val="bottom"/>
          </w:tcPr>
          <w:p>
            <w:pPr>
              <w:spacing w:after="0"/>
              <w:rPr>
                <w:sz w:val="20"/>
                <w:szCs w:val="20"/>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w w:val="94"/>
              </w:rPr>
              <w:t>EPS</w:t>
            </w:r>
          </w:p>
        </w:tc>
      </w:tr>
      <w:tr>
        <w:trPr>
          <w:trHeight w:val="27"/>
        </w:trPr>
        <w:tc>
          <w:tcPr>
            <w:tcW w:w="4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91"/>
        </w:trPr>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9"/>
        </w:trPr>
        <w:tc>
          <w:tcPr>
            <w:tcW w:w="4180" w:type="dxa"/>
            <w:vAlign w:val="bottom"/>
            <w:shd w:val="clear" w:color="auto" w:fill="CEFFE7"/>
          </w:tcPr>
          <w:p>
            <w:pPr>
              <w:ind w:left="20"/>
              <w:spacing w:after="0"/>
              <w:rPr>
                <w:sz w:val="20"/>
                <w:szCs w:val="20"/>
                <w:color w:val="auto"/>
              </w:rPr>
            </w:pPr>
            <w:r>
              <w:rPr>
                <w:rFonts w:ascii="Arial" w:cs="Arial" w:eastAsia="Arial" w:hAnsi="Arial"/>
                <w:sz w:val="18"/>
                <w:szCs w:val="18"/>
                <w:color w:val="auto"/>
              </w:rPr>
              <w:t>Net income from continuing operations available for</w:t>
            </w:r>
          </w:p>
        </w:tc>
        <w:tc>
          <w:tcPr>
            <w:tcW w:w="160" w:type="dxa"/>
            <w:vAlign w:val="bottom"/>
            <w:shd w:val="clear" w:color="auto" w:fill="CEFFE7"/>
          </w:tcPr>
          <w:p>
            <w:pPr>
              <w:spacing w:after="0"/>
              <w:rPr>
                <w:sz w:val="19"/>
                <w:szCs w:val="19"/>
                <w:color w:val="auto"/>
              </w:rPr>
            </w:pPr>
          </w:p>
        </w:tc>
        <w:tc>
          <w:tcPr>
            <w:tcW w:w="72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6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6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72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60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74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600" w:type="dxa"/>
            <w:vAlign w:val="bottom"/>
            <w:shd w:val="clear" w:color="auto" w:fill="CEFFE7"/>
          </w:tcPr>
          <w:p>
            <w:pPr>
              <w:spacing w:after="0"/>
              <w:rPr>
                <w:sz w:val="19"/>
                <w:szCs w:val="19"/>
                <w:color w:val="auto"/>
              </w:rPr>
            </w:pPr>
          </w:p>
        </w:tc>
      </w:tr>
      <w:tr>
        <w:trPr>
          <w:trHeight w:val="237"/>
        </w:trPr>
        <w:tc>
          <w:tcPr>
            <w:tcW w:w="4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17.8</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130.1</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177.5</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3.26</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Net (loss) from discontinued operations</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7"/>
        </w:trPr>
        <w:tc>
          <w:tcPr>
            <w:tcW w:w="418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4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 available for common stock</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EFFE7"/>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17.0</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EFFE7"/>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130.1</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EFFE7"/>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171.9</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3.15</w:t>
            </w: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2019 Compared to Three Months Ended September 30,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variance to the prior year included the following:</w:t>
      </w:r>
    </w:p>
    <w:p>
      <w:pPr>
        <w:spacing w:after="0" w:line="225" w:lineRule="exact"/>
        <w:rPr>
          <w:sz w:val="20"/>
          <w:szCs w:val="20"/>
          <w:color w:val="auto"/>
        </w:rPr>
      </w:pPr>
    </w:p>
    <w:p>
      <w:pPr>
        <w:ind w:left="660" w:right="100" w:hanging="328"/>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Electric Utilities’ adjusted operating income increased $7.3 million primarily due to the prior year Wyoming Electric PCA settlement, warmer summer weather in Colorado and Wyoming, increased industrial demand, and increased rider revenues partially offset by higher operating expenses driven by outside services and employee costs;</w:t>
      </w:r>
    </w:p>
    <w:p>
      <w:pPr>
        <w:ind w:left="660" w:right="2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Gas Utilities’ adjusted operating income increased $0.5 million primarily due to new rates, increased transport and transmission, and customer growth partially offset by lower heating demand from warmer weather, reduced irrigation demand due to heavy precipitation and higher operating expenses driven by outside services and employee costs;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Power Generation’s adjusted operating income decreased $1.3 million primarily due to higher depreciation and property taxes from new wind assets partially offset by higher revenue from increased wind MWh sold and higher PPA prices;</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Mining’s adjusted operating income decreased $1.2 million primarily due to lower tons sold driven by unplanned generating facility outages partially offset by lower operating expenses;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$20 million non-cash impairment of our investment in equity securities of a privately held oil and gas company;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prior year $5.3 million income tax expense associated with changes in the previously estimated impact of tax reform on deferred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2019 Compared to Nine Months Ended September 30,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variance to the prior year included the following:</w:t>
      </w:r>
    </w:p>
    <w:p>
      <w:pPr>
        <w:spacing w:after="0" w:line="225" w:lineRule="exact"/>
        <w:rPr>
          <w:sz w:val="20"/>
          <w:szCs w:val="20"/>
          <w:color w:val="auto"/>
        </w:rPr>
      </w:pPr>
    </w:p>
    <w:p>
      <w:pPr>
        <w:ind w:left="660" w:right="240" w:hanging="328"/>
        <w:spacing w:after="0" w:line="29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Electric Utilities’ adjusted operating income increased $2.1 million primarily due to reduced power capacity charges, the prior year Wyoming Electric PCA settlement and increased rider revenues partially offset by higher operating expenses driven by outside services and employee costs;</w:t>
      </w:r>
    </w:p>
    <w:p>
      <w:pPr>
        <w:ind w:left="660" w:right="3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Gas Utilities’ adjusted operating income increased $0.4 million primarily due to new rates offset by higher operating expenses driven by outside services and employee costs;</w:t>
      </w:r>
    </w:p>
    <w:p>
      <w:pPr>
        <w:ind w:left="660" w:right="4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Power Generation’s adjusted operating income increased $0.2 million primarily due to higher revenue from increased wind MWh sold partially offset by higher depreciation and property taxes from new wind assets;</w:t>
      </w:r>
    </w:p>
    <w:p>
      <w:pPr>
        <w:ind w:left="660" w:right="3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Mining’s adjusted operating income decreased $3.3 million primarily due to lower tons sold driven by planned and unplanned generating facility outages partially offset by lower operating expenses;</w:t>
      </w:r>
    </w:p>
    <w:p>
      <w:pPr>
        <w:ind w:left="660" w:right="80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Corporate and Other expenses decreased $2.3 million primarily due to prior year expenses related to the oil and gas segment that were not reclassified to discontinued operations;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$20 million non-cash impairment of our investment in equity securities of a privately held oil and gas company;</w:t>
      </w:r>
    </w:p>
    <w:p>
      <w:pPr>
        <w:spacing w:after="0" w:line="9" w:lineRule="exact"/>
        <w:rPr>
          <w:rFonts w:ascii="Arial" w:cs="Arial" w:eastAsia="Arial" w:hAnsi="Arial"/>
          <w:sz w:val="18"/>
          <w:szCs w:val="18"/>
          <w:color w:val="auto"/>
        </w:rPr>
      </w:pPr>
    </w:p>
    <w:p>
      <w:pPr>
        <w:ind w:left="660" w:right="70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prior year $49 million tax benefit resulting from legal entity restructuring partially offset by a prior year $7.5 million income tax expense associated with changes in the previously estimated impact of tax reform on deferred income taxes; and</w:t>
      </w:r>
    </w:p>
    <w:p>
      <w:pPr>
        <w:ind w:left="660" w:right="680" w:hanging="328"/>
        <w:spacing w:after="0" w:line="290"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lower current year effective tax rate primarily due to $5.0 million of federal production tax credits and related state investment tax credits associated with new wind assets and a $1.0 million tax benefit for deferred tax amortization related to tax reform.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6" w:right="2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4560" w:type="dxa"/>
            <w:vAlign w:val="bottom"/>
            <w:gridSpan w:val="5"/>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12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100" w:type="dxa"/>
            <w:vAlign w:val="bottom"/>
            <w:gridSpan w:val="13"/>
          </w:tcPr>
          <w:p>
            <w:pPr>
              <w:spacing w:after="0"/>
              <w:rPr>
                <w:sz w:val="20"/>
                <w:szCs w:val="20"/>
                <w:color w:val="auto"/>
              </w:rPr>
            </w:pPr>
            <w:r>
              <w:rPr>
                <w:rFonts w:ascii="Arial" w:cs="Arial" w:eastAsia="Arial" w:hAnsi="Arial"/>
                <w:sz w:val="18"/>
                <w:szCs w:val="18"/>
                <w:color w:val="auto"/>
                <w:w w:val="94"/>
              </w:rPr>
              <w:t>The following table summarizes select financial results by operating segment and details significant items (in thousands):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5"/>
          </w:tcPr>
          <w:p>
            <w:pPr>
              <w:jc w:val="right"/>
              <w:ind w:right="290"/>
              <w:spacing w:after="0"/>
              <w:rPr>
                <w:sz w:val="20"/>
                <w:szCs w:val="20"/>
                <w:color w:val="auto"/>
              </w:rPr>
            </w:pPr>
            <w:r>
              <w:rPr>
                <w:rFonts w:ascii="Arial" w:cs="Arial" w:eastAsia="Arial" w:hAnsi="Arial"/>
                <w:sz w:val="18"/>
                <w:szCs w:val="18"/>
                <w:color w:val="auto"/>
                <w:w w:val="94"/>
              </w:rPr>
              <w:t>Three Months Ended September 30,</w:t>
            </w:r>
          </w:p>
        </w:tc>
        <w:tc>
          <w:tcPr>
            <w:tcW w:w="220" w:type="dxa"/>
            <w:vAlign w:val="bottom"/>
          </w:tcPr>
          <w:p>
            <w:pPr>
              <w:spacing w:after="0"/>
              <w:rPr>
                <w:sz w:val="24"/>
                <w:szCs w:val="24"/>
                <w:color w:val="auto"/>
              </w:rPr>
            </w:pPr>
          </w:p>
        </w:tc>
        <w:tc>
          <w:tcPr>
            <w:tcW w:w="3200" w:type="dxa"/>
            <w:vAlign w:val="bottom"/>
            <w:gridSpan w:val="5"/>
          </w:tcPr>
          <w:p>
            <w:pPr>
              <w:jc w:val="right"/>
              <w:ind w:right="330"/>
              <w:spacing w:after="0"/>
              <w:rPr>
                <w:sz w:val="20"/>
                <w:szCs w:val="20"/>
                <w:color w:val="auto"/>
              </w:rPr>
            </w:pPr>
            <w:r>
              <w:rPr>
                <w:rFonts w:ascii="Arial" w:cs="Arial" w:eastAsia="Arial" w:hAnsi="Arial"/>
                <w:sz w:val="18"/>
                <w:szCs w:val="18"/>
                <w:color w:val="auto"/>
                <w:w w:val="98"/>
              </w:rPr>
              <w:t>Nine Months Ended September 30,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22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3"/>
                <w:szCs w:val="23"/>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w w:val="95"/>
              </w:rPr>
              <w:t>Variance</w:t>
            </w:r>
          </w:p>
        </w:tc>
        <w:tc>
          <w:tcPr>
            <w:tcW w:w="0" w:type="dxa"/>
            <w:vAlign w:val="bottom"/>
          </w:tcPr>
          <w:p>
            <w:pPr>
              <w:spacing w:after="0"/>
              <w:rPr>
                <w:sz w:val="1"/>
                <w:szCs w:val="1"/>
                <w:color w:val="auto"/>
              </w:rPr>
            </w:pPr>
          </w:p>
        </w:tc>
      </w:tr>
      <w:tr>
        <w:trPr>
          <w:trHeight w:val="27"/>
        </w:trPr>
        <w:tc>
          <w:tcPr>
            <w:tcW w:w="4560" w:type="dxa"/>
            <w:vAlign w:val="bottom"/>
            <w:gridSpan w:val="5"/>
            <w:vMerge w:val="restart"/>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560" w:type="dxa"/>
            <w:vAlign w:val="bottom"/>
            <w:gridSpan w:val="5"/>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363,491</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358,258</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5,233</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1,368,748</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1,361,102</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43"/>
        </w:trPr>
        <w:tc>
          <w:tcPr>
            <w:tcW w:w="4560" w:type="dxa"/>
            <w:vAlign w:val="bottom"/>
            <w:gridSpan w:val="5"/>
          </w:tcPr>
          <w:p>
            <w:pPr>
              <w:ind w:left="40"/>
              <w:spacing w:after="0"/>
              <w:rPr>
                <w:sz w:val="20"/>
                <w:szCs w:val="20"/>
                <w:color w:val="auto"/>
              </w:rPr>
            </w:pPr>
            <w:r>
              <w:rPr>
                <w:rFonts w:ascii="Arial" w:cs="Arial" w:eastAsia="Arial" w:hAnsi="Arial"/>
                <w:sz w:val="18"/>
                <w:szCs w:val="18"/>
                <w:color w:val="auto"/>
              </w:rPr>
              <w:t>Inter-company eliminations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(37,943)</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(36,279)</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(1,664)</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(111,502)</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(108,030)</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560" w:type="dxa"/>
            <w:vAlign w:val="bottom"/>
            <w:tcBorders>
              <w:bottom w:val="single" w:sz="8" w:color="CEFFE7"/>
            </w:tcBorders>
          </w:tcPr>
          <w:p>
            <w:pPr>
              <w:spacing w:after="0"/>
              <w:rPr>
                <w:sz w:val="2"/>
                <w:szCs w:val="2"/>
                <w:color w:val="auto"/>
              </w:rPr>
            </w:pPr>
          </w:p>
        </w:tc>
        <w:tc>
          <w:tcPr>
            <w:tcW w:w="760" w:type="dxa"/>
            <w:vAlign w:val="bottom"/>
            <w:tcBorders>
              <w:bottom w:val="single" w:sz="8" w:color="CEFFE7"/>
            </w:tcBorders>
          </w:tcPr>
          <w:p>
            <w:pPr>
              <w:spacing w:after="0"/>
              <w:rPr>
                <w:sz w:val="2"/>
                <w:szCs w:val="2"/>
                <w:color w:val="auto"/>
              </w:rPr>
            </w:pPr>
          </w:p>
        </w:tc>
        <w:tc>
          <w:tcPr>
            <w:tcW w:w="25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EFFE7"/>
            </w:tcBorders>
            <w:shd w:val="clear" w:color="auto" w:fill="CEFFE7"/>
          </w:tcPr>
          <w:p>
            <w:pPr>
              <w:spacing w:after="0"/>
              <w:rPr>
                <w:sz w:val="22"/>
                <w:szCs w:val="22"/>
                <w:color w:val="auto"/>
              </w:rPr>
            </w:pPr>
          </w:p>
        </w:tc>
        <w:tc>
          <w:tcPr>
            <w:tcW w:w="620" w:type="dxa"/>
            <w:vAlign w:val="bottom"/>
            <w:tcBorders>
              <w:bottom w:val="single" w:sz="8" w:color="CEFFE7"/>
            </w:tcBorders>
            <w:shd w:val="clear" w:color="auto" w:fill="CEFFE7"/>
          </w:tcPr>
          <w:p>
            <w:pPr>
              <w:spacing w:after="0"/>
              <w:rPr>
                <w:sz w:val="22"/>
                <w:szCs w:val="22"/>
                <w:color w:val="auto"/>
              </w:rPr>
            </w:pPr>
          </w:p>
        </w:tc>
        <w:tc>
          <w:tcPr>
            <w:tcW w:w="560" w:type="dxa"/>
            <w:vAlign w:val="bottom"/>
            <w:tcBorders>
              <w:bottom w:val="single" w:sz="8" w:color="CEFFE7"/>
            </w:tcBorders>
            <w:shd w:val="clear" w:color="auto" w:fill="CEFFE7"/>
          </w:tcPr>
          <w:p>
            <w:pPr>
              <w:spacing w:after="0"/>
              <w:rPr>
                <w:sz w:val="22"/>
                <w:szCs w:val="22"/>
                <w:color w:val="auto"/>
              </w:rPr>
            </w:pPr>
          </w:p>
        </w:tc>
        <w:tc>
          <w:tcPr>
            <w:tcW w:w="760" w:type="dxa"/>
            <w:vAlign w:val="bottom"/>
            <w:tcBorders>
              <w:bottom w:val="single" w:sz="8" w:color="CEFFE7"/>
            </w:tcBorders>
            <w:shd w:val="clear" w:color="auto" w:fill="CEFFE7"/>
          </w:tcPr>
          <w:p>
            <w:pPr>
              <w:spacing w:after="0"/>
              <w:rPr>
                <w:sz w:val="22"/>
                <w:szCs w:val="22"/>
                <w:color w:val="auto"/>
              </w:rPr>
            </w:pPr>
          </w:p>
        </w:tc>
        <w:tc>
          <w:tcPr>
            <w:tcW w:w="2580" w:type="dxa"/>
            <w:vAlign w:val="bottom"/>
            <w:tcBorders>
              <w:bottom w:val="single" w:sz="8" w:color="CEFFE7"/>
            </w:tcBorders>
            <w:shd w:val="clear" w:color="auto" w:fill="CEFFE7"/>
          </w:tcPr>
          <w:p>
            <w:pPr>
              <w:spacing w:after="0"/>
              <w:rPr>
                <w:sz w:val="22"/>
                <w:szCs w:val="22"/>
                <w:color w:val="auto"/>
              </w:rPr>
            </w:pP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325,548</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321,979</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3,569</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1,257,246</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1,253,072</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196"/>
        </w:trPr>
        <w:tc>
          <w:tcPr>
            <w:tcW w:w="4560" w:type="dxa"/>
            <w:vAlign w:val="bottom"/>
            <w:gridSpan w:val="5"/>
          </w:tcPr>
          <w:p>
            <w:pPr>
              <w:ind w:left="40"/>
              <w:spacing w:after="0" w:line="197" w:lineRule="exact"/>
              <w:rPr>
                <w:sz w:val="20"/>
                <w:szCs w:val="20"/>
                <w:color w:val="auto"/>
              </w:rPr>
            </w:pPr>
            <w:r>
              <w:rPr>
                <w:rFonts w:ascii="Arial" w:cs="Arial" w:eastAsia="Arial" w:hAnsi="Arial"/>
                <w:sz w:val="16"/>
                <w:szCs w:val="16"/>
                <w:color w:val="auto"/>
              </w:rPr>
              <w:t xml:space="preserve">Adjusted operating income </w:t>
            </w:r>
            <w:r>
              <w:rPr>
                <w:rFonts w:ascii="Arial" w:cs="Arial" w:eastAsia="Arial" w:hAnsi="Arial"/>
                <w:sz w:val="22"/>
                <w:szCs w:val="22"/>
                <w:color w:val="auto"/>
                <w:vertAlign w:val="superscript"/>
              </w:rPr>
              <w:t>(a)</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4520" w:type="dxa"/>
            <w:vAlign w:val="bottom"/>
            <w:tcBorders>
              <w:bottom w:val="single" w:sz="8" w:color="CEFFE7"/>
            </w:tcBorders>
            <w:gridSpan w:val="4"/>
            <w:shd w:val="clear" w:color="auto" w:fill="CEFFE7"/>
          </w:tcPr>
          <w:p>
            <w:pPr>
              <w:ind w:left="140"/>
              <w:spacing w:after="0"/>
              <w:rPr>
                <w:sz w:val="20"/>
                <w:szCs w:val="20"/>
                <w:color w:val="auto"/>
              </w:rPr>
            </w:pPr>
            <w:r>
              <w:rPr>
                <w:rFonts w:ascii="Arial" w:cs="Arial" w:eastAsia="Arial" w:hAnsi="Arial"/>
                <w:sz w:val="18"/>
                <w:szCs w:val="18"/>
                <w:color w:val="auto"/>
              </w:rPr>
              <w:t>Electric Utilities</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50,653</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43,393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7,260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125,219</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123,073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20" w:type="dxa"/>
            <w:vAlign w:val="bottom"/>
            <w:gridSpan w:val="4"/>
          </w:tcPr>
          <w:p>
            <w:pPr>
              <w:ind w:left="140"/>
              <w:spacing w:after="0"/>
              <w:rPr>
                <w:sz w:val="20"/>
                <w:szCs w:val="20"/>
                <w:color w:val="auto"/>
              </w:rPr>
            </w:pPr>
            <w:r>
              <w:rPr>
                <w:rFonts w:ascii="Arial" w:cs="Arial" w:eastAsia="Arial" w:hAnsi="Arial"/>
                <w:sz w:val="18"/>
                <w:szCs w:val="18"/>
                <w:color w:val="auto"/>
              </w:rPr>
              <w:t>Gas Utilities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4,736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4,240</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116,607</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116,168</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4520" w:type="dxa"/>
            <w:vAlign w:val="bottom"/>
            <w:tcBorders>
              <w:bottom w:val="single" w:sz="8" w:color="CEFFE7"/>
            </w:tcBorders>
            <w:gridSpan w:val="4"/>
            <w:shd w:val="clear" w:color="auto" w:fill="CEFFE7"/>
          </w:tcPr>
          <w:p>
            <w:pPr>
              <w:ind w:left="140"/>
              <w:spacing w:after="0"/>
              <w:rPr>
                <w:sz w:val="20"/>
                <w:szCs w:val="20"/>
                <w:color w:val="auto"/>
              </w:rPr>
            </w:pPr>
            <w:r>
              <w:rPr>
                <w:rFonts w:ascii="Arial" w:cs="Arial" w:eastAsia="Arial" w:hAnsi="Arial"/>
                <w:sz w:val="18"/>
                <w:szCs w:val="18"/>
                <w:color w:val="auto"/>
              </w:rPr>
              <w:t>Power Generation</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11,822</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13,079</w:t>
            </w:r>
          </w:p>
        </w:tc>
        <w:tc>
          <w:tcPr>
            <w:tcW w:w="1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(1,257)</w:t>
            </w:r>
          </w:p>
        </w:tc>
        <w:tc>
          <w:tcPr>
            <w:tcW w:w="22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33,945</w:t>
            </w:r>
          </w:p>
        </w:tc>
        <w:tc>
          <w:tcPr>
            <w:tcW w:w="22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33,731</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20" w:type="dxa"/>
            <w:vAlign w:val="bottom"/>
            <w:gridSpan w:val="4"/>
          </w:tcPr>
          <w:p>
            <w:pPr>
              <w:ind w:left="140"/>
              <w:spacing w:after="0"/>
              <w:rPr>
                <w:sz w:val="20"/>
                <w:szCs w:val="20"/>
                <w:color w:val="auto"/>
              </w:rPr>
            </w:pPr>
            <w:r>
              <w:rPr>
                <w:rFonts w:ascii="Arial" w:cs="Arial" w:eastAsia="Arial" w:hAnsi="Arial"/>
                <w:sz w:val="18"/>
                <w:szCs w:val="18"/>
                <w:color w:val="auto"/>
              </w:rPr>
              <w:t>Mining</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3,374</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4,551</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(1,177)</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9,351</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12,647</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EFFE7"/>
            </w:tcBorders>
            <w:shd w:val="clear" w:color="auto" w:fill="CEFFE7"/>
          </w:tcPr>
          <w:p>
            <w:pPr>
              <w:spacing w:after="0"/>
              <w:rPr>
                <w:sz w:val="23"/>
                <w:szCs w:val="23"/>
                <w:color w:val="auto"/>
              </w:rPr>
            </w:pPr>
          </w:p>
        </w:tc>
        <w:tc>
          <w:tcPr>
            <w:tcW w:w="4520" w:type="dxa"/>
            <w:vAlign w:val="bottom"/>
            <w:tcBorders>
              <w:bottom w:val="single" w:sz="8" w:color="CEFFE7"/>
            </w:tcBorders>
            <w:gridSpan w:val="4"/>
            <w:shd w:val="clear" w:color="auto" w:fill="CEFFE7"/>
          </w:tcPr>
          <w:p>
            <w:pPr>
              <w:ind w:left="140"/>
              <w:spacing w:after="0"/>
              <w:rPr>
                <w:sz w:val="20"/>
                <w:szCs w:val="20"/>
                <w:color w:val="auto"/>
              </w:rPr>
            </w:pPr>
            <w:r>
              <w:rPr>
                <w:rFonts w:ascii="Arial" w:cs="Arial" w:eastAsia="Arial" w:hAnsi="Arial"/>
                <w:sz w:val="18"/>
                <w:szCs w:val="18"/>
                <w:color w:val="auto"/>
              </w:rPr>
              <w:t>Corporate and Other</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144</w:t>
            </w:r>
          </w:p>
        </w:tc>
        <w:tc>
          <w:tcPr>
            <w:tcW w:w="22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(2,709)</w:t>
            </w:r>
          </w:p>
        </w:tc>
        <w:tc>
          <w:tcPr>
            <w:tcW w:w="1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37"/>
        </w:trPr>
        <w:tc>
          <w:tcPr>
            <w:tcW w:w="4560" w:type="dxa"/>
            <w:vAlign w:val="bottom"/>
            <w:gridSpan w:val="5"/>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70,551</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65,085</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5,466</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284,683</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282,910</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7"/>
        </w:trPr>
        <w:tc>
          <w:tcPr>
            <w:tcW w:w="4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560" w:type="dxa"/>
            <w:vAlign w:val="bottom"/>
            <w:tcBorders>
              <w:bottom w:val="single" w:sz="8" w:color="CEFFE7"/>
            </w:tcBorders>
          </w:tcPr>
          <w:p>
            <w:pPr>
              <w:spacing w:after="0"/>
              <w:rPr>
                <w:sz w:val="2"/>
                <w:szCs w:val="2"/>
                <w:color w:val="auto"/>
              </w:rPr>
            </w:pPr>
          </w:p>
        </w:tc>
        <w:tc>
          <w:tcPr>
            <w:tcW w:w="760" w:type="dxa"/>
            <w:vAlign w:val="bottom"/>
            <w:tcBorders>
              <w:bottom w:val="single" w:sz="8" w:color="CEFFE7"/>
            </w:tcBorders>
          </w:tcPr>
          <w:p>
            <w:pPr>
              <w:spacing w:after="0"/>
              <w:rPr>
                <w:sz w:val="2"/>
                <w:szCs w:val="2"/>
                <w:color w:val="auto"/>
              </w:rPr>
            </w:pPr>
          </w:p>
        </w:tc>
        <w:tc>
          <w:tcPr>
            <w:tcW w:w="25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EFFE7"/>
          </w:tcPr>
          <w:p>
            <w:pPr>
              <w:spacing w:after="0"/>
              <w:rPr>
                <w:sz w:val="22"/>
                <w:szCs w:val="22"/>
                <w:color w:val="auto"/>
              </w:rPr>
            </w:pPr>
          </w:p>
        </w:tc>
        <w:tc>
          <w:tcPr>
            <w:tcW w:w="620" w:type="dxa"/>
            <w:vAlign w:val="bottom"/>
            <w:shd w:val="clear" w:color="auto" w:fill="CEFFE7"/>
          </w:tcPr>
          <w:p>
            <w:pPr>
              <w:spacing w:after="0"/>
              <w:rPr>
                <w:sz w:val="22"/>
                <w:szCs w:val="22"/>
                <w:color w:val="auto"/>
              </w:rPr>
            </w:pPr>
          </w:p>
        </w:tc>
        <w:tc>
          <w:tcPr>
            <w:tcW w:w="560" w:type="dxa"/>
            <w:vAlign w:val="bottom"/>
            <w:shd w:val="clear" w:color="auto" w:fill="CEFFE7"/>
          </w:tcPr>
          <w:p>
            <w:pPr>
              <w:spacing w:after="0"/>
              <w:rPr>
                <w:sz w:val="22"/>
                <w:szCs w:val="22"/>
                <w:color w:val="auto"/>
              </w:rPr>
            </w:pPr>
          </w:p>
        </w:tc>
        <w:tc>
          <w:tcPr>
            <w:tcW w:w="760" w:type="dxa"/>
            <w:vAlign w:val="bottom"/>
            <w:shd w:val="clear" w:color="auto" w:fill="CEFFE7"/>
          </w:tcPr>
          <w:p>
            <w:pPr>
              <w:spacing w:after="0"/>
              <w:rPr>
                <w:sz w:val="22"/>
                <w:szCs w:val="22"/>
                <w:color w:val="auto"/>
              </w:rPr>
            </w:pPr>
          </w:p>
        </w:tc>
        <w:tc>
          <w:tcPr>
            <w:tcW w:w="2580" w:type="dxa"/>
            <w:vAlign w:val="bottom"/>
            <w:shd w:val="clear" w:color="auto" w:fill="CEFFE7"/>
          </w:tcPr>
          <w:p>
            <w:pPr>
              <w:spacing w:after="0"/>
              <w:rPr>
                <w:sz w:val="22"/>
                <w:szCs w:val="22"/>
                <w:color w:val="auto"/>
              </w:rPr>
            </w:pPr>
          </w:p>
        </w:tc>
        <w:tc>
          <w:tcPr>
            <w:tcW w:w="260" w:type="dxa"/>
            <w:vAlign w:val="bottom"/>
            <w:shd w:val="clear" w:color="auto" w:fill="CEFFE7"/>
          </w:tcPr>
          <w:p>
            <w:pPr>
              <w:spacing w:after="0"/>
              <w:rPr>
                <w:sz w:val="22"/>
                <w:szCs w:val="22"/>
                <w:color w:val="auto"/>
              </w:rPr>
            </w:pPr>
          </w:p>
        </w:tc>
        <w:tc>
          <w:tcPr>
            <w:tcW w:w="880" w:type="dxa"/>
            <w:vAlign w:val="bottom"/>
            <w:shd w:val="clear" w:color="auto" w:fill="CEFFE7"/>
          </w:tcPr>
          <w:p>
            <w:pPr>
              <w:spacing w:after="0"/>
              <w:rPr>
                <w:sz w:val="22"/>
                <w:szCs w:val="22"/>
                <w:color w:val="auto"/>
              </w:rPr>
            </w:pPr>
          </w:p>
        </w:tc>
        <w:tc>
          <w:tcPr>
            <w:tcW w:w="260" w:type="dxa"/>
            <w:vAlign w:val="bottom"/>
            <w:shd w:val="clear" w:color="auto" w:fill="CEFFE7"/>
          </w:tcPr>
          <w:p>
            <w:pPr>
              <w:spacing w:after="0"/>
              <w:rPr>
                <w:sz w:val="22"/>
                <w:szCs w:val="22"/>
                <w:color w:val="auto"/>
              </w:rPr>
            </w:pPr>
          </w:p>
        </w:tc>
        <w:tc>
          <w:tcPr>
            <w:tcW w:w="880" w:type="dxa"/>
            <w:vAlign w:val="bottom"/>
            <w:shd w:val="clear" w:color="auto" w:fill="CEFFE7"/>
          </w:tcPr>
          <w:p>
            <w:pPr>
              <w:spacing w:after="0"/>
              <w:rPr>
                <w:sz w:val="22"/>
                <w:szCs w:val="22"/>
                <w:color w:val="auto"/>
              </w:rPr>
            </w:pPr>
          </w:p>
        </w:tc>
        <w:tc>
          <w:tcPr>
            <w:tcW w:w="180" w:type="dxa"/>
            <w:vAlign w:val="bottom"/>
            <w:shd w:val="clear" w:color="auto" w:fill="CEFFE7"/>
          </w:tcPr>
          <w:p>
            <w:pPr>
              <w:spacing w:after="0"/>
              <w:rPr>
                <w:sz w:val="22"/>
                <w:szCs w:val="22"/>
                <w:color w:val="auto"/>
              </w:rPr>
            </w:pPr>
          </w:p>
        </w:tc>
        <w:tc>
          <w:tcPr>
            <w:tcW w:w="940" w:type="dxa"/>
            <w:vAlign w:val="bottom"/>
            <w:shd w:val="clear" w:color="auto" w:fill="CEFFE7"/>
          </w:tcPr>
          <w:p>
            <w:pPr>
              <w:spacing w:after="0"/>
              <w:rPr>
                <w:sz w:val="22"/>
                <w:szCs w:val="22"/>
                <w:color w:val="auto"/>
              </w:rPr>
            </w:pPr>
          </w:p>
        </w:tc>
        <w:tc>
          <w:tcPr>
            <w:tcW w:w="220" w:type="dxa"/>
            <w:vAlign w:val="bottom"/>
            <w:shd w:val="clear" w:color="auto" w:fill="CEFFE7"/>
          </w:tcPr>
          <w:p>
            <w:pPr>
              <w:spacing w:after="0"/>
              <w:rPr>
                <w:sz w:val="22"/>
                <w:szCs w:val="22"/>
                <w:color w:val="auto"/>
              </w:rPr>
            </w:pPr>
          </w:p>
        </w:tc>
        <w:tc>
          <w:tcPr>
            <w:tcW w:w="920" w:type="dxa"/>
            <w:vAlign w:val="bottom"/>
            <w:shd w:val="clear" w:color="auto" w:fill="CEFFE7"/>
          </w:tcPr>
          <w:p>
            <w:pPr>
              <w:spacing w:after="0"/>
              <w:rPr>
                <w:sz w:val="22"/>
                <w:szCs w:val="22"/>
                <w:color w:val="auto"/>
              </w:rPr>
            </w:pPr>
          </w:p>
        </w:tc>
        <w:tc>
          <w:tcPr>
            <w:tcW w:w="220" w:type="dxa"/>
            <w:vAlign w:val="bottom"/>
            <w:shd w:val="clear" w:color="auto" w:fill="CEFFE7"/>
          </w:tcPr>
          <w:p>
            <w:pPr>
              <w:spacing w:after="0"/>
              <w:rPr>
                <w:sz w:val="22"/>
                <w:szCs w:val="22"/>
                <w:color w:val="auto"/>
              </w:rPr>
            </w:pPr>
          </w:p>
        </w:tc>
        <w:tc>
          <w:tcPr>
            <w:tcW w:w="920" w:type="dxa"/>
            <w:vAlign w:val="bottom"/>
            <w:shd w:val="clear" w:color="auto" w:fill="CEFFE7"/>
          </w:tcPr>
          <w:p>
            <w:pPr>
              <w:spacing w:after="0"/>
              <w:rPr>
                <w:sz w:val="22"/>
                <w:szCs w:val="22"/>
                <w:color w:val="auto"/>
              </w:rPr>
            </w:pPr>
          </w:p>
        </w:tc>
        <w:tc>
          <w:tcPr>
            <w:tcW w:w="180" w:type="dxa"/>
            <w:vAlign w:val="bottom"/>
            <w:shd w:val="clear" w:color="auto" w:fill="CEFFE7"/>
          </w:tcPr>
          <w:p>
            <w:pPr>
              <w:spacing w:after="0"/>
              <w:rPr>
                <w:sz w:val="22"/>
                <w:szCs w:val="22"/>
                <w:color w:val="auto"/>
              </w:rPr>
            </w:pPr>
          </w:p>
        </w:tc>
        <w:tc>
          <w:tcPr>
            <w:tcW w:w="960" w:type="dxa"/>
            <w:vAlign w:val="bottom"/>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60" w:type="dxa"/>
            <w:vAlign w:val="bottom"/>
            <w:gridSpan w:val="5"/>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(33,487)</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(35,297)</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1,810</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(102,469)</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(104,826)</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8"/>
                <w:szCs w:val="18"/>
                <w:color w:val="auto"/>
              </w:rPr>
              <w:t>Impairment of investment</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(19,741)</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(19,741)</w:t>
            </w:r>
          </w:p>
        </w:tc>
        <w:tc>
          <w:tcPr>
            <w:tcW w:w="22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(19,741)</w:t>
            </w:r>
          </w:p>
        </w:tc>
        <w:tc>
          <w:tcPr>
            <w:tcW w:w="22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(19,741)</w:t>
            </w:r>
          </w:p>
        </w:tc>
        <w:tc>
          <w:tcPr>
            <w:tcW w:w="0" w:type="dxa"/>
            <w:vAlign w:val="bottom"/>
          </w:tcPr>
          <w:p>
            <w:pPr>
              <w:spacing w:after="0"/>
              <w:rPr>
                <w:sz w:val="1"/>
                <w:szCs w:val="1"/>
                <w:color w:val="auto"/>
              </w:rPr>
            </w:pPr>
          </w:p>
        </w:tc>
      </w:tr>
      <w:tr>
        <w:trPr>
          <w:trHeight w:val="243"/>
        </w:trPr>
        <w:tc>
          <w:tcPr>
            <w:tcW w:w="4560" w:type="dxa"/>
            <w:vAlign w:val="bottom"/>
            <w:gridSpan w:val="5"/>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580</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1,090</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(1,923)</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(2,508)</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(7,477)</w:t>
            </w:r>
          </w:p>
        </w:tc>
        <w:tc>
          <w:tcPr>
            <w:tcW w:w="18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4,969</w:t>
            </w:r>
          </w:p>
        </w:tc>
        <w:tc>
          <w:tcPr>
            <w:tcW w:w="22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(22,078)</w:t>
            </w:r>
          </w:p>
        </w:tc>
        <w:tc>
          <w:tcPr>
            <w:tcW w:w="22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11,784</w:t>
            </w:r>
          </w:p>
        </w:tc>
        <w:tc>
          <w:tcPr>
            <w:tcW w:w="1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(33,862)</w:t>
            </w:r>
          </w:p>
        </w:tc>
        <w:tc>
          <w:tcPr>
            <w:tcW w:w="0" w:type="dxa"/>
            <w:vAlign w:val="bottom"/>
          </w:tcPr>
          <w:p>
            <w:pPr>
              <w:spacing w:after="0"/>
              <w:rPr>
                <w:sz w:val="1"/>
                <w:szCs w:val="1"/>
                <w:color w:val="auto"/>
              </w:rPr>
            </w:pPr>
          </w:p>
        </w:tc>
      </w:tr>
      <w:tr>
        <w:trPr>
          <w:trHeight w:val="237"/>
        </w:trPr>
        <w:tc>
          <w:tcPr>
            <w:tcW w:w="4560" w:type="dxa"/>
            <w:vAlign w:val="bottom"/>
            <w:gridSpan w:val="5"/>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15,395</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21,801</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(6,406)</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140,450</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187,945</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8"/>
                <w:szCs w:val="18"/>
                <w:color w:val="auto"/>
              </w:rPr>
              <w:t>Net (loss) from discontinued operations</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(857)</w:t>
            </w:r>
          </w:p>
        </w:tc>
        <w:tc>
          <w:tcPr>
            <w:tcW w:w="18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857</w:t>
            </w:r>
          </w:p>
        </w:tc>
        <w:tc>
          <w:tcPr>
            <w:tcW w:w="22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(5,627)</w:t>
            </w:r>
          </w:p>
        </w:tc>
        <w:tc>
          <w:tcPr>
            <w:tcW w:w="1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5,627</w:t>
            </w:r>
          </w:p>
        </w:tc>
        <w:tc>
          <w:tcPr>
            <w:tcW w:w="0" w:type="dxa"/>
            <w:vAlign w:val="bottom"/>
          </w:tcPr>
          <w:p>
            <w:pPr>
              <w:spacing w:after="0"/>
              <w:rPr>
                <w:sz w:val="1"/>
                <w:szCs w:val="1"/>
                <w:color w:val="auto"/>
              </w:rPr>
            </w:pPr>
          </w:p>
        </w:tc>
      </w:tr>
      <w:tr>
        <w:trPr>
          <w:trHeight w:val="237"/>
        </w:trPr>
        <w:tc>
          <w:tcPr>
            <w:tcW w:w="4560" w:type="dxa"/>
            <w:vAlign w:val="bottom"/>
            <w:gridSpan w:val="5"/>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15,395</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20,944</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(5,549)</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140,450</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182,318</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(3,655)</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(3,994)</w:t>
            </w:r>
          </w:p>
        </w:tc>
        <w:tc>
          <w:tcPr>
            <w:tcW w:w="18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339</w:t>
            </w:r>
          </w:p>
        </w:tc>
        <w:tc>
          <w:tcPr>
            <w:tcW w:w="22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(10,319)</w:t>
            </w:r>
          </w:p>
        </w:tc>
        <w:tc>
          <w:tcPr>
            <w:tcW w:w="22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(10,447)</w:t>
            </w:r>
          </w:p>
        </w:tc>
        <w:tc>
          <w:tcPr>
            <w:tcW w:w="1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57"/>
        </w:trPr>
        <w:tc>
          <w:tcPr>
            <w:tcW w:w="4560" w:type="dxa"/>
            <w:vAlign w:val="bottom"/>
            <w:gridSpan w:val="5"/>
          </w:tcPr>
          <w:p>
            <w:pPr>
              <w:ind w:left="40"/>
              <w:spacing w:after="0"/>
              <w:rPr>
                <w:sz w:val="20"/>
                <w:szCs w:val="20"/>
                <w:color w:val="auto"/>
              </w:rPr>
            </w:pPr>
            <w:r>
              <w:rPr>
                <w:rFonts w:ascii="Arial" w:cs="Arial" w:eastAsia="Arial" w:hAnsi="Arial"/>
                <w:sz w:val="18"/>
                <w:szCs w:val="18"/>
                <w:color w:val="auto"/>
              </w:rPr>
              <w:t>Net income available for common stock</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11,740</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16,950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130,131</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171,871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(41,740)</w:t>
            </w:r>
          </w:p>
        </w:tc>
        <w:tc>
          <w:tcPr>
            <w:tcW w:w="0" w:type="dxa"/>
            <w:vAlign w:val="bottom"/>
          </w:tcPr>
          <w:p>
            <w:pPr>
              <w:spacing w:after="0"/>
              <w:rPr>
                <w:sz w:val="1"/>
                <w:szCs w:val="1"/>
                <w:color w:val="auto"/>
              </w:rPr>
            </w:pPr>
          </w:p>
        </w:tc>
      </w:tr>
      <w:tr>
        <w:trPr>
          <w:trHeight w:val="20"/>
        </w:trPr>
        <w:tc>
          <w:tcPr>
            <w:tcW w:w="1220" w:type="dxa"/>
            <w:vAlign w:val="bottom"/>
            <w:gridSpan w:val="3"/>
            <w:vMerge w:val="restart"/>
          </w:tcPr>
          <w:p>
            <w:pPr>
              <w:spacing w:after="0"/>
              <w:rPr>
                <w:sz w:val="20"/>
                <w:szCs w:val="20"/>
                <w:color w:val="auto"/>
              </w:rPr>
            </w:pPr>
            <w:r>
              <w:rPr>
                <w:rFonts w:ascii="Arial" w:cs="Arial" w:eastAsia="Arial" w:hAnsi="Arial"/>
                <w:sz w:val="16"/>
                <w:szCs w:val="16"/>
                <w:color w:val="auto"/>
              </w:rPr>
              <w:t>__________</w:t>
            </w:r>
          </w:p>
        </w:tc>
        <w:tc>
          <w:tcPr>
            <w:tcW w:w="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2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40" w:hanging="332"/>
        <w:spacing w:after="0" w:line="257"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2019, we changed our measure of segment performance to adjusted operating income, which impacted our segment disclosures for all periods presented. See Note 3 of the Notes to Condensed Consolidated Financial Statements for additional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Segments and Corporate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Electric Utilities Segment</w:t>
      </w:r>
    </w:p>
    <w:p>
      <w:pPr>
        <w:spacing w:after="0" w:line="225" w:lineRule="exact"/>
        <w:rPr>
          <w:sz w:val="20"/>
          <w:szCs w:val="20"/>
          <w:color w:val="auto"/>
        </w:rPr>
      </w:pPr>
    </w:p>
    <w:p>
      <w:pPr>
        <w:ind w:left="660" w:right="3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Cooling degree days for the three and nine months ended September 30, 2019 were 27% and 14% higher than normal compared to 9% and 29% higher than normal for the same periods in 2018.</w:t>
      </w:r>
    </w:p>
    <w:p>
      <w:pPr>
        <w:spacing w:after="0" w:line="170" w:lineRule="exact"/>
        <w:rPr>
          <w:rFonts w:ascii="Arial" w:cs="Arial" w:eastAsia="Arial" w:hAnsi="Arial"/>
          <w:sz w:val="18"/>
          <w:szCs w:val="18"/>
          <w:color w:val="auto"/>
        </w:rPr>
      </w:pPr>
    </w:p>
    <w:p>
      <w:pPr>
        <w:ind w:left="660" w:right="240"/>
        <w:spacing w:after="0" w:line="277" w:lineRule="auto"/>
        <w:rPr>
          <w:rFonts w:ascii="Arial" w:cs="Arial" w:eastAsia="Arial" w:hAnsi="Arial"/>
          <w:sz w:val="18"/>
          <w:szCs w:val="18"/>
          <w:color w:val="auto"/>
        </w:rPr>
      </w:pPr>
      <w:r>
        <w:rPr>
          <w:rFonts w:ascii="Arial" w:cs="Arial" w:eastAsia="Arial" w:hAnsi="Arial"/>
          <w:sz w:val="18"/>
          <w:szCs w:val="18"/>
          <w:color w:val="auto"/>
        </w:rPr>
        <w:t>Heating degree days for the three and nine months ended September 30, 2019 were 36% lower and 6% higher than normal, compared to 20% and 3% lower than normal for the same periods in 2018.</w:t>
      </w:r>
    </w:p>
    <w:p>
      <w:pPr>
        <w:spacing w:after="0" w:line="170"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September 17, 2019, South Dakota Electric completed construction on the final 94-mile segment of a 175-mile electric transmission line from Rapid City, South Dakota, to Stegall, Nebraska. The first 48-mile segment was placed in service on July 25, 2018, and the second 33-mile segment was placed in service on November 20, 2018.</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Colorado Electric and Wyoming Electric set new all-time and summer peak loads: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On July 19, 2019, Colorado Electric set a new peak load of 422 MW, exceeding the previous peak of 413 MW set in June 2018.</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On July 19, 2019, Wyoming Electric set a new peak load of 265 MW, exceeding the previous peak of 254 MW set in July 2018.</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18" w:right="27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right="100" w:hanging="328"/>
        <w:spacing w:after="0" w:line="25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South Dakota Electric and Wyoming Electric received approvals for the Renewable Ready Service Tariffs and related jointly-filed CPCN to construct the $57 million, 40 MW Corriedale Wind Energy Project. The wind project will be jointly owned by the two electric utilities to deliver renewable energy for large commercial, industrial and governmental agency customers. The project is expected to be in service by the end of 2020. In September 2019, the customer subscription period was completed with customer interest fulfilling the 40 MW of available energy. On November 1, 2019, South Dakota Electric filed with the SDPUC an amendment seeking approval to increase the generating capacity under the tariff for the South Dakota portion by 12.5 MW to a total of 32.5 MW.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Gas Utilities Segment</w:t>
      </w:r>
    </w:p>
    <w:p>
      <w:pPr>
        <w:spacing w:after="0" w:line="225" w:lineRule="exact"/>
        <w:rPr>
          <w:sz w:val="20"/>
          <w:szCs w:val="20"/>
          <w:color w:val="auto"/>
        </w:rPr>
      </w:pPr>
    </w:p>
    <w:p>
      <w:pPr>
        <w:ind w:left="660" w:right="1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Heating degree days for the three and nine months ended September 30, 2019 were 62% lower and 7% higher than normal, compared to 27% lower and 0% higher than normal for the same periods in 2018.</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activity:</w:t>
      </w:r>
    </w:p>
    <w:p>
      <w:pPr>
        <w:spacing w:after="0" w:line="225" w:lineRule="exact"/>
        <w:rPr>
          <w:rFonts w:ascii="Arial" w:cs="Arial" w:eastAsia="Arial" w:hAnsi="Arial"/>
          <w:sz w:val="18"/>
          <w:szCs w:val="18"/>
          <w:color w:val="auto"/>
        </w:rPr>
      </w:pPr>
    </w:p>
    <w:p>
      <w:pPr>
        <w:ind w:left="1300" w:right="160" w:hanging="320"/>
        <w:spacing w:after="0" w:line="342"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On October 29, 2019, Nebraska Gas received approval from the NPSC to merge its two gas distribution companies in Nebraska. A rate review is expected to be filed by mid-year 2020 to consolidate the rates, tariffs and services of its two existing gas distribution companies.</w:t>
      </w:r>
    </w:p>
    <w:p>
      <w:pPr>
        <w:spacing w:after="0" w:line="123" w:lineRule="exact"/>
        <w:rPr>
          <w:rFonts w:ascii="Arial" w:cs="Arial" w:eastAsia="Arial" w:hAnsi="Arial"/>
          <w:sz w:val="16"/>
          <w:szCs w:val="16"/>
          <w:color w:val="auto"/>
        </w:rPr>
      </w:pPr>
    </w:p>
    <w:p>
      <w:pPr>
        <w:ind w:left="1300" w:hanging="320"/>
        <w:spacing w:after="0" w:line="273" w:lineRule="auto"/>
        <w:tabs>
          <w:tab w:leader="none" w:pos="13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On June 3, 2019, Wyoming Gas filed a rate review application with the WSPC to consolidate the rates, tariffs and services of its four existing gas distribution territories in Wyoming. The rate review requests $16 million in new revenue to recover investments in safety, reliability and system integrity. Wyoming Gas is also requesting a new rider mechanism to recover future safety and integrity investments in its system. A settlement was recently reached with the intervening parties in the rate review filing and filed with the WPSC on November 1, 2019. The stipulation and agreement are subject to review and approval by the WPSC, with a decision expected by the end of 2019. See Note 5 of the Notes to Condensed Consolidated Financial Statements for additional details.</w:t>
      </w:r>
    </w:p>
    <w:p>
      <w:pPr>
        <w:spacing w:after="0" w:line="178" w:lineRule="exact"/>
        <w:rPr>
          <w:rFonts w:ascii="Arial" w:cs="Arial" w:eastAsia="Arial" w:hAnsi="Arial"/>
          <w:sz w:val="17"/>
          <w:szCs w:val="17"/>
          <w:color w:val="auto"/>
        </w:rPr>
      </w:pPr>
    </w:p>
    <w:p>
      <w:pPr>
        <w:ind w:left="1300" w:right="40" w:hanging="320"/>
        <w:spacing w:after="0" w:line="259"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On February 1, 2019, Colorado Gas filed a rate review with the CPUC requesting approval to consolidate rates, tariffs and services of its two existing gas distribution territories in Colorado. The rate review requests $2.5 million in new revenue to recover investments in safety, reliability and system integrity. Colorado Gas is also requesting a new rider mechanism to recover future safety and integrity investments in its system. A decision from the CPUC is expected by March 2020.</w:t>
      </w:r>
    </w:p>
    <w:p>
      <w:pPr>
        <w:spacing w:after="0" w:line="186" w:lineRule="exact"/>
        <w:rPr>
          <w:rFonts w:ascii="Arial" w:cs="Arial" w:eastAsia="Arial" w:hAnsi="Arial"/>
          <w:sz w:val="18"/>
          <w:szCs w:val="18"/>
          <w:color w:val="auto"/>
        </w:rPr>
      </w:pPr>
    </w:p>
    <w:p>
      <w:pPr>
        <w:ind w:left="660" w:right="40" w:hanging="328"/>
        <w:spacing w:after="0" w:line="27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May 10, 2019, Wyoming Gas commenced construction on the $54 million, 35-mile Natural Bridge pipeline project to enhance supply reliability and delivery capacity for customers in central Wyoming. The new 12-inch steel pipeline will interconnect from a supply point near Douglas, Wyoming, to existing facilities near Casper, Wyoming. Construction of the pipeline is nearly complete and the project is expected to be in service by the end of 2019, with the associated investment included in the Wyoming Gas rate review filed on June 3,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Power Generation Segment</w:t>
      </w:r>
    </w:p>
    <w:p>
      <w:pPr>
        <w:spacing w:after="0" w:line="225" w:lineRule="exact"/>
        <w:rPr>
          <w:sz w:val="20"/>
          <w:szCs w:val="20"/>
          <w:color w:val="auto"/>
        </w:rPr>
      </w:pPr>
    </w:p>
    <w:p>
      <w:pPr>
        <w:ind w:left="660" w:right="4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August 2, 2019 Black Hills Wyoming and Wyoming Electric jointly filed a request with FERC for approval of a new 60 MW PPA. If approved, Black Hills Wyoming will continue to deliver 60 MW of energy to Wyoming Electric from its Wygen I power plant starting January 1, 2023, and for 20 additional years. A decision from FERC is pending.</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March 11, 2019, Black Hills Electric Generation commenced construction on the $71 million, 60 MW Busch Ranch II Wind Farm. The project is expected to be fully in service by mid-November 2019.</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w:t>
      </w:r>
    </w:p>
    <w:p>
      <w:pPr>
        <w:spacing w:after="0" w:line="225" w:lineRule="exact"/>
        <w:rPr>
          <w:sz w:val="20"/>
          <w:szCs w:val="20"/>
          <w:color w:val="auto"/>
        </w:rPr>
      </w:pPr>
    </w:p>
    <w:p>
      <w:pPr>
        <w:ind w:left="660" w:right="6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October, negotiations were completed for the price reopener in the contract with Wyodak Plant. The new price was reset at $17.94 per ton effective July 1, 2019, compared to the prior contract price of $18.25 per ton.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6" w:right="25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and Other</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October 15, 2019, Moody’s affirmed South Dakota Electric’s credit rating at A1.</w:t>
      </w:r>
    </w:p>
    <w:p>
      <w:pPr>
        <w:spacing w:after="0" w:line="225"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October 3, 2019, we completed a public debt offering of $700 million in senior unsecured notes. Proceeds were used to repay the $400 million Corporate term loan due June 17, 2021, retire the $200 million 5.875% senior notes due July 15, 2020 and repay a portion of short-term debt.</w:t>
      </w:r>
    </w:p>
    <w:p>
      <w:pPr>
        <w:spacing w:after="0" w:line="123" w:lineRule="exact"/>
        <w:rPr>
          <w:rFonts w:ascii="Arial" w:cs="Arial" w:eastAsia="Arial" w:hAnsi="Arial"/>
          <w:sz w:val="16"/>
          <w:szCs w:val="16"/>
          <w:color w:val="auto"/>
        </w:rPr>
      </w:pPr>
    </w:p>
    <w:p>
      <w:pPr>
        <w:ind w:left="660" w:right="1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the nine months ended September 30, 2019, we issued a total of 1,328,332 shares of common stock under the ATM equity offering program for net proceeds of $99 million.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August 29, 2019, Fitch affirmed our BBB+ rating and maintained a Stable outlook.</w:t>
      </w:r>
    </w:p>
    <w:p>
      <w:pPr>
        <w:spacing w:after="0" w:line="225"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June 17, 2019, we amended our Corporate term loan due July 30, 2020. This amendment increased total commitments to $400 million from $300 million and extended the term through June 17, 2021 on substantially similar terms and covenants. The net proceeds were used to pay down short-term debt. Proceeds from the October 3, 2019 debt transaction were used to repay this term loan.</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April 30, 2019, S&amp;P affirmed South Dakota Electric’s credit rating at 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February 28, 2019, S&amp;P affirmed our BBB+ rating and maintained a Stable outlook.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discussion of operating results from our segments and Corporate activities follows in the sections below. Revenues for operating segments in the following sections are presented in total and by retail class. For disaggregation of revenue by contract type and operating segment, see Note 2 of the Notes to Condensed Consolidated Financial Statements for more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gross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Gross margin (revenue less cost of sales) is a non-GAAP financial measure due to the exclusion of depreciation and amortization from the measure. The presentation of gross margin is intended to supplement investors’ understanding of our operating performance.</w:t>
      </w:r>
    </w:p>
    <w:p>
      <w:pPr>
        <w:spacing w:after="0" w:line="1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Gross margin for our Electric Utilities is calculated as operating revenue less cost of fuel and purchased power. Gross margin for our Gas Utilities is calculated as operating revenue less cost of natural gas sold. Our gross margin is impacted by the fluctuations in power and natural gas purchases and other fuel supply costs. However, while these fluctuating costs impact gross margin as a percentage of revenue, they only impact total gross margin if the costs cannot be passed through to our customers.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gross margin measure may not be comparable to other companies’ gross margin measure. Furthermore, this measure is not intended to replace operating income, as determined in accordance with GAAP, as an indicator of operating performance.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6" w:right="2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Electric Utilities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gridSpan w:val="5"/>
          </w:tcPr>
          <w:p>
            <w:pPr>
              <w:jc w:val="right"/>
              <w:ind w:right="290"/>
              <w:spacing w:after="0"/>
              <w:rPr>
                <w:sz w:val="20"/>
                <w:szCs w:val="20"/>
                <w:color w:val="auto"/>
              </w:rPr>
            </w:pPr>
            <w:r>
              <w:rPr>
                <w:rFonts w:ascii="Arial" w:cs="Arial" w:eastAsia="Arial" w:hAnsi="Arial"/>
                <w:sz w:val="18"/>
                <w:szCs w:val="18"/>
                <w:color w:val="auto"/>
                <w:w w:val="94"/>
              </w:rPr>
              <w:t>Three Months Ended September 30,</w:t>
            </w:r>
          </w:p>
        </w:tc>
        <w:tc>
          <w:tcPr>
            <w:tcW w:w="260" w:type="dxa"/>
            <w:vAlign w:val="bottom"/>
          </w:tcPr>
          <w:p>
            <w:pPr>
              <w:spacing w:after="0"/>
              <w:rPr>
                <w:sz w:val="20"/>
                <w:szCs w:val="20"/>
                <w:color w:val="auto"/>
              </w:rPr>
            </w:pPr>
          </w:p>
        </w:tc>
        <w:tc>
          <w:tcPr>
            <w:tcW w:w="3160" w:type="dxa"/>
            <w:vAlign w:val="bottom"/>
            <w:gridSpan w:val="5"/>
          </w:tcPr>
          <w:p>
            <w:pPr>
              <w:jc w:val="right"/>
              <w:ind w:right="330"/>
              <w:spacing w:after="0"/>
              <w:rPr>
                <w:sz w:val="20"/>
                <w:szCs w:val="20"/>
                <w:color w:val="auto"/>
              </w:rPr>
            </w:pPr>
            <w:r>
              <w:rPr>
                <w:rFonts w:ascii="Arial" w:cs="Arial" w:eastAsia="Arial" w:hAnsi="Arial"/>
                <w:sz w:val="18"/>
                <w:szCs w:val="18"/>
                <w:color w:val="auto"/>
                <w:w w:val="96"/>
              </w:rPr>
              <w:t>Nine Months Ended September 30,</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2"/>
              </w:rPr>
              <w:t>Variance</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3"/>
          </w:tcPr>
          <w:p>
            <w:pPr>
              <w:jc w:val="right"/>
              <w:ind w:right="51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191,384</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184,790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6,594</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540,665</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531,961</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318"/>
        </w:trPr>
        <w:tc>
          <w:tcPr>
            <w:tcW w:w="45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fuel and purchased power</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71,593</w:t>
            </w:r>
          </w:p>
        </w:tc>
        <w:tc>
          <w:tcPr>
            <w:tcW w:w="30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74,638</w:t>
            </w:r>
          </w:p>
        </w:tc>
        <w:tc>
          <w:tcPr>
            <w:tcW w:w="22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(3,045)</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207,004</w:t>
            </w:r>
          </w:p>
        </w:tc>
        <w:tc>
          <w:tcPr>
            <w:tcW w:w="28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209,317</w:t>
            </w:r>
          </w:p>
        </w:tc>
        <w:tc>
          <w:tcPr>
            <w:tcW w:w="24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318"/>
        </w:trPr>
        <w:tc>
          <w:tcPr>
            <w:tcW w:w="4580" w:type="dxa"/>
            <w:vAlign w:val="bottom"/>
            <w:tcBorders>
              <w:bottom w:val="single" w:sz="8" w:color="CEFFE7"/>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Gross margin (non-GAAP)</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119,791</w:t>
            </w:r>
          </w:p>
        </w:tc>
        <w:tc>
          <w:tcPr>
            <w:tcW w:w="30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110,152</w:t>
            </w:r>
          </w:p>
        </w:tc>
        <w:tc>
          <w:tcPr>
            <w:tcW w:w="22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9,639</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333,661</w:t>
            </w:r>
          </w:p>
        </w:tc>
        <w:tc>
          <w:tcPr>
            <w:tcW w:w="2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322,644</w:t>
            </w:r>
          </w:p>
        </w:tc>
        <w:tc>
          <w:tcPr>
            <w:tcW w:w="24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11,017</w:t>
            </w:r>
          </w:p>
        </w:tc>
        <w:tc>
          <w:tcPr>
            <w:tcW w:w="0" w:type="dxa"/>
            <w:vAlign w:val="bottom"/>
          </w:tcPr>
          <w:p>
            <w:pPr>
              <w:spacing w:after="0"/>
              <w:rPr>
                <w:sz w:val="1"/>
                <w:szCs w:val="1"/>
                <w:color w:val="auto"/>
              </w:rPr>
            </w:pPr>
          </w:p>
        </w:tc>
      </w:tr>
      <w:tr>
        <w:trPr>
          <w:trHeight w:val="318"/>
        </w:trPr>
        <w:tc>
          <w:tcPr>
            <w:tcW w:w="45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47,172</w:t>
            </w:r>
          </w:p>
        </w:tc>
        <w:tc>
          <w:tcPr>
            <w:tcW w:w="3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45,307</w:t>
            </w:r>
          </w:p>
        </w:tc>
        <w:tc>
          <w:tcPr>
            <w:tcW w:w="22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1,865</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143,049</w:t>
            </w:r>
          </w:p>
        </w:tc>
        <w:tc>
          <w:tcPr>
            <w:tcW w:w="2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135,501</w:t>
            </w:r>
          </w:p>
        </w:tc>
        <w:tc>
          <w:tcPr>
            <w:tcW w:w="2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7,548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21,966</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21,453</w:t>
            </w: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65,393</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64,070</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69,138</w:t>
            </w:r>
          </w:p>
        </w:tc>
        <w:tc>
          <w:tcPr>
            <w:tcW w:w="30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66,760</w:t>
            </w:r>
          </w:p>
        </w:tc>
        <w:tc>
          <w:tcPr>
            <w:tcW w:w="22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2,378</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208,442</w:t>
            </w:r>
          </w:p>
        </w:tc>
        <w:tc>
          <w:tcPr>
            <w:tcW w:w="2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199,571</w:t>
            </w:r>
          </w:p>
        </w:tc>
        <w:tc>
          <w:tcPr>
            <w:tcW w:w="24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8,871</w:t>
            </w:r>
          </w:p>
        </w:tc>
        <w:tc>
          <w:tcPr>
            <w:tcW w:w="0" w:type="dxa"/>
            <w:vAlign w:val="bottom"/>
          </w:tcPr>
          <w:p>
            <w:pPr>
              <w:spacing w:after="0"/>
              <w:rPr>
                <w:sz w:val="1"/>
                <w:szCs w:val="1"/>
                <w:color w:val="auto"/>
              </w:rPr>
            </w:pPr>
          </w:p>
        </w:tc>
      </w:tr>
      <w:tr>
        <w:trPr>
          <w:trHeight w:val="318"/>
        </w:trPr>
        <w:tc>
          <w:tcPr>
            <w:tcW w:w="4580" w:type="dxa"/>
            <w:vAlign w:val="bottom"/>
            <w:tcBorders>
              <w:bottom w:val="single" w:sz="8" w:color="CEFFE7"/>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EFFE7"/>
            </w:tcBorders>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Adjusted operating income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50,653</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43,392</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7,261</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125,219</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123,073</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40" w:hanging="332"/>
        <w:spacing w:after="0" w:line="296" w:lineRule="auto"/>
        <w:tabs>
          <w:tab w:leader="none" w:pos="3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Due to the changes in our segment disclosures discussed in Note 3 of the Notes to Condensed Consolidated Financial Statements, Electric Utilities’ Adjusted operating income was revised for the three and nine months ended September 30, 2018, which resulted in an increase of $1.6 million and $4.8 million, respectively.</w:t>
      </w:r>
    </w:p>
    <w:p>
      <w:pPr>
        <w:spacing w:after="0" w:line="326" w:lineRule="exact"/>
        <w:rPr>
          <w:sz w:val="20"/>
          <w:szCs w:val="20"/>
          <w:color w:val="auto"/>
        </w:rPr>
      </w:pPr>
    </w:p>
    <w:p>
      <w:pPr>
        <w:ind w:right="1100"/>
        <w:spacing w:after="0" w:line="282" w:lineRule="auto"/>
        <w:rPr>
          <w:sz w:val="20"/>
          <w:szCs w:val="20"/>
          <w:color w:val="auto"/>
        </w:rPr>
      </w:pPr>
      <w:r>
        <w:rPr>
          <w:rFonts w:ascii="Arial" w:cs="Arial" w:eastAsia="Arial" w:hAnsi="Arial"/>
          <w:sz w:val="18"/>
          <w:szCs w:val="18"/>
          <w:b w:val="1"/>
          <w:bCs w:val="1"/>
          <w:color w:val="auto"/>
        </w:rPr>
        <w:t>Results of Operations for the Electric Utilities for the Three Months Ended September 30, 2019 Compared to the Three Months Ended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for the three months ended September 30, 2019 increased as a result of the following:</w:t>
      </w:r>
    </w:p>
    <w:p>
      <w:pPr>
        <w:spacing w:after="0" w:line="171" w:lineRule="exact"/>
        <w:rPr>
          <w:sz w:val="20"/>
          <w:szCs w:val="20"/>
          <w:color w:val="auto"/>
        </w:rPr>
      </w:pPr>
    </w:p>
    <w:p>
      <w:pPr>
        <w:ind w:left="984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Prior year Wyoming Electric PCA Stipulation settlement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Increased industrial demand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Reduction in power capacity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Rider recovery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773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increase in Gross margin (non-GAAP)</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270"/>
        </w:trPr>
        <w:tc>
          <w:tcPr>
            <w:tcW w:w="98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70"/>
        </w:trPr>
        <w:tc>
          <w:tcPr>
            <w:tcW w:w="98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70"/>
        </w:trPr>
        <w:tc>
          <w:tcPr>
            <w:tcW w:w="98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70"/>
        </w:trPr>
        <w:tc>
          <w:tcPr>
            <w:tcW w:w="98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70"/>
        </w:trPr>
        <w:tc>
          <w:tcPr>
            <w:tcW w:w="9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9.6</w:t>
            </w:r>
          </w:p>
        </w:tc>
      </w:tr>
      <w:tr>
        <w:trPr>
          <w:trHeight w:val="27"/>
        </w:trPr>
        <w:tc>
          <w:tcPr>
            <w:tcW w:w="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8440" w:space="720"/>
            <w:col w:w="2260"/>
          </w:cols>
          <w:pgMar w:left="240" w:top="126" w:right="239" w:bottom="1440" w:gutter="0" w:footer="0" w:header="0"/>
          <w:type w:val="continuous"/>
        </w:sectPr>
      </w:pPr>
    </w:p>
    <w:p>
      <w:pPr>
        <w:spacing w:after="0"/>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$1.0 million of higher employee costs and $0.6 million of higher outside services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6" w:right="239" w:bottom="1440" w:gutter="0" w:footer="0" w:header="0"/>
          <w:type w:val="continuous"/>
        </w:sectPr>
      </w:pPr>
    </w:p>
    <w:bookmarkStart w:id="43" w:name="page44"/>
    <w:bookmarkEnd w:id="4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Results of Operations for the Electric Utilities for the Nine Months Ended September 30, 2019 Compared to the Nine Months Ended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for the nine months ended September 30, 2019 increased as a result of the following:</w:t>
      </w:r>
    </w:p>
    <w:p>
      <w:pPr>
        <w:spacing w:after="0" w:line="171" w:lineRule="exact"/>
        <w:rPr>
          <w:sz w:val="20"/>
          <w:szCs w:val="20"/>
          <w:color w:val="auto"/>
        </w:rPr>
      </w:pPr>
    </w:p>
    <w:p>
      <w:pPr>
        <w:ind w:left="984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Reduction in power capacity charges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Prior year Wyoming Electric PCA Stipulation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46355</wp:posOffset>
            </wp:positionV>
            <wp:extent cx="723773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Rider recovery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Decreased residential customer usage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Decreased commercial and industrial demand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increase in Gross margin (non-GAAP)</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4.9</w:t>
            </w:r>
          </w:p>
        </w:tc>
      </w:tr>
      <w:tr>
        <w:trPr>
          <w:trHeight w:val="270"/>
        </w:trPr>
        <w:tc>
          <w:tcPr>
            <w:tcW w:w="96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70"/>
        </w:trPr>
        <w:tc>
          <w:tcPr>
            <w:tcW w:w="96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270"/>
        </w:trPr>
        <w:tc>
          <w:tcPr>
            <w:tcW w:w="9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0"/>
        </w:trPr>
        <w:tc>
          <w:tcPr>
            <w:tcW w:w="9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9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96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11.0</w:t>
            </w:r>
          </w:p>
        </w:tc>
      </w:tr>
      <w:tr>
        <w:trPr>
          <w:trHeight w:val="27"/>
        </w:trPr>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8440" w:space="720"/>
            <w:col w:w="2260"/>
          </w:cols>
          <w:pgMar w:left="240" w:top="126" w:right="239" w:bottom="1440" w:gutter="0" w:footer="0" w:header="0"/>
          <w:type w:val="continuous"/>
        </w:sectPr>
      </w:pPr>
    </w:p>
    <w:p>
      <w:pPr>
        <w:spacing w:after="0"/>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$3.6 million of higher employee costs and $3.4 million of higher outside services expenses.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by prior and current year capital expenditures.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Statistics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06"/>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00" w:type="dxa"/>
            <w:vAlign w:val="bottom"/>
            <w:gridSpan w:val="4"/>
          </w:tcPr>
          <w:p>
            <w:pPr>
              <w:jc w:val="right"/>
              <w:spacing w:after="0"/>
              <w:rPr>
                <w:sz w:val="20"/>
                <w:szCs w:val="20"/>
                <w:color w:val="auto"/>
              </w:rPr>
            </w:pPr>
            <w:r>
              <w:rPr>
                <w:rFonts w:ascii="Arial" w:cs="Arial" w:eastAsia="Arial" w:hAnsi="Arial"/>
                <w:sz w:val="16"/>
                <w:szCs w:val="16"/>
                <w:color w:val="auto"/>
                <w:w w:val="91"/>
              </w:rPr>
              <w:t>Electric Revenue (in thousands)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80" w:type="dxa"/>
            <w:vAlign w:val="bottom"/>
            <w:gridSpan w:val="2"/>
          </w:tcPr>
          <w:p>
            <w:pPr>
              <w:jc w:val="right"/>
              <w:ind w:right="199"/>
              <w:spacing w:after="0"/>
              <w:rPr>
                <w:sz w:val="20"/>
                <w:szCs w:val="20"/>
                <w:color w:val="auto"/>
              </w:rPr>
            </w:pPr>
            <w:r>
              <w:rPr>
                <w:rFonts w:ascii="Arial" w:cs="Arial" w:eastAsia="Arial" w:hAnsi="Arial"/>
                <w:sz w:val="16"/>
                <w:szCs w:val="16"/>
                <w:color w:val="auto"/>
              </w:rPr>
              <w:t>Quantities sold (MWh)</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ind w:left="120"/>
              <w:spacing w:after="0"/>
              <w:rPr>
                <w:sz w:val="20"/>
                <w:szCs w:val="20"/>
                <w:color w:val="auto"/>
              </w:rPr>
            </w:pPr>
            <w:r>
              <w:rPr>
                <w:rFonts w:ascii="Arial" w:cs="Arial" w:eastAsia="Arial" w:hAnsi="Arial"/>
                <w:sz w:val="16"/>
                <w:szCs w:val="16"/>
                <w:color w:val="auto"/>
              </w:rPr>
              <w:t>Three Months Ended</w:t>
            </w:r>
          </w:p>
        </w:tc>
        <w:tc>
          <w:tcPr>
            <w:tcW w:w="280" w:type="dxa"/>
            <w:vAlign w:val="bottom"/>
          </w:tcPr>
          <w:p>
            <w:pPr>
              <w:spacing w:after="0"/>
              <w:rPr>
                <w:sz w:val="18"/>
                <w:szCs w:val="18"/>
                <w:color w:val="auto"/>
              </w:rPr>
            </w:pPr>
          </w:p>
        </w:tc>
        <w:tc>
          <w:tcPr>
            <w:tcW w:w="1740" w:type="dxa"/>
            <w:vAlign w:val="bottom"/>
            <w:gridSpan w:val="3"/>
          </w:tcPr>
          <w:p>
            <w:pPr>
              <w:jc w:val="right"/>
              <w:ind w:right="239"/>
              <w:spacing w:after="0"/>
              <w:rPr>
                <w:sz w:val="20"/>
                <w:szCs w:val="20"/>
                <w:color w:val="auto"/>
              </w:rPr>
            </w:pPr>
            <w:r>
              <w:rPr>
                <w:rFonts w:ascii="Arial" w:cs="Arial" w:eastAsia="Arial" w:hAnsi="Arial"/>
                <w:sz w:val="16"/>
                <w:szCs w:val="16"/>
                <w:color w:val="auto"/>
                <w:w w:val="99"/>
              </w:rPr>
              <w:t>Nine Months Ended</w:t>
            </w:r>
          </w:p>
        </w:tc>
        <w:tc>
          <w:tcPr>
            <w:tcW w:w="120" w:type="dxa"/>
            <w:vAlign w:val="bottom"/>
          </w:tcPr>
          <w:p>
            <w:pPr>
              <w:spacing w:after="0"/>
              <w:rPr>
                <w:sz w:val="18"/>
                <w:szCs w:val="18"/>
                <w:color w:val="auto"/>
              </w:rPr>
            </w:pPr>
          </w:p>
        </w:tc>
        <w:tc>
          <w:tcPr>
            <w:tcW w:w="2020" w:type="dxa"/>
            <w:vAlign w:val="bottom"/>
            <w:gridSpan w:val="2"/>
          </w:tcPr>
          <w:p>
            <w:pPr>
              <w:jc w:val="right"/>
              <w:ind w:right="259"/>
              <w:spacing w:after="0"/>
              <w:rPr>
                <w:sz w:val="20"/>
                <w:szCs w:val="20"/>
                <w:color w:val="auto"/>
              </w:rPr>
            </w:pPr>
            <w:r>
              <w:rPr>
                <w:rFonts w:ascii="Arial" w:cs="Arial" w:eastAsia="Arial" w:hAnsi="Arial"/>
                <w:sz w:val="16"/>
                <w:szCs w:val="16"/>
                <w:color w:val="auto"/>
              </w:rPr>
              <w:t>Three Months Ended</w:t>
            </w:r>
          </w:p>
        </w:tc>
        <w:tc>
          <w:tcPr>
            <w:tcW w:w="1920" w:type="dxa"/>
            <w:vAlign w:val="bottom"/>
            <w:gridSpan w:val="2"/>
          </w:tcPr>
          <w:p>
            <w:pPr>
              <w:jc w:val="right"/>
              <w:ind w:right="23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06"/>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3"/>
          </w:tcPr>
          <w:p>
            <w:pPr>
              <w:jc w:val="right"/>
              <w:ind w:right="399"/>
              <w:spacing w:after="0"/>
              <w:rPr>
                <w:sz w:val="20"/>
                <w:szCs w:val="20"/>
                <w:color w:val="auto"/>
              </w:rPr>
            </w:pPr>
            <w:r>
              <w:rPr>
                <w:rFonts w:ascii="Arial" w:cs="Arial" w:eastAsia="Arial" w:hAnsi="Arial"/>
                <w:sz w:val="16"/>
                <w:szCs w:val="16"/>
                <w:color w:val="auto"/>
              </w:rPr>
              <w:t>September 30,</w:t>
            </w:r>
          </w:p>
        </w:tc>
        <w:tc>
          <w:tcPr>
            <w:tcW w:w="280" w:type="dxa"/>
            <w:vAlign w:val="bottom"/>
          </w:tcPr>
          <w:p>
            <w:pPr>
              <w:spacing w:after="0"/>
              <w:rPr>
                <w:sz w:val="17"/>
                <w:szCs w:val="17"/>
                <w:color w:val="auto"/>
              </w:rPr>
            </w:pPr>
          </w:p>
        </w:tc>
        <w:tc>
          <w:tcPr>
            <w:tcW w:w="1740" w:type="dxa"/>
            <w:vAlign w:val="bottom"/>
            <w:gridSpan w:val="3"/>
          </w:tcPr>
          <w:p>
            <w:pPr>
              <w:jc w:val="right"/>
              <w:ind w:right="419"/>
              <w:spacing w:after="0"/>
              <w:rPr>
                <w:sz w:val="20"/>
                <w:szCs w:val="20"/>
                <w:color w:val="auto"/>
              </w:rPr>
            </w:pPr>
            <w:r>
              <w:rPr>
                <w:rFonts w:ascii="Arial" w:cs="Arial" w:eastAsia="Arial" w:hAnsi="Arial"/>
                <w:sz w:val="16"/>
                <w:szCs w:val="16"/>
                <w:color w:val="auto"/>
              </w:rPr>
              <w:t>September 30,</w:t>
            </w:r>
          </w:p>
        </w:tc>
        <w:tc>
          <w:tcPr>
            <w:tcW w:w="120" w:type="dxa"/>
            <w:vAlign w:val="bottom"/>
          </w:tcPr>
          <w:p>
            <w:pPr>
              <w:spacing w:after="0"/>
              <w:rPr>
                <w:sz w:val="17"/>
                <w:szCs w:val="17"/>
                <w:color w:val="auto"/>
              </w:rPr>
            </w:pPr>
          </w:p>
        </w:tc>
        <w:tc>
          <w:tcPr>
            <w:tcW w:w="2020" w:type="dxa"/>
            <w:vAlign w:val="bottom"/>
            <w:gridSpan w:val="2"/>
          </w:tcPr>
          <w:p>
            <w:pPr>
              <w:jc w:val="right"/>
              <w:ind w:right="479"/>
              <w:spacing w:after="0"/>
              <w:rPr>
                <w:sz w:val="20"/>
                <w:szCs w:val="20"/>
                <w:color w:val="auto"/>
              </w:rPr>
            </w:pPr>
            <w:r>
              <w:rPr>
                <w:rFonts w:ascii="Arial" w:cs="Arial" w:eastAsia="Arial" w:hAnsi="Arial"/>
                <w:sz w:val="16"/>
                <w:szCs w:val="16"/>
                <w:color w:val="auto"/>
              </w:rPr>
              <w:t>September 30,</w:t>
            </w:r>
          </w:p>
        </w:tc>
        <w:tc>
          <w:tcPr>
            <w:tcW w:w="1920" w:type="dxa"/>
            <w:vAlign w:val="bottom"/>
            <w:gridSpan w:val="2"/>
          </w:tcPr>
          <w:p>
            <w:pPr>
              <w:jc w:val="right"/>
              <w:ind w:right="41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16"/>
                <w:szCs w:val="16"/>
                <w:color w:val="auto"/>
              </w:rPr>
              <w:t>2019</w:t>
            </w:r>
          </w:p>
        </w:tc>
        <w:tc>
          <w:tcPr>
            <w:tcW w:w="300" w:type="dxa"/>
            <w:vAlign w:val="bottom"/>
          </w:tcPr>
          <w:p>
            <w:pPr>
              <w:spacing w:after="0"/>
              <w:rPr>
                <w:sz w:val="23"/>
                <w:szCs w:val="23"/>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2018</w:t>
            </w:r>
          </w:p>
        </w:tc>
        <w:tc>
          <w:tcPr>
            <w:tcW w:w="280" w:type="dxa"/>
            <w:vAlign w:val="bottom"/>
          </w:tcPr>
          <w:p>
            <w:pPr>
              <w:spacing w:after="0"/>
              <w:rPr>
                <w:sz w:val="23"/>
                <w:szCs w:val="23"/>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200" w:type="dxa"/>
            <w:vAlign w:val="bottom"/>
          </w:tcPr>
          <w:p>
            <w:pPr>
              <w:spacing w:after="0"/>
              <w:rPr>
                <w:sz w:val="23"/>
                <w:szCs w:val="23"/>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2018</w:t>
            </w:r>
          </w:p>
        </w:tc>
        <w:tc>
          <w:tcPr>
            <w:tcW w:w="1160" w:type="dxa"/>
            <w:vAlign w:val="bottom"/>
            <w:gridSpan w:val="2"/>
          </w:tcPr>
          <w:p>
            <w:pPr>
              <w:jc w:val="right"/>
              <w:ind w:right="299"/>
              <w:spacing w:after="0"/>
              <w:rPr>
                <w:sz w:val="20"/>
                <w:szCs w:val="20"/>
                <w:color w:val="auto"/>
              </w:rPr>
            </w:pPr>
            <w:r>
              <w:rPr>
                <w:rFonts w:ascii="Arial" w:cs="Arial" w:eastAsia="Arial" w:hAnsi="Arial"/>
                <w:sz w:val="16"/>
                <w:szCs w:val="16"/>
                <w:color w:val="auto"/>
              </w:rPr>
              <w:t>2019</w:t>
            </w:r>
          </w:p>
        </w:tc>
        <w:tc>
          <w:tcPr>
            <w:tcW w:w="980" w:type="dxa"/>
            <w:vAlign w:val="bottom"/>
          </w:tcPr>
          <w:p>
            <w:pPr>
              <w:jc w:val="right"/>
              <w:ind w:right="299"/>
              <w:spacing w:after="0"/>
              <w:rPr>
                <w:sz w:val="20"/>
                <w:szCs w:val="20"/>
                <w:color w:val="auto"/>
              </w:rPr>
            </w:pPr>
            <w:r>
              <w:rPr>
                <w:rFonts w:ascii="Arial" w:cs="Arial" w:eastAsia="Arial" w:hAnsi="Arial"/>
                <w:sz w:val="16"/>
                <w:szCs w:val="16"/>
                <w:color w:val="auto"/>
              </w:rPr>
              <w:t>2018</w:t>
            </w:r>
          </w:p>
        </w:tc>
        <w:tc>
          <w:tcPr>
            <w:tcW w:w="1000" w:type="dxa"/>
            <w:vAlign w:val="bottom"/>
          </w:tcPr>
          <w:p>
            <w:pPr>
              <w:jc w:val="right"/>
              <w:ind w:right="319"/>
              <w:spacing w:after="0"/>
              <w:rPr>
                <w:sz w:val="20"/>
                <w:szCs w:val="20"/>
                <w:color w:val="auto"/>
              </w:rPr>
            </w:pPr>
            <w:r>
              <w:rPr>
                <w:rFonts w:ascii="Arial" w:cs="Arial" w:eastAsia="Arial" w:hAnsi="Arial"/>
                <w:sz w:val="16"/>
                <w:szCs w:val="16"/>
                <w:color w:val="auto"/>
              </w:rPr>
              <w:t>2019</w:t>
            </w:r>
          </w:p>
        </w:tc>
        <w:tc>
          <w:tcPr>
            <w:tcW w:w="920" w:type="dxa"/>
            <w:vAlign w:val="bottom"/>
          </w:tcPr>
          <w:p>
            <w:pPr>
              <w:jc w:val="right"/>
              <w:ind w:right="25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33"/>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2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58,919</w:t>
            </w:r>
          </w:p>
        </w:tc>
        <w:tc>
          <w:tcPr>
            <w:tcW w:w="3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58,122</w:t>
            </w:r>
          </w:p>
        </w:tc>
        <w:tc>
          <w:tcPr>
            <w:tcW w:w="2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162,257</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163,979</w:t>
            </w:r>
          </w:p>
        </w:tc>
        <w:tc>
          <w:tcPr>
            <w:tcW w:w="1160" w:type="dxa"/>
            <w:vAlign w:val="bottom"/>
            <w:tcBorders>
              <w:bottom w:val="single" w:sz="8" w:color="CEFFE7"/>
            </w:tcBorders>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384,735</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372,623</w:t>
            </w:r>
          </w:p>
        </w:tc>
        <w:tc>
          <w:tcPr>
            <w:tcW w:w="10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1,075,394</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1,084,531</w:t>
            </w:r>
          </w:p>
        </w:tc>
        <w:tc>
          <w:tcPr>
            <w:tcW w:w="0" w:type="dxa"/>
            <w:vAlign w:val="bottom"/>
          </w:tcPr>
          <w:p>
            <w:pPr>
              <w:spacing w:after="0"/>
              <w:rPr>
                <w:sz w:val="1"/>
                <w:szCs w:val="1"/>
                <w:color w:val="auto"/>
              </w:rPr>
            </w:pPr>
          </w:p>
        </w:tc>
      </w:tr>
      <w:tr>
        <w:trPr>
          <w:trHeight w:val="237"/>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65,732</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65,794</w:t>
            </w:r>
          </w:p>
        </w:tc>
        <w:tc>
          <w:tcPr>
            <w:tcW w:w="2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186,434</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192,680</w:t>
            </w: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560,547</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550,791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1,556,449</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1,560,911</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24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33,937</w:t>
            </w:r>
          </w:p>
        </w:tc>
        <w:tc>
          <w:tcPr>
            <w:tcW w:w="30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31,939</w:t>
            </w:r>
          </w:p>
        </w:tc>
        <w:tc>
          <w:tcPr>
            <w:tcW w:w="28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98,074</w:t>
            </w:r>
          </w:p>
        </w:tc>
        <w:tc>
          <w:tcPr>
            <w:tcW w:w="20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93,959</w:t>
            </w:r>
          </w:p>
        </w:tc>
        <w:tc>
          <w:tcPr>
            <w:tcW w:w="1160" w:type="dxa"/>
            <w:vAlign w:val="bottom"/>
            <w:tcBorders>
              <w:bottom w:val="single" w:sz="8" w:color="CEFFE7"/>
            </w:tcBorders>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462,809</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429,133</w:t>
            </w:r>
          </w:p>
        </w:tc>
        <w:tc>
          <w:tcPr>
            <w:tcW w:w="10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1,335,260</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1,248,438</w:t>
            </w:r>
          </w:p>
        </w:tc>
        <w:tc>
          <w:tcPr>
            <w:tcW w:w="0" w:type="dxa"/>
            <w:vAlign w:val="bottom"/>
          </w:tcPr>
          <w:p>
            <w:pPr>
              <w:spacing w:after="0"/>
              <w:rPr>
                <w:sz w:val="1"/>
                <w:szCs w:val="1"/>
                <w:color w:val="auto"/>
              </w:rPr>
            </w:pPr>
          </w:p>
        </w:tc>
      </w:tr>
      <w:tr>
        <w:trPr>
          <w:trHeight w:val="237"/>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Municipal</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4,792</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4,582</w:t>
            </w:r>
          </w:p>
        </w:tc>
        <w:tc>
          <w:tcPr>
            <w:tcW w:w="2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13,184</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13,389</w:t>
            </w: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46,106</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43,972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121,025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122,953</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EFFE7"/>
            </w:tcBorders>
            <w:gridSpan w:val="2"/>
            <w:shd w:val="clear" w:color="auto" w:fill="CEFFE7"/>
          </w:tcPr>
          <w:p>
            <w:pPr>
              <w:ind w:left="260"/>
              <w:spacing w:after="0"/>
              <w:rPr>
                <w:sz w:val="20"/>
                <w:szCs w:val="20"/>
                <w:color w:val="auto"/>
              </w:rPr>
            </w:pPr>
            <w:r>
              <w:rPr>
                <w:rFonts w:ascii="Arial" w:cs="Arial" w:eastAsia="Arial" w:hAnsi="Arial"/>
                <w:sz w:val="16"/>
                <w:szCs w:val="16"/>
                <w:color w:val="auto"/>
              </w:rPr>
              <w:t>Subtotal Retail Revenue - Electric</w:t>
            </w:r>
          </w:p>
        </w:tc>
        <w:tc>
          <w:tcPr>
            <w:tcW w:w="24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163,380</w:t>
            </w:r>
          </w:p>
        </w:tc>
        <w:tc>
          <w:tcPr>
            <w:tcW w:w="30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160,437</w:t>
            </w:r>
          </w:p>
        </w:tc>
        <w:tc>
          <w:tcPr>
            <w:tcW w:w="28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459,949</w:t>
            </w:r>
          </w:p>
        </w:tc>
        <w:tc>
          <w:tcPr>
            <w:tcW w:w="20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464,007</w:t>
            </w:r>
          </w:p>
        </w:tc>
        <w:tc>
          <w:tcPr>
            <w:tcW w:w="1160" w:type="dxa"/>
            <w:vAlign w:val="bottom"/>
            <w:tcBorders>
              <w:bottom w:val="single" w:sz="8" w:color="CEFFE7"/>
            </w:tcBorders>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1,454,197</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1,396,519</w:t>
            </w:r>
          </w:p>
        </w:tc>
        <w:tc>
          <w:tcPr>
            <w:tcW w:w="10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4,088,128</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4,016,833</w:t>
            </w:r>
          </w:p>
        </w:tc>
        <w:tc>
          <w:tcPr>
            <w:tcW w:w="0" w:type="dxa"/>
            <w:vAlign w:val="bottom"/>
          </w:tcPr>
          <w:p>
            <w:pPr>
              <w:spacing w:after="0"/>
              <w:rPr>
                <w:sz w:val="1"/>
                <w:szCs w:val="1"/>
                <w:color w:val="auto"/>
              </w:rPr>
            </w:pPr>
          </w:p>
        </w:tc>
      </w:tr>
      <w:tr>
        <w:trPr>
          <w:trHeight w:val="217"/>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Contract Wholesale</w:t>
            </w: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8,211</w:t>
            </w: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8,256</w:t>
            </w: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23,335</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25,497</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229,369</w:t>
            </w: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221,327</w:t>
            </w: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646,611</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677,163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Off-system/Power Marketing Wholesale</w:t>
            </w:r>
          </w:p>
        </w:tc>
        <w:tc>
          <w:tcPr>
            <w:tcW w:w="24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6,452</w:t>
            </w:r>
          </w:p>
        </w:tc>
        <w:tc>
          <w:tcPr>
            <w:tcW w:w="30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9,059</w:t>
            </w:r>
          </w:p>
        </w:tc>
        <w:tc>
          <w:tcPr>
            <w:tcW w:w="28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16,592</w:t>
            </w:r>
          </w:p>
        </w:tc>
        <w:tc>
          <w:tcPr>
            <w:tcW w:w="20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18,142</w:t>
            </w:r>
          </w:p>
        </w:tc>
        <w:tc>
          <w:tcPr>
            <w:tcW w:w="1160" w:type="dxa"/>
            <w:vAlign w:val="bottom"/>
            <w:tcBorders>
              <w:bottom w:val="single" w:sz="8" w:color="CEFFE7"/>
            </w:tcBorders>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160,357</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206,791</w:t>
            </w:r>
          </w:p>
        </w:tc>
        <w:tc>
          <w:tcPr>
            <w:tcW w:w="10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436,298</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514,686</w:t>
            </w:r>
          </w:p>
        </w:tc>
        <w:tc>
          <w:tcPr>
            <w:tcW w:w="0" w:type="dxa"/>
            <w:vAlign w:val="bottom"/>
          </w:tcPr>
          <w:p>
            <w:pPr>
              <w:spacing w:after="0"/>
              <w:rPr>
                <w:sz w:val="1"/>
                <w:szCs w:val="1"/>
                <w:color w:val="auto"/>
              </w:rPr>
            </w:pPr>
          </w:p>
        </w:tc>
      </w:tr>
      <w:tr>
        <w:trPr>
          <w:trHeight w:val="237"/>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13,341</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7,038</w:t>
            </w:r>
          </w:p>
        </w:tc>
        <w:tc>
          <w:tcPr>
            <w:tcW w:w="2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40,789</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24,315</w:t>
            </w:r>
          </w:p>
        </w:tc>
        <w:tc>
          <w:tcPr>
            <w:tcW w:w="1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CEFFE7"/>
            </w:tcBorders>
            <w:gridSpan w:val="2"/>
            <w:shd w:val="clear" w:color="auto" w:fill="CEFFE7"/>
          </w:tcPr>
          <w:p>
            <w:pPr>
              <w:ind w:left="260"/>
              <w:spacing w:after="0"/>
              <w:rPr>
                <w:sz w:val="20"/>
                <w:szCs w:val="20"/>
                <w:color w:val="auto"/>
              </w:rPr>
            </w:pPr>
            <w:r>
              <w:rPr>
                <w:rFonts w:ascii="Arial" w:cs="Arial" w:eastAsia="Arial" w:hAnsi="Arial"/>
                <w:sz w:val="16"/>
                <w:szCs w:val="16"/>
                <w:color w:val="auto"/>
              </w:rPr>
              <w:t>Total Revenue and Energy Sold</w:t>
            </w:r>
          </w:p>
        </w:tc>
        <w:tc>
          <w:tcPr>
            <w:tcW w:w="240" w:type="dxa"/>
            <w:vAlign w:val="bottom"/>
            <w:tcBorders>
              <w:bottom w:val="single" w:sz="8" w:color="CEFFE7"/>
            </w:tcBorders>
            <w:shd w:val="clear" w:color="auto" w:fill="CEFFE7"/>
          </w:tcPr>
          <w:p>
            <w:pPr>
              <w:spacing w:after="0"/>
              <w:rPr>
                <w:sz w:val="20"/>
                <w:szCs w:val="20"/>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191,384</w:t>
            </w:r>
          </w:p>
        </w:tc>
        <w:tc>
          <w:tcPr>
            <w:tcW w:w="300" w:type="dxa"/>
            <w:vAlign w:val="bottom"/>
            <w:tcBorders>
              <w:bottom w:val="single" w:sz="8" w:color="CEFFE7"/>
            </w:tcBorders>
            <w:shd w:val="clear" w:color="auto" w:fill="CEFFE7"/>
          </w:tcPr>
          <w:p>
            <w:pPr>
              <w:spacing w:after="0"/>
              <w:rPr>
                <w:sz w:val="20"/>
                <w:szCs w:val="20"/>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184,790</w:t>
            </w:r>
          </w:p>
        </w:tc>
        <w:tc>
          <w:tcPr>
            <w:tcW w:w="280" w:type="dxa"/>
            <w:vAlign w:val="bottom"/>
            <w:tcBorders>
              <w:bottom w:val="single" w:sz="8" w:color="CEFFE7"/>
            </w:tcBorders>
            <w:shd w:val="clear" w:color="auto" w:fill="CEFFE7"/>
          </w:tcPr>
          <w:p>
            <w:pPr>
              <w:spacing w:after="0"/>
              <w:rPr>
                <w:sz w:val="20"/>
                <w:szCs w:val="20"/>
                <w:color w:val="auto"/>
              </w:rPr>
            </w:pPr>
          </w:p>
        </w:tc>
        <w:tc>
          <w:tcPr>
            <w:tcW w:w="7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540,665</w:t>
            </w:r>
          </w:p>
        </w:tc>
        <w:tc>
          <w:tcPr>
            <w:tcW w:w="200" w:type="dxa"/>
            <w:vAlign w:val="bottom"/>
            <w:tcBorders>
              <w:bottom w:val="single" w:sz="8" w:color="CEFFE7"/>
            </w:tcBorders>
            <w:shd w:val="clear" w:color="auto" w:fill="CEFFE7"/>
          </w:tcPr>
          <w:p>
            <w:pPr>
              <w:spacing w:after="0"/>
              <w:rPr>
                <w:sz w:val="20"/>
                <w:szCs w:val="20"/>
                <w:color w:val="auto"/>
              </w:rPr>
            </w:pPr>
          </w:p>
        </w:tc>
        <w:tc>
          <w:tcPr>
            <w:tcW w:w="7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531,961</w:t>
            </w:r>
          </w:p>
        </w:tc>
        <w:tc>
          <w:tcPr>
            <w:tcW w:w="1160" w:type="dxa"/>
            <w:vAlign w:val="bottom"/>
            <w:tcBorders>
              <w:bottom w:val="single" w:sz="8" w:color="CEFFE7"/>
            </w:tcBorders>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1,843,923</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1,824,637</w:t>
            </w:r>
          </w:p>
        </w:tc>
        <w:tc>
          <w:tcPr>
            <w:tcW w:w="10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5,171,037</w:t>
            </w:r>
          </w:p>
        </w:tc>
        <w:tc>
          <w:tcPr>
            <w:tcW w:w="9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5,208,682</w:t>
            </w:r>
          </w:p>
        </w:tc>
        <w:tc>
          <w:tcPr>
            <w:tcW w:w="0" w:type="dxa"/>
            <w:vAlign w:val="bottom"/>
          </w:tcPr>
          <w:p>
            <w:pPr>
              <w:spacing w:after="0"/>
              <w:rPr>
                <w:sz w:val="1"/>
                <w:szCs w:val="1"/>
                <w:color w:val="auto"/>
              </w:rPr>
            </w:pPr>
          </w:p>
        </w:tc>
      </w:tr>
      <w:tr>
        <w:trPr>
          <w:trHeight w:val="237"/>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Other Uses, Losses or Generation, net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112,172</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121,478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299,038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337,939</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gridSpan w:val="2"/>
            <w:shd w:val="clear" w:color="auto" w:fill="CEFFE7"/>
          </w:tcPr>
          <w:p>
            <w:pPr>
              <w:ind w:left="260"/>
              <w:spacing w:after="0"/>
              <w:rPr>
                <w:sz w:val="20"/>
                <w:szCs w:val="20"/>
                <w:color w:val="auto"/>
              </w:rPr>
            </w:pPr>
            <w:r>
              <w:rPr>
                <w:rFonts w:ascii="Arial" w:cs="Arial" w:eastAsia="Arial" w:hAnsi="Arial"/>
                <w:sz w:val="16"/>
                <w:szCs w:val="16"/>
                <w:color w:val="auto"/>
              </w:rPr>
              <w:t>Total Revenue and Energy</w:t>
            </w:r>
          </w:p>
        </w:tc>
        <w:tc>
          <w:tcPr>
            <w:tcW w:w="240" w:type="dxa"/>
            <w:vAlign w:val="bottom"/>
            <w:shd w:val="clear" w:color="auto" w:fill="CEFFE7"/>
          </w:tcPr>
          <w:p>
            <w:pPr>
              <w:spacing w:after="0"/>
              <w:rPr>
                <w:sz w:val="21"/>
                <w:szCs w:val="21"/>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191,384</w:t>
            </w:r>
          </w:p>
        </w:tc>
        <w:tc>
          <w:tcPr>
            <w:tcW w:w="300" w:type="dxa"/>
            <w:vAlign w:val="bottom"/>
            <w:shd w:val="clear" w:color="auto" w:fill="CEFFE7"/>
          </w:tcPr>
          <w:p>
            <w:pPr>
              <w:spacing w:after="0"/>
              <w:rPr>
                <w:sz w:val="21"/>
                <w:szCs w:val="21"/>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184,790</w:t>
            </w:r>
          </w:p>
        </w:tc>
        <w:tc>
          <w:tcPr>
            <w:tcW w:w="280" w:type="dxa"/>
            <w:vAlign w:val="bottom"/>
            <w:shd w:val="clear" w:color="auto" w:fill="CEFFE7"/>
          </w:tcPr>
          <w:p>
            <w:pPr>
              <w:spacing w:after="0"/>
              <w:rPr>
                <w:sz w:val="21"/>
                <w:szCs w:val="21"/>
                <w:color w:val="auto"/>
              </w:rPr>
            </w:pPr>
          </w:p>
        </w:tc>
        <w:tc>
          <w:tcPr>
            <w:tcW w:w="7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540,665</w:t>
            </w:r>
          </w:p>
        </w:tc>
        <w:tc>
          <w:tcPr>
            <w:tcW w:w="200" w:type="dxa"/>
            <w:vAlign w:val="bottom"/>
            <w:shd w:val="clear" w:color="auto" w:fill="CEFFE7"/>
          </w:tcPr>
          <w:p>
            <w:pPr>
              <w:spacing w:after="0"/>
              <w:rPr>
                <w:sz w:val="21"/>
                <w:szCs w:val="21"/>
                <w:color w:val="auto"/>
              </w:rPr>
            </w:pPr>
          </w:p>
        </w:tc>
        <w:tc>
          <w:tcPr>
            <w:tcW w:w="7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531,961</w:t>
            </w:r>
          </w:p>
        </w:tc>
        <w:tc>
          <w:tcPr>
            <w:tcW w:w="1160" w:type="dxa"/>
            <w:vAlign w:val="bottom"/>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1,956,095</w:t>
            </w:r>
          </w:p>
        </w:tc>
        <w:tc>
          <w:tcPr>
            <w:tcW w:w="9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1,946,115</w:t>
            </w:r>
          </w:p>
        </w:tc>
        <w:tc>
          <w:tcPr>
            <w:tcW w:w="10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5,470,075</w:t>
            </w:r>
          </w:p>
        </w:tc>
        <w:tc>
          <w:tcPr>
            <w:tcW w:w="9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5,546,621</w:t>
            </w:r>
          </w:p>
        </w:tc>
        <w:tc>
          <w:tcPr>
            <w:tcW w:w="0" w:type="dxa"/>
            <w:vAlign w:val="bottom"/>
          </w:tcPr>
          <w:p>
            <w:pPr>
              <w:spacing w:after="0"/>
              <w:rPr>
                <w:sz w:val="1"/>
                <w:szCs w:val="1"/>
                <w:color w:val="auto"/>
              </w:rPr>
            </w:pPr>
          </w:p>
        </w:tc>
      </w:tr>
      <w:tr>
        <w:trPr>
          <w:trHeight w:val="20"/>
        </w:trPr>
        <w:tc>
          <w:tcPr>
            <w:tcW w:w="3000" w:type="dxa"/>
            <w:vAlign w:val="bottom"/>
            <w:tcBorders>
              <w:top w:val="single" w:sz="8" w:color="CEFFE7"/>
              <w:bottom w:val="single" w:sz="8" w:color="CEFFE7"/>
            </w:tcBorders>
            <w:gridSpan w:val="2"/>
            <w:vMerge w:val="restart"/>
          </w:tcPr>
          <w:p>
            <w:pPr>
              <w:ind w:left="20"/>
              <w:spacing w:after="0"/>
              <w:rPr>
                <w:sz w:val="20"/>
                <w:szCs w:val="20"/>
                <w:color w:val="auto"/>
              </w:rPr>
            </w:pPr>
            <w:r>
              <w:rPr>
                <w:rFonts w:ascii="Arial" w:cs="Arial" w:eastAsia="Arial" w:hAnsi="Arial"/>
                <w:sz w:val="16"/>
                <w:szCs w:val="16"/>
                <w:color w:val="auto"/>
              </w:rPr>
              <w:t xml:space="preserve">Less cost of fuel and purchased power </w:t>
            </w:r>
            <w:r>
              <w:rPr>
                <w:rFonts w:ascii="Arial" w:cs="Arial" w:eastAsia="Arial" w:hAnsi="Arial"/>
                <w:sz w:val="21"/>
                <w:szCs w:val="21"/>
                <w:color w:val="auto"/>
                <w:vertAlign w:val="superscript"/>
              </w:rPr>
              <w:t>(a)</w:t>
            </w:r>
          </w:p>
        </w:tc>
        <w:tc>
          <w:tcPr>
            <w:tcW w:w="240" w:type="dxa"/>
            <w:vAlign w:val="bottom"/>
            <w:tcBorders>
              <w:top w:val="single" w:sz="8" w:color="CEFFE7"/>
            </w:tcBorders>
          </w:tcPr>
          <w:p>
            <w:pPr>
              <w:spacing w:after="0" w:line="20" w:lineRule="exact"/>
              <w:rPr>
                <w:sz w:val="1"/>
                <w:szCs w:val="1"/>
                <w:color w:val="auto"/>
              </w:rPr>
            </w:pPr>
          </w:p>
        </w:tc>
        <w:tc>
          <w:tcPr>
            <w:tcW w:w="720" w:type="dxa"/>
            <w:vAlign w:val="bottom"/>
            <w:tcBorders>
              <w:top w:val="single" w:sz="8" w:color="CEFFE7"/>
              <w:bottom w:val="single" w:sz="8" w:color="CEFFE7"/>
            </w:tcBorders>
            <w:vMerge w:val="restart"/>
          </w:tcPr>
          <w:p>
            <w:pPr>
              <w:jc w:val="right"/>
              <w:spacing w:after="0"/>
              <w:rPr>
                <w:sz w:val="20"/>
                <w:szCs w:val="20"/>
                <w:color w:val="auto"/>
              </w:rPr>
            </w:pPr>
            <w:r>
              <w:rPr>
                <w:rFonts w:ascii="Arial" w:cs="Arial" w:eastAsia="Arial" w:hAnsi="Arial"/>
                <w:sz w:val="16"/>
                <w:szCs w:val="16"/>
                <w:color w:val="auto"/>
              </w:rPr>
              <w:t>71,593</w:t>
            </w:r>
          </w:p>
        </w:tc>
        <w:tc>
          <w:tcPr>
            <w:tcW w:w="300" w:type="dxa"/>
            <w:vAlign w:val="bottom"/>
            <w:tcBorders>
              <w:top w:val="single" w:sz="8" w:color="CEFFE7"/>
            </w:tcBorders>
          </w:tcPr>
          <w:p>
            <w:pPr>
              <w:spacing w:after="0" w:line="20" w:lineRule="exact"/>
              <w:rPr>
                <w:sz w:val="1"/>
                <w:szCs w:val="1"/>
                <w:color w:val="auto"/>
              </w:rPr>
            </w:pPr>
          </w:p>
        </w:tc>
        <w:tc>
          <w:tcPr>
            <w:tcW w:w="740" w:type="dxa"/>
            <w:vAlign w:val="bottom"/>
            <w:tcBorders>
              <w:top w:val="single" w:sz="8" w:color="CEFFE7"/>
              <w:bottom w:val="single" w:sz="8" w:color="CEFFE7"/>
            </w:tcBorders>
            <w:vMerge w:val="restart"/>
          </w:tcPr>
          <w:p>
            <w:pPr>
              <w:jc w:val="right"/>
              <w:spacing w:after="0"/>
              <w:rPr>
                <w:sz w:val="20"/>
                <w:szCs w:val="20"/>
                <w:color w:val="auto"/>
              </w:rPr>
            </w:pPr>
            <w:r>
              <w:rPr>
                <w:rFonts w:ascii="Arial" w:cs="Arial" w:eastAsia="Arial" w:hAnsi="Arial"/>
                <w:sz w:val="16"/>
                <w:szCs w:val="16"/>
                <w:color w:val="auto"/>
              </w:rPr>
              <w:t>74,638</w:t>
            </w:r>
          </w:p>
        </w:tc>
        <w:tc>
          <w:tcPr>
            <w:tcW w:w="280" w:type="dxa"/>
            <w:vAlign w:val="bottom"/>
            <w:tcBorders>
              <w:top w:val="single" w:sz="8" w:color="CEFFE7"/>
            </w:tcBorders>
          </w:tcPr>
          <w:p>
            <w:pPr>
              <w:spacing w:after="0" w:line="20" w:lineRule="exact"/>
              <w:rPr>
                <w:sz w:val="1"/>
                <w:szCs w:val="1"/>
                <w:color w:val="auto"/>
              </w:rPr>
            </w:pPr>
          </w:p>
        </w:tc>
        <w:tc>
          <w:tcPr>
            <w:tcW w:w="780" w:type="dxa"/>
            <w:vAlign w:val="bottom"/>
            <w:tcBorders>
              <w:top w:val="single" w:sz="8" w:color="CEFFE7"/>
              <w:bottom w:val="single" w:sz="8" w:color="CEFFE7"/>
            </w:tcBorders>
            <w:vMerge w:val="restart"/>
          </w:tcPr>
          <w:p>
            <w:pPr>
              <w:jc w:val="right"/>
              <w:ind w:right="39"/>
              <w:spacing w:after="0"/>
              <w:rPr>
                <w:sz w:val="20"/>
                <w:szCs w:val="20"/>
                <w:color w:val="auto"/>
              </w:rPr>
            </w:pPr>
            <w:r>
              <w:rPr>
                <w:rFonts w:ascii="Arial" w:cs="Arial" w:eastAsia="Arial" w:hAnsi="Arial"/>
                <w:sz w:val="16"/>
                <w:szCs w:val="16"/>
                <w:color w:val="auto"/>
              </w:rPr>
              <w:t>207,004</w:t>
            </w:r>
          </w:p>
        </w:tc>
        <w:tc>
          <w:tcPr>
            <w:tcW w:w="200" w:type="dxa"/>
            <w:vAlign w:val="bottom"/>
            <w:tcBorders>
              <w:top w:val="single" w:sz="8" w:color="CEFFE7"/>
            </w:tcBorders>
          </w:tcPr>
          <w:p>
            <w:pPr>
              <w:spacing w:after="0" w:line="20" w:lineRule="exact"/>
              <w:rPr>
                <w:sz w:val="1"/>
                <w:szCs w:val="1"/>
                <w:color w:val="auto"/>
              </w:rPr>
            </w:pPr>
          </w:p>
        </w:tc>
        <w:tc>
          <w:tcPr>
            <w:tcW w:w="760" w:type="dxa"/>
            <w:vAlign w:val="bottom"/>
            <w:tcBorders>
              <w:top w:val="single" w:sz="8" w:color="CEFFE7"/>
              <w:bottom w:val="single" w:sz="8" w:color="CEFFE7"/>
            </w:tcBorders>
            <w:vMerge w:val="restart"/>
          </w:tcPr>
          <w:p>
            <w:pPr>
              <w:jc w:val="right"/>
              <w:ind w:right="19"/>
              <w:spacing w:after="0"/>
              <w:rPr>
                <w:sz w:val="20"/>
                <w:szCs w:val="20"/>
                <w:color w:val="auto"/>
              </w:rPr>
            </w:pPr>
            <w:r>
              <w:rPr>
                <w:rFonts w:ascii="Arial" w:cs="Arial" w:eastAsia="Arial" w:hAnsi="Arial"/>
                <w:sz w:val="16"/>
                <w:szCs w:val="16"/>
                <w:color w:val="auto"/>
              </w:rPr>
              <w:t>209,317</w:t>
            </w:r>
          </w:p>
        </w:tc>
        <w:tc>
          <w:tcPr>
            <w:tcW w:w="120" w:type="dxa"/>
            <w:vAlign w:val="bottom"/>
            <w:tcBorders>
              <w:top w:val="single" w:sz="8" w:color="CEFFE7"/>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00" w:type="dxa"/>
            <w:vAlign w:val="bottom"/>
            <w:tcBorders>
              <w:bottom w:val="single" w:sz="8" w:color="CEFFE7"/>
            </w:tcBorders>
            <w:gridSpan w:val="2"/>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EFFE7"/>
            </w:tcBorders>
          </w:tcPr>
          <w:p>
            <w:pPr>
              <w:spacing w:after="0"/>
              <w:rPr>
                <w:sz w:val="22"/>
                <w:szCs w:val="22"/>
                <w:color w:val="auto"/>
              </w:rPr>
            </w:pPr>
          </w:p>
        </w:tc>
        <w:tc>
          <w:tcPr>
            <w:tcW w:w="1040" w:type="dxa"/>
            <w:vAlign w:val="bottom"/>
            <w:tcBorders>
              <w:bottom w:val="single" w:sz="8" w:color="CEFFE7"/>
            </w:tcBorders>
          </w:tcPr>
          <w:p>
            <w:pPr>
              <w:spacing w:after="0"/>
              <w:rPr>
                <w:sz w:val="22"/>
                <w:szCs w:val="22"/>
                <w:color w:val="auto"/>
              </w:rPr>
            </w:pPr>
          </w:p>
        </w:tc>
        <w:tc>
          <w:tcPr>
            <w:tcW w:w="980" w:type="dxa"/>
            <w:vAlign w:val="bottom"/>
            <w:tcBorders>
              <w:bottom w:val="single" w:sz="8" w:color="CEFFE7"/>
            </w:tcBorders>
          </w:tcPr>
          <w:p>
            <w:pPr>
              <w:spacing w:after="0"/>
              <w:rPr>
                <w:sz w:val="22"/>
                <w:szCs w:val="22"/>
                <w:color w:val="auto"/>
              </w:rPr>
            </w:pPr>
          </w:p>
        </w:tc>
        <w:tc>
          <w:tcPr>
            <w:tcW w:w="1000" w:type="dxa"/>
            <w:vAlign w:val="bottom"/>
            <w:tcBorders>
              <w:bottom w:val="single" w:sz="8" w:color="CEFFE7"/>
            </w:tcBorders>
          </w:tcPr>
          <w:p>
            <w:pPr>
              <w:spacing w:after="0"/>
              <w:rPr>
                <w:sz w:val="22"/>
                <w:szCs w:val="22"/>
                <w:color w:val="auto"/>
              </w:rPr>
            </w:pPr>
          </w:p>
        </w:tc>
        <w:tc>
          <w:tcPr>
            <w:tcW w:w="920" w:type="dxa"/>
            <w:vAlign w:val="bottom"/>
            <w:tcBorders>
              <w:bottom w:val="single" w:sz="8" w:color="CEFFE7"/>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EFFE7"/>
            </w:tcBorders>
            <w:gridSpan w:val="2"/>
            <w:shd w:val="clear" w:color="auto" w:fill="CEFFE7"/>
          </w:tcPr>
          <w:p>
            <w:pPr>
              <w:ind w:left="260"/>
              <w:spacing w:after="0"/>
              <w:rPr>
                <w:sz w:val="20"/>
                <w:szCs w:val="20"/>
                <w:color w:val="auto"/>
              </w:rPr>
            </w:pPr>
            <w:r>
              <w:rPr>
                <w:rFonts w:ascii="Arial" w:cs="Arial" w:eastAsia="Arial" w:hAnsi="Arial"/>
                <w:sz w:val="16"/>
                <w:szCs w:val="16"/>
                <w:color w:val="auto"/>
              </w:rPr>
              <w:t xml:space="preserve">Gross Margin (non-GAAP) </w:t>
            </w:r>
            <w:r>
              <w:rPr>
                <w:rFonts w:ascii="Arial" w:cs="Arial" w:eastAsia="Arial" w:hAnsi="Arial"/>
                <w:sz w:val="21"/>
                <w:szCs w:val="21"/>
                <w:color w:val="auto"/>
                <w:vertAlign w:val="superscript"/>
              </w:rPr>
              <w:t>(a)</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119,791</w:t>
            </w:r>
          </w:p>
        </w:tc>
        <w:tc>
          <w:tcPr>
            <w:tcW w:w="30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110,152</w:t>
            </w:r>
          </w:p>
        </w:tc>
        <w:tc>
          <w:tcPr>
            <w:tcW w:w="28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333,661</w:t>
            </w:r>
          </w:p>
        </w:tc>
        <w:tc>
          <w:tcPr>
            <w:tcW w:w="2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322,644</w:t>
            </w:r>
          </w:p>
        </w:tc>
        <w:tc>
          <w:tcPr>
            <w:tcW w:w="1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jc w:val="both"/>
        <w:ind w:left="340" w:right="200" w:hanging="332"/>
        <w:spacing w:after="0" w:line="254"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Due to the changes in our segment disclosures discussed in Note 3 of the Notes to Condensed Consolidated Financial Statements, cost of fuel and purchased power was revised for the three and nine months ended September 30, 2018, which resulted in an increase of $1.6 million and $4.8 million, respectively. There were corresponding decreases to Gross margin for each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6" w:right="2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84"/>
        </w:trPr>
        <w:tc>
          <w:tcPr>
            <w:tcW w:w="4340" w:type="dxa"/>
            <w:vAlign w:val="bottom"/>
            <w:gridSpan w:val="4"/>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6"/>
        </w:trPr>
        <w:tc>
          <w:tcPr>
            <w:tcW w:w="3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4"/>
          </w:tcPr>
          <w:p>
            <w:pPr>
              <w:jc w:val="center"/>
              <w:ind w:right="360"/>
              <w:spacing w:after="0"/>
              <w:rPr>
                <w:sz w:val="20"/>
                <w:szCs w:val="20"/>
                <w:color w:val="auto"/>
              </w:rPr>
            </w:pPr>
            <w:r>
              <w:rPr>
                <w:rFonts w:ascii="Arial" w:cs="Arial" w:eastAsia="Arial" w:hAnsi="Arial"/>
                <w:sz w:val="16"/>
                <w:szCs w:val="16"/>
                <w:color w:val="auto"/>
                <w:w w:val="92"/>
              </w:rPr>
              <w:t>Electric Revenue</w:t>
            </w:r>
          </w:p>
        </w:tc>
        <w:tc>
          <w:tcPr>
            <w:tcW w:w="100" w:type="dxa"/>
            <w:vAlign w:val="bottom"/>
          </w:tcPr>
          <w:p>
            <w:pPr>
              <w:spacing w:after="0"/>
              <w:rPr>
                <w:sz w:val="24"/>
                <w:szCs w:val="24"/>
                <w:color w:val="auto"/>
              </w:rPr>
            </w:pPr>
          </w:p>
        </w:tc>
        <w:tc>
          <w:tcPr>
            <w:tcW w:w="2200" w:type="dxa"/>
            <w:vAlign w:val="bottom"/>
            <w:gridSpan w:val="4"/>
          </w:tcPr>
          <w:p>
            <w:pPr>
              <w:jc w:val="center"/>
              <w:ind w:right="200"/>
              <w:spacing w:after="0"/>
              <w:rPr>
                <w:sz w:val="20"/>
                <w:szCs w:val="20"/>
                <w:color w:val="auto"/>
              </w:rPr>
            </w:pPr>
            <w:r>
              <w:rPr>
                <w:rFonts w:ascii="Arial" w:cs="Arial" w:eastAsia="Arial" w:hAnsi="Arial"/>
                <w:sz w:val="16"/>
                <w:szCs w:val="16"/>
                <w:color w:val="auto"/>
                <w:w w:val="95"/>
              </w:rPr>
              <w:t>Gross Margin (non-GAAP) (in</w:t>
            </w: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4000" w:type="dxa"/>
            <w:vAlign w:val="bottom"/>
            <w:gridSpan w:val="3"/>
          </w:tcPr>
          <w:p>
            <w:pPr>
              <w:ind w:left="20"/>
              <w:spacing w:after="0"/>
              <w:rPr>
                <w:sz w:val="20"/>
                <w:szCs w:val="20"/>
                <w:color w:val="auto"/>
              </w:rPr>
            </w:pPr>
            <w:r>
              <w:rPr>
                <w:rFonts w:ascii="Arial" w:cs="Arial" w:eastAsia="Arial" w:hAnsi="Arial"/>
                <w:sz w:val="16"/>
                <w:szCs w:val="16"/>
                <w:color w:val="auto"/>
              </w:rPr>
              <w:t>Three Months Ended September 30,</w:t>
            </w:r>
          </w:p>
        </w:tc>
        <w:tc>
          <w:tcPr>
            <w:tcW w:w="280" w:type="dxa"/>
            <w:vAlign w:val="bottom"/>
          </w:tcPr>
          <w:p>
            <w:pPr>
              <w:spacing w:after="0"/>
              <w:rPr>
                <w:sz w:val="20"/>
                <w:szCs w:val="20"/>
                <w:color w:val="auto"/>
              </w:rPr>
            </w:pPr>
          </w:p>
        </w:tc>
        <w:tc>
          <w:tcPr>
            <w:tcW w:w="2320" w:type="dxa"/>
            <w:vAlign w:val="bottom"/>
            <w:gridSpan w:val="4"/>
          </w:tcPr>
          <w:p>
            <w:pPr>
              <w:jc w:val="center"/>
              <w:ind w:right="360"/>
              <w:spacing w:after="0"/>
              <w:rPr>
                <w:sz w:val="20"/>
                <w:szCs w:val="20"/>
                <w:color w:val="auto"/>
              </w:rPr>
            </w:pPr>
            <w:r>
              <w:rPr>
                <w:rFonts w:ascii="Arial" w:cs="Arial" w:eastAsia="Arial" w:hAnsi="Arial"/>
                <w:sz w:val="16"/>
                <w:szCs w:val="16"/>
                <w:color w:val="auto"/>
                <w:w w:val="90"/>
              </w:rPr>
              <w:t>(in thousands)</w:t>
            </w:r>
          </w:p>
        </w:tc>
        <w:tc>
          <w:tcPr>
            <w:tcW w:w="100" w:type="dxa"/>
            <w:vAlign w:val="bottom"/>
          </w:tcPr>
          <w:p>
            <w:pPr>
              <w:spacing w:after="0"/>
              <w:rPr>
                <w:sz w:val="20"/>
                <w:szCs w:val="20"/>
                <w:color w:val="auto"/>
              </w:rPr>
            </w:pPr>
          </w:p>
        </w:tc>
        <w:tc>
          <w:tcPr>
            <w:tcW w:w="1360" w:type="dxa"/>
            <w:vAlign w:val="bottom"/>
            <w:gridSpan w:val="2"/>
          </w:tcPr>
          <w:p>
            <w:pPr>
              <w:jc w:val="center"/>
              <w:ind w:left="579"/>
              <w:spacing w:after="0"/>
              <w:rPr>
                <w:sz w:val="20"/>
                <w:szCs w:val="20"/>
                <w:color w:val="auto"/>
              </w:rPr>
            </w:pPr>
            <w:r>
              <w:rPr>
                <w:rFonts w:ascii="Arial" w:cs="Arial" w:eastAsia="Arial" w:hAnsi="Arial"/>
                <w:sz w:val="16"/>
                <w:szCs w:val="16"/>
                <w:color w:val="auto"/>
                <w:w w:val="88"/>
              </w:rPr>
              <w:t>thousands)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2"/>
          </w:tcPr>
          <w:p>
            <w:pPr>
              <w:jc w:val="right"/>
              <w:ind w:right="159"/>
              <w:spacing w:after="0" w:line="239" w:lineRule="exact"/>
              <w:rPr>
                <w:sz w:val="20"/>
                <w:szCs w:val="20"/>
                <w:color w:val="auto"/>
              </w:rPr>
            </w:pPr>
            <w:r>
              <w:rPr>
                <w:rFonts w:ascii="Arial" w:cs="Arial" w:eastAsia="Arial" w:hAnsi="Arial"/>
                <w:sz w:val="16"/>
                <w:szCs w:val="16"/>
                <w:color w:val="auto"/>
              </w:rPr>
              <w:t xml:space="preserve">Quantities Sold (MWh) </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231"/>
        </w:trPr>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2019</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2018</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2019</w:t>
            </w: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2018</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2019</w:t>
            </w:r>
          </w:p>
        </w:tc>
        <w:tc>
          <w:tcPr>
            <w:tcW w:w="9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4000" w:type="dxa"/>
            <w:vAlign w:val="bottom"/>
            <w:gridSpan w:val="3"/>
          </w:tcPr>
          <w:p>
            <w:pPr>
              <w:ind w:left="20"/>
              <w:spacing w:after="0"/>
              <w:rPr>
                <w:sz w:val="20"/>
                <w:szCs w:val="20"/>
                <w:color w:val="auto"/>
              </w:rPr>
            </w:pPr>
            <w:r>
              <w:rPr>
                <w:rFonts w:ascii="Arial" w:cs="Arial" w:eastAsia="Arial" w:hAnsi="Arial"/>
                <w:sz w:val="16"/>
                <w:szCs w:val="16"/>
                <w:color w:val="auto"/>
              </w:rPr>
              <w:t xml:space="preserve">Colorado Electric </w:t>
            </w:r>
            <w:r>
              <w:rPr>
                <w:rFonts w:ascii="Arial" w:cs="Arial" w:eastAsia="Arial" w:hAnsi="Arial"/>
                <w:sz w:val="21"/>
                <w:szCs w:val="21"/>
                <w:color w:val="auto"/>
                <w:vertAlign w:val="superscript"/>
              </w:rPr>
              <w:t>(b)</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70,771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68,052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41,916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38,449</w:t>
            </w:r>
          </w:p>
        </w:tc>
        <w:tc>
          <w:tcPr>
            <w:tcW w:w="120" w:type="dxa"/>
            <w:vAlign w:val="bottom"/>
          </w:tcPr>
          <w:p>
            <w:pPr>
              <w:spacing w:after="0"/>
              <w:rPr>
                <w:sz w:val="22"/>
                <w:szCs w:val="22"/>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634,098</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610,079</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00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South Dakota Electric</w:t>
            </w:r>
          </w:p>
        </w:tc>
        <w:tc>
          <w:tcPr>
            <w:tcW w:w="28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77,022</w:t>
            </w:r>
          </w:p>
        </w:tc>
        <w:tc>
          <w:tcPr>
            <w:tcW w:w="3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78,067</w:t>
            </w:r>
          </w:p>
        </w:tc>
        <w:tc>
          <w:tcPr>
            <w:tcW w:w="12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55,217</w:t>
            </w:r>
          </w:p>
        </w:tc>
        <w:tc>
          <w:tcPr>
            <w:tcW w:w="42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52,860</w:t>
            </w:r>
          </w:p>
        </w:tc>
        <w:tc>
          <w:tcPr>
            <w:tcW w:w="1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835,725</w:t>
            </w: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874,962</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000" w:type="dxa"/>
            <w:vAlign w:val="bottom"/>
            <w:gridSpan w:val="3"/>
          </w:tcPr>
          <w:p>
            <w:pPr>
              <w:ind w:left="20"/>
              <w:spacing w:after="0"/>
              <w:rPr>
                <w:sz w:val="20"/>
                <w:szCs w:val="20"/>
                <w:color w:val="auto"/>
              </w:rPr>
            </w:pPr>
            <w:r>
              <w:rPr>
                <w:rFonts w:ascii="Arial" w:cs="Arial" w:eastAsia="Arial" w:hAnsi="Arial"/>
                <w:sz w:val="16"/>
                <w:szCs w:val="16"/>
                <w:color w:val="auto"/>
              </w:rPr>
              <w:t>Wyoming Electric</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43,591</w:t>
            </w:r>
          </w:p>
        </w:tc>
        <w:tc>
          <w:tcPr>
            <w:tcW w:w="3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38,671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22,658</w:t>
            </w:r>
          </w:p>
        </w:tc>
        <w:tc>
          <w:tcPr>
            <w:tcW w:w="42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18,843</w:t>
            </w:r>
          </w:p>
        </w:tc>
        <w:tc>
          <w:tcPr>
            <w:tcW w:w="12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486,272</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461,074</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880" w:type="dxa"/>
            <w:vAlign w:val="bottom"/>
            <w:tcBorders>
              <w:bottom w:val="single" w:sz="8" w:color="CEFFE7"/>
            </w:tcBorders>
          </w:tcPr>
          <w:p>
            <w:pPr>
              <w:spacing w:after="0"/>
              <w:rPr>
                <w:sz w:val="2"/>
                <w:szCs w:val="2"/>
                <w:color w:val="auto"/>
              </w:rPr>
            </w:pPr>
          </w:p>
        </w:tc>
        <w:tc>
          <w:tcPr>
            <w:tcW w:w="300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4000" w:type="dxa"/>
            <w:vAlign w:val="bottom"/>
            <w:gridSpan w:val="3"/>
            <w:shd w:val="clear" w:color="auto" w:fill="CEFFE7"/>
          </w:tcPr>
          <w:p>
            <w:pPr>
              <w:ind w:left="260"/>
              <w:spacing w:after="0"/>
              <w:rPr>
                <w:sz w:val="20"/>
                <w:szCs w:val="20"/>
                <w:color w:val="auto"/>
              </w:rPr>
            </w:pPr>
            <w:r>
              <w:rPr>
                <w:rFonts w:ascii="Arial" w:cs="Arial" w:eastAsia="Arial" w:hAnsi="Arial"/>
                <w:sz w:val="16"/>
                <w:szCs w:val="16"/>
                <w:color w:val="auto"/>
              </w:rPr>
              <w:t>Total Electric Revenue, Gross Margin (non-GAAP),</w:t>
            </w:r>
          </w:p>
        </w:tc>
        <w:tc>
          <w:tcPr>
            <w:tcW w:w="28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191,384</w:t>
            </w:r>
          </w:p>
        </w:tc>
        <w:tc>
          <w:tcPr>
            <w:tcW w:w="32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184,790</w:t>
            </w:r>
          </w:p>
        </w:tc>
        <w:tc>
          <w:tcPr>
            <w:tcW w:w="120" w:type="dxa"/>
            <w:vAlign w:val="bottom"/>
            <w:shd w:val="clear" w:color="auto" w:fill="CEFFE7"/>
          </w:tcPr>
          <w:p>
            <w:pPr>
              <w:spacing w:after="0"/>
              <w:rPr>
                <w:sz w:val="17"/>
                <w:szCs w:val="17"/>
                <w:color w:val="auto"/>
              </w:rPr>
            </w:pPr>
          </w:p>
        </w:tc>
        <w:tc>
          <w:tcPr>
            <w:tcW w:w="1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119,791</w:t>
            </w:r>
          </w:p>
        </w:tc>
        <w:tc>
          <w:tcPr>
            <w:tcW w:w="420" w:type="dxa"/>
            <w:vAlign w:val="bottom"/>
            <w:vMerge w:val="restart"/>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110,152</w:t>
            </w:r>
          </w:p>
        </w:tc>
        <w:tc>
          <w:tcPr>
            <w:tcW w:w="120" w:type="dxa"/>
            <w:vAlign w:val="bottom"/>
            <w:shd w:val="clear" w:color="auto" w:fill="CEFFE7"/>
          </w:tcPr>
          <w:p>
            <w:pPr>
              <w:spacing w:after="0"/>
              <w:rPr>
                <w:sz w:val="17"/>
                <w:szCs w:val="17"/>
                <w:color w:val="auto"/>
              </w:rPr>
            </w:pPr>
          </w:p>
        </w:tc>
        <w:tc>
          <w:tcPr>
            <w:tcW w:w="1200" w:type="dxa"/>
            <w:vAlign w:val="bottom"/>
            <w:vMerge w:val="restart"/>
            <w:shd w:val="clear" w:color="auto" w:fill="CEFFE7"/>
          </w:tcPr>
          <w:p>
            <w:pPr>
              <w:jc w:val="right"/>
              <w:ind w:right="139"/>
              <w:spacing w:after="0"/>
              <w:rPr>
                <w:sz w:val="20"/>
                <w:szCs w:val="20"/>
                <w:color w:val="auto"/>
              </w:rPr>
            </w:pPr>
            <w:r>
              <w:rPr>
                <w:rFonts w:ascii="Arial" w:cs="Arial" w:eastAsia="Arial" w:hAnsi="Arial"/>
                <w:sz w:val="16"/>
                <w:szCs w:val="16"/>
                <w:color w:val="auto"/>
              </w:rPr>
              <w:t>1,956,095</w:t>
            </w:r>
          </w:p>
        </w:tc>
        <w:tc>
          <w:tcPr>
            <w:tcW w:w="98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1,946,115</w:t>
            </w: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4000" w:type="dxa"/>
            <w:vAlign w:val="bottom"/>
            <w:tcBorders>
              <w:bottom w:val="single" w:sz="8" w:color="CEFFE7"/>
            </w:tcBorders>
            <w:gridSpan w:val="3"/>
            <w:shd w:val="clear" w:color="auto" w:fill="CEFFE7"/>
          </w:tcPr>
          <w:p>
            <w:pPr>
              <w:ind w:left="260"/>
              <w:spacing w:after="0"/>
              <w:rPr>
                <w:sz w:val="20"/>
                <w:szCs w:val="20"/>
                <w:color w:val="auto"/>
              </w:rPr>
            </w:pPr>
            <w:r>
              <w:rPr>
                <w:rFonts w:ascii="Arial" w:cs="Arial" w:eastAsia="Arial" w:hAnsi="Arial"/>
                <w:sz w:val="16"/>
                <w:szCs w:val="16"/>
                <w:color w:val="auto"/>
              </w:rPr>
              <w:t>and Quantities Sold</w:t>
            </w:r>
          </w:p>
        </w:tc>
        <w:tc>
          <w:tcPr>
            <w:tcW w:w="280" w:type="dxa"/>
            <w:vAlign w:val="bottom"/>
            <w:tcBorders>
              <w:bottom w:val="single" w:sz="8" w:color="auto"/>
            </w:tcBorders>
            <w:vMerge w:val="continue"/>
            <w:shd w:val="clear" w:color="auto" w:fill="CEFFE7"/>
          </w:tcPr>
          <w:p>
            <w:pPr>
              <w:spacing w:after="0"/>
              <w:rPr>
                <w:sz w:val="19"/>
                <w:szCs w:val="19"/>
                <w:color w:val="auto"/>
              </w:rPr>
            </w:pPr>
          </w:p>
        </w:tc>
        <w:tc>
          <w:tcPr>
            <w:tcW w:w="920" w:type="dxa"/>
            <w:vAlign w:val="bottom"/>
            <w:tcBorders>
              <w:bottom w:val="single" w:sz="8" w:color="auto"/>
            </w:tcBorders>
            <w:vMerge w:val="continue"/>
            <w:shd w:val="clear" w:color="auto" w:fill="CEFFE7"/>
          </w:tcPr>
          <w:p>
            <w:pPr>
              <w:spacing w:after="0"/>
              <w:rPr>
                <w:sz w:val="19"/>
                <w:szCs w:val="19"/>
                <w:color w:val="auto"/>
              </w:rPr>
            </w:pPr>
          </w:p>
        </w:tc>
        <w:tc>
          <w:tcPr>
            <w:tcW w:w="320" w:type="dxa"/>
            <w:vAlign w:val="bottom"/>
            <w:tcBorders>
              <w:bottom w:val="single" w:sz="8" w:color="auto"/>
            </w:tcBorders>
            <w:vMerge w:val="continue"/>
            <w:shd w:val="clear" w:color="auto" w:fill="CEFFE7"/>
          </w:tcPr>
          <w:p>
            <w:pPr>
              <w:spacing w:after="0"/>
              <w:rPr>
                <w:sz w:val="19"/>
                <w:szCs w:val="19"/>
                <w:color w:val="auto"/>
              </w:rPr>
            </w:pPr>
          </w:p>
        </w:tc>
        <w:tc>
          <w:tcPr>
            <w:tcW w:w="960" w:type="dxa"/>
            <w:vAlign w:val="bottom"/>
            <w:tcBorders>
              <w:bottom w:val="single" w:sz="8" w:color="auto"/>
            </w:tcBorders>
            <w:vMerge w:val="continue"/>
            <w:shd w:val="clear" w:color="auto" w:fill="CEFFE7"/>
          </w:tcPr>
          <w:p>
            <w:pPr>
              <w:spacing w:after="0"/>
              <w:rPr>
                <w:sz w:val="19"/>
                <w:szCs w:val="19"/>
                <w:color w:val="auto"/>
              </w:rPr>
            </w:pPr>
          </w:p>
        </w:tc>
        <w:tc>
          <w:tcPr>
            <w:tcW w:w="120" w:type="dxa"/>
            <w:vAlign w:val="bottom"/>
            <w:tcBorders>
              <w:bottom w:val="single" w:sz="8" w:color="CEFFE7"/>
            </w:tcBorders>
            <w:shd w:val="clear" w:color="auto" w:fill="CEFFE7"/>
          </w:tcPr>
          <w:p>
            <w:pPr>
              <w:spacing w:after="0"/>
              <w:rPr>
                <w:sz w:val="19"/>
                <w:szCs w:val="19"/>
                <w:color w:val="auto"/>
              </w:rPr>
            </w:pPr>
          </w:p>
        </w:tc>
        <w:tc>
          <w:tcPr>
            <w:tcW w:w="100" w:type="dxa"/>
            <w:vAlign w:val="bottom"/>
            <w:tcBorders>
              <w:bottom w:val="single" w:sz="8" w:color="auto"/>
            </w:tcBorders>
            <w:vMerge w:val="continue"/>
            <w:shd w:val="clear" w:color="auto" w:fill="CEFFE7"/>
          </w:tcPr>
          <w:p>
            <w:pPr>
              <w:spacing w:after="0"/>
              <w:rPr>
                <w:sz w:val="19"/>
                <w:szCs w:val="19"/>
                <w:color w:val="auto"/>
              </w:rPr>
            </w:pPr>
          </w:p>
        </w:tc>
        <w:tc>
          <w:tcPr>
            <w:tcW w:w="940" w:type="dxa"/>
            <w:vAlign w:val="bottom"/>
            <w:tcBorders>
              <w:bottom w:val="single" w:sz="8" w:color="auto"/>
            </w:tcBorders>
            <w:vMerge w:val="continue"/>
            <w:shd w:val="clear" w:color="auto" w:fill="CEFFE7"/>
          </w:tcPr>
          <w:p>
            <w:pPr>
              <w:spacing w:after="0"/>
              <w:rPr>
                <w:sz w:val="19"/>
                <w:szCs w:val="19"/>
                <w:color w:val="auto"/>
              </w:rPr>
            </w:pPr>
          </w:p>
        </w:tc>
        <w:tc>
          <w:tcPr>
            <w:tcW w:w="420" w:type="dxa"/>
            <w:vAlign w:val="bottom"/>
            <w:tcBorders>
              <w:bottom w:val="single" w:sz="8" w:color="auto"/>
            </w:tcBorders>
            <w:vMerge w:val="continue"/>
            <w:shd w:val="clear" w:color="auto" w:fill="CEFFE7"/>
          </w:tcPr>
          <w:p>
            <w:pPr>
              <w:spacing w:after="0"/>
              <w:rPr>
                <w:sz w:val="19"/>
                <w:szCs w:val="19"/>
                <w:color w:val="auto"/>
              </w:rPr>
            </w:pPr>
          </w:p>
        </w:tc>
        <w:tc>
          <w:tcPr>
            <w:tcW w:w="720" w:type="dxa"/>
            <w:vAlign w:val="bottom"/>
            <w:tcBorders>
              <w:bottom w:val="single" w:sz="8" w:color="auto"/>
            </w:tcBorders>
            <w:vMerge w:val="continue"/>
            <w:shd w:val="clear" w:color="auto" w:fill="CEFFE7"/>
          </w:tcPr>
          <w:p>
            <w:pPr>
              <w:spacing w:after="0"/>
              <w:rPr>
                <w:sz w:val="19"/>
                <w:szCs w:val="19"/>
                <w:color w:val="auto"/>
              </w:rPr>
            </w:pPr>
          </w:p>
        </w:tc>
        <w:tc>
          <w:tcPr>
            <w:tcW w:w="12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auto"/>
            </w:tcBorders>
            <w:vMerge w:val="continue"/>
            <w:shd w:val="clear" w:color="auto" w:fill="CEFFE7"/>
          </w:tcPr>
          <w:p>
            <w:pPr>
              <w:spacing w:after="0"/>
              <w:rPr>
                <w:sz w:val="19"/>
                <w:szCs w:val="19"/>
                <w:color w:val="auto"/>
              </w:rPr>
            </w:pPr>
          </w:p>
        </w:tc>
        <w:tc>
          <w:tcPr>
            <w:tcW w:w="980" w:type="dxa"/>
            <w:vAlign w:val="bottom"/>
            <w:tcBorders>
              <w:bottom w:val="single" w:sz="8" w:color="auto"/>
            </w:tcBorders>
            <w:vMerge w:val="continue"/>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4"/>
          </w:tcPr>
          <w:p>
            <w:pPr>
              <w:jc w:val="center"/>
              <w:ind w:right="360"/>
              <w:spacing w:after="0"/>
              <w:rPr>
                <w:sz w:val="20"/>
                <w:szCs w:val="20"/>
                <w:color w:val="auto"/>
              </w:rPr>
            </w:pPr>
            <w:r>
              <w:rPr>
                <w:rFonts w:ascii="Arial" w:cs="Arial" w:eastAsia="Arial" w:hAnsi="Arial"/>
                <w:sz w:val="16"/>
                <w:szCs w:val="16"/>
                <w:color w:val="auto"/>
                <w:w w:val="92"/>
              </w:rPr>
              <w:t>Electric Revenue</w:t>
            </w:r>
          </w:p>
        </w:tc>
        <w:tc>
          <w:tcPr>
            <w:tcW w:w="100" w:type="dxa"/>
            <w:vAlign w:val="bottom"/>
          </w:tcPr>
          <w:p>
            <w:pPr>
              <w:spacing w:after="0"/>
              <w:rPr>
                <w:sz w:val="24"/>
                <w:szCs w:val="24"/>
                <w:color w:val="auto"/>
              </w:rPr>
            </w:pPr>
          </w:p>
        </w:tc>
        <w:tc>
          <w:tcPr>
            <w:tcW w:w="2200" w:type="dxa"/>
            <w:vAlign w:val="bottom"/>
            <w:gridSpan w:val="4"/>
          </w:tcPr>
          <w:p>
            <w:pPr>
              <w:jc w:val="center"/>
              <w:ind w:right="200"/>
              <w:spacing w:after="0"/>
              <w:rPr>
                <w:sz w:val="20"/>
                <w:szCs w:val="20"/>
                <w:color w:val="auto"/>
              </w:rPr>
            </w:pPr>
            <w:r>
              <w:rPr>
                <w:rFonts w:ascii="Arial" w:cs="Arial" w:eastAsia="Arial" w:hAnsi="Arial"/>
                <w:sz w:val="16"/>
                <w:szCs w:val="16"/>
                <w:color w:val="auto"/>
                <w:w w:val="95"/>
              </w:rPr>
              <w:t>Gross Margin (non-GAAP) (in</w:t>
            </w: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40" w:type="dxa"/>
            <w:vAlign w:val="bottom"/>
          </w:tcPr>
          <w:p>
            <w:pPr>
              <w:spacing w:after="0"/>
              <w:rPr>
                <w:sz w:val="20"/>
                <w:szCs w:val="20"/>
                <w:color w:val="auto"/>
              </w:rPr>
            </w:pPr>
          </w:p>
        </w:tc>
        <w:tc>
          <w:tcPr>
            <w:tcW w:w="4000" w:type="dxa"/>
            <w:vAlign w:val="bottom"/>
            <w:gridSpan w:val="3"/>
          </w:tcPr>
          <w:p>
            <w:pPr>
              <w:ind w:left="20"/>
              <w:spacing w:after="0"/>
              <w:rPr>
                <w:sz w:val="20"/>
                <w:szCs w:val="20"/>
                <w:color w:val="auto"/>
              </w:rPr>
            </w:pPr>
            <w:r>
              <w:rPr>
                <w:rFonts w:ascii="Arial" w:cs="Arial" w:eastAsia="Arial" w:hAnsi="Arial"/>
                <w:sz w:val="16"/>
                <w:szCs w:val="16"/>
                <w:color w:val="auto"/>
              </w:rPr>
              <w:t>Nine Months Ended September 30,</w:t>
            </w:r>
          </w:p>
        </w:tc>
        <w:tc>
          <w:tcPr>
            <w:tcW w:w="280" w:type="dxa"/>
            <w:vAlign w:val="bottom"/>
          </w:tcPr>
          <w:p>
            <w:pPr>
              <w:spacing w:after="0"/>
              <w:rPr>
                <w:sz w:val="20"/>
                <w:szCs w:val="20"/>
                <w:color w:val="auto"/>
              </w:rPr>
            </w:pPr>
          </w:p>
        </w:tc>
        <w:tc>
          <w:tcPr>
            <w:tcW w:w="2320" w:type="dxa"/>
            <w:vAlign w:val="bottom"/>
            <w:gridSpan w:val="4"/>
          </w:tcPr>
          <w:p>
            <w:pPr>
              <w:jc w:val="center"/>
              <w:ind w:right="360"/>
              <w:spacing w:after="0"/>
              <w:rPr>
                <w:sz w:val="20"/>
                <w:szCs w:val="20"/>
                <w:color w:val="auto"/>
              </w:rPr>
            </w:pPr>
            <w:r>
              <w:rPr>
                <w:rFonts w:ascii="Arial" w:cs="Arial" w:eastAsia="Arial" w:hAnsi="Arial"/>
                <w:sz w:val="16"/>
                <w:szCs w:val="16"/>
                <w:color w:val="auto"/>
                <w:w w:val="90"/>
              </w:rPr>
              <w:t>(in thousands)</w:t>
            </w:r>
          </w:p>
        </w:tc>
        <w:tc>
          <w:tcPr>
            <w:tcW w:w="100" w:type="dxa"/>
            <w:vAlign w:val="bottom"/>
          </w:tcPr>
          <w:p>
            <w:pPr>
              <w:spacing w:after="0"/>
              <w:rPr>
                <w:sz w:val="20"/>
                <w:szCs w:val="20"/>
                <w:color w:val="auto"/>
              </w:rPr>
            </w:pPr>
          </w:p>
        </w:tc>
        <w:tc>
          <w:tcPr>
            <w:tcW w:w="1360" w:type="dxa"/>
            <w:vAlign w:val="bottom"/>
            <w:gridSpan w:val="2"/>
          </w:tcPr>
          <w:p>
            <w:pPr>
              <w:jc w:val="center"/>
              <w:ind w:left="579"/>
              <w:spacing w:after="0"/>
              <w:rPr>
                <w:sz w:val="20"/>
                <w:szCs w:val="20"/>
                <w:color w:val="auto"/>
              </w:rPr>
            </w:pPr>
            <w:r>
              <w:rPr>
                <w:rFonts w:ascii="Arial" w:cs="Arial" w:eastAsia="Arial" w:hAnsi="Arial"/>
                <w:sz w:val="16"/>
                <w:szCs w:val="16"/>
                <w:color w:val="auto"/>
                <w:w w:val="88"/>
              </w:rPr>
              <w:t>thousands)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2"/>
          </w:tcPr>
          <w:p>
            <w:pPr>
              <w:jc w:val="right"/>
              <w:ind w:right="159"/>
              <w:spacing w:after="0" w:line="239" w:lineRule="exact"/>
              <w:rPr>
                <w:sz w:val="20"/>
                <w:szCs w:val="20"/>
                <w:color w:val="auto"/>
              </w:rPr>
            </w:pPr>
            <w:r>
              <w:rPr>
                <w:rFonts w:ascii="Arial" w:cs="Arial" w:eastAsia="Arial" w:hAnsi="Arial"/>
                <w:sz w:val="16"/>
                <w:szCs w:val="16"/>
                <w:color w:val="auto"/>
              </w:rPr>
              <w:t xml:space="preserve">Quantities Sold (MWh) </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231"/>
        </w:trPr>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2019</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2018</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2019</w:t>
            </w: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2018</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2019</w:t>
            </w:r>
          </w:p>
        </w:tc>
        <w:tc>
          <w:tcPr>
            <w:tcW w:w="9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4000" w:type="dxa"/>
            <w:vAlign w:val="bottom"/>
            <w:gridSpan w:val="3"/>
          </w:tcPr>
          <w:p>
            <w:pPr>
              <w:ind w:left="20"/>
              <w:spacing w:after="0"/>
              <w:rPr>
                <w:sz w:val="20"/>
                <w:szCs w:val="20"/>
                <w:color w:val="auto"/>
              </w:rPr>
            </w:pPr>
            <w:r>
              <w:rPr>
                <w:rFonts w:ascii="Arial" w:cs="Arial" w:eastAsia="Arial" w:hAnsi="Arial"/>
                <w:sz w:val="16"/>
                <w:szCs w:val="16"/>
                <w:color w:val="auto"/>
              </w:rPr>
              <w:t xml:space="preserve">Colorado Electric </w:t>
            </w:r>
            <w:r>
              <w:rPr>
                <w:rFonts w:ascii="Arial" w:cs="Arial" w:eastAsia="Arial" w:hAnsi="Arial"/>
                <w:sz w:val="21"/>
                <w:szCs w:val="21"/>
                <w:color w:val="auto"/>
                <w:vertAlign w:val="superscript"/>
              </w:rPr>
              <w:t>(b)</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186,030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188,937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104,411</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105,997</w:t>
            </w:r>
          </w:p>
        </w:tc>
        <w:tc>
          <w:tcPr>
            <w:tcW w:w="120" w:type="dxa"/>
            <w:vAlign w:val="bottom"/>
          </w:tcPr>
          <w:p>
            <w:pPr>
              <w:spacing w:after="0"/>
              <w:rPr>
                <w:sz w:val="22"/>
                <w:szCs w:val="22"/>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1,611,126</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1,639,607</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00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South Dakota Electric</w:t>
            </w:r>
          </w:p>
        </w:tc>
        <w:tc>
          <w:tcPr>
            <w:tcW w:w="28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225,309</w:t>
            </w:r>
          </w:p>
        </w:tc>
        <w:tc>
          <w:tcPr>
            <w:tcW w:w="3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222,558</w:t>
            </w:r>
          </w:p>
        </w:tc>
        <w:tc>
          <w:tcPr>
            <w:tcW w:w="12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162,390</w:t>
            </w:r>
          </w:p>
        </w:tc>
        <w:tc>
          <w:tcPr>
            <w:tcW w:w="42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154,158</w:t>
            </w:r>
          </w:p>
        </w:tc>
        <w:tc>
          <w:tcPr>
            <w:tcW w:w="1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2,438,366</w:t>
            </w: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2,541,082</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000" w:type="dxa"/>
            <w:vAlign w:val="bottom"/>
            <w:gridSpan w:val="3"/>
          </w:tcPr>
          <w:p>
            <w:pPr>
              <w:ind w:left="20"/>
              <w:spacing w:after="0"/>
              <w:rPr>
                <w:sz w:val="20"/>
                <w:szCs w:val="20"/>
                <w:color w:val="auto"/>
              </w:rPr>
            </w:pPr>
            <w:r>
              <w:rPr>
                <w:rFonts w:ascii="Arial" w:cs="Arial" w:eastAsia="Arial" w:hAnsi="Arial"/>
                <w:sz w:val="16"/>
                <w:szCs w:val="16"/>
                <w:color w:val="auto"/>
              </w:rPr>
              <w:t>Wyoming Electric</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129,326</w:t>
            </w:r>
          </w:p>
        </w:tc>
        <w:tc>
          <w:tcPr>
            <w:tcW w:w="3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120,466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66,860</w:t>
            </w:r>
          </w:p>
        </w:tc>
        <w:tc>
          <w:tcPr>
            <w:tcW w:w="42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62,489</w:t>
            </w:r>
          </w:p>
        </w:tc>
        <w:tc>
          <w:tcPr>
            <w:tcW w:w="12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1,420,583</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1,365,932</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880" w:type="dxa"/>
            <w:vAlign w:val="bottom"/>
            <w:tcBorders>
              <w:bottom w:val="single" w:sz="8" w:color="CEFFE7"/>
            </w:tcBorders>
          </w:tcPr>
          <w:p>
            <w:pPr>
              <w:spacing w:after="0"/>
              <w:rPr>
                <w:sz w:val="2"/>
                <w:szCs w:val="2"/>
                <w:color w:val="auto"/>
              </w:rPr>
            </w:pPr>
          </w:p>
        </w:tc>
        <w:tc>
          <w:tcPr>
            <w:tcW w:w="3120" w:type="dxa"/>
            <w:vAlign w:val="bottom"/>
            <w:tcBorders>
              <w:bottom w:val="single" w:sz="8" w:color="CEFFE7"/>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40" w:type="dxa"/>
            <w:vAlign w:val="bottom"/>
          </w:tcPr>
          <w:p>
            <w:pPr>
              <w:spacing w:after="0"/>
              <w:rPr>
                <w:sz w:val="17"/>
                <w:szCs w:val="17"/>
                <w:color w:val="auto"/>
              </w:rPr>
            </w:pPr>
          </w:p>
        </w:tc>
        <w:tc>
          <w:tcPr>
            <w:tcW w:w="4000" w:type="dxa"/>
            <w:vAlign w:val="bottom"/>
            <w:gridSpan w:val="3"/>
            <w:shd w:val="clear" w:color="auto" w:fill="CEFFE7"/>
          </w:tcPr>
          <w:p>
            <w:pPr>
              <w:ind w:left="260"/>
              <w:spacing w:after="0"/>
              <w:rPr>
                <w:sz w:val="20"/>
                <w:szCs w:val="20"/>
                <w:color w:val="auto"/>
              </w:rPr>
            </w:pPr>
            <w:r>
              <w:rPr>
                <w:rFonts w:ascii="Arial" w:cs="Arial" w:eastAsia="Arial" w:hAnsi="Arial"/>
                <w:sz w:val="16"/>
                <w:szCs w:val="16"/>
                <w:color w:val="auto"/>
              </w:rPr>
              <w:t>Total Electric Revenue, Gross Margin (non-GAAP),</w:t>
            </w:r>
          </w:p>
        </w:tc>
        <w:tc>
          <w:tcPr>
            <w:tcW w:w="28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540,665</w:t>
            </w:r>
          </w:p>
        </w:tc>
        <w:tc>
          <w:tcPr>
            <w:tcW w:w="32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531,961</w:t>
            </w:r>
          </w:p>
        </w:tc>
        <w:tc>
          <w:tcPr>
            <w:tcW w:w="120" w:type="dxa"/>
            <w:vAlign w:val="bottom"/>
            <w:shd w:val="clear" w:color="auto" w:fill="CEFFE7"/>
          </w:tcPr>
          <w:p>
            <w:pPr>
              <w:spacing w:after="0"/>
              <w:rPr>
                <w:sz w:val="17"/>
                <w:szCs w:val="17"/>
                <w:color w:val="auto"/>
              </w:rPr>
            </w:pPr>
          </w:p>
        </w:tc>
        <w:tc>
          <w:tcPr>
            <w:tcW w:w="1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333,661</w:t>
            </w:r>
          </w:p>
        </w:tc>
        <w:tc>
          <w:tcPr>
            <w:tcW w:w="420" w:type="dxa"/>
            <w:vAlign w:val="bottom"/>
            <w:vMerge w:val="restart"/>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322,644</w:t>
            </w:r>
          </w:p>
        </w:tc>
        <w:tc>
          <w:tcPr>
            <w:tcW w:w="120" w:type="dxa"/>
            <w:vAlign w:val="bottom"/>
            <w:shd w:val="clear" w:color="auto" w:fill="CEFFE7"/>
          </w:tcPr>
          <w:p>
            <w:pPr>
              <w:spacing w:after="0"/>
              <w:rPr>
                <w:sz w:val="17"/>
                <w:szCs w:val="17"/>
                <w:color w:val="auto"/>
              </w:rPr>
            </w:pPr>
          </w:p>
        </w:tc>
        <w:tc>
          <w:tcPr>
            <w:tcW w:w="1200" w:type="dxa"/>
            <w:vAlign w:val="bottom"/>
            <w:vMerge w:val="restart"/>
            <w:shd w:val="clear" w:color="auto" w:fill="CEFFE7"/>
          </w:tcPr>
          <w:p>
            <w:pPr>
              <w:jc w:val="right"/>
              <w:ind w:right="139"/>
              <w:spacing w:after="0"/>
              <w:rPr>
                <w:sz w:val="20"/>
                <w:szCs w:val="20"/>
                <w:color w:val="auto"/>
              </w:rPr>
            </w:pPr>
            <w:r>
              <w:rPr>
                <w:rFonts w:ascii="Arial" w:cs="Arial" w:eastAsia="Arial" w:hAnsi="Arial"/>
                <w:sz w:val="16"/>
                <w:szCs w:val="16"/>
                <w:color w:val="auto"/>
              </w:rPr>
              <w:t>5,470,075</w:t>
            </w:r>
          </w:p>
        </w:tc>
        <w:tc>
          <w:tcPr>
            <w:tcW w:w="98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5,546,621</w:t>
            </w: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4000" w:type="dxa"/>
            <w:vAlign w:val="bottom"/>
            <w:tcBorders>
              <w:bottom w:val="single" w:sz="8" w:color="CEFFE7"/>
            </w:tcBorders>
            <w:gridSpan w:val="3"/>
            <w:shd w:val="clear" w:color="auto" w:fill="CEFFE7"/>
          </w:tcPr>
          <w:p>
            <w:pPr>
              <w:ind w:left="260"/>
              <w:spacing w:after="0"/>
              <w:rPr>
                <w:sz w:val="20"/>
                <w:szCs w:val="20"/>
                <w:color w:val="auto"/>
              </w:rPr>
            </w:pPr>
            <w:r>
              <w:rPr>
                <w:rFonts w:ascii="Arial" w:cs="Arial" w:eastAsia="Arial" w:hAnsi="Arial"/>
                <w:sz w:val="16"/>
                <w:szCs w:val="16"/>
                <w:color w:val="auto"/>
              </w:rPr>
              <w:t>and Quantities Sold</w:t>
            </w:r>
          </w:p>
        </w:tc>
        <w:tc>
          <w:tcPr>
            <w:tcW w:w="280" w:type="dxa"/>
            <w:vAlign w:val="bottom"/>
            <w:tcBorders>
              <w:bottom w:val="single" w:sz="8" w:color="auto"/>
            </w:tcBorders>
            <w:vMerge w:val="continue"/>
            <w:shd w:val="clear" w:color="auto" w:fill="CEFFE7"/>
          </w:tcPr>
          <w:p>
            <w:pPr>
              <w:spacing w:after="0"/>
              <w:rPr>
                <w:sz w:val="19"/>
                <w:szCs w:val="19"/>
                <w:color w:val="auto"/>
              </w:rPr>
            </w:pPr>
          </w:p>
        </w:tc>
        <w:tc>
          <w:tcPr>
            <w:tcW w:w="920" w:type="dxa"/>
            <w:vAlign w:val="bottom"/>
            <w:tcBorders>
              <w:bottom w:val="single" w:sz="8" w:color="auto"/>
            </w:tcBorders>
            <w:vMerge w:val="continue"/>
            <w:shd w:val="clear" w:color="auto" w:fill="CEFFE7"/>
          </w:tcPr>
          <w:p>
            <w:pPr>
              <w:spacing w:after="0"/>
              <w:rPr>
                <w:sz w:val="19"/>
                <w:szCs w:val="19"/>
                <w:color w:val="auto"/>
              </w:rPr>
            </w:pPr>
          </w:p>
        </w:tc>
        <w:tc>
          <w:tcPr>
            <w:tcW w:w="320" w:type="dxa"/>
            <w:vAlign w:val="bottom"/>
            <w:tcBorders>
              <w:bottom w:val="single" w:sz="8" w:color="auto"/>
            </w:tcBorders>
            <w:vMerge w:val="continue"/>
            <w:shd w:val="clear" w:color="auto" w:fill="CEFFE7"/>
          </w:tcPr>
          <w:p>
            <w:pPr>
              <w:spacing w:after="0"/>
              <w:rPr>
                <w:sz w:val="19"/>
                <w:szCs w:val="19"/>
                <w:color w:val="auto"/>
              </w:rPr>
            </w:pPr>
          </w:p>
        </w:tc>
        <w:tc>
          <w:tcPr>
            <w:tcW w:w="960" w:type="dxa"/>
            <w:vAlign w:val="bottom"/>
            <w:tcBorders>
              <w:bottom w:val="single" w:sz="8" w:color="auto"/>
            </w:tcBorders>
            <w:vMerge w:val="continue"/>
            <w:shd w:val="clear" w:color="auto" w:fill="CEFFE7"/>
          </w:tcPr>
          <w:p>
            <w:pPr>
              <w:spacing w:after="0"/>
              <w:rPr>
                <w:sz w:val="19"/>
                <w:szCs w:val="19"/>
                <w:color w:val="auto"/>
              </w:rPr>
            </w:pPr>
          </w:p>
        </w:tc>
        <w:tc>
          <w:tcPr>
            <w:tcW w:w="120" w:type="dxa"/>
            <w:vAlign w:val="bottom"/>
            <w:tcBorders>
              <w:bottom w:val="single" w:sz="8" w:color="CEFFE7"/>
            </w:tcBorders>
            <w:shd w:val="clear" w:color="auto" w:fill="CEFFE7"/>
          </w:tcPr>
          <w:p>
            <w:pPr>
              <w:spacing w:after="0"/>
              <w:rPr>
                <w:sz w:val="19"/>
                <w:szCs w:val="19"/>
                <w:color w:val="auto"/>
              </w:rPr>
            </w:pPr>
          </w:p>
        </w:tc>
        <w:tc>
          <w:tcPr>
            <w:tcW w:w="100" w:type="dxa"/>
            <w:vAlign w:val="bottom"/>
            <w:tcBorders>
              <w:bottom w:val="single" w:sz="8" w:color="auto"/>
            </w:tcBorders>
            <w:vMerge w:val="continue"/>
            <w:shd w:val="clear" w:color="auto" w:fill="CEFFE7"/>
          </w:tcPr>
          <w:p>
            <w:pPr>
              <w:spacing w:after="0"/>
              <w:rPr>
                <w:sz w:val="19"/>
                <w:szCs w:val="19"/>
                <w:color w:val="auto"/>
              </w:rPr>
            </w:pPr>
          </w:p>
        </w:tc>
        <w:tc>
          <w:tcPr>
            <w:tcW w:w="940" w:type="dxa"/>
            <w:vAlign w:val="bottom"/>
            <w:tcBorders>
              <w:bottom w:val="single" w:sz="8" w:color="auto"/>
            </w:tcBorders>
            <w:vMerge w:val="continue"/>
            <w:shd w:val="clear" w:color="auto" w:fill="CEFFE7"/>
          </w:tcPr>
          <w:p>
            <w:pPr>
              <w:spacing w:after="0"/>
              <w:rPr>
                <w:sz w:val="19"/>
                <w:szCs w:val="19"/>
                <w:color w:val="auto"/>
              </w:rPr>
            </w:pPr>
          </w:p>
        </w:tc>
        <w:tc>
          <w:tcPr>
            <w:tcW w:w="420" w:type="dxa"/>
            <w:vAlign w:val="bottom"/>
            <w:tcBorders>
              <w:bottom w:val="single" w:sz="8" w:color="auto"/>
            </w:tcBorders>
            <w:vMerge w:val="continue"/>
            <w:shd w:val="clear" w:color="auto" w:fill="CEFFE7"/>
          </w:tcPr>
          <w:p>
            <w:pPr>
              <w:spacing w:after="0"/>
              <w:rPr>
                <w:sz w:val="19"/>
                <w:szCs w:val="19"/>
                <w:color w:val="auto"/>
              </w:rPr>
            </w:pPr>
          </w:p>
        </w:tc>
        <w:tc>
          <w:tcPr>
            <w:tcW w:w="720" w:type="dxa"/>
            <w:vAlign w:val="bottom"/>
            <w:tcBorders>
              <w:bottom w:val="single" w:sz="8" w:color="auto"/>
            </w:tcBorders>
            <w:vMerge w:val="continue"/>
            <w:shd w:val="clear" w:color="auto" w:fill="CEFFE7"/>
          </w:tcPr>
          <w:p>
            <w:pPr>
              <w:spacing w:after="0"/>
              <w:rPr>
                <w:sz w:val="19"/>
                <w:szCs w:val="19"/>
                <w:color w:val="auto"/>
              </w:rPr>
            </w:pPr>
          </w:p>
        </w:tc>
        <w:tc>
          <w:tcPr>
            <w:tcW w:w="12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auto"/>
            </w:tcBorders>
            <w:vMerge w:val="continue"/>
            <w:shd w:val="clear" w:color="auto" w:fill="CEFFE7"/>
          </w:tcPr>
          <w:p>
            <w:pPr>
              <w:spacing w:after="0"/>
              <w:rPr>
                <w:sz w:val="19"/>
                <w:szCs w:val="19"/>
                <w:color w:val="auto"/>
              </w:rPr>
            </w:pPr>
          </w:p>
        </w:tc>
        <w:tc>
          <w:tcPr>
            <w:tcW w:w="980" w:type="dxa"/>
            <w:vAlign w:val="bottom"/>
            <w:tcBorders>
              <w:bottom w:val="single" w:sz="8" w:color="auto"/>
            </w:tcBorders>
            <w:vMerge w:val="continue"/>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ind w:left="340" w:right="600" w:hanging="332"/>
        <w:spacing w:after="0" w:line="249"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Total MWh for 2019 includes Other Uses, Losses or Generation, net, which are approximately 6%, 5%, and 6% for Colorado Electric, South Dakota Electric, and Wyoming Electric, respectively.</w:t>
      </w:r>
    </w:p>
    <w:p>
      <w:pPr>
        <w:ind w:left="340" w:right="140" w:hanging="332"/>
        <w:spacing w:after="0" w:line="257"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Due to the changes in our segment disclosures discussed in Note 3 of the Notes to Condensed Consolidated Financial Statements, Gross margin was revised for the three and nine months ended September 30, 2018, which resulted in a decrease of $(1.6) million and $(4.8) million, respectively.</w:t>
      </w:r>
    </w:p>
    <w:p>
      <w:pPr>
        <w:spacing w:after="0" w:line="321"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gridSpan w:val="2"/>
          </w:tcPr>
          <w:p>
            <w:pPr>
              <w:jc w:val="center"/>
              <w:ind w:right="99"/>
              <w:spacing w:after="0"/>
              <w:rPr>
                <w:sz w:val="20"/>
                <w:szCs w:val="20"/>
                <w:color w:val="auto"/>
              </w:rPr>
            </w:pPr>
            <w:r>
              <w:rPr>
                <w:rFonts w:ascii="Arial" w:cs="Arial" w:eastAsia="Arial" w:hAnsi="Arial"/>
                <w:sz w:val="16"/>
                <w:szCs w:val="16"/>
                <w:color w:val="auto"/>
                <w:w w:val="92"/>
              </w:rPr>
              <w:t>Three Months Ended</w:t>
            </w:r>
          </w:p>
        </w:tc>
        <w:tc>
          <w:tcPr>
            <w:tcW w:w="2460" w:type="dxa"/>
            <w:vAlign w:val="bottom"/>
            <w:gridSpan w:val="2"/>
          </w:tcPr>
          <w:p>
            <w:pPr>
              <w:jc w:val="center"/>
              <w:ind w:right="79"/>
              <w:spacing w:after="0"/>
              <w:rPr>
                <w:sz w:val="20"/>
                <w:szCs w:val="20"/>
                <w:color w:val="auto"/>
              </w:rPr>
            </w:pPr>
            <w:r>
              <w:rPr>
                <w:rFonts w:ascii="Arial" w:cs="Arial" w:eastAsia="Arial" w:hAnsi="Arial"/>
                <w:sz w:val="16"/>
                <w:szCs w:val="16"/>
                <w:color w:val="auto"/>
                <w:w w:val="92"/>
              </w:rPr>
              <w:t>Nine Months Ended</w:t>
            </w:r>
          </w:p>
        </w:tc>
      </w:tr>
      <w:tr>
        <w:trPr>
          <w:trHeight w:val="206"/>
        </w:trPr>
        <w:tc>
          <w:tcPr>
            <w:tcW w:w="5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jc w:val="center"/>
              <w:ind w:left="759"/>
              <w:spacing w:after="0"/>
              <w:rPr>
                <w:sz w:val="20"/>
                <w:szCs w:val="20"/>
                <w:color w:val="auto"/>
              </w:rPr>
            </w:pPr>
            <w:r>
              <w:rPr>
                <w:rFonts w:ascii="Arial" w:cs="Arial" w:eastAsia="Arial" w:hAnsi="Arial"/>
                <w:sz w:val="16"/>
                <w:szCs w:val="16"/>
                <w:color w:val="auto"/>
                <w:w w:val="89"/>
              </w:rPr>
              <w:t>September 30,</w:t>
            </w:r>
          </w:p>
        </w:tc>
        <w:tc>
          <w:tcPr>
            <w:tcW w:w="1020" w:type="dxa"/>
            <w:vAlign w:val="bottom"/>
          </w:tcPr>
          <w:p>
            <w:pPr>
              <w:spacing w:after="0"/>
              <w:rPr>
                <w:sz w:val="17"/>
                <w:szCs w:val="17"/>
                <w:color w:val="auto"/>
              </w:rPr>
            </w:pPr>
          </w:p>
        </w:tc>
        <w:tc>
          <w:tcPr>
            <w:tcW w:w="1620" w:type="dxa"/>
            <w:vAlign w:val="bottom"/>
          </w:tcPr>
          <w:p>
            <w:pPr>
              <w:jc w:val="center"/>
              <w:ind w:left="599"/>
              <w:spacing w:after="0"/>
              <w:rPr>
                <w:sz w:val="20"/>
                <w:szCs w:val="20"/>
                <w:color w:val="auto"/>
              </w:rPr>
            </w:pPr>
            <w:r>
              <w:rPr>
                <w:rFonts w:ascii="Arial" w:cs="Arial" w:eastAsia="Arial" w:hAnsi="Arial"/>
                <w:sz w:val="16"/>
                <w:szCs w:val="16"/>
                <w:color w:val="auto"/>
                <w:w w:val="89"/>
              </w:rPr>
              <w:t>September 30,</w:t>
            </w:r>
          </w:p>
        </w:tc>
        <w:tc>
          <w:tcPr>
            <w:tcW w:w="840" w:type="dxa"/>
            <w:vAlign w:val="bottom"/>
          </w:tcPr>
          <w:p>
            <w:pPr>
              <w:spacing w:after="0"/>
              <w:rPr>
                <w:sz w:val="17"/>
                <w:szCs w:val="17"/>
                <w:color w:val="auto"/>
              </w:rPr>
            </w:pPr>
          </w:p>
        </w:tc>
      </w:tr>
      <w:tr>
        <w:trPr>
          <w:trHeight w:val="257"/>
        </w:trPr>
        <w:tc>
          <w:tcPr>
            <w:tcW w:w="5760" w:type="dxa"/>
            <w:vAlign w:val="bottom"/>
          </w:tcPr>
          <w:p>
            <w:pPr>
              <w:ind w:left="20"/>
              <w:spacing w:after="0"/>
              <w:rPr>
                <w:sz w:val="20"/>
                <w:szCs w:val="20"/>
                <w:color w:val="auto"/>
              </w:rPr>
            </w:pPr>
            <w:r>
              <w:rPr>
                <w:rFonts w:ascii="Arial" w:cs="Arial" w:eastAsia="Arial" w:hAnsi="Arial"/>
                <w:sz w:val="16"/>
                <w:szCs w:val="16"/>
                <w:color w:val="auto"/>
              </w:rPr>
              <w:t>Quantities Generated and Purchased (MWh)</w:t>
            </w:r>
          </w:p>
        </w:tc>
        <w:tc>
          <w:tcPr>
            <w:tcW w:w="1840" w:type="dxa"/>
            <w:vAlign w:val="bottom"/>
            <w:gridSpan w:val="2"/>
          </w:tcPr>
          <w:p>
            <w:pPr>
              <w:jc w:val="right"/>
              <w:ind w:right="919"/>
              <w:spacing w:after="0"/>
              <w:rPr>
                <w:sz w:val="20"/>
                <w:szCs w:val="20"/>
                <w:color w:val="auto"/>
              </w:rPr>
            </w:pPr>
            <w:r>
              <w:rPr>
                <w:rFonts w:ascii="Arial" w:cs="Arial" w:eastAsia="Arial" w:hAnsi="Arial"/>
                <w:sz w:val="16"/>
                <w:szCs w:val="16"/>
                <w:color w:val="auto"/>
              </w:rPr>
              <w:t>2019</w:t>
            </w:r>
          </w:p>
        </w:tc>
        <w:tc>
          <w:tcPr>
            <w:tcW w:w="1020" w:type="dxa"/>
            <w:vAlign w:val="bottom"/>
          </w:tcPr>
          <w:p>
            <w:pPr>
              <w:jc w:val="right"/>
              <w:ind w:right="599"/>
              <w:spacing w:after="0"/>
              <w:rPr>
                <w:sz w:val="20"/>
                <w:szCs w:val="20"/>
                <w:color w:val="auto"/>
              </w:rPr>
            </w:pPr>
            <w:r>
              <w:rPr>
                <w:rFonts w:ascii="Arial" w:cs="Arial" w:eastAsia="Arial" w:hAnsi="Arial"/>
                <w:sz w:val="16"/>
                <w:szCs w:val="16"/>
                <w:color w:val="auto"/>
                <w:w w:val="89"/>
              </w:rPr>
              <w:t>2018</w:t>
            </w:r>
          </w:p>
        </w:tc>
        <w:tc>
          <w:tcPr>
            <w:tcW w:w="1620" w:type="dxa"/>
            <w:vAlign w:val="bottom"/>
          </w:tcPr>
          <w:p>
            <w:pPr>
              <w:jc w:val="right"/>
              <w:ind w:right="899"/>
              <w:spacing w:after="0"/>
              <w:rPr>
                <w:sz w:val="20"/>
                <w:szCs w:val="20"/>
                <w:color w:val="auto"/>
              </w:rPr>
            </w:pPr>
            <w:r>
              <w:rPr>
                <w:rFonts w:ascii="Arial" w:cs="Arial" w:eastAsia="Arial" w:hAnsi="Arial"/>
                <w:sz w:val="16"/>
                <w:szCs w:val="16"/>
                <w:color w:val="auto"/>
              </w:rPr>
              <w:t>2019</w:t>
            </w:r>
          </w:p>
        </w:tc>
        <w:tc>
          <w:tcPr>
            <w:tcW w:w="840" w:type="dxa"/>
            <w:vAlign w:val="bottom"/>
          </w:tcPr>
          <w:p>
            <w:pPr>
              <w:jc w:val="right"/>
              <w:ind w:right="419"/>
              <w:spacing w:after="0"/>
              <w:rPr>
                <w:sz w:val="20"/>
                <w:szCs w:val="20"/>
                <w:color w:val="auto"/>
              </w:rPr>
            </w:pPr>
            <w:r>
              <w:rPr>
                <w:rFonts w:ascii="Arial" w:cs="Arial" w:eastAsia="Arial" w:hAnsi="Arial"/>
                <w:sz w:val="16"/>
                <w:szCs w:val="16"/>
                <w:color w:val="auto"/>
                <w:w w:val="89"/>
              </w:rPr>
              <w:t>2018</w:t>
            </w:r>
          </w:p>
        </w:tc>
      </w:tr>
      <w:tr>
        <w:trPr>
          <w:trHeight w:val="33"/>
        </w:trPr>
        <w:tc>
          <w:tcPr>
            <w:tcW w:w="5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5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7"/>
        </w:trPr>
        <w:tc>
          <w:tcPr>
            <w:tcW w:w="5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Coal-fired</w:t>
            </w:r>
          </w:p>
        </w:tc>
        <w:tc>
          <w:tcPr>
            <w:tcW w:w="1840" w:type="dxa"/>
            <w:vAlign w:val="bottom"/>
            <w:tcBorders>
              <w:bottom w:val="single" w:sz="8" w:color="CEFFE7"/>
            </w:tcBorders>
            <w:gridSpan w:val="2"/>
            <w:shd w:val="clear" w:color="auto" w:fill="CEFFE7"/>
          </w:tcPr>
          <w:p>
            <w:pPr>
              <w:jc w:val="right"/>
              <w:ind w:right="539"/>
              <w:spacing w:after="0"/>
              <w:rPr>
                <w:sz w:val="20"/>
                <w:szCs w:val="20"/>
                <w:color w:val="auto"/>
              </w:rPr>
            </w:pPr>
            <w:r>
              <w:rPr>
                <w:rFonts w:ascii="Arial" w:cs="Arial" w:eastAsia="Arial" w:hAnsi="Arial"/>
                <w:sz w:val="16"/>
                <w:szCs w:val="16"/>
                <w:color w:val="auto"/>
              </w:rPr>
              <w:t>564,220</w:t>
            </w:r>
          </w:p>
        </w:tc>
        <w:tc>
          <w:tcPr>
            <w:tcW w:w="102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608,417</w:t>
            </w:r>
          </w:p>
        </w:tc>
        <w:tc>
          <w:tcPr>
            <w:tcW w:w="1620" w:type="dxa"/>
            <w:vAlign w:val="bottom"/>
            <w:tcBorders>
              <w:bottom w:val="single" w:sz="8" w:color="CEFFE7"/>
            </w:tcBorders>
            <w:shd w:val="clear" w:color="auto" w:fill="CEFFE7"/>
          </w:tcPr>
          <w:p>
            <w:pPr>
              <w:jc w:val="right"/>
              <w:ind w:right="519"/>
              <w:spacing w:after="0"/>
              <w:rPr>
                <w:sz w:val="20"/>
                <w:szCs w:val="20"/>
                <w:color w:val="auto"/>
              </w:rPr>
            </w:pPr>
            <w:r>
              <w:rPr>
                <w:rFonts w:ascii="Arial" w:cs="Arial" w:eastAsia="Arial" w:hAnsi="Arial"/>
                <w:sz w:val="16"/>
                <w:szCs w:val="16"/>
                <w:color w:val="auto"/>
              </w:rPr>
              <w:t>1,621,355</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1,772,750</w:t>
            </w:r>
          </w:p>
        </w:tc>
      </w:tr>
      <w:tr>
        <w:trPr>
          <w:trHeight w:val="224"/>
        </w:trPr>
        <w:tc>
          <w:tcPr>
            <w:tcW w:w="5760" w:type="dxa"/>
            <w:vAlign w:val="bottom"/>
          </w:tcPr>
          <w:p>
            <w:pPr>
              <w:ind w:left="20"/>
              <w:spacing w:after="0"/>
              <w:rPr>
                <w:sz w:val="20"/>
                <w:szCs w:val="20"/>
                <w:color w:val="auto"/>
              </w:rPr>
            </w:pPr>
            <w:r>
              <w:rPr>
                <w:rFonts w:ascii="Arial" w:cs="Arial" w:eastAsia="Arial" w:hAnsi="Arial"/>
                <w:sz w:val="16"/>
                <w:szCs w:val="16"/>
                <w:color w:val="auto"/>
              </w:rPr>
              <w:t>Natural Gas and Oil</w:t>
            </w:r>
          </w:p>
        </w:tc>
        <w:tc>
          <w:tcPr>
            <w:tcW w:w="1840" w:type="dxa"/>
            <w:vAlign w:val="bottom"/>
            <w:gridSpan w:val="2"/>
          </w:tcPr>
          <w:p>
            <w:pPr>
              <w:jc w:val="right"/>
              <w:ind w:right="539"/>
              <w:spacing w:after="0"/>
              <w:rPr>
                <w:sz w:val="20"/>
                <w:szCs w:val="20"/>
                <w:color w:val="auto"/>
              </w:rPr>
            </w:pPr>
            <w:r>
              <w:rPr>
                <w:rFonts w:ascii="Arial" w:cs="Arial" w:eastAsia="Arial" w:hAnsi="Arial"/>
                <w:sz w:val="16"/>
                <w:szCs w:val="16"/>
                <w:color w:val="auto"/>
              </w:rPr>
              <w:t>234,366</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199,351</w:t>
            </w:r>
          </w:p>
        </w:tc>
        <w:tc>
          <w:tcPr>
            <w:tcW w:w="1620" w:type="dxa"/>
            <w:vAlign w:val="bottom"/>
          </w:tcPr>
          <w:p>
            <w:pPr>
              <w:jc w:val="right"/>
              <w:ind w:right="519"/>
              <w:spacing w:after="0"/>
              <w:rPr>
                <w:sz w:val="20"/>
                <w:szCs w:val="20"/>
                <w:color w:val="auto"/>
              </w:rPr>
            </w:pPr>
            <w:r>
              <w:rPr>
                <w:rFonts w:ascii="Arial" w:cs="Arial" w:eastAsia="Arial" w:hAnsi="Arial"/>
                <w:sz w:val="16"/>
                <w:szCs w:val="16"/>
                <w:color w:val="auto"/>
              </w:rPr>
              <w:t>445,498</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345,978</w:t>
            </w:r>
          </w:p>
        </w:tc>
      </w:tr>
      <w:tr>
        <w:trPr>
          <w:trHeight w:val="33"/>
        </w:trPr>
        <w:tc>
          <w:tcPr>
            <w:tcW w:w="5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5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1840" w:type="dxa"/>
            <w:vAlign w:val="bottom"/>
            <w:tcBorders>
              <w:bottom w:val="single" w:sz="8" w:color="CEFFE7"/>
            </w:tcBorders>
            <w:gridSpan w:val="2"/>
            <w:shd w:val="clear" w:color="auto" w:fill="CEFFE7"/>
          </w:tcPr>
          <w:p>
            <w:pPr>
              <w:jc w:val="right"/>
              <w:ind w:right="539"/>
              <w:spacing w:after="0"/>
              <w:rPr>
                <w:sz w:val="20"/>
                <w:szCs w:val="20"/>
                <w:color w:val="auto"/>
              </w:rPr>
            </w:pPr>
            <w:r>
              <w:rPr>
                <w:rFonts w:ascii="Arial" w:cs="Arial" w:eastAsia="Arial" w:hAnsi="Arial"/>
                <w:sz w:val="16"/>
                <w:szCs w:val="16"/>
                <w:color w:val="auto"/>
              </w:rPr>
              <w:t>55,407</w:t>
            </w:r>
          </w:p>
        </w:tc>
        <w:tc>
          <w:tcPr>
            <w:tcW w:w="102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54,450</w:t>
            </w:r>
          </w:p>
        </w:tc>
        <w:tc>
          <w:tcPr>
            <w:tcW w:w="1620" w:type="dxa"/>
            <w:vAlign w:val="bottom"/>
            <w:tcBorders>
              <w:bottom w:val="single" w:sz="8" w:color="CEFFE7"/>
            </w:tcBorders>
            <w:shd w:val="clear" w:color="auto" w:fill="CEFFE7"/>
          </w:tcPr>
          <w:p>
            <w:pPr>
              <w:jc w:val="right"/>
              <w:ind w:right="519"/>
              <w:spacing w:after="0"/>
              <w:rPr>
                <w:sz w:val="20"/>
                <w:szCs w:val="20"/>
                <w:color w:val="auto"/>
              </w:rPr>
            </w:pPr>
            <w:r>
              <w:rPr>
                <w:rFonts w:ascii="Arial" w:cs="Arial" w:eastAsia="Arial" w:hAnsi="Arial"/>
                <w:sz w:val="16"/>
                <w:szCs w:val="16"/>
                <w:color w:val="auto"/>
              </w:rPr>
              <w:t>167,331</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196,932</w:t>
            </w:r>
          </w:p>
        </w:tc>
      </w:tr>
      <w:tr>
        <w:trPr>
          <w:trHeight w:val="217"/>
        </w:trPr>
        <w:tc>
          <w:tcPr>
            <w:tcW w:w="5760" w:type="dxa"/>
            <w:vAlign w:val="bottom"/>
          </w:tcPr>
          <w:p>
            <w:pPr>
              <w:ind w:left="260"/>
              <w:spacing w:after="0"/>
              <w:rPr>
                <w:sz w:val="20"/>
                <w:szCs w:val="20"/>
                <w:color w:val="auto"/>
              </w:rPr>
            </w:pPr>
            <w:r>
              <w:rPr>
                <w:rFonts w:ascii="Arial" w:cs="Arial" w:eastAsia="Arial" w:hAnsi="Arial"/>
                <w:sz w:val="16"/>
                <w:szCs w:val="16"/>
                <w:color w:val="auto"/>
              </w:rPr>
              <w:t>Total Generated</w:t>
            </w:r>
          </w:p>
        </w:tc>
        <w:tc>
          <w:tcPr>
            <w:tcW w:w="1840" w:type="dxa"/>
            <w:vAlign w:val="bottom"/>
            <w:tcBorders>
              <w:top w:val="single" w:sz="8" w:color="auto"/>
            </w:tcBorders>
            <w:gridSpan w:val="2"/>
          </w:tcPr>
          <w:p>
            <w:pPr>
              <w:jc w:val="right"/>
              <w:ind w:right="539"/>
              <w:spacing w:after="0"/>
              <w:rPr>
                <w:sz w:val="20"/>
                <w:szCs w:val="20"/>
                <w:color w:val="auto"/>
              </w:rPr>
            </w:pPr>
            <w:r>
              <w:rPr>
                <w:rFonts w:ascii="Arial" w:cs="Arial" w:eastAsia="Arial" w:hAnsi="Arial"/>
                <w:sz w:val="16"/>
                <w:szCs w:val="16"/>
                <w:color w:val="auto"/>
              </w:rPr>
              <w:t>853,993</w:t>
            </w:r>
          </w:p>
        </w:tc>
        <w:tc>
          <w:tcPr>
            <w:tcW w:w="10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862,218</w:t>
            </w:r>
          </w:p>
        </w:tc>
        <w:tc>
          <w:tcPr>
            <w:tcW w:w="162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2,234,184</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2,315,660</w:t>
            </w:r>
          </w:p>
        </w:tc>
      </w:tr>
      <w:tr>
        <w:trPr>
          <w:trHeight w:val="33"/>
        </w:trPr>
        <w:tc>
          <w:tcPr>
            <w:tcW w:w="5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5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Purchased</w:t>
            </w:r>
          </w:p>
        </w:tc>
        <w:tc>
          <w:tcPr>
            <w:tcW w:w="1840" w:type="dxa"/>
            <w:vAlign w:val="bottom"/>
            <w:tcBorders>
              <w:bottom w:val="single" w:sz="8" w:color="CEFFE7"/>
            </w:tcBorders>
            <w:gridSpan w:val="2"/>
            <w:shd w:val="clear" w:color="auto" w:fill="CEFFE7"/>
          </w:tcPr>
          <w:p>
            <w:pPr>
              <w:jc w:val="right"/>
              <w:ind w:right="539"/>
              <w:spacing w:after="0"/>
              <w:rPr>
                <w:sz w:val="20"/>
                <w:szCs w:val="20"/>
                <w:color w:val="auto"/>
              </w:rPr>
            </w:pPr>
            <w:r>
              <w:rPr>
                <w:rFonts w:ascii="Arial" w:cs="Arial" w:eastAsia="Arial" w:hAnsi="Arial"/>
                <w:sz w:val="16"/>
                <w:szCs w:val="16"/>
                <w:color w:val="auto"/>
              </w:rPr>
              <w:t>1,102,102</w:t>
            </w:r>
          </w:p>
        </w:tc>
        <w:tc>
          <w:tcPr>
            <w:tcW w:w="102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w w:val="98"/>
              </w:rPr>
              <w:t>1,083,897</w:t>
            </w:r>
          </w:p>
        </w:tc>
        <w:tc>
          <w:tcPr>
            <w:tcW w:w="1620" w:type="dxa"/>
            <w:vAlign w:val="bottom"/>
            <w:tcBorders>
              <w:bottom w:val="single" w:sz="8" w:color="CEFFE7"/>
            </w:tcBorders>
            <w:shd w:val="clear" w:color="auto" w:fill="CEFFE7"/>
          </w:tcPr>
          <w:p>
            <w:pPr>
              <w:jc w:val="right"/>
              <w:ind w:right="519"/>
              <w:spacing w:after="0"/>
              <w:rPr>
                <w:sz w:val="20"/>
                <w:szCs w:val="20"/>
                <w:color w:val="auto"/>
              </w:rPr>
            </w:pPr>
            <w:r>
              <w:rPr>
                <w:rFonts w:ascii="Arial" w:cs="Arial" w:eastAsia="Arial" w:hAnsi="Arial"/>
                <w:sz w:val="16"/>
                <w:szCs w:val="16"/>
                <w:color w:val="auto"/>
              </w:rPr>
              <w:t>3,235,891</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3,230,961</w:t>
            </w:r>
          </w:p>
        </w:tc>
      </w:tr>
      <w:tr>
        <w:trPr>
          <w:trHeight w:val="244"/>
        </w:trPr>
        <w:tc>
          <w:tcPr>
            <w:tcW w:w="5760" w:type="dxa"/>
            <w:vAlign w:val="bottom"/>
          </w:tcPr>
          <w:p>
            <w:pPr>
              <w:ind w:left="260"/>
              <w:spacing w:after="0"/>
              <w:rPr>
                <w:sz w:val="20"/>
                <w:szCs w:val="20"/>
                <w:color w:val="auto"/>
              </w:rPr>
            </w:pPr>
            <w:r>
              <w:rPr>
                <w:rFonts w:ascii="Arial" w:cs="Arial" w:eastAsia="Arial" w:hAnsi="Arial"/>
                <w:sz w:val="16"/>
                <w:szCs w:val="16"/>
                <w:color w:val="auto"/>
              </w:rPr>
              <w:t>Total Generated and Purchased</w:t>
            </w:r>
          </w:p>
        </w:tc>
        <w:tc>
          <w:tcPr>
            <w:tcW w:w="1840" w:type="dxa"/>
            <w:vAlign w:val="bottom"/>
            <w:tcBorders>
              <w:top w:val="single" w:sz="8" w:color="auto"/>
              <w:bottom w:val="single" w:sz="8" w:color="auto"/>
            </w:tcBorders>
            <w:gridSpan w:val="2"/>
          </w:tcPr>
          <w:p>
            <w:pPr>
              <w:jc w:val="right"/>
              <w:ind w:right="539"/>
              <w:spacing w:after="0"/>
              <w:rPr>
                <w:sz w:val="20"/>
                <w:szCs w:val="20"/>
                <w:color w:val="auto"/>
              </w:rPr>
            </w:pPr>
            <w:r>
              <w:rPr>
                <w:rFonts w:ascii="Arial" w:cs="Arial" w:eastAsia="Arial" w:hAnsi="Arial"/>
                <w:sz w:val="16"/>
                <w:szCs w:val="16"/>
                <w:color w:val="auto"/>
              </w:rPr>
              <w:t>1,956,095</w:t>
            </w:r>
          </w:p>
        </w:tc>
        <w:tc>
          <w:tcPr>
            <w:tcW w:w="10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98"/>
              </w:rPr>
              <w:t>1,946,115</w:t>
            </w:r>
          </w:p>
        </w:tc>
        <w:tc>
          <w:tcPr>
            <w:tcW w:w="16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color w:val="auto"/>
              </w:rPr>
              <w:t>5,470,075</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5,546,621</w:t>
            </w:r>
          </w:p>
        </w:tc>
      </w:tr>
      <w:tr>
        <w:trPr>
          <w:trHeight w:val="20"/>
        </w:trPr>
        <w:tc>
          <w:tcPr>
            <w:tcW w:w="5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gridSpan w:val="2"/>
          </w:tcPr>
          <w:p>
            <w:pPr>
              <w:spacing w:after="0" w:line="20" w:lineRule="exact"/>
              <w:rPr>
                <w:sz w:val="1"/>
                <w:szCs w:val="1"/>
                <w:color w:val="auto"/>
              </w:rPr>
            </w:pPr>
          </w:p>
        </w:tc>
        <w:tc>
          <w:tcPr>
            <w:tcW w:w="2460" w:type="dxa"/>
            <w:vAlign w:val="bottom"/>
            <w:tcBorders>
              <w:bottom w:val="single" w:sz="8" w:color="auto"/>
            </w:tcBorders>
            <w:gridSpan w:val="2"/>
          </w:tcPr>
          <w:p>
            <w:pPr>
              <w:spacing w:after="0" w:line="20" w:lineRule="exact"/>
              <w:rPr>
                <w:sz w:val="1"/>
                <w:szCs w:val="1"/>
                <w:color w:val="auto"/>
              </w:rPr>
            </w:pPr>
          </w:p>
        </w:tc>
      </w:tr>
      <w:tr>
        <w:trPr>
          <w:trHeight w:val="531"/>
        </w:trPr>
        <w:tc>
          <w:tcPr>
            <w:tcW w:w="5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gridSpan w:val="2"/>
          </w:tcPr>
          <w:p>
            <w:pPr>
              <w:jc w:val="center"/>
              <w:ind w:right="99"/>
              <w:spacing w:after="0"/>
              <w:rPr>
                <w:sz w:val="20"/>
                <w:szCs w:val="20"/>
                <w:color w:val="auto"/>
              </w:rPr>
            </w:pPr>
            <w:r>
              <w:rPr>
                <w:rFonts w:ascii="Arial" w:cs="Arial" w:eastAsia="Arial" w:hAnsi="Arial"/>
                <w:sz w:val="16"/>
                <w:szCs w:val="16"/>
                <w:color w:val="auto"/>
                <w:w w:val="92"/>
              </w:rPr>
              <w:t>Three Months Ended</w:t>
            </w:r>
          </w:p>
        </w:tc>
        <w:tc>
          <w:tcPr>
            <w:tcW w:w="2460" w:type="dxa"/>
            <w:vAlign w:val="bottom"/>
            <w:gridSpan w:val="2"/>
          </w:tcPr>
          <w:p>
            <w:pPr>
              <w:jc w:val="center"/>
              <w:ind w:right="79"/>
              <w:spacing w:after="0"/>
              <w:rPr>
                <w:sz w:val="20"/>
                <w:szCs w:val="20"/>
                <w:color w:val="auto"/>
              </w:rPr>
            </w:pPr>
            <w:r>
              <w:rPr>
                <w:rFonts w:ascii="Arial" w:cs="Arial" w:eastAsia="Arial" w:hAnsi="Arial"/>
                <w:sz w:val="16"/>
                <w:szCs w:val="16"/>
                <w:color w:val="auto"/>
                <w:w w:val="92"/>
              </w:rPr>
              <w:t>Nine Months Ended</w:t>
            </w:r>
          </w:p>
        </w:tc>
      </w:tr>
      <w:tr>
        <w:trPr>
          <w:trHeight w:val="206"/>
        </w:trPr>
        <w:tc>
          <w:tcPr>
            <w:tcW w:w="5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jc w:val="center"/>
              <w:ind w:left="759"/>
              <w:spacing w:after="0"/>
              <w:rPr>
                <w:sz w:val="20"/>
                <w:szCs w:val="20"/>
                <w:color w:val="auto"/>
              </w:rPr>
            </w:pPr>
            <w:r>
              <w:rPr>
                <w:rFonts w:ascii="Arial" w:cs="Arial" w:eastAsia="Arial" w:hAnsi="Arial"/>
                <w:sz w:val="16"/>
                <w:szCs w:val="16"/>
                <w:color w:val="auto"/>
                <w:w w:val="89"/>
              </w:rPr>
              <w:t>September 30,</w:t>
            </w:r>
          </w:p>
        </w:tc>
        <w:tc>
          <w:tcPr>
            <w:tcW w:w="1020" w:type="dxa"/>
            <w:vAlign w:val="bottom"/>
          </w:tcPr>
          <w:p>
            <w:pPr>
              <w:spacing w:after="0"/>
              <w:rPr>
                <w:sz w:val="17"/>
                <w:szCs w:val="17"/>
                <w:color w:val="auto"/>
              </w:rPr>
            </w:pPr>
          </w:p>
        </w:tc>
        <w:tc>
          <w:tcPr>
            <w:tcW w:w="1620" w:type="dxa"/>
            <w:vAlign w:val="bottom"/>
          </w:tcPr>
          <w:p>
            <w:pPr>
              <w:jc w:val="center"/>
              <w:ind w:left="599"/>
              <w:spacing w:after="0"/>
              <w:rPr>
                <w:sz w:val="20"/>
                <w:szCs w:val="20"/>
                <w:color w:val="auto"/>
              </w:rPr>
            </w:pPr>
            <w:r>
              <w:rPr>
                <w:rFonts w:ascii="Arial" w:cs="Arial" w:eastAsia="Arial" w:hAnsi="Arial"/>
                <w:sz w:val="16"/>
                <w:szCs w:val="16"/>
                <w:color w:val="auto"/>
                <w:w w:val="89"/>
              </w:rPr>
              <w:t>September 30,</w:t>
            </w:r>
          </w:p>
        </w:tc>
        <w:tc>
          <w:tcPr>
            <w:tcW w:w="840" w:type="dxa"/>
            <w:vAlign w:val="bottom"/>
          </w:tcPr>
          <w:p>
            <w:pPr>
              <w:spacing w:after="0"/>
              <w:rPr>
                <w:sz w:val="17"/>
                <w:szCs w:val="17"/>
                <w:color w:val="auto"/>
              </w:rPr>
            </w:pPr>
          </w:p>
        </w:tc>
      </w:tr>
      <w:tr>
        <w:trPr>
          <w:trHeight w:val="257"/>
        </w:trPr>
        <w:tc>
          <w:tcPr>
            <w:tcW w:w="5760" w:type="dxa"/>
            <w:vAlign w:val="bottom"/>
          </w:tcPr>
          <w:p>
            <w:pPr>
              <w:ind w:left="20"/>
              <w:spacing w:after="0"/>
              <w:rPr>
                <w:sz w:val="20"/>
                <w:szCs w:val="20"/>
                <w:color w:val="auto"/>
              </w:rPr>
            </w:pPr>
            <w:r>
              <w:rPr>
                <w:rFonts w:ascii="Arial" w:cs="Arial" w:eastAsia="Arial" w:hAnsi="Arial"/>
                <w:sz w:val="16"/>
                <w:szCs w:val="16"/>
                <w:color w:val="auto"/>
              </w:rPr>
              <w:t>Quantities Generated and Purchased (MWh)</w:t>
            </w:r>
          </w:p>
        </w:tc>
        <w:tc>
          <w:tcPr>
            <w:tcW w:w="1840" w:type="dxa"/>
            <w:vAlign w:val="bottom"/>
            <w:gridSpan w:val="2"/>
          </w:tcPr>
          <w:p>
            <w:pPr>
              <w:jc w:val="right"/>
              <w:ind w:right="919"/>
              <w:spacing w:after="0"/>
              <w:rPr>
                <w:sz w:val="20"/>
                <w:szCs w:val="20"/>
                <w:color w:val="auto"/>
              </w:rPr>
            </w:pPr>
            <w:r>
              <w:rPr>
                <w:rFonts w:ascii="Arial" w:cs="Arial" w:eastAsia="Arial" w:hAnsi="Arial"/>
                <w:sz w:val="16"/>
                <w:szCs w:val="16"/>
                <w:color w:val="auto"/>
              </w:rPr>
              <w:t>2019</w:t>
            </w:r>
          </w:p>
        </w:tc>
        <w:tc>
          <w:tcPr>
            <w:tcW w:w="1020" w:type="dxa"/>
            <w:vAlign w:val="bottom"/>
          </w:tcPr>
          <w:p>
            <w:pPr>
              <w:jc w:val="right"/>
              <w:ind w:right="619"/>
              <w:spacing w:after="0"/>
              <w:rPr>
                <w:sz w:val="20"/>
                <w:szCs w:val="20"/>
                <w:color w:val="auto"/>
              </w:rPr>
            </w:pPr>
            <w:r>
              <w:rPr>
                <w:rFonts w:ascii="Arial" w:cs="Arial" w:eastAsia="Arial" w:hAnsi="Arial"/>
                <w:sz w:val="16"/>
                <w:szCs w:val="16"/>
                <w:color w:val="auto"/>
                <w:w w:val="84"/>
              </w:rPr>
              <w:t>2018</w:t>
            </w:r>
          </w:p>
        </w:tc>
        <w:tc>
          <w:tcPr>
            <w:tcW w:w="1620" w:type="dxa"/>
            <w:vAlign w:val="bottom"/>
          </w:tcPr>
          <w:p>
            <w:pPr>
              <w:jc w:val="right"/>
              <w:ind w:right="899"/>
              <w:spacing w:after="0"/>
              <w:rPr>
                <w:sz w:val="20"/>
                <w:szCs w:val="20"/>
                <w:color w:val="auto"/>
              </w:rPr>
            </w:pPr>
            <w:r>
              <w:rPr>
                <w:rFonts w:ascii="Arial" w:cs="Arial" w:eastAsia="Arial" w:hAnsi="Arial"/>
                <w:sz w:val="16"/>
                <w:szCs w:val="16"/>
                <w:color w:val="auto"/>
              </w:rPr>
              <w:t>2019</w:t>
            </w:r>
          </w:p>
        </w:tc>
        <w:tc>
          <w:tcPr>
            <w:tcW w:w="840" w:type="dxa"/>
            <w:vAlign w:val="bottom"/>
          </w:tcPr>
          <w:p>
            <w:pPr>
              <w:jc w:val="right"/>
              <w:ind w:right="419"/>
              <w:spacing w:after="0"/>
              <w:rPr>
                <w:sz w:val="20"/>
                <w:szCs w:val="20"/>
                <w:color w:val="auto"/>
              </w:rPr>
            </w:pPr>
            <w:r>
              <w:rPr>
                <w:rFonts w:ascii="Arial" w:cs="Arial" w:eastAsia="Arial" w:hAnsi="Arial"/>
                <w:sz w:val="16"/>
                <w:szCs w:val="16"/>
                <w:color w:val="auto"/>
                <w:w w:val="89"/>
              </w:rPr>
              <w:t>2018</w:t>
            </w:r>
          </w:p>
        </w:tc>
      </w:tr>
      <w:tr>
        <w:trPr>
          <w:trHeight w:val="33"/>
        </w:trPr>
        <w:tc>
          <w:tcPr>
            <w:tcW w:w="5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5760" w:type="dxa"/>
            <w:vAlign w:val="bottom"/>
          </w:tcPr>
          <w:p>
            <w:pPr>
              <w:ind w:left="20"/>
              <w:spacing w:after="0"/>
              <w:rPr>
                <w:sz w:val="20"/>
                <w:szCs w:val="20"/>
                <w:color w:val="auto"/>
              </w:rPr>
            </w:pPr>
            <w:r>
              <w:rPr>
                <w:rFonts w:ascii="Arial" w:cs="Arial" w:eastAsia="Arial" w:hAnsi="Arial"/>
                <w:sz w:val="16"/>
                <w:szCs w:val="16"/>
                <w:color w:val="auto"/>
              </w:rPr>
              <w:t>Generated:</w:t>
            </w:r>
          </w:p>
        </w:tc>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57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Colorado Electric</w:t>
            </w:r>
          </w:p>
        </w:tc>
        <w:tc>
          <w:tcPr>
            <w:tcW w:w="1840" w:type="dxa"/>
            <w:vAlign w:val="bottom"/>
            <w:tcBorders>
              <w:bottom w:val="single" w:sz="8" w:color="CEFFE7"/>
            </w:tcBorders>
            <w:gridSpan w:val="2"/>
            <w:shd w:val="clear" w:color="auto" w:fill="CEFFE7"/>
          </w:tcPr>
          <w:p>
            <w:pPr>
              <w:jc w:val="right"/>
              <w:ind w:right="519"/>
              <w:spacing w:after="0"/>
              <w:rPr>
                <w:sz w:val="20"/>
                <w:szCs w:val="20"/>
                <w:color w:val="auto"/>
              </w:rPr>
            </w:pPr>
            <w:r>
              <w:rPr>
                <w:rFonts w:ascii="Arial" w:cs="Arial" w:eastAsia="Arial" w:hAnsi="Arial"/>
                <w:sz w:val="16"/>
                <w:szCs w:val="16"/>
                <w:color w:val="auto"/>
              </w:rPr>
              <w:t>149,509</w:t>
            </w:r>
          </w:p>
        </w:tc>
        <w:tc>
          <w:tcPr>
            <w:tcW w:w="102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163,276</w:t>
            </w:r>
          </w:p>
        </w:tc>
        <w:tc>
          <w:tcPr>
            <w:tcW w:w="1620" w:type="dxa"/>
            <w:vAlign w:val="bottom"/>
            <w:tcBorders>
              <w:bottom w:val="single" w:sz="8" w:color="CEFFE7"/>
            </w:tcBorders>
            <w:shd w:val="clear" w:color="auto" w:fill="CEFFE7"/>
          </w:tcPr>
          <w:p>
            <w:pPr>
              <w:jc w:val="right"/>
              <w:ind w:right="519"/>
              <w:spacing w:after="0"/>
              <w:rPr>
                <w:sz w:val="20"/>
                <w:szCs w:val="20"/>
                <w:color w:val="auto"/>
              </w:rPr>
            </w:pPr>
            <w:r>
              <w:rPr>
                <w:rFonts w:ascii="Arial" w:cs="Arial" w:eastAsia="Arial" w:hAnsi="Arial"/>
                <w:sz w:val="16"/>
                <w:szCs w:val="16"/>
                <w:color w:val="auto"/>
              </w:rPr>
              <w:t>341,925</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388,251</w:t>
            </w:r>
          </w:p>
        </w:tc>
      </w:tr>
      <w:tr>
        <w:trPr>
          <w:trHeight w:val="224"/>
        </w:trPr>
        <w:tc>
          <w:tcPr>
            <w:tcW w:w="5760" w:type="dxa"/>
            <w:vAlign w:val="bottom"/>
          </w:tcPr>
          <w:p>
            <w:pPr>
              <w:ind w:left="260"/>
              <w:spacing w:after="0"/>
              <w:rPr>
                <w:sz w:val="20"/>
                <w:szCs w:val="20"/>
                <w:color w:val="auto"/>
              </w:rPr>
            </w:pPr>
            <w:r>
              <w:rPr>
                <w:rFonts w:ascii="Arial" w:cs="Arial" w:eastAsia="Arial" w:hAnsi="Arial"/>
                <w:sz w:val="16"/>
                <w:szCs w:val="16"/>
                <w:color w:val="auto"/>
              </w:rPr>
              <w:t>South Dakota Electric</w:t>
            </w:r>
          </w:p>
        </w:tc>
        <w:tc>
          <w:tcPr>
            <w:tcW w:w="1840" w:type="dxa"/>
            <w:vAlign w:val="bottom"/>
            <w:gridSpan w:val="2"/>
          </w:tcPr>
          <w:p>
            <w:pPr>
              <w:jc w:val="right"/>
              <w:ind w:right="519"/>
              <w:spacing w:after="0"/>
              <w:rPr>
                <w:sz w:val="20"/>
                <w:szCs w:val="20"/>
                <w:color w:val="auto"/>
              </w:rPr>
            </w:pPr>
            <w:r>
              <w:rPr>
                <w:rFonts w:ascii="Arial" w:cs="Arial" w:eastAsia="Arial" w:hAnsi="Arial"/>
                <w:sz w:val="16"/>
                <w:szCs w:val="16"/>
                <w:color w:val="auto"/>
              </w:rPr>
              <w:t>489,042</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469,680</w:t>
            </w:r>
          </w:p>
        </w:tc>
        <w:tc>
          <w:tcPr>
            <w:tcW w:w="1620" w:type="dxa"/>
            <w:vAlign w:val="bottom"/>
          </w:tcPr>
          <w:p>
            <w:pPr>
              <w:jc w:val="right"/>
              <w:ind w:right="519"/>
              <w:spacing w:after="0"/>
              <w:rPr>
                <w:sz w:val="20"/>
                <w:szCs w:val="20"/>
                <w:color w:val="auto"/>
              </w:rPr>
            </w:pPr>
            <w:r>
              <w:rPr>
                <w:rFonts w:ascii="Arial" w:cs="Arial" w:eastAsia="Arial" w:hAnsi="Arial"/>
                <w:sz w:val="16"/>
                <w:szCs w:val="16"/>
                <w:color w:val="auto"/>
              </w:rPr>
              <w:t>1,262,336</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1,293,713</w:t>
            </w:r>
          </w:p>
        </w:tc>
      </w:tr>
      <w:tr>
        <w:trPr>
          <w:trHeight w:val="33"/>
        </w:trPr>
        <w:tc>
          <w:tcPr>
            <w:tcW w:w="5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57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Wyoming Electric</w:t>
            </w:r>
          </w:p>
        </w:tc>
        <w:tc>
          <w:tcPr>
            <w:tcW w:w="20" w:type="dxa"/>
            <w:vAlign w:val="bottom"/>
            <w:tcBorders>
              <w:bottom w:val="single" w:sz="8" w:color="CEFFE7"/>
            </w:tcBorders>
            <w:shd w:val="clear" w:color="auto" w:fill="CEFFE7"/>
          </w:tcPr>
          <w:p>
            <w:pPr>
              <w:spacing w:after="0"/>
              <w:rPr>
                <w:sz w:val="22"/>
                <w:szCs w:val="22"/>
                <w:color w:val="auto"/>
              </w:rPr>
            </w:pPr>
          </w:p>
        </w:tc>
        <w:tc>
          <w:tcPr>
            <w:tcW w:w="1820" w:type="dxa"/>
            <w:vAlign w:val="bottom"/>
            <w:tcBorders>
              <w:bottom w:val="single" w:sz="8" w:color="CEFFE7"/>
            </w:tcBorders>
            <w:shd w:val="clear" w:color="auto" w:fill="CEFFE7"/>
          </w:tcPr>
          <w:p>
            <w:pPr>
              <w:jc w:val="right"/>
              <w:ind w:right="519"/>
              <w:spacing w:after="0"/>
              <w:rPr>
                <w:sz w:val="20"/>
                <w:szCs w:val="20"/>
                <w:color w:val="auto"/>
              </w:rPr>
            </w:pPr>
            <w:r>
              <w:rPr>
                <w:rFonts w:ascii="Arial" w:cs="Arial" w:eastAsia="Arial" w:hAnsi="Arial"/>
                <w:sz w:val="16"/>
                <w:szCs w:val="16"/>
                <w:color w:val="auto"/>
              </w:rPr>
              <w:t>215,442</w:t>
            </w:r>
          </w:p>
        </w:tc>
        <w:tc>
          <w:tcPr>
            <w:tcW w:w="102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229,262</w:t>
            </w:r>
          </w:p>
        </w:tc>
        <w:tc>
          <w:tcPr>
            <w:tcW w:w="1620" w:type="dxa"/>
            <w:vAlign w:val="bottom"/>
            <w:tcBorders>
              <w:bottom w:val="single" w:sz="8" w:color="CEFFE7"/>
            </w:tcBorders>
            <w:shd w:val="clear" w:color="auto" w:fill="CEFFE7"/>
          </w:tcPr>
          <w:p>
            <w:pPr>
              <w:jc w:val="right"/>
              <w:ind w:right="519"/>
              <w:spacing w:after="0"/>
              <w:rPr>
                <w:sz w:val="20"/>
                <w:szCs w:val="20"/>
                <w:color w:val="auto"/>
              </w:rPr>
            </w:pPr>
            <w:r>
              <w:rPr>
                <w:rFonts w:ascii="Arial" w:cs="Arial" w:eastAsia="Arial" w:hAnsi="Arial"/>
                <w:sz w:val="16"/>
                <w:szCs w:val="16"/>
                <w:color w:val="auto"/>
              </w:rPr>
              <w:t>629,923</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633,696</w:t>
            </w:r>
          </w:p>
        </w:tc>
      </w:tr>
      <w:tr>
        <w:trPr>
          <w:trHeight w:val="217"/>
        </w:trPr>
        <w:tc>
          <w:tcPr>
            <w:tcW w:w="5760" w:type="dxa"/>
            <w:vAlign w:val="bottom"/>
          </w:tcPr>
          <w:p>
            <w:pPr>
              <w:ind w:left="480"/>
              <w:spacing w:after="0"/>
              <w:rPr>
                <w:sz w:val="20"/>
                <w:szCs w:val="20"/>
                <w:color w:val="auto"/>
              </w:rPr>
            </w:pPr>
            <w:r>
              <w:rPr>
                <w:rFonts w:ascii="Arial" w:cs="Arial" w:eastAsia="Arial" w:hAnsi="Arial"/>
                <w:sz w:val="16"/>
                <w:szCs w:val="16"/>
                <w:color w:val="auto"/>
              </w:rPr>
              <w:t>Total Generated</w:t>
            </w:r>
          </w:p>
        </w:tc>
        <w:tc>
          <w:tcPr>
            <w:tcW w:w="20" w:type="dxa"/>
            <w:vAlign w:val="bottom"/>
          </w:tcPr>
          <w:p>
            <w:pPr>
              <w:spacing w:after="0"/>
              <w:rPr>
                <w:sz w:val="18"/>
                <w:szCs w:val="18"/>
                <w:color w:val="auto"/>
              </w:rPr>
            </w:pPr>
          </w:p>
        </w:tc>
        <w:tc>
          <w:tcPr>
            <w:tcW w:w="182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853,993</w:t>
            </w:r>
          </w:p>
        </w:tc>
        <w:tc>
          <w:tcPr>
            <w:tcW w:w="10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862,218</w:t>
            </w:r>
          </w:p>
        </w:tc>
        <w:tc>
          <w:tcPr>
            <w:tcW w:w="162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2,234,184</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2,315,660</w:t>
            </w:r>
          </w:p>
        </w:tc>
      </w:tr>
      <w:tr>
        <w:trPr>
          <w:trHeight w:val="33"/>
        </w:trPr>
        <w:tc>
          <w:tcPr>
            <w:tcW w:w="576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Purchased:</w:t>
            </w:r>
          </w:p>
        </w:tc>
        <w:tc>
          <w:tcPr>
            <w:tcW w:w="2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r>
      <w:tr>
        <w:trPr>
          <w:trHeight w:val="224"/>
        </w:trPr>
        <w:tc>
          <w:tcPr>
            <w:tcW w:w="5760" w:type="dxa"/>
            <w:vAlign w:val="bottom"/>
          </w:tcPr>
          <w:p>
            <w:pPr>
              <w:ind w:left="260"/>
              <w:spacing w:after="0"/>
              <w:rPr>
                <w:sz w:val="20"/>
                <w:szCs w:val="20"/>
                <w:color w:val="auto"/>
              </w:rPr>
            </w:pPr>
            <w:r>
              <w:rPr>
                <w:rFonts w:ascii="Arial" w:cs="Arial" w:eastAsia="Arial" w:hAnsi="Arial"/>
                <w:sz w:val="16"/>
                <w:szCs w:val="16"/>
                <w:color w:val="auto"/>
              </w:rPr>
              <w:t>Colorado Electric</w:t>
            </w:r>
          </w:p>
        </w:tc>
        <w:tc>
          <w:tcPr>
            <w:tcW w:w="1840" w:type="dxa"/>
            <w:vAlign w:val="bottom"/>
            <w:gridSpan w:val="2"/>
          </w:tcPr>
          <w:p>
            <w:pPr>
              <w:jc w:val="right"/>
              <w:ind w:right="519"/>
              <w:spacing w:after="0"/>
              <w:rPr>
                <w:sz w:val="20"/>
                <w:szCs w:val="20"/>
                <w:color w:val="auto"/>
              </w:rPr>
            </w:pPr>
            <w:r>
              <w:rPr>
                <w:rFonts w:ascii="Arial" w:cs="Arial" w:eastAsia="Arial" w:hAnsi="Arial"/>
                <w:sz w:val="16"/>
                <w:szCs w:val="16"/>
                <w:color w:val="auto"/>
              </w:rPr>
              <w:t>484,589</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446,803</w:t>
            </w:r>
          </w:p>
        </w:tc>
        <w:tc>
          <w:tcPr>
            <w:tcW w:w="1620" w:type="dxa"/>
            <w:vAlign w:val="bottom"/>
          </w:tcPr>
          <w:p>
            <w:pPr>
              <w:jc w:val="right"/>
              <w:ind w:right="519"/>
              <w:spacing w:after="0"/>
              <w:rPr>
                <w:sz w:val="20"/>
                <w:szCs w:val="20"/>
                <w:color w:val="auto"/>
              </w:rPr>
            </w:pPr>
            <w:r>
              <w:rPr>
                <w:rFonts w:ascii="Arial" w:cs="Arial" w:eastAsia="Arial" w:hAnsi="Arial"/>
                <w:sz w:val="16"/>
                <w:szCs w:val="16"/>
                <w:color w:val="auto"/>
              </w:rPr>
              <w:t>1,269,201</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1,251,356</w:t>
            </w:r>
          </w:p>
        </w:tc>
      </w:tr>
      <w:tr>
        <w:trPr>
          <w:trHeight w:val="33"/>
        </w:trPr>
        <w:tc>
          <w:tcPr>
            <w:tcW w:w="5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576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South Dakota Electric</w:t>
            </w:r>
          </w:p>
        </w:tc>
        <w:tc>
          <w:tcPr>
            <w:tcW w:w="1840" w:type="dxa"/>
            <w:vAlign w:val="bottom"/>
            <w:tcBorders>
              <w:bottom w:val="single" w:sz="8" w:color="CEFFE7"/>
            </w:tcBorders>
            <w:gridSpan w:val="2"/>
            <w:shd w:val="clear" w:color="auto" w:fill="CEFFE7"/>
          </w:tcPr>
          <w:p>
            <w:pPr>
              <w:jc w:val="right"/>
              <w:ind w:right="519"/>
              <w:spacing w:after="0"/>
              <w:rPr>
                <w:sz w:val="20"/>
                <w:szCs w:val="20"/>
                <w:color w:val="auto"/>
              </w:rPr>
            </w:pPr>
            <w:r>
              <w:rPr>
                <w:rFonts w:ascii="Arial" w:cs="Arial" w:eastAsia="Arial" w:hAnsi="Arial"/>
                <w:sz w:val="16"/>
                <w:szCs w:val="16"/>
                <w:color w:val="auto"/>
              </w:rPr>
              <w:t>346,683</w:t>
            </w:r>
          </w:p>
        </w:tc>
        <w:tc>
          <w:tcPr>
            <w:tcW w:w="102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405,282</w:t>
            </w:r>
          </w:p>
        </w:tc>
        <w:tc>
          <w:tcPr>
            <w:tcW w:w="1620" w:type="dxa"/>
            <w:vAlign w:val="bottom"/>
            <w:tcBorders>
              <w:bottom w:val="single" w:sz="8" w:color="CEFFE7"/>
            </w:tcBorders>
            <w:shd w:val="clear" w:color="auto" w:fill="CEFFE7"/>
          </w:tcPr>
          <w:p>
            <w:pPr>
              <w:jc w:val="right"/>
              <w:ind w:right="519"/>
              <w:spacing w:after="0"/>
              <w:rPr>
                <w:sz w:val="20"/>
                <w:szCs w:val="20"/>
                <w:color w:val="auto"/>
              </w:rPr>
            </w:pPr>
            <w:r>
              <w:rPr>
                <w:rFonts w:ascii="Arial" w:cs="Arial" w:eastAsia="Arial" w:hAnsi="Arial"/>
                <w:sz w:val="16"/>
                <w:szCs w:val="16"/>
                <w:color w:val="auto"/>
              </w:rPr>
              <w:t>1,176,030</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98"/>
              </w:rPr>
              <w:t>1,247,369</w:t>
            </w:r>
          </w:p>
        </w:tc>
      </w:tr>
      <w:tr>
        <w:trPr>
          <w:trHeight w:val="224"/>
        </w:trPr>
        <w:tc>
          <w:tcPr>
            <w:tcW w:w="5760" w:type="dxa"/>
            <w:vAlign w:val="bottom"/>
          </w:tcPr>
          <w:p>
            <w:pPr>
              <w:ind w:left="260"/>
              <w:spacing w:after="0"/>
              <w:rPr>
                <w:sz w:val="20"/>
                <w:szCs w:val="20"/>
                <w:color w:val="auto"/>
              </w:rPr>
            </w:pPr>
            <w:r>
              <w:rPr>
                <w:rFonts w:ascii="Arial" w:cs="Arial" w:eastAsia="Arial" w:hAnsi="Arial"/>
                <w:sz w:val="16"/>
                <w:szCs w:val="16"/>
                <w:color w:val="auto"/>
              </w:rPr>
              <w:t>Wyoming Electric</w:t>
            </w:r>
          </w:p>
        </w:tc>
        <w:tc>
          <w:tcPr>
            <w:tcW w:w="1840" w:type="dxa"/>
            <w:vAlign w:val="bottom"/>
            <w:gridSpan w:val="2"/>
          </w:tcPr>
          <w:p>
            <w:pPr>
              <w:jc w:val="right"/>
              <w:ind w:right="519"/>
              <w:spacing w:after="0"/>
              <w:rPr>
                <w:sz w:val="20"/>
                <w:szCs w:val="20"/>
                <w:color w:val="auto"/>
              </w:rPr>
            </w:pPr>
            <w:r>
              <w:rPr>
                <w:rFonts w:ascii="Arial" w:cs="Arial" w:eastAsia="Arial" w:hAnsi="Arial"/>
                <w:sz w:val="16"/>
                <w:szCs w:val="16"/>
                <w:color w:val="auto"/>
              </w:rPr>
              <w:t>270,830</w:t>
            </w: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231,812</w:t>
            </w:r>
          </w:p>
        </w:tc>
        <w:tc>
          <w:tcPr>
            <w:tcW w:w="1620" w:type="dxa"/>
            <w:vAlign w:val="bottom"/>
          </w:tcPr>
          <w:p>
            <w:pPr>
              <w:jc w:val="right"/>
              <w:ind w:right="519"/>
              <w:spacing w:after="0"/>
              <w:rPr>
                <w:sz w:val="20"/>
                <w:szCs w:val="20"/>
                <w:color w:val="auto"/>
              </w:rPr>
            </w:pPr>
            <w:r>
              <w:rPr>
                <w:rFonts w:ascii="Arial" w:cs="Arial" w:eastAsia="Arial" w:hAnsi="Arial"/>
                <w:sz w:val="16"/>
                <w:szCs w:val="16"/>
                <w:color w:val="auto"/>
              </w:rPr>
              <w:t>790,660</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732,236</w:t>
            </w:r>
          </w:p>
        </w:tc>
      </w:tr>
      <w:tr>
        <w:trPr>
          <w:trHeight w:val="33"/>
        </w:trPr>
        <w:tc>
          <w:tcPr>
            <w:tcW w:w="576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576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6"/>
                <w:szCs w:val="16"/>
                <w:color w:val="auto"/>
              </w:rPr>
              <w:t>Total Purchased</w:t>
            </w:r>
          </w:p>
        </w:tc>
        <w:tc>
          <w:tcPr>
            <w:tcW w:w="1840" w:type="dxa"/>
            <w:vAlign w:val="bottom"/>
            <w:tcBorders>
              <w:bottom w:val="single" w:sz="8" w:color="CEFFE7"/>
            </w:tcBorders>
            <w:gridSpan w:val="2"/>
            <w:shd w:val="clear" w:color="auto" w:fill="CEFFE7"/>
          </w:tcPr>
          <w:p>
            <w:pPr>
              <w:jc w:val="right"/>
              <w:ind w:right="519"/>
              <w:spacing w:after="0"/>
              <w:rPr>
                <w:sz w:val="20"/>
                <w:szCs w:val="20"/>
                <w:color w:val="auto"/>
              </w:rPr>
            </w:pPr>
            <w:r>
              <w:rPr>
                <w:rFonts w:ascii="Arial" w:cs="Arial" w:eastAsia="Arial" w:hAnsi="Arial"/>
                <w:sz w:val="16"/>
                <w:szCs w:val="16"/>
                <w:color w:val="auto"/>
              </w:rPr>
              <w:t>1,102,102</w:t>
            </w:r>
          </w:p>
        </w:tc>
        <w:tc>
          <w:tcPr>
            <w:tcW w:w="102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w w:val="98"/>
              </w:rPr>
              <w:t>1,083,897</w:t>
            </w:r>
          </w:p>
        </w:tc>
        <w:tc>
          <w:tcPr>
            <w:tcW w:w="1620" w:type="dxa"/>
            <w:vAlign w:val="bottom"/>
            <w:tcBorders>
              <w:bottom w:val="single" w:sz="8" w:color="CEFFE7"/>
            </w:tcBorders>
            <w:shd w:val="clear" w:color="auto" w:fill="CEFFE7"/>
          </w:tcPr>
          <w:p>
            <w:pPr>
              <w:jc w:val="right"/>
              <w:ind w:right="519"/>
              <w:spacing w:after="0"/>
              <w:rPr>
                <w:sz w:val="20"/>
                <w:szCs w:val="20"/>
                <w:color w:val="auto"/>
              </w:rPr>
            </w:pPr>
            <w:r>
              <w:rPr>
                <w:rFonts w:ascii="Arial" w:cs="Arial" w:eastAsia="Arial" w:hAnsi="Arial"/>
                <w:sz w:val="16"/>
                <w:szCs w:val="16"/>
                <w:color w:val="auto"/>
              </w:rPr>
              <w:t>3,235,891</w:t>
            </w:r>
          </w:p>
        </w:tc>
        <w:tc>
          <w:tcPr>
            <w:tcW w:w="8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98"/>
              </w:rPr>
              <w:t>3,230,961</w:t>
            </w:r>
          </w:p>
        </w:tc>
      </w:tr>
      <w:tr>
        <w:trPr>
          <w:trHeight w:val="223"/>
        </w:trPr>
        <w:tc>
          <w:tcPr>
            <w:tcW w:w="5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250"/>
        </w:trPr>
        <w:tc>
          <w:tcPr>
            <w:tcW w:w="5760" w:type="dxa"/>
            <w:vAlign w:val="bottom"/>
            <w:shd w:val="clear" w:color="auto" w:fill="CEFFE7"/>
          </w:tcPr>
          <w:p>
            <w:pPr>
              <w:ind w:left="260"/>
              <w:spacing w:after="0"/>
              <w:rPr>
                <w:sz w:val="20"/>
                <w:szCs w:val="20"/>
                <w:color w:val="auto"/>
              </w:rPr>
            </w:pPr>
            <w:r>
              <w:rPr>
                <w:rFonts w:ascii="Arial" w:cs="Arial" w:eastAsia="Arial" w:hAnsi="Arial"/>
                <w:sz w:val="16"/>
                <w:szCs w:val="16"/>
                <w:color w:val="auto"/>
              </w:rPr>
              <w:t>Total Generated and Purchased</w:t>
            </w:r>
          </w:p>
        </w:tc>
        <w:tc>
          <w:tcPr>
            <w:tcW w:w="1840" w:type="dxa"/>
            <w:vAlign w:val="bottom"/>
            <w:gridSpan w:val="2"/>
            <w:shd w:val="clear" w:color="auto" w:fill="CEFFE7"/>
          </w:tcPr>
          <w:p>
            <w:pPr>
              <w:jc w:val="right"/>
              <w:ind w:right="519"/>
              <w:spacing w:after="0"/>
              <w:rPr>
                <w:sz w:val="20"/>
                <w:szCs w:val="20"/>
                <w:color w:val="auto"/>
              </w:rPr>
            </w:pPr>
            <w:r>
              <w:rPr>
                <w:rFonts w:ascii="Arial" w:cs="Arial" w:eastAsia="Arial" w:hAnsi="Arial"/>
                <w:sz w:val="16"/>
                <w:szCs w:val="16"/>
                <w:color w:val="auto"/>
              </w:rPr>
              <w:t>1,956,095</w:t>
            </w:r>
          </w:p>
        </w:tc>
        <w:tc>
          <w:tcPr>
            <w:tcW w:w="102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w w:val="98"/>
              </w:rPr>
              <w:t>1,946,115</w:t>
            </w:r>
          </w:p>
        </w:tc>
        <w:tc>
          <w:tcPr>
            <w:tcW w:w="1620" w:type="dxa"/>
            <w:vAlign w:val="bottom"/>
            <w:shd w:val="clear" w:color="auto" w:fill="CEFFE7"/>
          </w:tcPr>
          <w:p>
            <w:pPr>
              <w:jc w:val="right"/>
              <w:ind w:right="519"/>
              <w:spacing w:after="0"/>
              <w:rPr>
                <w:sz w:val="20"/>
                <w:szCs w:val="20"/>
                <w:color w:val="auto"/>
              </w:rPr>
            </w:pPr>
            <w:r>
              <w:rPr>
                <w:rFonts w:ascii="Arial" w:cs="Arial" w:eastAsia="Arial" w:hAnsi="Arial"/>
                <w:sz w:val="16"/>
                <w:szCs w:val="16"/>
                <w:color w:val="auto"/>
              </w:rPr>
              <w:t>5,470,075</w:t>
            </w:r>
          </w:p>
        </w:tc>
        <w:tc>
          <w:tcPr>
            <w:tcW w:w="8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98"/>
              </w:rPr>
              <w:t>5,546,621</w:t>
            </w:r>
          </w:p>
        </w:tc>
      </w:tr>
      <w:tr>
        <w:trPr>
          <w:trHeight w:val="20"/>
        </w:trPr>
        <w:tc>
          <w:tcPr>
            <w:tcW w:w="576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18" w:right="2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184"/>
        </w:trPr>
        <w:tc>
          <w:tcPr>
            <w:tcW w:w="236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4"/>
        </w:trPr>
        <w:tc>
          <w:tcPr>
            <w:tcW w:w="2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760" w:type="dxa"/>
            <w:vAlign w:val="bottom"/>
            <w:gridSpan w:val="2"/>
          </w:tcPr>
          <w:p>
            <w:pPr>
              <w:jc w:val="center"/>
              <w:spacing w:after="0"/>
              <w:rPr>
                <w:sz w:val="20"/>
                <w:szCs w:val="20"/>
                <w:color w:val="auto"/>
              </w:rPr>
            </w:pPr>
            <w:r>
              <w:rPr>
                <w:rFonts w:ascii="Arial" w:cs="Arial" w:eastAsia="Arial" w:hAnsi="Arial"/>
                <w:sz w:val="16"/>
                <w:szCs w:val="16"/>
                <w:color w:val="auto"/>
                <w:w w:val="90"/>
              </w:rPr>
              <w:t>Three Months Ended September 30,</w:t>
            </w:r>
          </w:p>
        </w:tc>
        <w:tc>
          <w:tcPr>
            <w:tcW w:w="1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Degree Days</w:t>
            </w: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20" w:type="dxa"/>
            <w:vAlign w:val="bottom"/>
          </w:tcPr>
          <w:p>
            <w:pPr>
              <w:jc w:val="center"/>
              <w:ind w:left="1019"/>
              <w:spacing w:after="0"/>
              <w:rPr>
                <w:sz w:val="20"/>
                <w:szCs w:val="20"/>
                <w:color w:val="auto"/>
              </w:rPr>
            </w:pPr>
            <w:r>
              <w:rPr>
                <w:rFonts w:ascii="Arial" w:cs="Arial" w:eastAsia="Arial" w:hAnsi="Arial"/>
                <w:sz w:val="16"/>
                <w:szCs w:val="16"/>
                <w:color w:val="auto"/>
                <w:w w:val="89"/>
              </w:rPr>
              <w:t>2019</w:t>
            </w:r>
          </w:p>
        </w:tc>
        <w:tc>
          <w:tcPr>
            <w:tcW w:w="5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60" w:type="dxa"/>
            <w:vAlign w:val="bottom"/>
          </w:tcPr>
          <w:p>
            <w:pPr>
              <w:jc w:val="right"/>
              <w:ind w:right="1519"/>
              <w:spacing w:after="0"/>
              <w:rPr>
                <w:sz w:val="20"/>
                <w:szCs w:val="20"/>
                <w:color w:val="auto"/>
              </w:rPr>
            </w:pPr>
            <w:r>
              <w:rPr>
                <w:rFonts w:ascii="Arial" w:cs="Arial" w:eastAsia="Arial" w:hAnsi="Arial"/>
                <w:sz w:val="16"/>
                <w:szCs w:val="16"/>
                <w:color w:val="auto"/>
                <w:w w:val="95"/>
              </w:rPr>
              <w:t>2018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20" w:type="dxa"/>
            <w:vAlign w:val="bottom"/>
          </w:tcPr>
          <w:p>
            <w:pPr>
              <w:jc w:val="center"/>
              <w:ind w:left="1019"/>
              <w:spacing w:after="0"/>
              <w:rPr>
                <w:sz w:val="20"/>
                <w:szCs w:val="20"/>
                <w:color w:val="auto"/>
              </w:rPr>
            </w:pPr>
            <w:r>
              <w:rPr>
                <w:rFonts w:ascii="Arial" w:cs="Arial" w:eastAsia="Arial" w:hAnsi="Arial"/>
                <w:sz w:val="16"/>
                <w:szCs w:val="16"/>
                <w:color w:val="auto"/>
                <w:w w:val="92"/>
              </w:rPr>
              <w:t>Variance from</w:t>
            </w:r>
          </w:p>
        </w:tc>
        <w:tc>
          <w:tcPr>
            <w:tcW w:w="500" w:type="dxa"/>
            <w:vAlign w:val="bottom"/>
          </w:tcPr>
          <w:p>
            <w:pPr>
              <w:spacing w:after="0"/>
              <w:rPr>
                <w:sz w:val="18"/>
                <w:szCs w:val="18"/>
                <w:color w:val="auto"/>
              </w:rPr>
            </w:pPr>
          </w:p>
        </w:tc>
        <w:tc>
          <w:tcPr>
            <w:tcW w:w="2260" w:type="dxa"/>
            <w:vAlign w:val="bottom"/>
          </w:tcPr>
          <w:p>
            <w:pPr>
              <w:jc w:val="center"/>
              <w:ind w:right="419"/>
              <w:spacing w:after="0"/>
              <w:rPr>
                <w:sz w:val="20"/>
                <w:szCs w:val="20"/>
                <w:color w:val="auto"/>
              </w:rPr>
            </w:pPr>
            <w:r>
              <w:rPr>
                <w:rFonts w:ascii="Arial" w:cs="Arial" w:eastAsia="Arial" w:hAnsi="Arial"/>
                <w:sz w:val="16"/>
                <w:szCs w:val="16"/>
                <w:color w:val="auto"/>
                <w:w w:val="92"/>
              </w:rPr>
              <w:t>Actual Variance to Prior</w:t>
            </w:r>
          </w:p>
        </w:tc>
        <w:tc>
          <w:tcPr>
            <w:tcW w:w="1180" w:type="dxa"/>
            <w:vAlign w:val="bottom"/>
          </w:tcPr>
          <w:p>
            <w:pPr>
              <w:spacing w:after="0"/>
              <w:rPr>
                <w:sz w:val="18"/>
                <w:szCs w:val="18"/>
                <w:color w:val="auto"/>
              </w:rPr>
            </w:pPr>
          </w:p>
        </w:tc>
        <w:tc>
          <w:tcPr>
            <w:tcW w:w="1960" w:type="dxa"/>
            <w:vAlign w:val="bottom"/>
          </w:tcPr>
          <w:p>
            <w:pPr>
              <w:jc w:val="center"/>
              <w:ind w:left="79"/>
              <w:spacing w:after="0"/>
              <w:rPr>
                <w:sz w:val="20"/>
                <w:szCs w:val="20"/>
                <w:color w:val="auto"/>
              </w:rPr>
            </w:pPr>
            <w:r>
              <w:rPr>
                <w:rFonts w:ascii="Arial" w:cs="Arial" w:eastAsia="Arial" w:hAnsi="Arial"/>
                <w:sz w:val="16"/>
                <w:szCs w:val="16"/>
                <w:color w:val="auto"/>
                <w:w w:val="92"/>
              </w:rPr>
              <w:t>Variance from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600"/>
              <w:spacing w:after="0"/>
              <w:rPr>
                <w:sz w:val="20"/>
                <w:szCs w:val="20"/>
                <w:color w:val="auto"/>
              </w:rPr>
            </w:pPr>
            <w:r>
              <w:rPr>
                <w:rFonts w:ascii="Arial" w:cs="Arial" w:eastAsia="Arial" w:hAnsi="Arial"/>
                <w:sz w:val="16"/>
                <w:szCs w:val="16"/>
                <w:color w:val="auto"/>
              </w:rPr>
              <w:t>Actual</w:t>
            </w:r>
          </w:p>
        </w:tc>
        <w:tc>
          <w:tcPr>
            <w:tcW w:w="2020" w:type="dxa"/>
            <w:vAlign w:val="bottom"/>
          </w:tcPr>
          <w:p>
            <w:pPr>
              <w:jc w:val="center"/>
              <w:ind w:left="1019"/>
              <w:spacing w:after="0"/>
              <w:rPr>
                <w:sz w:val="20"/>
                <w:szCs w:val="20"/>
                <w:color w:val="auto"/>
              </w:rPr>
            </w:pPr>
            <w:r>
              <w:rPr>
                <w:rFonts w:ascii="Arial" w:cs="Arial" w:eastAsia="Arial" w:hAnsi="Arial"/>
                <w:sz w:val="16"/>
                <w:szCs w:val="16"/>
                <w:color w:val="auto"/>
                <w:w w:val="93"/>
              </w:rPr>
              <w:t>Normal</w:t>
            </w:r>
          </w:p>
        </w:tc>
        <w:tc>
          <w:tcPr>
            <w:tcW w:w="500" w:type="dxa"/>
            <w:vAlign w:val="bottom"/>
          </w:tcPr>
          <w:p>
            <w:pPr>
              <w:spacing w:after="0"/>
              <w:rPr>
                <w:sz w:val="17"/>
                <w:szCs w:val="17"/>
                <w:color w:val="auto"/>
              </w:rPr>
            </w:pPr>
          </w:p>
        </w:tc>
        <w:tc>
          <w:tcPr>
            <w:tcW w:w="2260" w:type="dxa"/>
            <w:vAlign w:val="bottom"/>
          </w:tcPr>
          <w:p>
            <w:pPr>
              <w:jc w:val="center"/>
              <w:ind w:right="399"/>
              <w:spacing w:after="0"/>
              <w:rPr>
                <w:sz w:val="20"/>
                <w:szCs w:val="20"/>
                <w:color w:val="auto"/>
              </w:rPr>
            </w:pPr>
            <w:r>
              <w:rPr>
                <w:rFonts w:ascii="Arial" w:cs="Arial" w:eastAsia="Arial" w:hAnsi="Arial"/>
                <w:sz w:val="16"/>
                <w:szCs w:val="16"/>
                <w:color w:val="auto"/>
                <w:w w:val="88"/>
              </w:rPr>
              <w:t>Year</w:t>
            </w:r>
          </w:p>
        </w:tc>
        <w:tc>
          <w:tcPr>
            <w:tcW w:w="1180" w:type="dxa"/>
            <w:vAlign w:val="bottom"/>
          </w:tcPr>
          <w:p>
            <w:pPr>
              <w:jc w:val="right"/>
              <w:ind w:right="479"/>
              <w:spacing w:after="0"/>
              <w:rPr>
                <w:sz w:val="20"/>
                <w:szCs w:val="20"/>
                <w:color w:val="auto"/>
              </w:rPr>
            </w:pPr>
            <w:r>
              <w:rPr>
                <w:rFonts w:ascii="Arial" w:cs="Arial" w:eastAsia="Arial" w:hAnsi="Arial"/>
                <w:sz w:val="16"/>
                <w:szCs w:val="16"/>
                <w:color w:val="auto"/>
              </w:rPr>
              <w:t>Actual</w:t>
            </w:r>
          </w:p>
        </w:tc>
        <w:tc>
          <w:tcPr>
            <w:tcW w:w="1960" w:type="dxa"/>
            <w:vAlign w:val="bottom"/>
          </w:tcPr>
          <w:p>
            <w:pPr>
              <w:jc w:val="center"/>
              <w:ind w:left="99"/>
              <w:spacing w:after="0"/>
              <w:rPr>
                <w:sz w:val="20"/>
                <w:szCs w:val="20"/>
                <w:color w:val="auto"/>
              </w:rPr>
            </w:pPr>
            <w:r>
              <w:rPr>
                <w:rFonts w:ascii="Arial" w:cs="Arial" w:eastAsia="Arial" w:hAnsi="Arial"/>
                <w:sz w:val="16"/>
                <w:szCs w:val="16"/>
                <w:color w:val="auto"/>
                <w:w w:val="96"/>
              </w:rPr>
              <w:t>Normal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40" w:type="dxa"/>
            <w:vAlign w:val="bottom"/>
            <w:gridSpan w:val="2"/>
            <w:vMerge w:val="restart"/>
          </w:tcPr>
          <w:p>
            <w:pPr>
              <w:ind w:left="20"/>
              <w:spacing w:after="0"/>
              <w:rPr>
                <w:sz w:val="20"/>
                <w:szCs w:val="20"/>
                <w:color w:val="auto"/>
              </w:rPr>
            </w:pPr>
            <w:r>
              <w:rPr>
                <w:rFonts w:ascii="Arial" w:cs="Arial" w:eastAsia="Arial" w:hAnsi="Arial"/>
                <w:sz w:val="16"/>
                <w:szCs w:val="16"/>
                <w:color w:val="auto"/>
              </w:rPr>
              <w:t>Heating Degree Days:</w:t>
            </w: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34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2340" w:type="dxa"/>
            <w:vAlign w:val="bottom"/>
            <w:tcBorders>
              <w:bottom w:val="single" w:sz="8" w:color="CEFFE7"/>
            </w:tcBorders>
            <w:gridSpan w:val="2"/>
            <w:shd w:val="clear" w:color="auto" w:fill="CEFFE7"/>
          </w:tcPr>
          <w:p>
            <w:pPr>
              <w:ind w:left="400"/>
              <w:spacing w:after="0"/>
              <w:rPr>
                <w:sz w:val="20"/>
                <w:szCs w:val="20"/>
                <w:color w:val="auto"/>
              </w:rPr>
            </w:pPr>
            <w:r>
              <w:rPr>
                <w:rFonts w:ascii="Arial" w:cs="Arial" w:eastAsia="Arial" w:hAnsi="Arial"/>
                <w:sz w:val="16"/>
                <w:szCs w:val="16"/>
                <w:color w:val="auto"/>
              </w:rPr>
              <w:t>Colorado Electric</w:t>
            </w:r>
          </w:p>
        </w:tc>
        <w:tc>
          <w:tcPr>
            <w:tcW w:w="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1499"/>
              <w:spacing w:after="0"/>
              <w:rPr>
                <w:sz w:val="20"/>
                <w:szCs w:val="20"/>
                <w:color w:val="auto"/>
              </w:rPr>
            </w:pPr>
            <w:r>
              <w:rPr>
                <w:rFonts w:ascii="Arial" w:cs="Arial" w:eastAsia="Arial" w:hAnsi="Arial"/>
                <w:sz w:val="16"/>
                <w:szCs w:val="16"/>
                <w:color w:val="auto"/>
              </w:rPr>
              <w:t>4</w:t>
            </w:r>
          </w:p>
        </w:tc>
        <w:tc>
          <w:tcPr>
            <w:tcW w:w="5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8"/>
              </w:rPr>
              <w:t>(96)%</w:t>
            </w:r>
          </w:p>
        </w:tc>
        <w:tc>
          <w:tcPr>
            <w:tcW w:w="2260" w:type="dxa"/>
            <w:vAlign w:val="bottom"/>
            <w:tcBorders>
              <w:bottom w:val="single" w:sz="8" w:color="CEFFE7"/>
            </w:tcBorders>
            <w:shd w:val="clear" w:color="auto" w:fill="CEFFE7"/>
          </w:tcPr>
          <w:p>
            <w:pPr>
              <w:jc w:val="right"/>
              <w:ind w:right="1099"/>
              <w:spacing w:after="0"/>
              <w:rPr>
                <w:sz w:val="20"/>
                <w:szCs w:val="20"/>
                <w:color w:val="auto"/>
              </w:rPr>
            </w:pPr>
            <w:r>
              <w:rPr>
                <w:rFonts w:ascii="Arial" w:cs="Arial" w:eastAsia="Arial" w:hAnsi="Arial"/>
                <w:sz w:val="16"/>
                <w:szCs w:val="16"/>
                <w:color w:val="auto"/>
              </w:rPr>
              <w:t>(89)%</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35</w:t>
            </w:r>
          </w:p>
        </w:tc>
        <w:tc>
          <w:tcPr>
            <w:tcW w:w="1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gridSpan w:val="2"/>
          </w:tcPr>
          <w:p>
            <w:pPr>
              <w:ind w:left="400"/>
              <w:spacing w:after="0"/>
              <w:rPr>
                <w:sz w:val="20"/>
                <w:szCs w:val="20"/>
                <w:color w:val="auto"/>
              </w:rPr>
            </w:pPr>
            <w:r>
              <w:rPr>
                <w:rFonts w:ascii="Arial" w:cs="Arial" w:eastAsia="Arial" w:hAnsi="Arial"/>
                <w:sz w:val="16"/>
                <w:szCs w:val="16"/>
                <w:color w:val="auto"/>
              </w:rPr>
              <w:t>South Dakota Electric</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20" w:type="dxa"/>
            <w:vAlign w:val="bottom"/>
          </w:tcPr>
          <w:p>
            <w:pPr>
              <w:jc w:val="right"/>
              <w:ind w:right="1499"/>
              <w:spacing w:after="0"/>
              <w:rPr>
                <w:sz w:val="20"/>
                <w:szCs w:val="20"/>
                <w:color w:val="auto"/>
              </w:rPr>
            </w:pPr>
            <w:r>
              <w:rPr>
                <w:rFonts w:ascii="Arial" w:cs="Arial" w:eastAsia="Arial" w:hAnsi="Arial"/>
                <w:sz w:val="16"/>
                <w:szCs w:val="16"/>
                <w:color w:val="auto"/>
              </w:rPr>
              <w:t>175</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88"/>
              </w:rPr>
              <w:t>(22)%</w:t>
            </w:r>
          </w:p>
        </w:tc>
        <w:tc>
          <w:tcPr>
            <w:tcW w:w="2260" w:type="dxa"/>
            <w:vAlign w:val="bottom"/>
          </w:tcPr>
          <w:p>
            <w:pPr>
              <w:jc w:val="right"/>
              <w:ind w:right="1099"/>
              <w:spacing w:after="0"/>
              <w:rPr>
                <w:sz w:val="20"/>
                <w:szCs w:val="20"/>
                <w:color w:val="auto"/>
              </w:rPr>
            </w:pPr>
            <w:r>
              <w:rPr>
                <w:rFonts w:ascii="Arial" w:cs="Arial" w:eastAsia="Arial" w:hAnsi="Arial"/>
                <w:sz w:val="16"/>
                <w:szCs w:val="16"/>
                <w:color w:val="auto"/>
              </w:rPr>
              <w:t>(26)%</w:t>
            </w:r>
          </w:p>
        </w:tc>
        <w:tc>
          <w:tcPr>
            <w:tcW w:w="1180" w:type="dxa"/>
            <w:vAlign w:val="bottom"/>
          </w:tcPr>
          <w:p>
            <w:pPr>
              <w:jc w:val="right"/>
              <w:spacing w:after="0"/>
              <w:rPr>
                <w:sz w:val="20"/>
                <w:szCs w:val="20"/>
                <w:color w:val="auto"/>
              </w:rPr>
            </w:pPr>
            <w:r>
              <w:rPr>
                <w:rFonts w:ascii="Arial" w:cs="Arial" w:eastAsia="Arial" w:hAnsi="Arial"/>
                <w:sz w:val="16"/>
                <w:szCs w:val="16"/>
                <w:color w:val="auto"/>
              </w:rPr>
              <w:t>236</w:t>
            </w:r>
          </w:p>
        </w:tc>
        <w:tc>
          <w:tcPr>
            <w:tcW w:w="1960" w:type="dxa"/>
            <w:vAlign w:val="bottom"/>
          </w:tcPr>
          <w:p>
            <w:pPr>
              <w:jc w:val="right"/>
              <w:spacing w:after="0"/>
              <w:rPr>
                <w:sz w:val="20"/>
                <w:szCs w:val="20"/>
                <w:color w:val="auto"/>
              </w:rPr>
            </w:pPr>
            <w:r>
              <w:rPr>
                <w:rFonts w:ascii="Arial" w:cs="Arial" w:eastAsia="Arial" w:hAnsi="Arial"/>
                <w:sz w:val="16"/>
                <w:szCs w:val="16"/>
                <w:color w:val="auto"/>
              </w:rPr>
              <w:t>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2340" w:type="dxa"/>
            <w:vAlign w:val="bottom"/>
            <w:tcBorders>
              <w:bottom w:val="single" w:sz="8" w:color="CEFFE7"/>
            </w:tcBorders>
            <w:gridSpan w:val="2"/>
            <w:shd w:val="clear" w:color="auto" w:fill="CEFFE7"/>
          </w:tcPr>
          <w:p>
            <w:pPr>
              <w:ind w:left="400"/>
              <w:spacing w:after="0"/>
              <w:rPr>
                <w:sz w:val="20"/>
                <w:szCs w:val="20"/>
                <w:color w:val="auto"/>
              </w:rPr>
            </w:pPr>
            <w:r>
              <w:rPr>
                <w:rFonts w:ascii="Arial" w:cs="Arial" w:eastAsia="Arial" w:hAnsi="Arial"/>
                <w:sz w:val="16"/>
                <w:szCs w:val="16"/>
                <w:color w:val="auto"/>
              </w:rPr>
              <w:t>Wyoming Electric</w:t>
            </w:r>
          </w:p>
        </w:tc>
        <w:tc>
          <w:tcPr>
            <w:tcW w:w="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1499"/>
              <w:spacing w:after="0"/>
              <w:rPr>
                <w:sz w:val="20"/>
                <w:szCs w:val="20"/>
                <w:color w:val="auto"/>
              </w:rPr>
            </w:pPr>
            <w:r>
              <w:rPr>
                <w:rFonts w:ascii="Arial" w:cs="Arial" w:eastAsia="Arial" w:hAnsi="Arial"/>
                <w:sz w:val="16"/>
                <w:szCs w:val="16"/>
                <w:color w:val="auto"/>
              </w:rPr>
              <w:t>120</w:t>
            </w:r>
          </w:p>
        </w:tc>
        <w:tc>
          <w:tcPr>
            <w:tcW w:w="5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8"/>
              </w:rPr>
              <w:t>(77)%</w:t>
            </w:r>
          </w:p>
        </w:tc>
        <w:tc>
          <w:tcPr>
            <w:tcW w:w="2260" w:type="dxa"/>
            <w:vAlign w:val="bottom"/>
            <w:tcBorders>
              <w:bottom w:val="single" w:sz="8" w:color="CEFFE7"/>
            </w:tcBorders>
            <w:shd w:val="clear" w:color="auto" w:fill="CEFFE7"/>
          </w:tcPr>
          <w:p>
            <w:pPr>
              <w:jc w:val="right"/>
              <w:ind w:right="1099"/>
              <w:spacing w:after="0"/>
              <w:rPr>
                <w:sz w:val="20"/>
                <w:szCs w:val="20"/>
                <w:color w:val="auto"/>
              </w:rPr>
            </w:pPr>
            <w:r>
              <w:rPr>
                <w:rFonts w:ascii="Arial" w:cs="Arial" w:eastAsia="Arial" w:hAnsi="Arial"/>
                <w:sz w:val="16"/>
                <w:szCs w:val="16"/>
                <w:color w:val="auto"/>
              </w:rPr>
              <w:t>(52)%</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248</w:t>
            </w:r>
          </w:p>
        </w:tc>
        <w:tc>
          <w:tcPr>
            <w:tcW w:w="1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340" w:type="dxa"/>
            <w:vAlign w:val="bottom"/>
            <w:gridSpan w:val="2"/>
          </w:tcPr>
          <w:p>
            <w:pPr>
              <w:ind w:left="70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20" w:type="dxa"/>
            <w:vAlign w:val="bottom"/>
          </w:tcPr>
          <w:p>
            <w:pPr>
              <w:jc w:val="right"/>
              <w:ind w:right="1499"/>
              <w:spacing w:after="0"/>
              <w:rPr>
                <w:sz w:val="20"/>
                <w:szCs w:val="20"/>
                <w:color w:val="auto"/>
              </w:rPr>
            </w:pPr>
            <w:r>
              <w:rPr>
                <w:rFonts w:ascii="Arial" w:cs="Arial" w:eastAsia="Arial" w:hAnsi="Arial"/>
                <w:sz w:val="16"/>
                <w:szCs w:val="16"/>
                <w:color w:val="auto"/>
              </w:rPr>
              <w:t>86</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88"/>
              </w:rPr>
              <w:t>(36)%</w:t>
            </w:r>
          </w:p>
        </w:tc>
        <w:tc>
          <w:tcPr>
            <w:tcW w:w="2260" w:type="dxa"/>
            <w:vAlign w:val="bottom"/>
          </w:tcPr>
          <w:p>
            <w:pPr>
              <w:jc w:val="right"/>
              <w:ind w:right="1099"/>
              <w:spacing w:after="0"/>
              <w:rPr>
                <w:sz w:val="20"/>
                <w:szCs w:val="20"/>
                <w:color w:val="auto"/>
              </w:rPr>
            </w:pPr>
            <w:r>
              <w:rPr>
                <w:rFonts w:ascii="Arial" w:cs="Arial" w:eastAsia="Arial" w:hAnsi="Arial"/>
                <w:sz w:val="16"/>
                <w:szCs w:val="16"/>
                <w:color w:val="auto"/>
              </w:rPr>
              <w:t>(41)%</w:t>
            </w:r>
          </w:p>
        </w:tc>
        <w:tc>
          <w:tcPr>
            <w:tcW w:w="1180" w:type="dxa"/>
            <w:vAlign w:val="bottom"/>
          </w:tcPr>
          <w:p>
            <w:pPr>
              <w:jc w:val="right"/>
              <w:spacing w:after="0"/>
              <w:rPr>
                <w:sz w:val="20"/>
                <w:szCs w:val="20"/>
                <w:color w:val="auto"/>
              </w:rPr>
            </w:pPr>
            <w:r>
              <w:rPr>
                <w:rFonts w:ascii="Arial" w:cs="Arial" w:eastAsia="Arial" w:hAnsi="Arial"/>
                <w:sz w:val="16"/>
                <w:szCs w:val="16"/>
                <w:color w:val="auto"/>
              </w:rPr>
              <w:t>147</w:t>
            </w:r>
          </w:p>
        </w:tc>
        <w:tc>
          <w:tcPr>
            <w:tcW w:w="196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20" w:type="dxa"/>
            <w:vAlign w:val="bottom"/>
            <w:shd w:val="clear" w:color="auto" w:fill="CEFFE7"/>
          </w:tcPr>
          <w:p>
            <w:pPr>
              <w:spacing w:after="0"/>
              <w:rPr>
                <w:sz w:val="24"/>
                <w:szCs w:val="24"/>
                <w:color w:val="auto"/>
              </w:rPr>
            </w:pPr>
          </w:p>
        </w:tc>
        <w:tc>
          <w:tcPr>
            <w:tcW w:w="1100" w:type="dxa"/>
            <w:vAlign w:val="bottom"/>
            <w:shd w:val="clear" w:color="auto" w:fill="CEFFE7"/>
          </w:tcPr>
          <w:p>
            <w:pPr>
              <w:spacing w:after="0"/>
              <w:rPr>
                <w:sz w:val="24"/>
                <w:szCs w:val="24"/>
                <w:color w:val="auto"/>
              </w:rPr>
            </w:pPr>
          </w:p>
        </w:tc>
        <w:tc>
          <w:tcPr>
            <w:tcW w:w="2020" w:type="dxa"/>
            <w:vAlign w:val="bottom"/>
            <w:shd w:val="clear" w:color="auto" w:fill="CEFFE7"/>
          </w:tcPr>
          <w:p>
            <w:pPr>
              <w:spacing w:after="0"/>
              <w:rPr>
                <w:sz w:val="24"/>
                <w:szCs w:val="24"/>
                <w:color w:val="auto"/>
              </w:rPr>
            </w:pPr>
          </w:p>
        </w:tc>
        <w:tc>
          <w:tcPr>
            <w:tcW w:w="500" w:type="dxa"/>
            <w:vAlign w:val="bottom"/>
            <w:shd w:val="clear" w:color="auto" w:fill="CEFFE7"/>
          </w:tcPr>
          <w:p>
            <w:pPr>
              <w:spacing w:after="0"/>
              <w:rPr>
                <w:sz w:val="24"/>
                <w:szCs w:val="24"/>
                <w:color w:val="auto"/>
              </w:rPr>
            </w:pPr>
          </w:p>
        </w:tc>
        <w:tc>
          <w:tcPr>
            <w:tcW w:w="2260" w:type="dxa"/>
            <w:vAlign w:val="bottom"/>
            <w:shd w:val="clear" w:color="auto" w:fill="CEFFE7"/>
          </w:tcPr>
          <w:p>
            <w:pPr>
              <w:spacing w:after="0"/>
              <w:rPr>
                <w:sz w:val="24"/>
                <w:szCs w:val="24"/>
                <w:color w:val="auto"/>
              </w:rPr>
            </w:pPr>
          </w:p>
        </w:tc>
        <w:tc>
          <w:tcPr>
            <w:tcW w:w="1180" w:type="dxa"/>
            <w:vAlign w:val="bottom"/>
            <w:shd w:val="clear" w:color="auto" w:fill="CEFFE7"/>
          </w:tcPr>
          <w:p>
            <w:pPr>
              <w:spacing w:after="0"/>
              <w:rPr>
                <w:sz w:val="24"/>
                <w:szCs w:val="24"/>
                <w:color w:val="auto"/>
              </w:rPr>
            </w:pPr>
          </w:p>
        </w:tc>
        <w:tc>
          <w:tcPr>
            <w:tcW w:w="1960" w:type="dxa"/>
            <w:vAlign w:val="bottom"/>
            <w:shd w:val="clear" w:color="auto" w:fill="CEFFE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Cooling Degree Days:</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2340" w:type="dxa"/>
            <w:vAlign w:val="bottom"/>
            <w:tcBorders>
              <w:bottom w:val="single" w:sz="8" w:color="CEFFE7"/>
            </w:tcBorders>
            <w:gridSpan w:val="2"/>
            <w:shd w:val="clear" w:color="auto" w:fill="CEFFE7"/>
          </w:tcPr>
          <w:p>
            <w:pPr>
              <w:ind w:left="400"/>
              <w:spacing w:after="0"/>
              <w:rPr>
                <w:sz w:val="20"/>
                <w:szCs w:val="20"/>
                <w:color w:val="auto"/>
              </w:rPr>
            </w:pPr>
            <w:r>
              <w:rPr>
                <w:rFonts w:ascii="Arial" w:cs="Arial" w:eastAsia="Arial" w:hAnsi="Arial"/>
                <w:sz w:val="16"/>
                <w:szCs w:val="16"/>
                <w:color w:val="auto"/>
              </w:rPr>
              <w:t>Colorado Electric</w:t>
            </w:r>
          </w:p>
        </w:tc>
        <w:tc>
          <w:tcPr>
            <w:tcW w:w="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1499"/>
              <w:spacing w:after="0"/>
              <w:rPr>
                <w:sz w:val="20"/>
                <w:szCs w:val="20"/>
                <w:color w:val="auto"/>
              </w:rPr>
            </w:pPr>
            <w:r>
              <w:rPr>
                <w:rFonts w:ascii="Arial" w:cs="Arial" w:eastAsia="Arial" w:hAnsi="Arial"/>
                <w:sz w:val="16"/>
                <w:szCs w:val="16"/>
                <w:color w:val="auto"/>
              </w:rPr>
              <w:t>1,079</w:t>
            </w:r>
          </w:p>
        </w:tc>
        <w:tc>
          <w:tcPr>
            <w:tcW w:w="5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58 %</w:t>
            </w:r>
          </w:p>
        </w:tc>
        <w:tc>
          <w:tcPr>
            <w:tcW w:w="2260" w:type="dxa"/>
            <w:vAlign w:val="bottom"/>
            <w:tcBorders>
              <w:bottom w:val="single" w:sz="8" w:color="CEFFE7"/>
            </w:tcBorders>
            <w:shd w:val="clear" w:color="auto" w:fill="CEFFE7"/>
          </w:tcPr>
          <w:p>
            <w:pPr>
              <w:jc w:val="right"/>
              <w:ind w:right="1139"/>
              <w:spacing w:after="0"/>
              <w:rPr>
                <w:sz w:val="20"/>
                <w:szCs w:val="20"/>
                <w:color w:val="auto"/>
              </w:rPr>
            </w:pPr>
            <w:r>
              <w:rPr>
                <w:rFonts w:ascii="Arial" w:cs="Arial" w:eastAsia="Arial" w:hAnsi="Arial"/>
                <w:sz w:val="16"/>
                <w:szCs w:val="16"/>
                <w:color w:val="auto"/>
              </w:rPr>
              <w:t>19%</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910</w:t>
            </w:r>
          </w:p>
        </w:tc>
        <w:tc>
          <w:tcPr>
            <w:tcW w:w="1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gridSpan w:val="2"/>
          </w:tcPr>
          <w:p>
            <w:pPr>
              <w:ind w:left="400"/>
              <w:spacing w:after="0"/>
              <w:rPr>
                <w:sz w:val="20"/>
                <w:szCs w:val="20"/>
                <w:color w:val="auto"/>
              </w:rPr>
            </w:pPr>
            <w:r>
              <w:rPr>
                <w:rFonts w:ascii="Arial" w:cs="Arial" w:eastAsia="Arial" w:hAnsi="Arial"/>
                <w:sz w:val="16"/>
                <w:szCs w:val="16"/>
                <w:color w:val="auto"/>
              </w:rPr>
              <w:t>South Dakota Electric</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20" w:type="dxa"/>
            <w:vAlign w:val="bottom"/>
          </w:tcPr>
          <w:p>
            <w:pPr>
              <w:jc w:val="right"/>
              <w:ind w:right="1499"/>
              <w:spacing w:after="0"/>
              <w:rPr>
                <w:sz w:val="20"/>
                <w:szCs w:val="20"/>
                <w:color w:val="auto"/>
              </w:rPr>
            </w:pPr>
            <w:r>
              <w:rPr>
                <w:rFonts w:ascii="Arial" w:cs="Arial" w:eastAsia="Arial" w:hAnsi="Arial"/>
                <w:sz w:val="16"/>
                <w:szCs w:val="16"/>
                <w:color w:val="auto"/>
              </w:rPr>
              <w:t>366</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88"/>
              </w:rPr>
              <w:t>(31)%</w:t>
            </w:r>
          </w:p>
        </w:tc>
        <w:tc>
          <w:tcPr>
            <w:tcW w:w="2260" w:type="dxa"/>
            <w:vAlign w:val="bottom"/>
          </w:tcPr>
          <w:p>
            <w:pPr>
              <w:jc w:val="center"/>
              <w:ind w:right="399"/>
              <w:spacing w:after="0"/>
              <w:rPr>
                <w:sz w:val="20"/>
                <w:szCs w:val="20"/>
                <w:color w:val="auto"/>
              </w:rPr>
            </w:pPr>
            <w:r>
              <w:rPr>
                <w:rFonts w:ascii="Arial" w:cs="Arial" w:eastAsia="Arial" w:hAnsi="Arial"/>
                <w:sz w:val="16"/>
                <w:szCs w:val="16"/>
                <w:color w:val="auto"/>
                <w:w w:val="94"/>
              </w:rPr>
              <w:t>3%</w:t>
            </w:r>
          </w:p>
        </w:tc>
        <w:tc>
          <w:tcPr>
            <w:tcW w:w="1180" w:type="dxa"/>
            <w:vAlign w:val="bottom"/>
          </w:tcPr>
          <w:p>
            <w:pPr>
              <w:jc w:val="right"/>
              <w:spacing w:after="0"/>
              <w:rPr>
                <w:sz w:val="20"/>
                <w:szCs w:val="20"/>
                <w:color w:val="auto"/>
              </w:rPr>
            </w:pPr>
            <w:r>
              <w:rPr>
                <w:rFonts w:ascii="Arial" w:cs="Arial" w:eastAsia="Arial" w:hAnsi="Arial"/>
                <w:sz w:val="16"/>
                <w:szCs w:val="16"/>
                <w:color w:val="auto"/>
              </w:rPr>
              <w:t>356</w:t>
            </w:r>
          </w:p>
        </w:tc>
        <w:tc>
          <w:tcPr>
            <w:tcW w:w="196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2340" w:type="dxa"/>
            <w:vAlign w:val="bottom"/>
            <w:tcBorders>
              <w:bottom w:val="single" w:sz="8" w:color="CEFFE7"/>
            </w:tcBorders>
            <w:gridSpan w:val="2"/>
            <w:shd w:val="clear" w:color="auto" w:fill="CEFFE7"/>
          </w:tcPr>
          <w:p>
            <w:pPr>
              <w:ind w:left="400"/>
              <w:spacing w:after="0"/>
              <w:rPr>
                <w:sz w:val="20"/>
                <w:szCs w:val="20"/>
                <w:color w:val="auto"/>
              </w:rPr>
            </w:pPr>
            <w:r>
              <w:rPr>
                <w:rFonts w:ascii="Arial" w:cs="Arial" w:eastAsia="Arial" w:hAnsi="Arial"/>
                <w:sz w:val="16"/>
                <w:szCs w:val="16"/>
                <w:color w:val="auto"/>
              </w:rPr>
              <w:t>Wyoming Electric</w:t>
            </w:r>
          </w:p>
        </w:tc>
        <w:tc>
          <w:tcPr>
            <w:tcW w:w="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1499"/>
              <w:spacing w:after="0"/>
              <w:rPr>
                <w:sz w:val="20"/>
                <w:szCs w:val="20"/>
                <w:color w:val="auto"/>
              </w:rPr>
            </w:pPr>
            <w:r>
              <w:rPr>
                <w:rFonts w:ascii="Arial" w:cs="Arial" w:eastAsia="Arial" w:hAnsi="Arial"/>
                <w:sz w:val="16"/>
                <w:szCs w:val="16"/>
                <w:color w:val="auto"/>
              </w:rPr>
              <w:t>433</w:t>
            </w:r>
          </w:p>
        </w:tc>
        <w:tc>
          <w:tcPr>
            <w:tcW w:w="5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45 %</w:t>
            </w:r>
          </w:p>
        </w:tc>
        <w:tc>
          <w:tcPr>
            <w:tcW w:w="2260" w:type="dxa"/>
            <w:vAlign w:val="bottom"/>
            <w:tcBorders>
              <w:bottom w:val="single" w:sz="8" w:color="CEFFE7"/>
            </w:tcBorders>
            <w:shd w:val="clear" w:color="auto" w:fill="CEFFE7"/>
          </w:tcPr>
          <w:p>
            <w:pPr>
              <w:jc w:val="right"/>
              <w:ind w:right="1139"/>
              <w:spacing w:after="0"/>
              <w:rPr>
                <w:sz w:val="20"/>
                <w:szCs w:val="20"/>
                <w:color w:val="auto"/>
              </w:rPr>
            </w:pPr>
            <w:r>
              <w:rPr>
                <w:rFonts w:ascii="Arial" w:cs="Arial" w:eastAsia="Arial" w:hAnsi="Arial"/>
                <w:sz w:val="16"/>
                <w:szCs w:val="16"/>
                <w:color w:val="auto"/>
              </w:rPr>
              <w:t>32%</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328</w:t>
            </w:r>
          </w:p>
        </w:tc>
        <w:tc>
          <w:tcPr>
            <w:tcW w:w="1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340" w:type="dxa"/>
            <w:vAlign w:val="bottom"/>
            <w:gridSpan w:val="2"/>
          </w:tcPr>
          <w:p>
            <w:pPr>
              <w:ind w:left="70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20" w:type="dxa"/>
            <w:vAlign w:val="bottom"/>
          </w:tcPr>
          <w:p>
            <w:pPr>
              <w:jc w:val="right"/>
              <w:ind w:right="1499"/>
              <w:spacing w:after="0"/>
              <w:rPr>
                <w:sz w:val="20"/>
                <w:szCs w:val="20"/>
                <w:color w:val="auto"/>
              </w:rPr>
            </w:pPr>
            <w:r>
              <w:rPr>
                <w:rFonts w:ascii="Arial" w:cs="Arial" w:eastAsia="Arial" w:hAnsi="Arial"/>
                <w:sz w:val="16"/>
                <w:szCs w:val="16"/>
                <w:color w:val="auto"/>
              </w:rPr>
              <w:t>705</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27 %</w:t>
            </w:r>
          </w:p>
        </w:tc>
        <w:tc>
          <w:tcPr>
            <w:tcW w:w="2260" w:type="dxa"/>
            <w:vAlign w:val="bottom"/>
          </w:tcPr>
          <w:p>
            <w:pPr>
              <w:jc w:val="right"/>
              <w:ind w:right="1139"/>
              <w:spacing w:after="0"/>
              <w:rPr>
                <w:sz w:val="20"/>
                <w:szCs w:val="20"/>
                <w:color w:val="auto"/>
              </w:rPr>
            </w:pPr>
            <w:r>
              <w:rPr>
                <w:rFonts w:ascii="Arial" w:cs="Arial" w:eastAsia="Arial" w:hAnsi="Arial"/>
                <w:sz w:val="16"/>
                <w:szCs w:val="16"/>
                <w:color w:val="auto"/>
              </w:rPr>
              <w:t>17%</w:t>
            </w:r>
          </w:p>
        </w:tc>
        <w:tc>
          <w:tcPr>
            <w:tcW w:w="1180" w:type="dxa"/>
            <w:vAlign w:val="bottom"/>
          </w:tcPr>
          <w:p>
            <w:pPr>
              <w:jc w:val="right"/>
              <w:spacing w:after="0"/>
              <w:rPr>
                <w:sz w:val="20"/>
                <w:szCs w:val="20"/>
                <w:color w:val="auto"/>
              </w:rPr>
            </w:pPr>
            <w:r>
              <w:rPr>
                <w:rFonts w:ascii="Arial" w:cs="Arial" w:eastAsia="Arial" w:hAnsi="Arial"/>
                <w:sz w:val="16"/>
                <w:szCs w:val="16"/>
                <w:color w:val="auto"/>
              </w:rPr>
              <w:t>603</w:t>
            </w:r>
          </w:p>
        </w:tc>
        <w:tc>
          <w:tcPr>
            <w:tcW w:w="1960" w:type="dxa"/>
            <w:vAlign w:val="bottom"/>
          </w:tcPr>
          <w:p>
            <w:pPr>
              <w:jc w:val="right"/>
              <w:spacing w:after="0"/>
              <w:rPr>
                <w:sz w:val="20"/>
                <w:szCs w:val="20"/>
                <w:color w:val="auto"/>
              </w:rPr>
            </w:pPr>
            <w:r>
              <w:rPr>
                <w:rFonts w:ascii="Arial" w:cs="Arial" w:eastAsia="Arial" w:hAnsi="Arial"/>
                <w:sz w:val="16"/>
                <w:szCs w:val="16"/>
                <w:color w:val="auto"/>
              </w:rPr>
              <w:t>9 %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760" w:type="dxa"/>
            <w:vAlign w:val="bottom"/>
            <w:gridSpan w:val="2"/>
          </w:tcPr>
          <w:p>
            <w:pPr>
              <w:jc w:val="center"/>
              <w:spacing w:after="0"/>
              <w:rPr>
                <w:sz w:val="20"/>
                <w:szCs w:val="20"/>
                <w:color w:val="auto"/>
              </w:rPr>
            </w:pPr>
            <w:r>
              <w:rPr>
                <w:rFonts w:ascii="Arial" w:cs="Arial" w:eastAsia="Arial" w:hAnsi="Arial"/>
                <w:sz w:val="16"/>
                <w:szCs w:val="16"/>
                <w:color w:val="auto"/>
                <w:w w:val="91"/>
              </w:rPr>
              <w:t>Nine Months Ended September 30,</w:t>
            </w:r>
          </w:p>
        </w:tc>
        <w:tc>
          <w:tcPr>
            <w:tcW w:w="1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20" w:type="dxa"/>
            <w:vAlign w:val="bottom"/>
          </w:tcPr>
          <w:p>
            <w:pPr>
              <w:jc w:val="right"/>
              <w:ind w:right="1099"/>
              <w:spacing w:after="0"/>
              <w:rPr>
                <w:sz w:val="20"/>
                <w:szCs w:val="20"/>
                <w:color w:val="auto"/>
              </w:rPr>
            </w:pPr>
            <w:r>
              <w:rPr>
                <w:rFonts w:ascii="Arial" w:cs="Arial" w:eastAsia="Arial" w:hAnsi="Arial"/>
                <w:sz w:val="16"/>
                <w:szCs w:val="16"/>
                <w:color w:val="auto"/>
              </w:rPr>
              <w:t>2019</w:t>
            </w:r>
          </w:p>
        </w:tc>
        <w:tc>
          <w:tcPr>
            <w:tcW w:w="5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60" w:type="dxa"/>
            <w:vAlign w:val="bottom"/>
          </w:tcPr>
          <w:p>
            <w:pPr>
              <w:jc w:val="right"/>
              <w:ind w:right="1519"/>
              <w:spacing w:after="0"/>
              <w:rPr>
                <w:sz w:val="20"/>
                <w:szCs w:val="20"/>
                <w:color w:val="auto"/>
              </w:rPr>
            </w:pPr>
            <w:r>
              <w:rPr>
                <w:rFonts w:ascii="Arial" w:cs="Arial" w:eastAsia="Arial" w:hAnsi="Arial"/>
                <w:sz w:val="16"/>
                <w:szCs w:val="16"/>
                <w:color w:val="auto"/>
                <w:w w:val="95"/>
              </w:rPr>
              <w:t>2018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20" w:type="dxa"/>
            <w:vAlign w:val="bottom"/>
          </w:tcPr>
          <w:p>
            <w:pPr>
              <w:jc w:val="center"/>
              <w:ind w:left="1019"/>
              <w:spacing w:after="0"/>
              <w:rPr>
                <w:sz w:val="20"/>
                <w:szCs w:val="20"/>
                <w:color w:val="auto"/>
              </w:rPr>
            </w:pPr>
            <w:r>
              <w:rPr>
                <w:rFonts w:ascii="Arial" w:cs="Arial" w:eastAsia="Arial" w:hAnsi="Arial"/>
                <w:sz w:val="16"/>
                <w:szCs w:val="16"/>
                <w:color w:val="auto"/>
                <w:w w:val="92"/>
              </w:rPr>
              <w:t>Variance from</w:t>
            </w:r>
          </w:p>
        </w:tc>
        <w:tc>
          <w:tcPr>
            <w:tcW w:w="500" w:type="dxa"/>
            <w:vAlign w:val="bottom"/>
          </w:tcPr>
          <w:p>
            <w:pPr>
              <w:spacing w:after="0"/>
              <w:rPr>
                <w:sz w:val="18"/>
                <w:szCs w:val="18"/>
                <w:color w:val="auto"/>
              </w:rPr>
            </w:pPr>
          </w:p>
        </w:tc>
        <w:tc>
          <w:tcPr>
            <w:tcW w:w="2260" w:type="dxa"/>
            <w:vAlign w:val="bottom"/>
          </w:tcPr>
          <w:p>
            <w:pPr>
              <w:jc w:val="center"/>
              <w:ind w:right="399"/>
              <w:spacing w:after="0"/>
              <w:rPr>
                <w:sz w:val="20"/>
                <w:szCs w:val="20"/>
                <w:color w:val="auto"/>
              </w:rPr>
            </w:pPr>
            <w:r>
              <w:rPr>
                <w:rFonts w:ascii="Arial" w:cs="Arial" w:eastAsia="Arial" w:hAnsi="Arial"/>
                <w:sz w:val="16"/>
                <w:szCs w:val="16"/>
                <w:color w:val="auto"/>
                <w:w w:val="93"/>
              </w:rPr>
              <w:t>Actual Variance to Prior</w:t>
            </w:r>
          </w:p>
        </w:tc>
        <w:tc>
          <w:tcPr>
            <w:tcW w:w="1180" w:type="dxa"/>
            <w:vAlign w:val="bottom"/>
          </w:tcPr>
          <w:p>
            <w:pPr>
              <w:spacing w:after="0"/>
              <w:rPr>
                <w:sz w:val="18"/>
                <w:szCs w:val="18"/>
                <w:color w:val="auto"/>
              </w:rPr>
            </w:pPr>
          </w:p>
        </w:tc>
        <w:tc>
          <w:tcPr>
            <w:tcW w:w="1960" w:type="dxa"/>
            <w:vAlign w:val="bottom"/>
          </w:tcPr>
          <w:p>
            <w:pPr>
              <w:jc w:val="center"/>
              <w:ind w:left="119"/>
              <w:spacing w:after="0"/>
              <w:rPr>
                <w:sz w:val="20"/>
                <w:szCs w:val="20"/>
                <w:color w:val="auto"/>
              </w:rPr>
            </w:pPr>
            <w:r>
              <w:rPr>
                <w:rFonts w:ascii="Arial" w:cs="Arial" w:eastAsia="Arial" w:hAnsi="Arial"/>
                <w:sz w:val="16"/>
                <w:szCs w:val="16"/>
                <w:color w:val="auto"/>
                <w:w w:val="92"/>
              </w:rPr>
              <w:t>Variance from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Heating Degree Days</w:t>
            </w:r>
          </w:p>
        </w:tc>
        <w:tc>
          <w:tcPr>
            <w:tcW w:w="20" w:type="dxa"/>
            <w:vAlign w:val="bottom"/>
          </w:tcPr>
          <w:p>
            <w:pPr>
              <w:spacing w:after="0"/>
              <w:rPr>
                <w:sz w:val="17"/>
                <w:szCs w:val="17"/>
                <w:color w:val="auto"/>
              </w:rPr>
            </w:pPr>
          </w:p>
        </w:tc>
        <w:tc>
          <w:tcPr>
            <w:tcW w:w="1100" w:type="dxa"/>
            <w:vAlign w:val="bottom"/>
          </w:tcPr>
          <w:p>
            <w:pPr>
              <w:ind w:left="600"/>
              <w:spacing w:after="0"/>
              <w:rPr>
                <w:sz w:val="20"/>
                <w:szCs w:val="20"/>
                <w:color w:val="auto"/>
              </w:rPr>
            </w:pPr>
            <w:r>
              <w:rPr>
                <w:rFonts w:ascii="Arial" w:cs="Arial" w:eastAsia="Arial" w:hAnsi="Arial"/>
                <w:sz w:val="16"/>
                <w:szCs w:val="16"/>
                <w:color w:val="auto"/>
              </w:rPr>
              <w:t>Actual</w:t>
            </w:r>
          </w:p>
        </w:tc>
        <w:tc>
          <w:tcPr>
            <w:tcW w:w="2020" w:type="dxa"/>
            <w:vAlign w:val="bottom"/>
          </w:tcPr>
          <w:p>
            <w:pPr>
              <w:jc w:val="center"/>
              <w:ind w:left="1039"/>
              <w:spacing w:after="0"/>
              <w:rPr>
                <w:sz w:val="20"/>
                <w:szCs w:val="20"/>
                <w:color w:val="auto"/>
              </w:rPr>
            </w:pPr>
            <w:r>
              <w:rPr>
                <w:rFonts w:ascii="Arial" w:cs="Arial" w:eastAsia="Arial" w:hAnsi="Arial"/>
                <w:sz w:val="16"/>
                <w:szCs w:val="16"/>
                <w:color w:val="auto"/>
                <w:w w:val="96"/>
              </w:rPr>
              <w:t>Normal</w:t>
            </w:r>
          </w:p>
        </w:tc>
        <w:tc>
          <w:tcPr>
            <w:tcW w:w="500" w:type="dxa"/>
            <w:vAlign w:val="bottom"/>
          </w:tcPr>
          <w:p>
            <w:pPr>
              <w:spacing w:after="0"/>
              <w:rPr>
                <w:sz w:val="17"/>
                <w:szCs w:val="17"/>
                <w:color w:val="auto"/>
              </w:rPr>
            </w:pPr>
          </w:p>
        </w:tc>
        <w:tc>
          <w:tcPr>
            <w:tcW w:w="2260" w:type="dxa"/>
            <w:vAlign w:val="bottom"/>
          </w:tcPr>
          <w:p>
            <w:pPr>
              <w:jc w:val="center"/>
              <w:ind w:right="399"/>
              <w:spacing w:after="0"/>
              <w:rPr>
                <w:sz w:val="20"/>
                <w:szCs w:val="20"/>
                <w:color w:val="auto"/>
              </w:rPr>
            </w:pPr>
            <w:r>
              <w:rPr>
                <w:rFonts w:ascii="Arial" w:cs="Arial" w:eastAsia="Arial" w:hAnsi="Arial"/>
                <w:sz w:val="16"/>
                <w:szCs w:val="16"/>
                <w:color w:val="auto"/>
                <w:w w:val="88"/>
              </w:rPr>
              <w:t>Year</w:t>
            </w:r>
          </w:p>
        </w:tc>
        <w:tc>
          <w:tcPr>
            <w:tcW w:w="1180" w:type="dxa"/>
            <w:vAlign w:val="bottom"/>
          </w:tcPr>
          <w:p>
            <w:pPr>
              <w:jc w:val="right"/>
              <w:ind w:right="479"/>
              <w:spacing w:after="0"/>
              <w:rPr>
                <w:sz w:val="20"/>
                <w:szCs w:val="20"/>
                <w:color w:val="auto"/>
              </w:rPr>
            </w:pPr>
            <w:r>
              <w:rPr>
                <w:rFonts w:ascii="Arial" w:cs="Arial" w:eastAsia="Arial" w:hAnsi="Arial"/>
                <w:sz w:val="16"/>
                <w:szCs w:val="16"/>
                <w:color w:val="auto"/>
              </w:rPr>
              <w:t>Actual</w:t>
            </w:r>
          </w:p>
        </w:tc>
        <w:tc>
          <w:tcPr>
            <w:tcW w:w="1960" w:type="dxa"/>
            <w:vAlign w:val="bottom"/>
          </w:tcPr>
          <w:p>
            <w:pPr>
              <w:jc w:val="center"/>
              <w:ind w:left="99"/>
              <w:spacing w:after="0"/>
              <w:rPr>
                <w:sz w:val="20"/>
                <w:szCs w:val="20"/>
                <w:color w:val="auto"/>
              </w:rPr>
            </w:pPr>
            <w:r>
              <w:rPr>
                <w:rFonts w:ascii="Arial" w:cs="Arial" w:eastAsia="Arial" w:hAnsi="Arial"/>
                <w:sz w:val="16"/>
                <w:szCs w:val="16"/>
                <w:color w:val="auto"/>
                <w:w w:val="96"/>
              </w:rPr>
              <w:t>Normal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340" w:type="dxa"/>
            <w:vAlign w:val="bottom"/>
            <w:tcBorders>
              <w:bottom w:val="single" w:sz="8" w:color="CEFFE7"/>
            </w:tcBorders>
            <w:gridSpan w:val="2"/>
            <w:shd w:val="clear" w:color="auto" w:fill="CEFFE7"/>
          </w:tcPr>
          <w:p>
            <w:pPr>
              <w:ind w:left="300"/>
              <w:spacing w:after="0"/>
              <w:rPr>
                <w:sz w:val="20"/>
                <w:szCs w:val="20"/>
                <w:color w:val="auto"/>
              </w:rPr>
            </w:pPr>
            <w:r>
              <w:rPr>
                <w:rFonts w:ascii="Arial" w:cs="Arial" w:eastAsia="Arial" w:hAnsi="Arial"/>
                <w:sz w:val="16"/>
                <w:szCs w:val="16"/>
                <w:color w:val="auto"/>
              </w:rPr>
              <w:t>Colorado Electric</w:t>
            </w:r>
          </w:p>
        </w:tc>
        <w:tc>
          <w:tcPr>
            <w:tcW w:w="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1479"/>
              <w:spacing w:after="0"/>
              <w:rPr>
                <w:sz w:val="20"/>
                <w:szCs w:val="20"/>
                <w:color w:val="auto"/>
              </w:rPr>
            </w:pPr>
            <w:r>
              <w:rPr>
                <w:rFonts w:ascii="Arial" w:cs="Arial" w:eastAsia="Arial" w:hAnsi="Arial"/>
                <w:sz w:val="16"/>
                <w:szCs w:val="16"/>
                <w:color w:val="auto"/>
              </w:rPr>
              <w:t>3,156</w:t>
            </w:r>
          </w:p>
        </w:tc>
        <w:tc>
          <w:tcPr>
            <w:tcW w:w="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w:t>
            </w:r>
          </w:p>
        </w:tc>
        <w:tc>
          <w:tcPr>
            <w:tcW w:w="2260" w:type="dxa"/>
            <w:vAlign w:val="bottom"/>
            <w:tcBorders>
              <w:bottom w:val="single" w:sz="8" w:color="CEFFE7"/>
            </w:tcBorders>
            <w:shd w:val="clear" w:color="auto" w:fill="CEFFE7"/>
          </w:tcPr>
          <w:p>
            <w:pPr>
              <w:jc w:val="center"/>
              <w:ind w:right="399"/>
              <w:spacing w:after="0"/>
              <w:rPr>
                <w:sz w:val="20"/>
                <w:szCs w:val="20"/>
                <w:color w:val="auto"/>
              </w:rPr>
            </w:pPr>
            <w:r>
              <w:rPr>
                <w:rFonts w:ascii="Arial" w:cs="Arial" w:eastAsia="Arial" w:hAnsi="Arial"/>
                <w:sz w:val="16"/>
                <w:szCs w:val="16"/>
                <w:color w:val="auto"/>
                <w:w w:val="94"/>
              </w:rPr>
              <w:t>9%</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2,901</w:t>
            </w:r>
          </w:p>
        </w:tc>
        <w:tc>
          <w:tcPr>
            <w:tcW w:w="1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w:t>
            </w:r>
          </w:p>
        </w:tc>
        <w:tc>
          <w:tcPr>
            <w:tcW w:w="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gridSpan w:val="2"/>
          </w:tcPr>
          <w:p>
            <w:pPr>
              <w:ind w:left="300"/>
              <w:spacing w:after="0"/>
              <w:rPr>
                <w:sz w:val="20"/>
                <w:szCs w:val="20"/>
                <w:color w:val="auto"/>
              </w:rPr>
            </w:pPr>
            <w:r>
              <w:rPr>
                <w:rFonts w:ascii="Arial" w:cs="Arial" w:eastAsia="Arial" w:hAnsi="Arial"/>
                <w:sz w:val="16"/>
                <w:szCs w:val="16"/>
                <w:color w:val="auto"/>
              </w:rPr>
              <w:t>South Dakota Electric</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20" w:type="dxa"/>
            <w:vAlign w:val="bottom"/>
          </w:tcPr>
          <w:p>
            <w:pPr>
              <w:jc w:val="right"/>
              <w:ind w:right="1479"/>
              <w:spacing w:after="0"/>
              <w:rPr>
                <w:sz w:val="20"/>
                <w:szCs w:val="20"/>
                <w:color w:val="auto"/>
              </w:rPr>
            </w:pPr>
            <w:r>
              <w:rPr>
                <w:rFonts w:ascii="Arial" w:cs="Arial" w:eastAsia="Arial" w:hAnsi="Arial"/>
                <w:sz w:val="16"/>
                <w:szCs w:val="16"/>
                <w:color w:val="auto"/>
              </w:rPr>
              <w:t>5,370</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20 %</w:t>
            </w:r>
          </w:p>
        </w:tc>
        <w:tc>
          <w:tcPr>
            <w:tcW w:w="2260" w:type="dxa"/>
            <w:vAlign w:val="bottom"/>
          </w:tcPr>
          <w:p>
            <w:pPr>
              <w:jc w:val="center"/>
              <w:ind w:right="399"/>
              <w:spacing w:after="0"/>
              <w:rPr>
                <w:sz w:val="20"/>
                <w:szCs w:val="20"/>
                <w:color w:val="auto"/>
              </w:rPr>
            </w:pPr>
            <w:r>
              <w:rPr>
                <w:rFonts w:ascii="Arial" w:cs="Arial" w:eastAsia="Arial" w:hAnsi="Arial"/>
                <w:sz w:val="16"/>
                <w:szCs w:val="16"/>
                <w:color w:val="auto"/>
                <w:w w:val="94"/>
              </w:rPr>
              <w:t>8%</w:t>
            </w:r>
          </w:p>
        </w:tc>
        <w:tc>
          <w:tcPr>
            <w:tcW w:w="1180" w:type="dxa"/>
            <w:vAlign w:val="bottom"/>
          </w:tcPr>
          <w:p>
            <w:pPr>
              <w:jc w:val="right"/>
              <w:spacing w:after="0"/>
              <w:rPr>
                <w:sz w:val="20"/>
                <w:szCs w:val="20"/>
                <w:color w:val="auto"/>
              </w:rPr>
            </w:pPr>
            <w:r>
              <w:rPr>
                <w:rFonts w:ascii="Arial" w:cs="Arial" w:eastAsia="Arial" w:hAnsi="Arial"/>
                <w:sz w:val="16"/>
                <w:szCs w:val="16"/>
                <w:color w:val="auto"/>
              </w:rPr>
              <w:t>4,972</w:t>
            </w:r>
          </w:p>
        </w:tc>
        <w:tc>
          <w:tcPr>
            <w:tcW w:w="1960" w:type="dxa"/>
            <w:vAlign w:val="bottom"/>
          </w:tcPr>
          <w:p>
            <w:pPr>
              <w:jc w:val="right"/>
              <w:spacing w:after="0"/>
              <w:rPr>
                <w:sz w:val="20"/>
                <w:szCs w:val="20"/>
                <w:color w:val="auto"/>
              </w:rPr>
            </w:pPr>
            <w:r>
              <w:rPr>
                <w:rFonts w:ascii="Arial" w:cs="Arial" w:eastAsia="Arial" w:hAnsi="Arial"/>
                <w:sz w:val="16"/>
                <w:szCs w:val="16"/>
                <w:color w:val="auto"/>
              </w:rPr>
              <w:t>11 %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340" w:type="dxa"/>
            <w:vAlign w:val="bottom"/>
            <w:tcBorders>
              <w:bottom w:val="single" w:sz="8" w:color="CEFFE7"/>
            </w:tcBorders>
            <w:gridSpan w:val="2"/>
            <w:shd w:val="clear" w:color="auto" w:fill="CEFFE7"/>
          </w:tcPr>
          <w:p>
            <w:pPr>
              <w:ind w:left="300"/>
              <w:spacing w:after="0"/>
              <w:rPr>
                <w:sz w:val="20"/>
                <w:szCs w:val="20"/>
                <w:color w:val="auto"/>
              </w:rPr>
            </w:pPr>
            <w:r>
              <w:rPr>
                <w:rFonts w:ascii="Arial" w:cs="Arial" w:eastAsia="Arial" w:hAnsi="Arial"/>
                <w:sz w:val="16"/>
                <w:szCs w:val="16"/>
                <w:color w:val="auto"/>
              </w:rPr>
              <w:t>Wyoming Electric</w:t>
            </w:r>
          </w:p>
        </w:tc>
        <w:tc>
          <w:tcPr>
            <w:tcW w:w="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1479"/>
              <w:spacing w:after="0"/>
              <w:rPr>
                <w:sz w:val="20"/>
                <w:szCs w:val="20"/>
                <w:color w:val="auto"/>
              </w:rPr>
            </w:pPr>
            <w:r>
              <w:rPr>
                <w:rFonts w:ascii="Arial" w:cs="Arial" w:eastAsia="Arial" w:hAnsi="Arial"/>
                <w:sz w:val="16"/>
                <w:szCs w:val="16"/>
                <w:color w:val="auto"/>
              </w:rPr>
              <w:t>4,677</w:t>
            </w:r>
          </w:p>
        </w:tc>
        <w:tc>
          <w:tcPr>
            <w:tcW w:w="5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5 %</w:t>
            </w:r>
          </w:p>
        </w:tc>
        <w:tc>
          <w:tcPr>
            <w:tcW w:w="2260" w:type="dxa"/>
            <w:vAlign w:val="bottom"/>
            <w:tcBorders>
              <w:bottom w:val="single" w:sz="8" w:color="CEFFE7"/>
            </w:tcBorders>
            <w:shd w:val="clear" w:color="auto" w:fill="CEFFE7"/>
          </w:tcPr>
          <w:p>
            <w:pPr>
              <w:jc w:val="center"/>
              <w:ind w:right="399"/>
              <w:spacing w:after="0"/>
              <w:rPr>
                <w:sz w:val="20"/>
                <w:szCs w:val="20"/>
                <w:color w:val="auto"/>
              </w:rPr>
            </w:pPr>
            <w:r>
              <w:rPr>
                <w:rFonts w:ascii="Arial" w:cs="Arial" w:eastAsia="Arial" w:hAnsi="Arial"/>
                <w:sz w:val="16"/>
                <w:szCs w:val="16"/>
                <w:color w:val="auto"/>
                <w:w w:val="94"/>
              </w:rPr>
              <w:t>9%</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4,285</w:t>
            </w:r>
          </w:p>
        </w:tc>
        <w:tc>
          <w:tcPr>
            <w:tcW w:w="1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340" w:type="dxa"/>
            <w:vAlign w:val="bottom"/>
            <w:gridSpan w:val="2"/>
          </w:tcPr>
          <w:p>
            <w:pPr>
              <w:ind w:left="48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20" w:type="dxa"/>
            <w:vAlign w:val="bottom"/>
          </w:tcPr>
          <w:p>
            <w:pPr>
              <w:jc w:val="right"/>
              <w:ind w:right="1479"/>
              <w:spacing w:after="0"/>
              <w:rPr>
                <w:sz w:val="20"/>
                <w:szCs w:val="20"/>
                <w:color w:val="auto"/>
              </w:rPr>
            </w:pPr>
            <w:r>
              <w:rPr>
                <w:rFonts w:ascii="Arial" w:cs="Arial" w:eastAsia="Arial" w:hAnsi="Arial"/>
                <w:sz w:val="16"/>
                <w:szCs w:val="16"/>
                <w:color w:val="auto"/>
              </w:rPr>
              <w:t>4,198</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6 %</w:t>
            </w:r>
          </w:p>
        </w:tc>
        <w:tc>
          <w:tcPr>
            <w:tcW w:w="2260" w:type="dxa"/>
            <w:vAlign w:val="bottom"/>
          </w:tcPr>
          <w:p>
            <w:pPr>
              <w:jc w:val="center"/>
              <w:ind w:right="399"/>
              <w:spacing w:after="0"/>
              <w:rPr>
                <w:sz w:val="20"/>
                <w:szCs w:val="20"/>
                <w:color w:val="auto"/>
              </w:rPr>
            </w:pPr>
            <w:r>
              <w:rPr>
                <w:rFonts w:ascii="Arial" w:cs="Arial" w:eastAsia="Arial" w:hAnsi="Arial"/>
                <w:sz w:val="16"/>
                <w:szCs w:val="16"/>
                <w:color w:val="auto"/>
                <w:w w:val="94"/>
              </w:rPr>
              <w:t>8%</w:t>
            </w:r>
          </w:p>
        </w:tc>
        <w:tc>
          <w:tcPr>
            <w:tcW w:w="1180" w:type="dxa"/>
            <w:vAlign w:val="bottom"/>
          </w:tcPr>
          <w:p>
            <w:pPr>
              <w:jc w:val="right"/>
              <w:spacing w:after="0"/>
              <w:rPr>
                <w:sz w:val="20"/>
                <w:szCs w:val="20"/>
                <w:color w:val="auto"/>
              </w:rPr>
            </w:pPr>
            <w:r>
              <w:rPr>
                <w:rFonts w:ascii="Arial" w:cs="Arial" w:eastAsia="Arial" w:hAnsi="Arial"/>
                <w:sz w:val="16"/>
                <w:szCs w:val="16"/>
                <w:color w:val="auto"/>
              </w:rPr>
              <w:t>3,888</w:t>
            </w:r>
          </w:p>
        </w:tc>
        <w:tc>
          <w:tcPr>
            <w:tcW w:w="196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20" w:type="dxa"/>
            <w:vAlign w:val="bottom"/>
            <w:shd w:val="clear" w:color="auto" w:fill="CEFFE7"/>
          </w:tcPr>
          <w:p>
            <w:pPr>
              <w:spacing w:after="0"/>
              <w:rPr>
                <w:sz w:val="24"/>
                <w:szCs w:val="24"/>
                <w:color w:val="auto"/>
              </w:rPr>
            </w:pPr>
          </w:p>
        </w:tc>
        <w:tc>
          <w:tcPr>
            <w:tcW w:w="1100" w:type="dxa"/>
            <w:vAlign w:val="bottom"/>
            <w:shd w:val="clear" w:color="auto" w:fill="CEFFE7"/>
          </w:tcPr>
          <w:p>
            <w:pPr>
              <w:spacing w:after="0"/>
              <w:rPr>
                <w:sz w:val="24"/>
                <w:szCs w:val="24"/>
                <w:color w:val="auto"/>
              </w:rPr>
            </w:pPr>
          </w:p>
        </w:tc>
        <w:tc>
          <w:tcPr>
            <w:tcW w:w="2020" w:type="dxa"/>
            <w:vAlign w:val="bottom"/>
            <w:shd w:val="clear" w:color="auto" w:fill="CEFFE7"/>
          </w:tcPr>
          <w:p>
            <w:pPr>
              <w:spacing w:after="0"/>
              <w:rPr>
                <w:sz w:val="24"/>
                <w:szCs w:val="24"/>
                <w:color w:val="auto"/>
              </w:rPr>
            </w:pPr>
          </w:p>
        </w:tc>
        <w:tc>
          <w:tcPr>
            <w:tcW w:w="500" w:type="dxa"/>
            <w:vAlign w:val="bottom"/>
            <w:shd w:val="clear" w:color="auto" w:fill="CEFFE7"/>
          </w:tcPr>
          <w:p>
            <w:pPr>
              <w:spacing w:after="0"/>
              <w:rPr>
                <w:sz w:val="24"/>
                <w:szCs w:val="24"/>
                <w:color w:val="auto"/>
              </w:rPr>
            </w:pPr>
          </w:p>
        </w:tc>
        <w:tc>
          <w:tcPr>
            <w:tcW w:w="2260" w:type="dxa"/>
            <w:vAlign w:val="bottom"/>
            <w:shd w:val="clear" w:color="auto" w:fill="CEFFE7"/>
          </w:tcPr>
          <w:p>
            <w:pPr>
              <w:spacing w:after="0"/>
              <w:rPr>
                <w:sz w:val="24"/>
                <w:szCs w:val="24"/>
                <w:color w:val="auto"/>
              </w:rPr>
            </w:pPr>
          </w:p>
        </w:tc>
        <w:tc>
          <w:tcPr>
            <w:tcW w:w="1180" w:type="dxa"/>
            <w:vAlign w:val="bottom"/>
            <w:shd w:val="clear" w:color="auto" w:fill="CEFFE7"/>
          </w:tcPr>
          <w:p>
            <w:pPr>
              <w:spacing w:after="0"/>
              <w:rPr>
                <w:sz w:val="24"/>
                <w:szCs w:val="24"/>
                <w:color w:val="auto"/>
              </w:rPr>
            </w:pPr>
          </w:p>
        </w:tc>
        <w:tc>
          <w:tcPr>
            <w:tcW w:w="1960" w:type="dxa"/>
            <w:vAlign w:val="bottom"/>
            <w:shd w:val="clear" w:color="auto" w:fill="CEFFE7"/>
          </w:tcPr>
          <w:p>
            <w:pPr>
              <w:spacing w:after="0"/>
              <w:rPr>
                <w:sz w:val="24"/>
                <w:szCs w:val="24"/>
                <w:color w:val="auto"/>
              </w:rPr>
            </w:pPr>
          </w:p>
        </w:tc>
        <w:tc>
          <w:tcPr>
            <w:tcW w:w="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Cooling Degree Days:</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340" w:type="dxa"/>
            <w:vAlign w:val="bottom"/>
            <w:tcBorders>
              <w:bottom w:val="single" w:sz="8" w:color="CEFFE7"/>
            </w:tcBorders>
            <w:gridSpan w:val="2"/>
            <w:shd w:val="clear" w:color="auto" w:fill="CEFFE7"/>
          </w:tcPr>
          <w:p>
            <w:pPr>
              <w:ind w:left="400"/>
              <w:spacing w:after="0"/>
              <w:rPr>
                <w:sz w:val="20"/>
                <w:szCs w:val="20"/>
                <w:color w:val="auto"/>
              </w:rPr>
            </w:pPr>
            <w:r>
              <w:rPr>
                <w:rFonts w:ascii="Arial" w:cs="Arial" w:eastAsia="Arial" w:hAnsi="Arial"/>
                <w:sz w:val="16"/>
                <w:szCs w:val="16"/>
                <w:color w:val="auto"/>
              </w:rPr>
              <w:t>Colorado Electric</w:t>
            </w:r>
          </w:p>
        </w:tc>
        <w:tc>
          <w:tcPr>
            <w:tcW w:w="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1479"/>
              <w:spacing w:after="0"/>
              <w:rPr>
                <w:sz w:val="20"/>
                <w:szCs w:val="20"/>
                <w:color w:val="auto"/>
              </w:rPr>
            </w:pPr>
            <w:r>
              <w:rPr>
                <w:rFonts w:ascii="Arial" w:cs="Arial" w:eastAsia="Arial" w:hAnsi="Arial"/>
                <w:sz w:val="16"/>
                <w:szCs w:val="16"/>
                <w:color w:val="auto"/>
              </w:rPr>
              <w:t>1,226</w:t>
            </w:r>
          </w:p>
        </w:tc>
        <w:tc>
          <w:tcPr>
            <w:tcW w:w="5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37 %</w:t>
            </w:r>
          </w:p>
        </w:tc>
        <w:tc>
          <w:tcPr>
            <w:tcW w:w="2260" w:type="dxa"/>
            <w:vAlign w:val="bottom"/>
            <w:tcBorders>
              <w:bottom w:val="single" w:sz="8" w:color="CEFFE7"/>
            </w:tcBorders>
            <w:shd w:val="clear" w:color="auto" w:fill="CEFFE7"/>
          </w:tcPr>
          <w:p>
            <w:pPr>
              <w:jc w:val="right"/>
              <w:ind w:right="1079"/>
              <w:spacing w:after="0"/>
              <w:rPr>
                <w:sz w:val="20"/>
                <w:szCs w:val="20"/>
                <w:color w:val="auto"/>
              </w:rPr>
            </w:pPr>
            <w:r>
              <w:rPr>
                <w:rFonts w:ascii="Arial" w:cs="Arial" w:eastAsia="Arial" w:hAnsi="Arial"/>
                <w:sz w:val="16"/>
                <w:szCs w:val="16"/>
                <w:color w:val="auto"/>
              </w:rPr>
              <w:t>(13)%</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1,404</w:t>
            </w:r>
          </w:p>
        </w:tc>
        <w:tc>
          <w:tcPr>
            <w:tcW w:w="1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57 %</w:t>
            </w:r>
          </w:p>
        </w:tc>
        <w:tc>
          <w:tcPr>
            <w:tcW w:w="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gridSpan w:val="2"/>
          </w:tcPr>
          <w:p>
            <w:pPr>
              <w:ind w:left="400"/>
              <w:spacing w:after="0"/>
              <w:rPr>
                <w:sz w:val="20"/>
                <w:szCs w:val="20"/>
                <w:color w:val="auto"/>
              </w:rPr>
            </w:pPr>
            <w:r>
              <w:rPr>
                <w:rFonts w:ascii="Arial" w:cs="Arial" w:eastAsia="Arial" w:hAnsi="Arial"/>
                <w:sz w:val="16"/>
                <w:szCs w:val="16"/>
                <w:color w:val="auto"/>
              </w:rPr>
              <w:t>South Dakota Electric</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20" w:type="dxa"/>
            <w:vAlign w:val="bottom"/>
          </w:tcPr>
          <w:p>
            <w:pPr>
              <w:jc w:val="right"/>
              <w:ind w:right="1479"/>
              <w:spacing w:after="0"/>
              <w:rPr>
                <w:sz w:val="20"/>
                <w:szCs w:val="20"/>
                <w:color w:val="auto"/>
              </w:rPr>
            </w:pPr>
            <w:r>
              <w:rPr>
                <w:rFonts w:ascii="Arial" w:cs="Arial" w:eastAsia="Arial" w:hAnsi="Arial"/>
                <w:sz w:val="16"/>
                <w:szCs w:val="16"/>
                <w:color w:val="auto"/>
              </w:rPr>
              <w:t>404</w:t>
            </w:r>
          </w:p>
        </w:tc>
        <w:tc>
          <w:tcPr>
            <w:tcW w:w="500" w:type="dxa"/>
            <w:vAlign w:val="bottom"/>
          </w:tcPr>
          <w:p>
            <w:pPr>
              <w:jc w:val="right"/>
              <w:spacing w:after="0"/>
              <w:rPr>
                <w:sz w:val="20"/>
                <w:szCs w:val="20"/>
                <w:color w:val="auto"/>
              </w:rPr>
            </w:pPr>
            <w:r>
              <w:rPr>
                <w:rFonts w:ascii="Arial" w:cs="Arial" w:eastAsia="Arial" w:hAnsi="Arial"/>
                <w:sz w:val="16"/>
                <w:szCs w:val="16"/>
                <w:color w:val="auto"/>
                <w:w w:val="93"/>
              </w:rPr>
              <w:t>(36)%</w:t>
            </w:r>
          </w:p>
        </w:tc>
        <w:tc>
          <w:tcPr>
            <w:tcW w:w="2260" w:type="dxa"/>
            <w:vAlign w:val="bottom"/>
          </w:tcPr>
          <w:p>
            <w:pPr>
              <w:jc w:val="right"/>
              <w:ind w:right="1079"/>
              <w:spacing w:after="0"/>
              <w:rPr>
                <w:sz w:val="20"/>
                <w:szCs w:val="20"/>
                <w:color w:val="auto"/>
              </w:rPr>
            </w:pPr>
            <w:r>
              <w:rPr>
                <w:rFonts w:ascii="Arial" w:cs="Arial" w:eastAsia="Arial" w:hAnsi="Arial"/>
                <w:sz w:val="16"/>
                <w:szCs w:val="16"/>
                <w:color w:val="auto"/>
              </w:rPr>
              <w:t>(17)%</w:t>
            </w:r>
          </w:p>
        </w:tc>
        <w:tc>
          <w:tcPr>
            <w:tcW w:w="1180" w:type="dxa"/>
            <w:vAlign w:val="bottom"/>
          </w:tcPr>
          <w:p>
            <w:pPr>
              <w:jc w:val="right"/>
              <w:spacing w:after="0"/>
              <w:rPr>
                <w:sz w:val="20"/>
                <w:szCs w:val="20"/>
                <w:color w:val="auto"/>
              </w:rPr>
            </w:pPr>
            <w:r>
              <w:rPr>
                <w:rFonts w:ascii="Arial" w:cs="Arial" w:eastAsia="Arial" w:hAnsi="Arial"/>
                <w:sz w:val="16"/>
                <w:szCs w:val="16"/>
                <w:color w:val="auto"/>
              </w:rPr>
              <w:t>488</w:t>
            </w:r>
          </w:p>
        </w:tc>
        <w:tc>
          <w:tcPr>
            <w:tcW w:w="1960" w:type="dxa"/>
            <w:vAlign w:val="bottom"/>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340" w:type="dxa"/>
            <w:vAlign w:val="bottom"/>
            <w:tcBorders>
              <w:bottom w:val="single" w:sz="8" w:color="CEFFE7"/>
            </w:tcBorders>
            <w:gridSpan w:val="2"/>
            <w:shd w:val="clear" w:color="auto" w:fill="CEFFE7"/>
          </w:tcPr>
          <w:p>
            <w:pPr>
              <w:ind w:left="400"/>
              <w:spacing w:after="0"/>
              <w:rPr>
                <w:sz w:val="20"/>
                <w:szCs w:val="20"/>
                <w:color w:val="auto"/>
              </w:rPr>
            </w:pPr>
            <w:r>
              <w:rPr>
                <w:rFonts w:ascii="Arial" w:cs="Arial" w:eastAsia="Arial" w:hAnsi="Arial"/>
                <w:sz w:val="16"/>
                <w:szCs w:val="16"/>
                <w:color w:val="auto"/>
              </w:rPr>
              <w:t>Wyoming Electric</w:t>
            </w:r>
          </w:p>
        </w:tc>
        <w:tc>
          <w:tcPr>
            <w:tcW w:w="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1479"/>
              <w:spacing w:after="0"/>
              <w:rPr>
                <w:sz w:val="20"/>
                <w:szCs w:val="20"/>
                <w:color w:val="auto"/>
              </w:rPr>
            </w:pPr>
            <w:r>
              <w:rPr>
                <w:rFonts w:ascii="Arial" w:cs="Arial" w:eastAsia="Arial" w:hAnsi="Arial"/>
                <w:sz w:val="16"/>
                <w:szCs w:val="16"/>
                <w:color w:val="auto"/>
              </w:rPr>
              <w:t>462</w:t>
            </w:r>
          </w:p>
        </w:tc>
        <w:tc>
          <w:tcPr>
            <w:tcW w:w="5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33 %</w:t>
            </w:r>
          </w:p>
        </w:tc>
        <w:tc>
          <w:tcPr>
            <w:tcW w:w="2260" w:type="dxa"/>
            <w:vAlign w:val="bottom"/>
            <w:tcBorders>
              <w:bottom w:val="single" w:sz="8" w:color="CEFFE7"/>
            </w:tcBorders>
            <w:shd w:val="clear" w:color="auto" w:fill="CEFFE7"/>
          </w:tcPr>
          <w:p>
            <w:pPr>
              <w:jc w:val="center"/>
              <w:ind w:right="399"/>
              <w:spacing w:after="0"/>
              <w:rPr>
                <w:sz w:val="20"/>
                <w:szCs w:val="20"/>
                <w:color w:val="auto"/>
              </w:rPr>
            </w:pPr>
            <w:r>
              <w:rPr>
                <w:rFonts w:ascii="Arial" w:cs="Arial" w:eastAsia="Arial" w:hAnsi="Arial"/>
                <w:sz w:val="16"/>
                <w:szCs w:val="16"/>
                <w:color w:val="auto"/>
                <w:w w:val="94"/>
              </w:rPr>
              <w:t>7%</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430</w:t>
            </w:r>
          </w:p>
        </w:tc>
        <w:tc>
          <w:tcPr>
            <w:tcW w:w="1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24 %</w:t>
            </w:r>
          </w:p>
        </w:tc>
        <w:tc>
          <w:tcPr>
            <w:tcW w:w="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2340" w:type="dxa"/>
            <w:vAlign w:val="bottom"/>
            <w:gridSpan w:val="2"/>
          </w:tcPr>
          <w:p>
            <w:pPr>
              <w:ind w:left="70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20" w:type="dxa"/>
            <w:vAlign w:val="bottom"/>
          </w:tcPr>
          <w:p>
            <w:pPr>
              <w:jc w:val="right"/>
              <w:ind w:right="1479"/>
              <w:spacing w:after="0"/>
              <w:rPr>
                <w:sz w:val="20"/>
                <w:szCs w:val="20"/>
                <w:color w:val="auto"/>
              </w:rPr>
            </w:pPr>
            <w:r>
              <w:rPr>
                <w:rFonts w:ascii="Arial" w:cs="Arial" w:eastAsia="Arial" w:hAnsi="Arial"/>
                <w:sz w:val="16"/>
                <w:szCs w:val="16"/>
                <w:color w:val="auto"/>
              </w:rPr>
              <w:t>791</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14 %</w:t>
            </w:r>
          </w:p>
        </w:tc>
        <w:tc>
          <w:tcPr>
            <w:tcW w:w="2260" w:type="dxa"/>
            <w:vAlign w:val="bottom"/>
          </w:tcPr>
          <w:p>
            <w:pPr>
              <w:jc w:val="right"/>
              <w:ind w:right="1079"/>
              <w:spacing w:after="0"/>
              <w:rPr>
                <w:sz w:val="20"/>
                <w:szCs w:val="20"/>
                <w:color w:val="auto"/>
              </w:rPr>
            </w:pPr>
            <w:r>
              <w:rPr>
                <w:rFonts w:ascii="Arial" w:cs="Arial" w:eastAsia="Arial" w:hAnsi="Arial"/>
                <w:sz w:val="16"/>
                <w:szCs w:val="16"/>
                <w:color w:val="auto"/>
              </w:rPr>
              <w:t>(12)%</w:t>
            </w:r>
          </w:p>
        </w:tc>
        <w:tc>
          <w:tcPr>
            <w:tcW w:w="1180" w:type="dxa"/>
            <w:vAlign w:val="bottom"/>
          </w:tcPr>
          <w:p>
            <w:pPr>
              <w:jc w:val="right"/>
              <w:spacing w:after="0"/>
              <w:rPr>
                <w:sz w:val="20"/>
                <w:szCs w:val="20"/>
                <w:color w:val="auto"/>
              </w:rPr>
            </w:pPr>
            <w:r>
              <w:rPr>
                <w:rFonts w:ascii="Arial" w:cs="Arial" w:eastAsia="Arial" w:hAnsi="Arial"/>
                <w:sz w:val="16"/>
                <w:szCs w:val="16"/>
                <w:color w:val="auto"/>
              </w:rPr>
              <w:t>895</w:t>
            </w:r>
          </w:p>
        </w:tc>
        <w:tc>
          <w:tcPr>
            <w:tcW w:w="1960" w:type="dxa"/>
            <w:vAlign w:val="bottom"/>
          </w:tcPr>
          <w:p>
            <w:pPr>
              <w:jc w:val="right"/>
              <w:spacing w:after="0"/>
              <w:rPr>
                <w:sz w:val="20"/>
                <w:szCs w:val="20"/>
                <w:color w:val="auto"/>
              </w:rPr>
            </w:pPr>
            <w:r>
              <w:rPr>
                <w:rFonts w:ascii="Arial" w:cs="Arial" w:eastAsia="Arial" w:hAnsi="Arial"/>
                <w:sz w:val="16"/>
                <w:szCs w:val="16"/>
                <w:color w:val="auto"/>
              </w:rPr>
              <w:t>29 %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Combined actuals are calculated based on the weighted average number of total customers by state.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40" w:type="dxa"/>
            <w:vAlign w:val="bottom"/>
          </w:tcPr>
          <w:p>
            <w:pPr>
              <w:ind w:left="40"/>
              <w:spacing w:after="0"/>
              <w:rPr>
                <w:sz w:val="20"/>
                <w:szCs w:val="20"/>
                <w:color w:val="auto"/>
              </w:rPr>
            </w:pPr>
            <w:r>
              <w:rPr>
                <w:rFonts w:ascii="Arial" w:cs="Arial" w:eastAsia="Arial" w:hAnsi="Arial"/>
                <w:sz w:val="16"/>
                <w:szCs w:val="16"/>
                <w:color w:val="auto"/>
              </w:rPr>
              <w:t>Electric Utilities Power Plant Availability</w:t>
            </w:r>
          </w:p>
        </w:tc>
        <w:tc>
          <w:tcPr>
            <w:tcW w:w="3020" w:type="dxa"/>
            <w:vAlign w:val="bottom"/>
            <w:gridSpan w:val="2"/>
          </w:tcPr>
          <w:p>
            <w:pPr>
              <w:jc w:val="right"/>
              <w:ind w:right="299"/>
              <w:spacing w:after="0"/>
              <w:rPr>
                <w:sz w:val="20"/>
                <w:szCs w:val="20"/>
                <w:color w:val="auto"/>
              </w:rPr>
            </w:pPr>
            <w:r>
              <w:rPr>
                <w:rFonts w:ascii="Arial" w:cs="Arial" w:eastAsia="Arial" w:hAnsi="Arial"/>
                <w:sz w:val="16"/>
                <w:szCs w:val="16"/>
                <w:color w:val="auto"/>
              </w:rPr>
              <w:t>Three Months Ended September 30,</w:t>
            </w:r>
          </w:p>
        </w:tc>
        <w:tc>
          <w:tcPr>
            <w:tcW w:w="2660" w:type="dxa"/>
            <w:vAlign w:val="bottom"/>
            <w:gridSpan w:val="2"/>
          </w:tcPr>
          <w:p>
            <w:pPr>
              <w:jc w:val="right"/>
              <w:ind w:right="159"/>
              <w:spacing w:after="0"/>
              <w:rPr>
                <w:sz w:val="20"/>
                <w:szCs w:val="20"/>
                <w:color w:val="auto"/>
              </w:rPr>
            </w:pPr>
            <w:r>
              <w:rPr>
                <w:rFonts w:ascii="Arial" w:cs="Arial" w:eastAsia="Arial" w:hAnsi="Arial"/>
                <w:sz w:val="16"/>
                <w:szCs w:val="16"/>
                <w:color w:val="auto"/>
                <w:w w:val="96"/>
              </w:rPr>
              <w:t>Nine Months Ended September 30,</w:t>
            </w:r>
          </w:p>
        </w:tc>
      </w:tr>
      <w:tr>
        <w:trPr>
          <w:trHeight w:val="33"/>
        </w:trPr>
        <w:tc>
          <w:tcPr>
            <w:tcW w:w="5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5740" w:type="dxa"/>
            <w:vAlign w:val="bottom"/>
          </w:tcPr>
          <w:p>
            <w:pPr>
              <w:spacing w:after="0"/>
              <w:rPr>
                <w:sz w:val="20"/>
                <w:szCs w:val="20"/>
                <w:color w:val="auto"/>
              </w:rPr>
            </w:pPr>
          </w:p>
        </w:tc>
        <w:tc>
          <w:tcPr>
            <w:tcW w:w="1660" w:type="dxa"/>
            <w:vAlign w:val="bottom"/>
          </w:tcPr>
          <w:p>
            <w:pPr>
              <w:jc w:val="right"/>
              <w:ind w:right="719"/>
              <w:spacing w:after="0"/>
              <w:rPr>
                <w:sz w:val="20"/>
                <w:szCs w:val="20"/>
                <w:color w:val="auto"/>
              </w:rPr>
            </w:pPr>
            <w:r>
              <w:rPr>
                <w:rFonts w:ascii="Arial" w:cs="Arial" w:eastAsia="Arial" w:hAnsi="Arial"/>
                <w:sz w:val="16"/>
                <w:szCs w:val="16"/>
                <w:color w:val="auto"/>
              </w:rPr>
              <w:t>2019</w:t>
            </w:r>
          </w:p>
        </w:tc>
        <w:tc>
          <w:tcPr>
            <w:tcW w:w="1360" w:type="dxa"/>
            <w:vAlign w:val="bottom"/>
          </w:tcPr>
          <w:p>
            <w:pPr>
              <w:jc w:val="right"/>
              <w:ind w:right="639"/>
              <w:spacing w:after="0"/>
              <w:rPr>
                <w:sz w:val="20"/>
                <w:szCs w:val="20"/>
                <w:color w:val="auto"/>
              </w:rPr>
            </w:pPr>
            <w:r>
              <w:rPr>
                <w:rFonts w:ascii="Arial" w:cs="Arial" w:eastAsia="Arial" w:hAnsi="Arial"/>
                <w:sz w:val="16"/>
                <w:szCs w:val="16"/>
                <w:color w:val="auto"/>
              </w:rPr>
              <w:t>2018</w:t>
            </w:r>
          </w:p>
        </w:tc>
        <w:tc>
          <w:tcPr>
            <w:tcW w:w="1520" w:type="dxa"/>
            <w:vAlign w:val="bottom"/>
          </w:tcPr>
          <w:p>
            <w:pPr>
              <w:jc w:val="right"/>
              <w:ind w:right="699"/>
              <w:spacing w:after="0"/>
              <w:rPr>
                <w:sz w:val="20"/>
                <w:szCs w:val="20"/>
                <w:color w:val="auto"/>
              </w:rPr>
            </w:pPr>
            <w:r>
              <w:rPr>
                <w:rFonts w:ascii="Arial" w:cs="Arial" w:eastAsia="Arial" w:hAnsi="Arial"/>
                <w:sz w:val="16"/>
                <w:szCs w:val="16"/>
                <w:color w:val="auto"/>
              </w:rPr>
              <w:t>2019</w:t>
            </w:r>
          </w:p>
        </w:tc>
        <w:tc>
          <w:tcPr>
            <w:tcW w:w="1140" w:type="dxa"/>
            <w:vAlign w:val="bottom"/>
          </w:tcPr>
          <w:p>
            <w:pPr>
              <w:jc w:val="right"/>
              <w:ind w:right="459"/>
              <w:spacing w:after="0"/>
              <w:rPr>
                <w:sz w:val="20"/>
                <w:szCs w:val="20"/>
                <w:color w:val="auto"/>
              </w:rPr>
            </w:pPr>
            <w:r>
              <w:rPr>
                <w:rFonts w:ascii="Arial" w:cs="Arial" w:eastAsia="Arial" w:hAnsi="Arial"/>
                <w:sz w:val="16"/>
                <w:szCs w:val="16"/>
                <w:color w:val="auto"/>
              </w:rPr>
              <w:t>2018</w:t>
            </w:r>
          </w:p>
        </w:tc>
      </w:tr>
      <w:tr>
        <w:trPr>
          <w:trHeight w:val="33"/>
        </w:trPr>
        <w:tc>
          <w:tcPr>
            <w:tcW w:w="5740" w:type="dxa"/>
            <w:vAlign w:val="bottom"/>
            <w:tcBorders>
              <w:bottom w:val="single" w:sz="8" w:color="CEFFE7"/>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740" w:type="dxa"/>
            <w:vAlign w:val="bottom"/>
            <w:shd w:val="clear" w:color="auto" w:fill="CEFFE7"/>
          </w:tcPr>
          <w:p>
            <w:pPr>
              <w:ind w:left="40"/>
              <w:spacing w:after="0"/>
              <w:rPr>
                <w:sz w:val="20"/>
                <w:szCs w:val="20"/>
                <w:color w:val="auto"/>
              </w:rPr>
            </w:pPr>
            <w:r>
              <w:rPr>
                <w:rFonts w:ascii="Arial" w:cs="Arial" w:eastAsia="Arial" w:hAnsi="Arial"/>
                <w:sz w:val="16"/>
                <w:szCs w:val="16"/>
                <w:color w:val="auto"/>
              </w:rPr>
              <w:t xml:space="preserve">Coal-fired plants </w:t>
            </w:r>
            <w:r>
              <w:rPr>
                <w:rFonts w:ascii="Arial" w:cs="Arial" w:eastAsia="Arial" w:hAnsi="Arial"/>
                <w:sz w:val="21"/>
                <w:szCs w:val="21"/>
                <w:color w:val="auto"/>
                <w:vertAlign w:val="superscript"/>
              </w:rPr>
              <w:t>(a)</w:t>
            </w:r>
          </w:p>
        </w:tc>
        <w:tc>
          <w:tcPr>
            <w:tcW w:w="166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94.6%</w:t>
            </w:r>
          </w:p>
        </w:tc>
        <w:tc>
          <w:tcPr>
            <w:tcW w:w="13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95.7%</w:t>
            </w:r>
          </w:p>
        </w:tc>
        <w:tc>
          <w:tcPr>
            <w:tcW w:w="152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90.0%</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94.0%</w:t>
            </w:r>
          </w:p>
        </w:tc>
      </w:tr>
      <w:tr>
        <w:trPr>
          <w:trHeight w:val="257"/>
        </w:trPr>
        <w:tc>
          <w:tcPr>
            <w:tcW w:w="5740" w:type="dxa"/>
            <w:vAlign w:val="bottom"/>
          </w:tcPr>
          <w:p>
            <w:pPr>
              <w:ind w:left="40"/>
              <w:spacing w:after="0"/>
              <w:rPr>
                <w:sz w:val="20"/>
                <w:szCs w:val="20"/>
                <w:color w:val="auto"/>
              </w:rPr>
            </w:pPr>
            <w:r>
              <w:rPr>
                <w:rFonts w:ascii="Arial" w:cs="Arial" w:eastAsia="Arial" w:hAnsi="Arial"/>
                <w:sz w:val="16"/>
                <w:szCs w:val="16"/>
                <w:color w:val="auto"/>
              </w:rPr>
              <w:t xml:space="preserve">Natural gas-fired plants and Other plants </w:t>
            </w:r>
            <w:r>
              <w:rPr>
                <w:rFonts w:ascii="Arial" w:cs="Arial" w:eastAsia="Arial" w:hAnsi="Arial"/>
                <w:sz w:val="21"/>
                <w:szCs w:val="21"/>
                <w:color w:val="auto"/>
                <w:vertAlign w:val="superscript"/>
              </w:rPr>
              <w:t>(b)</w:t>
            </w:r>
          </w:p>
        </w:tc>
        <w:tc>
          <w:tcPr>
            <w:tcW w:w="1660" w:type="dxa"/>
            <w:vAlign w:val="bottom"/>
          </w:tcPr>
          <w:p>
            <w:pPr>
              <w:jc w:val="right"/>
              <w:ind w:right="219"/>
              <w:spacing w:after="0"/>
              <w:rPr>
                <w:sz w:val="20"/>
                <w:szCs w:val="20"/>
                <w:color w:val="auto"/>
              </w:rPr>
            </w:pPr>
            <w:r>
              <w:rPr>
                <w:rFonts w:ascii="Arial" w:cs="Arial" w:eastAsia="Arial" w:hAnsi="Arial"/>
                <w:sz w:val="16"/>
                <w:szCs w:val="16"/>
                <w:color w:val="auto"/>
              </w:rPr>
              <w:t>89.6%</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97.0%</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89.8%</w:t>
            </w:r>
          </w:p>
        </w:tc>
        <w:tc>
          <w:tcPr>
            <w:tcW w:w="1140" w:type="dxa"/>
            <w:vAlign w:val="bottom"/>
          </w:tcPr>
          <w:p>
            <w:pPr>
              <w:jc w:val="right"/>
              <w:spacing w:after="0"/>
              <w:rPr>
                <w:sz w:val="20"/>
                <w:szCs w:val="20"/>
                <w:color w:val="auto"/>
              </w:rPr>
            </w:pPr>
            <w:r>
              <w:rPr>
                <w:rFonts w:ascii="Arial" w:cs="Arial" w:eastAsia="Arial" w:hAnsi="Arial"/>
                <w:sz w:val="16"/>
                <w:szCs w:val="16"/>
                <w:color w:val="auto"/>
              </w:rPr>
              <w:t>97.2%</w:t>
            </w:r>
          </w:p>
        </w:tc>
      </w:tr>
      <w:tr>
        <w:trPr>
          <w:trHeight w:val="237"/>
        </w:trPr>
        <w:tc>
          <w:tcPr>
            <w:tcW w:w="57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Wind</w:t>
            </w:r>
          </w:p>
        </w:tc>
        <w:tc>
          <w:tcPr>
            <w:tcW w:w="166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93.7%</w:t>
            </w:r>
          </w:p>
        </w:tc>
        <w:tc>
          <w:tcPr>
            <w:tcW w:w="13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96.9%</w:t>
            </w:r>
          </w:p>
        </w:tc>
        <w:tc>
          <w:tcPr>
            <w:tcW w:w="152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95.0%</w:t>
            </w: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96.9%</w:t>
            </w:r>
          </w:p>
        </w:tc>
      </w:tr>
      <w:tr>
        <w:trPr>
          <w:trHeight w:val="224"/>
        </w:trPr>
        <w:tc>
          <w:tcPr>
            <w:tcW w:w="5740" w:type="dxa"/>
            <w:vAlign w:val="bottom"/>
          </w:tcPr>
          <w:p>
            <w:pPr>
              <w:ind w:left="40"/>
              <w:spacing w:after="0"/>
              <w:rPr>
                <w:sz w:val="20"/>
                <w:szCs w:val="20"/>
                <w:color w:val="auto"/>
              </w:rPr>
            </w:pPr>
            <w:r>
              <w:rPr>
                <w:rFonts w:ascii="Arial" w:cs="Arial" w:eastAsia="Arial" w:hAnsi="Arial"/>
                <w:sz w:val="16"/>
                <w:szCs w:val="16"/>
                <w:color w:val="auto"/>
              </w:rPr>
              <w:t>Total availability</w:t>
            </w:r>
          </w:p>
        </w:tc>
        <w:tc>
          <w:tcPr>
            <w:tcW w:w="1660" w:type="dxa"/>
            <w:vAlign w:val="bottom"/>
          </w:tcPr>
          <w:p>
            <w:pPr>
              <w:jc w:val="right"/>
              <w:ind w:right="219"/>
              <w:spacing w:after="0"/>
              <w:rPr>
                <w:sz w:val="20"/>
                <w:szCs w:val="20"/>
                <w:color w:val="auto"/>
              </w:rPr>
            </w:pPr>
            <w:r>
              <w:rPr>
                <w:rFonts w:ascii="Arial" w:cs="Arial" w:eastAsia="Arial" w:hAnsi="Arial"/>
                <w:sz w:val="16"/>
                <w:szCs w:val="16"/>
                <w:color w:val="auto"/>
              </w:rPr>
              <w:t>91.5%</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96.6%</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90.3%</w:t>
            </w:r>
          </w:p>
        </w:tc>
        <w:tc>
          <w:tcPr>
            <w:tcW w:w="1140" w:type="dxa"/>
            <w:vAlign w:val="bottom"/>
          </w:tcPr>
          <w:p>
            <w:pPr>
              <w:jc w:val="right"/>
              <w:spacing w:after="0"/>
              <w:rPr>
                <w:sz w:val="20"/>
                <w:szCs w:val="20"/>
                <w:color w:val="auto"/>
              </w:rPr>
            </w:pPr>
            <w:r>
              <w:rPr>
                <w:rFonts w:ascii="Arial" w:cs="Arial" w:eastAsia="Arial" w:hAnsi="Arial"/>
                <w:sz w:val="16"/>
                <w:szCs w:val="16"/>
                <w:color w:val="auto"/>
              </w:rPr>
              <w:t>96.1%</w:t>
            </w:r>
          </w:p>
        </w:tc>
      </w:tr>
      <w:tr>
        <w:trPr>
          <w:trHeight w:val="33"/>
        </w:trPr>
        <w:tc>
          <w:tcPr>
            <w:tcW w:w="5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5740" w:type="dxa"/>
            <w:vAlign w:val="bottom"/>
            <w:shd w:val="clear" w:color="auto" w:fill="CEFFE7"/>
          </w:tcPr>
          <w:p>
            <w:pPr>
              <w:spacing w:after="0"/>
              <w:rPr>
                <w:sz w:val="19"/>
                <w:szCs w:val="19"/>
                <w:color w:val="auto"/>
              </w:rPr>
            </w:pPr>
          </w:p>
        </w:tc>
        <w:tc>
          <w:tcPr>
            <w:tcW w:w="1660" w:type="dxa"/>
            <w:vAlign w:val="bottom"/>
            <w:shd w:val="clear" w:color="auto" w:fill="CEFFE7"/>
          </w:tcPr>
          <w:p>
            <w:pPr>
              <w:spacing w:after="0"/>
              <w:rPr>
                <w:sz w:val="19"/>
                <w:szCs w:val="19"/>
                <w:color w:val="auto"/>
              </w:rPr>
            </w:pPr>
          </w:p>
        </w:tc>
        <w:tc>
          <w:tcPr>
            <w:tcW w:w="1360" w:type="dxa"/>
            <w:vAlign w:val="bottom"/>
            <w:shd w:val="clear" w:color="auto" w:fill="CEFFE7"/>
          </w:tcPr>
          <w:p>
            <w:pPr>
              <w:spacing w:after="0"/>
              <w:rPr>
                <w:sz w:val="19"/>
                <w:szCs w:val="19"/>
                <w:color w:val="auto"/>
              </w:rPr>
            </w:pPr>
          </w:p>
        </w:tc>
        <w:tc>
          <w:tcPr>
            <w:tcW w:w="1520" w:type="dxa"/>
            <w:vAlign w:val="bottom"/>
            <w:shd w:val="clear" w:color="auto" w:fill="CEFFE7"/>
          </w:tcPr>
          <w:p>
            <w:pPr>
              <w:spacing w:after="0"/>
              <w:rPr>
                <w:sz w:val="19"/>
                <w:szCs w:val="19"/>
                <w:color w:val="auto"/>
              </w:rPr>
            </w:pPr>
          </w:p>
        </w:tc>
        <w:tc>
          <w:tcPr>
            <w:tcW w:w="1140" w:type="dxa"/>
            <w:vAlign w:val="bottom"/>
            <w:shd w:val="clear" w:color="auto" w:fill="CEFFE7"/>
          </w:tcPr>
          <w:p>
            <w:pPr>
              <w:spacing w:after="0"/>
              <w:rPr>
                <w:sz w:val="19"/>
                <w:szCs w:val="19"/>
                <w:color w:val="auto"/>
              </w:rPr>
            </w:pPr>
          </w:p>
        </w:tc>
      </w:tr>
      <w:tr>
        <w:trPr>
          <w:trHeight w:val="224"/>
        </w:trPr>
        <w:tc>
          <w:tcPr>
            <w:tcW w:w="5740" w:type="dxa"/>
            <w:vAlign w:val="bottom"/>
          </w:tcPr>
          <w:p>
            <w:pPr>
              <w:ind w:left="40"/>
              <w:spacing w:after="0"/>
              <w:rPr>
                <w:sz w:val="20"/>
                <w:szCs w:val="20"/>
                <w:color w:val="auto"/>
              </w:rPr>
            </w:pPr>
            <w:r>
              <w:rPr>
                <w:rFonts w:ascii="Arial" w:cs="Arial" w:eastAsia="Arial" w:hAnsi="Arial"/>
                <w:sz w:val="16"/>
                <w:szCs w:val="16"/>
                <w:color w:val="auto"/>
              </w:rPr>
              <w:t>Wind capacity factor</w:t>
            </w:r>
          </w:p>
        </w:tc>
        <w:tc>
          <w:tcPr>
            <w:tcW w:w="1660" w:type="dxa"/>
            <w:vAlign w:val="bottom"/>
          </w:tcPr>
          <w:p>
            <w:pPr>
              <w:jc w:val="right"/>
              <w:ind w:right="219"/>
              <w:spacing w:after="0"/>
              <w:rPr>
                <w:sz w:val="20"/>
                <w:szCs w:val="20"/>
                <w:color w:val="auto"/>
              </w:rPr>
            </w:pPr>
            <w:r>
              <w:rPr>
                <w:rFonts w:ascii="Arial" w:cs="Arial" w:eastAsia="Arial" w:hAnsi="Arial"/>
                <w:sz w:val="16"/>
                <w:szCs w:val="16"/>
                <w:color w:val="auto"/>
              </w:rPr>
              <w:t>33.8%</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33.1%</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37.1%</w:t>
            </w:r>
          </w:p>
        </w:tc>
        <w:tc>
          <w:tcPr>
            <w:tcW w:w="1140" w:type="dxa"/>
            <w:vAlign w:val="bottom"/>
          </w:tcPr>
          <w:p>
            <w:pPr>
              <w:jc w:val="right"/>
              <w:spacing w:after="0"/>
              <w:rPr>
                <w:sz w:val="20"/>
                <w:szCs w:val="20"/>
                <w:color w:val="auto"/>
              </w:rPr>
            </w:pPr>
            <w:r>
              <w:rPr>
                <w:rFonts w:ascii="Arial" w:cs="Arial" w:eastAsia="Arial" w:hAnsi="Arial"/>
                <w:sz w:val="16"/>
                <w:szCs w:val="16"/>
                <w:color w:val="auto"/>
              </w:rPr>
              <w:t>41.8%</w:t>
            </w:r>
          </w:p>
        </w:tc>
      </w:tr>
      <w:tr>
        <w:trPr>
          <w:trHeight w:val="226"/>
        </w:trPr>
        <w:tc>
          <w:tcPr>
            <w:tcW w:w="5740" w:type="dxa"/>
            <w:vAlign w:val="bottom"/>
          </w:tcPr>
          <w:p>
            <w:pPr>
              <w:spacing w:after="0"/>
              <w:rPr>
                <w:sz w:val="20"/>
                <w:szCs w:val="20"/>
                <w:color w:val="auto"/>
              </w:rPr>
            </w:pPr>
            <w:r>
              <w:rPr>
                <w:rFonts w:ascii="Arial" w:cs="Arial" w:eastAsia="Arial" w:hAnsi="Arial"/>
                <w:sz w:val="16"/>
                <w:szCs w:val="16"/>
                <w:color w:val="auto"/>
              </w:rPr>
              <w:t>__________</w:t>
            </w:r>
          </w:p>
        </w:tc>
        <w:tc>
          <w:tcPr>
            <w:tcW w:w="1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2019 included planned outages at Neil Simpson II and Wygen III and unplanned outages at Wyodak Plant and Wygen III.</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2019 included planned outages at Neil Simpson CT and Lange 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Gas Utilities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9"/>
        </w:trPr>
        <w:tc>
          <w:tcPr>
            <w:tcW w:w="920" w:type="dxa"/>
            <w:vAlign w:val="bottom"/>
            <w:tcBorders>
              <w:top w:val="single" w:sz="8" w:color="auto"/>
            </w:tcBorders>
          </w:tcPr>
          <w:p>
            <w:pPr>
              <w:spacing w:after="0"/>
              <w:rPr>
                <w:sz w:val="24"/>
                <w:szCs w:val="24"/>
                <w:color w:val="auto"/>
              </w:rPr>
            </w:pPr>
          </w:p>
        </w:tc>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5"/>
          </w:tcPr>
          <w:p>
            <w:pPr>
              <w:jc w:val="right"/>
              <w:ind w:right="290"/>
              <w:spacing w:after="0"/>
              <w:rPr>
                <w:sz w:val="20"/>
                <w:szCs w:val="20"/>
                <w:color w:val="auto"/>
              </w:rPr>
            </w:pPr>
            <w:r>
              <w:rPr>
                <w:rFonts w:ascii="Arial" w:cs="Arial" w:eastAsia="Arial" w:hAnsi="Arial"/>
                <w:sz w:val="18"/>
                <w:szCs w:val="18"/>
                <w:color w:val="auto"/>
                <w:w w:val="94"/>
              </w:rPr>
              <w:t>Three Months Ended September 30,</w:t>
            </w:r>
          </w:p>
        </w:tc>
        <w:tc>
          <w:tcPr>
            <w:tcW w:w="260" w:type="dxa"/>
            <w:vAlign w:val="bottom"/>
          </w:tcPr>
          <w:p>
            <w:pPr>
              <w:spacing w:after="0"/>
              <w:rPr>
                <w:sz w:val="24"/>
                <w:szCs w:val="24"/>
                <w:color w:val="auto"/>
              </w:rPr>
            </w:pPr>
          </w:p>
        </w:tc>
        <w:tc>
          <w:tcPr>
            <w:tcW w:w="3160" w:type="dxa"/>
            <w:vAlign w:val="bottom"/>
            <w:gridSpan w:val="5"/>
          </w:tcPr>
          <w:p>
            <w:pPr>
              <w:jc w:val="right"/>
              <w:ind w:right="330"/>
              <w:spacing w:after="0"/>
              <w:rPr>
                <w:sz w:val="20"/>
                <w:szCs w:val="20"/>
                <w:color w:val="auto"/>
              </w:rPr>
            </w:pPr>
            <w:r>
              <w:rPr>
                <w:rFonts w:ascii="Arial" w:cs="Arial" w:eastAsia="Arial" w:hAnsi="Arial"/>
                <w:sz w:val="18"/>
                <w:szCs w:val="18"/>
                <w:color w:val="auto"/>
                <w:w w:val="96"/>
              </w:rPr>
              <w:t>Nine Months Ended September 30,</w:t>
            </w:r>
          </w:p>
        </w:tc>
      </w:tr>
      <w:tr>
        <w:trPr>
          <w:trHeight w:val="270"/>
        </w:trPr>
        <w:tc>
          <w:tcPr>
            <w:tcW w:w="9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2"/>
              </w:rPr>
              <w:t>Variance</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3"/>
          </w:tcPr>
          <w:p>
            <w:pPr>
              <w:jc w:val="right"/>
              <w:ind w:right="51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Natural gas - regulated</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117,549</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117,070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479</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651,366</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648,550</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2,816</w:t>
            </w: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Other - non-regulated services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13,195</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14,606</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(1,411)</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55,927</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58,090</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(2,163)</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EFFE7"/>
            </w:tcBorders>
            <w:gridSpan w:val="2"/>
            <w:shd w:val="clear" w:color="auto" w:fill="CEFFE7"/>
          </w:tcPr>
          <w:p>
            <w:pPr>
              <w:ind w:left="60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130,744</w:t>
            </w:r>
          </w:p>
        </w:tc>
        <w:tc>
          <w:tcPr>
            <w:tcW w:w="30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131,676</w:t>
            </w:r>
          </w:p>
        </w:tc>
        <w:tc>
          <w:tcPr>
            <w:tcW w:w="22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(932)</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707,293</w:t>
            </w:r>
          </w:p>
        </w:tc>
        <w:tc>
          <w:tcPr>
            <w:tcW w:w="2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706,640</w:t>
            </w:r>
          </w:p>
        </w:tc>
        <w:tc>
          <w:tcPr>
            <w:tcW w:w="24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653</w:t>
            </w:r>
          </w:p>
        </w:tc>
      </w:tr>
      <w:tr>
        <w:trPr>
          <w:trHeight w:val="291"/>
        </w:trPr>
        <w:tc>
          <w:tcPr>
            <w:tcW w:w="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spacing w:after="0"/>
              <w:rPr>
                <w:sz w:val="21"/>
                <w:szCs w:val="21"/>
                <w:color w:val="auto"/>
              </w:rPr>
            </w:pP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Natural gas - regulated</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28,154</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30,612</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(2,458)</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280,312</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298,149</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(17,837)</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Other - non-regulated services</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4,870</w:t>
            </w:r>
          </w:p>
        </w:tc>
        <w:tc>
          <w:tcPr>
            <w:tcW w:w="30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5,514</w:t>
            </w:r>
          </w:p>
        </w:tc>
        <w:tc>
          <w:tcPr>
            <w:tcW w:w="22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(644)</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16,975</w:t>
            </w:r>
          </w:p>
        </w:tc>
        <w:tc>
          <w:tcPr>
            <w:tcW w:w="28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15,716</w:t>
            </w:r>
          </w:p>
        </w:tc>
        <w:tc>
          <w:tcPr>
            <w:tcW w:w="24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1,259</w:t>
            </w:r>
          </w:p>
        </w:tc>
      </w:tr>
      <w:tr>
        <w:trPr>
          <w:trHeight w:val="237"/>
        </w:trPr>
        <w:tc>
          <w:tcPr>
            <w:tcW w:w="4580" w:type="dxa"/>
            <w:vAlign w:val="bottom"/>
            <w:gridSpan w:val="2"/>
          </w:tcPr>
          <w:p>
            <w:pPr>
              <w:ind w:left="600"/>
              <w:spacing w:after="0"/>
              <w:rPr>
                <w:sz w:val="20"/>
                <w:szCs w:val="20"/>
                <w:color w:val="auto"/>
              </w:rPr>
            </w:pPr>
            <w:r>
              <w:rPr>
                <w:rFonts w:ascii="Arial" w:cs="Arial" w:eastAsia="Arial" w:hAnsi="Arial"/>
                <w:sz w:val="18"/>
                <w:szCs w:val="18"/>
                <w:color w:val="auto"/>
              </w:rPr>
              <w:t>Total cost of sales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33,024</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36,126</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(3,102)</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297,287</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313,865</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(16,578)</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920" w:type="dxa"/>
            <w:vAlign w:val="bottom"/>
            <w:shd w:val="clear" w:color="auto" w:fill="CEFFE7"/>
          </w:tcPr>
          <w:p>
            <w:pPr>
              <w:spacing w:after="0"/>
              <w:rPr>
                <w:sz w:val="24"/>
                <w:szCs w:val="24"/>
                <w:color w:val="auto"/>
              </w:rPr>
            </w:pPr>
          </w:p>
        </w:tc>
        <w:tc>
          <w:tcPr>
            <w:tcW w:w="3660" w:type="dxa"/>
            <w:vAlign w:val="bottom"/>
            <w:shd w:val="clear" w:color="auto" w:fill="CEFFE7"/>
          </w:tcPr>
          <w:p>
            <w:pPr>
              <w:spacing w:after="0"/>
              <w:rPr>
                <w:sz w:val="24"/>
                <w:szCs w:val="24"/>
                <w:color w:val="auto"/>
              </w:rPr>
            </w:pPr>
          </w:p>
        </w:tc>
        <w:tc>
          <w:tcPr>
            <w:tcW w:w="260" w:type="dxa"/>
            <w:vAlign w:val="bottom"/>
            <w:tcBorders>
              <w:bottom w:val="single" w:sz="8" w:color="auto"/>
            </w:tcBorders>
            <w:shd w:val="clear" w:color="auto" w:fill="CEFFE7"/>
          </w:tcPr>
          <w:p>
            <w:pPr>
              <w:spacing w:after="0"/>
              <w:rPr>
                <w:sz w:val="24"/>
                <w:szCs w:val="24"/>
                <w:color w:val="auto"/>
              </w:rPr>
            </w:pPr>
          </w:p>
        </w:tc>
        <w:tc>
          <w:tcPr>
            <w:tcW w:w="860" w:type="dxa"/>
            <w:vAlign w:val="bottom"/>
            <w:tcBorders>
              <w:bottom w:val="single" w:sz="8" w:color="auto"/>
            </w:tcBorders>
            <w:shd w:val="clear" w:color="auto" w:fill="CEFFE7"/>
          </w:tcPr>
          <w:p>
            <w:pPr>
              <w:spacing w:after="0"/>
              <w:rPr>
                <w:sz w:val="24"/>
                <w:szCs w:val="24"/>
                <w:color w:val="auto"/>
              </w:rPr>
            </w:pPr>
          </w:p>
        </w:tc>
        <w:tc>
          <w:tcPr>
            <w:tcW w:w="300" w:type="dxa"/>
            <w:vAlign w:val="bottom"/>
            <w:tcBorders>
              <w:bottom w:val="single" w:sz="8" w:color="auto"/>
            </w:tcBorders>
            <w:shd w:val="clear" w:color="auto" w:fill="CEFFE7"/>
          </w:tcPr>
          <w:p>
            <w:pPr>
              <w:spacing w:after="0"/>
              <w:rPr>
                <w:sz w:val="24"/>
                <w:szCs w:val="24"/>
                <w:color w:val="auto"/>
              </w:rPr>
            </w:pPr>
          </w:p>
        </w:tc>
        <w:tc>
          <w:tcPr>
            <w:tcW w:w="840" w:type="dxa"/>
            <w:vAlign w:val="bottom"/>
            <w:tcBorders>
              <w:bottom w:val="single" w:sz="8" w:color="auto"/>
            </w:tcBorders>
            <w:shd w:val="clear" w:color="auto" w:fill="CEFFE7"/>
          </w:tcPr>
          <w:p>
            <w:pPr>
              <w:spacing w:after="0"/>
              <w:rPr>
                <w:sz w:val="24"/>
                <w:szCs w:val="24"/>
                <w:color w:val="auto"/>
              </w:rPr>
            </w:pPr>
          </w:p>
        </w:tc>
        <w:tc>
          <w:tcPr>
            <w:tcW w:w="220" w:type="dxa"/>
            <w:vAlign w:val="bottom"/>
            <w:tcBorders>
              <w:bottom w:val="single" w:sz="8" w:color="auto"/>
            </w:tcBorders>
            <w:shd w:val="clear" w:color="auto" w:fill="CEFFE7"/>
          </w:tcPr>
          <w:p>
            <w:pPr>
              <w:spacing w:after="0"/>
              <w:rPr>
                <w:sz w:val="24"/>
                <w:szCs w:val="24"/>
                <w:color w:val="auto"/>
              </w:rPr>
            </w:pPr>
          </w:p>
        </w:tc>
        <w:tc>
          <w:tcPr>
            <w:tcW w:w="940" w:type="dxa"/>
            <w:vAlign w:val="bottom"/>
            <w:tcBorders>
              <w:bottom w:val="single" w:sz="8" w:color="auto"/>
            </w:tcBorders>
            <w:shd w:val="clear" w:color="auto" w:fill="CEFFE7"/>
          </w:tcPr>
          <w:p>
            <w:pPr>
              <w:spacing w:after="0"/>
              <w:rPr>
                <w:sz w:val="24"/>
                <w:szCs w:val="24"/>
                <w:color w:val="auto"/>
              </w:rPr>
            </w:pPr>
          </w:p>
        </w:tc>
        <w:tc>
          <w:tcPr>
            <w:tcW w:w="260" w:type="dxa"/>
            <w:vAlign w:val="bottom"/>
            <w:tcBorders>
              <w:bottom w:val="single" w:sz="8" w:color="auto"/>
            </w:tcBorders>
            <w:shd w:val="clear" w:color="auto" w:fill="CEFFE7"/>
          </w:tcPr>
          <w:p>
            <w:pPr>
              <w:spacing w:after="0"/>
              <w:rPr>
                <w:sz w:val="24"/>
                <w:szCs w:val="24"/>
                <w:color w:val="auto"/>
              </w:rPr>
            </w:pPr>
          </w:p>
        </w:tc>
        <w:tc>
          <w:tcPr>
            <w:tcW w:w="860" w:type="dxa"/>
            <w:vAlign w:val="bottom"/>
            <w:tcBorders>
              <w:bottom w:val="single" w:sz="8" w:color="auto"/>
            </w:tcBorders>
            <w:shd w:val="clear" w:color="auto" w:fill="CEFFE7"/>
          </w:tcPr>
          <w:p>
            <w:pPr>
              <w:spacing w:after="0"/>
              <w:rPr>
                <w:sz w:val="24"/>
                <w:szCs w:val="24"/>
                <w:color w:val="auto"/>
              </w:rPr>
            </w:pPr>
          </w:p>
        </w:tc>
        <w:tc>
          <w:tcPr>
            <w:tcW w:w="280" w:type="dxa"/>
            <w:vAlign w:val="bottom"/>
            <w:tcBorders>
              <w:bottom w:val="single" w:sz="8" w:color="auto"/>
            </w:tcBorders>
            <w:shd w:val="clear" w:color="auto" w:fill="CEFFE7"/>
          </w:tcPr>
          <w:p>
            <w:pPr>
              <w:spacing w:after="0"/>
              <w:rPr>
                <w:sz w:val="24"/>
                <w:szCs w:val="24"/>
                <w:color w:val="auto"/>
              </w:rPr>
            </w:pPr>
          </w:p>
        </w:tc>
        <w:tc>
          <w:tcPr>
            <w:tcW w:w="840" w:type="dxa"/>
            <w:vAlign w:val="bottom"/>
            <w:tcBorders>
              <w:bottom w:val="single" w:sz="8" w:color="auto"/>
            </w:tcBorders>
            <w:shd w:val="clear" w:color="auto" w:fill="CEFFE7"/>
          </w:tcPr>
          <w:p>
            <w:pPr>
              <w:spacing w:after="0"/>
              <w:rPr>
                <w:sz w:val="24"/>
                <w:szCs w:val="24"/>
                <w:color w:val="auto"/>
              </w:rPr>
            </w:pPr>
          </w:p>
        </w:tc>
        <w:tc>
          <w:tcPr>
            <w:tcW w:w="240" w:type="dxa"/>
            <w:vAlign w:val="bottom"/>
            <w:tcBorders>
              <w:bottom w:val="single" w:sz="8" w:color="auto"/>
            </w:tcBorders>
            <w:shd w:val="clear" w:color="auto" w:fill="CEFFE7"/>
          </w:tcPr>
          <w:p>
            <w:pPr>
              <w:spacing w:after="0"/>
              <w:rPr>
                <w:sz w:val="24"/>
                <w:szCs w:val="24"/>
                <w:color w:val="auto"/>
              </w:rPr>
            </w:pPr>
          </w:p>
        </w:tc>
        <w:tc>
          <w:tcPr>
            <w:tcW w:w="940" w:type="dxa"/>
            <w:vAlign w:val="bottom"/>
            <w:tcBorders>
              <w:bottom w:val="single" w:sz="8" w:color="auto"/>
            </w:tcBorders>
            <w:shd w:val="clear" w:color="auto" w:fill="CEFFE7"/>
          </w:tcPr>
          <w:p>
            <w:pPr>
              <w:spacing w:after="0"/>
              <w:rPr>
                <w:sz w:val="24"/>
                <w:szCs w:val="24"/>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Gross margin (non-GAAP)</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97,720</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95,550</w:t>
            </w:r>
          </w:p>
        </w:tc>
        <w:tc>
          <w:tcPr>
            <w:tcW w:w="2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2,170</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410,006</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392,775</w:t>
            </w:r>
          </w:p>
        </w:tc>
        <w:tc>
          <w:tcPr>
            <w:tcW w:w="2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17,231</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920" w:type="dxa"/>
            <w:vAlign w:val="bottom"/>
            <w:shd w:val="clear" w:color="auto" w:fill="CEFFE7"/>
          </w:tcPr>
          <w:p>
            <w:pPr>
              <w:spacing w:after="0"/>
              <w:rPr>
                <w:sz w:val="24"/>
                <w:szCs w:val="24"/>
                <w:color w:val="auto"/>
              </w:rPr>
            </w:pPr>
          </w:p>
        </w:tc>
        <w:tc>
          <w:tcPr>
            <w:tcW w:w="36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Operations and maintenance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70,170</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69,746</w:t>
            </w: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225,239</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212,319</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12,920</w:t>
            </w:r>
          </w:p>
        </w:tc>
      </w:tr>
      <w:tr>
        <w:trPr>
          <w:trHeight w:val="27"/>
        </w:trPr>
        <w:tc>
          <w:tcPr>
            <w:tcW w:w="9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22,814</w:t>
            </w:r>
          </w:p>
        </w:tc>
        <w:tc>
          <w:tcPr>
            <w:tcW w:w="30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21,564</w:t>
            </w:r>
          </w:p>
        </w:tc>
        <w:tc>
          <w:tcPr>
            <w:tcW w:w="22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1,250</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68,160</w:t>
            </w:r>
          </w:p>
        </w:tc>
        <w:tc>
          <w:tcPr>
            <w:tcW w:w="28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64,288</w:t>
            </w:r>
          </w:p>
        </w:tc>
        <w:tc>
          <w:tcPr>
            <w:tcW w:w="24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3,872</w:t>
            </w:r>
          </w:p>
        </w:tc>
      </w:tr>
      <w:tr>
        <w:trPr>
          <w:trHeight w:val="237"/>
        </w:trPr>
        <w:tc>
          <w:tcPr>
            <w:tcW w:w="4580" w:type="dxa"/>
            <w:vAlign w:val="bottom"/>
            <w:gridSpan w:val="2"/>
          </w:tcPr>
          <w:p>
            <w:pPr>
              <w:ind w:left="6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92,984</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91,310</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1,674</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293,399</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276,607</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16,792</w:t>
            </w:r>
          </w:p>
        </w:tc>
      </w:tr>
      <w:tr>
        <w:trPr>
          <w:trHeight w:val="27"/>
        </w:trPr>
        <w:tc>
          <w:tcPr>
            <w:tcW w:w="920" w:type="dxa"/>
            <w:vAlign w:val="bottom"/>
            <w:tcBorders>
              <w:bottom w:val="single" w:sz="8" w:color="CEFFE7"/>
            </w:tcBorders>
          </w:tcPr>
          <w:p>
            <w:pPr>
              <w:spacing w:after="0"/>
              <w:rPr>
                <w:sz w:val="2"/>
                <w:szCs w:val="2"/>
                <w:color w:val="auto"/>
              </w:rPr>
            </w:pPr>
          </w:p>
        </w:tc>
        <w:tc>
          <w:tcPr>
            <w:tcW w:w="36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920" w:type="dxa"/>
            <w:vAlign w:val="bottom"/>
            <w:shd w:val="clear" w:color="auto" w:fill="CEFFE7"/>
          </w:tcPr>
          <w:p>
            <w:pPr>
              <w:spacing w:after="0"/>
              <w:rPr>
                <w:sz w:val="24"/>
                <w:szCs w:val="24"/>
                <w:color w:val="auto"/>
              </w:rPr>
            </w:pPr>
          </w:p>
        </w:tc>
        <w:tc>
          <w:tcPr>
            <w:tcW w:w="3660" w:type="dxa"/>
            <w:vAlign w:val="bottom"/>
            <w:shd w:val="clear" w:color="auto" w:fill="CEFFE7"/>
          </w:tcPr>
          <w:p>
            <w:pPr>
              <w:spacing w:after="0"/>
              <w:rPr>
                <w:sz w:val="24"/>
                <w:szCs w:val="24"/>
                <w:color w:val="auto"/>
              </w:rPr>
            </w:pPr>
          </w:p>
        </w:tc>
        <w:tc>
          <w:tcPr>
            <w:tcW w:w="260" w:type="dxa"/>
            <w:vAlign w:val="bottom"/>
            <w:tcBorders>
              <w:bottom w:val="single" w:sz="8" w:color="auto"/>
            </w:tcBorders>
            <w:shd w:val="clear" w:color="auto" w:fill="CEFFE7"/>
          </w:tcPr>
          <w:p>
            <w:pPr>
              <w:spacing w:after="0"/>
              <w:rPr>
                <w:sz w:val="24"/>
                <w:szCs w:val="24"/>
                <w:color w:val="auto"/>
              </w:rPr>
            </w:pPr>
          </w:p>
        </w:tc>
        <w:tc>
          <w:tcPr>
            <w:tcW w:w="860" w:type="dxa"/>
            <w:vAlign w:val="bottom"/>
            <w:tcBorders>
              <w:bottom w:val="single" w:sz="8" w:color="auto"/>
            </w:tcBorders>
            <w:shd w:val="clear" w:color="auto" w:fill="CEFFE7"/>
          </w:tcPr>
          <w:p>
            <w:pPr>
              <w:spacing w:after="0"/>
              <w:rPr>
                <w:sz w:val="24"/>
                <w:szCs w:val="24"/>
                <w:color w:val="auto"/>
              </w:rPr>
            </w:pPr>
          </w:p>
        </w:tc>
        <w:tc>
          <w:tcPr>
            <w:tcW w:w="300" w:type="dxa"/>
            <w:vAlign w:val="bottom"/>
            <w:tcBorders>
              <w:bottom w:val="single" w:sz="8" w:color="auto"/>
            </w:tcBorders>
            <w:shd w:val="clear" w:color="auto" w:fill="CEFFE7"/>
          </w:tcPr>
          <w:p>
            <w:pPr>
              <w:spacing w:after="0"/>
              <w:rPr>
                <w:sz w:val="24"/>
                <w:szCs w:val="24"/>
                <w:color w:val="auto"/>
              </w:rPr>
            </w:pPr>
          </w:p>
        </w:tc>
        <w:tc>
          <w:tcPr>
            <w:tcW w:w="840" w:type="dxa"/>
            <w:vAlign w:val="bottom"/>
            <w:tcBorders>
              <w:bottom w:val="single" w:sz="8" w:color="auto"/>
            </w:tcBorders>
            <w:shd w:val="clear" w:color="auto" w:fill="CEFFE7"/>
          </w:tcPr>
          <w:p>
            <w:pPr>
              <w:spacing w:after="0"/>
              <w:rPr>
                <w:sz w:val="24"/>
                <w:szCs w:val="24"/>
                <w:color w:val="auto"/>
              </w:rPr>
            </w:pPr>
          </w:p>
        </w:tc>
        <w:tc>
          <w:tcPr>
            <w:tcW w:w="220" w:type="dxa"/>
            <w:vAlign w:val="bottom"/>
            <w:tcBorders>
              <w:bottom w:val="single" w:sz="8" w:color="auto"/>
            </w:tcBorders>
            <w:shd w:val="clear" w:color="auto" w:fill="CEFFE7"/>
          </w:tcPr>
          <w:p>
            <w:pPr>
              <w:spacing w:after="0"/>
              <w:rPr>
                <w:sz w:val="24"/>
                <w:szCs w:val="24"/>
                <w:color w:val="auto"/>
              </w:rPr>
            </w:pPr>
          </w:p>
        </w:tc>
        <w:tc>
          <w:tcPr>
            <w:tcW w:w="940" w:type="dxa"/>
            <w:vAlign w:val="bottom"/>
            <w:tcBorders>
              <w:bottom w:val="single" w:sz="8" w:color="auto"/>
            </w:tcBorders>
            <w:shd w:val="clear" w:color="auto" w:fill="CEFFE7"/>
          </w:tcPr>
          <w:p>
            <w:pPr>
              <w:spacing w:after="0"/>
              <w:rPr>
                <w:sz w:val="24"/>
                <w:szCs w:val="24"/>
                <w:color w:val="auto"/>
              </w:rPr>
            </w:pPr>
          </w:p>
        </w:tc>
        <w:tc>
          <w:tcPr>
            <w:tcW w:w="260" w:type="dxa"/>
            <w:vAlign w:val="bottom"/>
            <w:tcBorders>
              <w:bottom w:val="single" w:sz="8" w:color="auto"/>
            </w:tcBorders>
            <w:shd w:val="clear" w:color="auto" w:fill="CEFFE7"/>
          </w:tcPr>
          <w:p>
            <w:pPr>
              <w:spacing w:after="0"/>
              <w:rPr>
                <w:sz w:val="24"/>
                <w:szCs w:val="24"/>
                <w:color w:val="auto"/>
              </w:rPr>
            </w:pPr>
          </w:p>
        </w:tc>
        <w:tc>
          <w:tcPr>
            <w:tcW w:w="860" w:type="dxa"/>
            <w:vAlign w:val="bottom"/>
            <w:tcBorders>
              <w:bottom w:val="single" w:sz="8" w:color="auto"/>
            </w:tcBorders>
            <w:shd w:val="clear" w:color="auto" w:fill="CEFFE7"/>
          </w:tcPr>
          <w:p>
            <w:pPr>
              <w:spacing w:after="0"/>
              <w:rPr>
                <w:sz w:val="24"/>
                <w:szCs w:val="24"/>
                <w:color w:val="auto"/>
              </w:rPr>
            </w:pPr>
          </w:p>
        </w:tc>
        <w:tc>
          <w:tcPr>
            <w:tcW w:w="280" w:type="dxa"/>
            <w:vAlign w:val="bottom"/>
            <w:tcBorders>
              <w:bottom w:val="single" w:sz="8" w:color="auto"/>
            </w:tcBorders>
            <w:shd w:val="clear" w:color="auto" w:fill="CEFFE7"/>
          </w:tcPr>
          <w:p>
            <w:pPr>
              <w:spacing w:after="0"/>
              <w:rPr>
                <w:sz w:val="24"/>
                <w:szCs w:val="24"/>
                <w:color w:val="auto"/>
              </w:rPr>
            </w:pPr>
          </w:p>
        </w:tc>
        <w:tc>
          <w:tcPr>
            <w:tcW w:w="840" w:type="dxa"/>
            <w:vAlign w:val="bottom"/>
            <w:tcBorders>
              <w:bottom w:val="single" w:sz="8" w:color="auto"/>
            </w:tcBorders>
            <w:shd w:val="clear" w:color="auto" w:fill="CEFFE7"/>
          </w:tcPr>
          <w:p>
            <w:pPr>
              <w:spacing w:after="0"/>
              <w:rPr>
                <w:sz w:val="24"/>
                <w:szCs w:val="24"/>
                <w:color w:val="auto"/>
              </w:rPr>
            </w:pPr>
          </w:p>
        </w:tc>
        <w:tc>
          <w:tcPr>
            <w:tcW w:w="240" w:type="dxa"/>
            <w:vAlign w:val="bottom"/>
            <w:tcBorders>
              <w:bottom w:val="single" w:sz="8" w:color="auto"/>
            </w:tcBorders>
            <w:shd w:val="clear" w:color="auto" w:fill="CEFFE7"/>
          </w:tcPr>
          <w:p>
            <w:pPr>
              <w:spacing w:after="0"/>
              <w:rPr>
                <w:sz w:val="24"/>
                <w:szCs w:val="24"/>
                <w:color w:val="auto"/>
              </w:rPr>
            </w:pPr>
          </w:p>
        </w:tc>
        <w:tc>
          <w:tcPr>
            <w:tcW w:w="940" w:type="dxa"/>
            <w:vAlign w:val="bottom"/>
            <w:tcBorders>
              <w:bottom w:val="single" w:sz="8" w:color="auto"/>
            </w:tcBorders>
            <w:shd w:val="clear" w:color="auto" w:fill="CEFFE7"/>
          </w:tcPr>
          <w:p>
            <w:pPr>
              <w:spacing w:after="0"/>
              <w:rPr>
                <w:sz w:val="24"/>
                <w:szCs w:val="24"/>
                <w:color w:val="auto"/>
              </w:rPr>
            </w:pPr>
          </w:p>
        </w:tc>
      </w:tr>
      <w:tr>
        <w:trPr>
          <w:trHeight w:val="257"/>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Adjusted operating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4,736</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496</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116,607</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116,168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w:t>
            </w:r>
          </w:p>
        </w:tc>
      </w:tr>
      <w:tr>
        <w:trPr>
          <w:trHeight w:val="20"/>
        </w:trPr>
        <w:tc>
          <w:tcPr>
            <w:tcW w:w="9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Results of Operations for the Gas Utilities for the Three Months Ended September 30, 2019 Compared to the Three Months Ended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for the three months ended September 30, 2019 increased as a result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(in millions)</w:t>
            </w:r>
          </w:p>
        </w:tc>
      </w:tr>
      <w:tr>
        <w:trPr>
          <w:trHeight w:val="27"/>
        </w:trPr>
        <w:tc>
          <w:tcPr>
            <w:tcW w:w="9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New rates</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Customer growth - distribution</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Increased transport and transmission</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0.7</w:t>
            </w:r>
          </w:p>
        </w:tc>
      </w:tr>
      <w:tr>
        <w:trPr>
          <w:trHeight w:val="270"/>
        </w:trPr>
        <w:tc>
          <w:tcPr>
            <w:tcW w:w="9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Weather </w:t>
            </w:r>
            <w:r>
              <w:rPr>
                <w:rFonts w:ascii="Arial" w:cs="Arial" w:eastAsia="Arial" w:hAnsi="Arial"/>
                <w:sz w:val="25"/>
                <w:szCs w:val="25"/>
                <w:color w:val="auto"/>
                <w:vertAlign w:val="superscript"/>
              </w:rPr>
              <w:t>(a)</w:t>
            </w:r>
          </w:p>
        </w:tc>
        <w:tc>
          <w:tcPr>
            <w:tcW w:w="40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EFFE7"/>
            </w:tcBorders>
            <w:shd w:val="clear" w:color="auto" w:fill="CEFFE7"/>
          </w:tcPr>
          <w:p>
            <w:pPr>
              <w:spacing w:after="0"/>
              <w:rPr>
                <w:sz w:val="23"/>
                <w:szCs w:val="23"/>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 increase in Gross margin (non-GAAP)</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r>
      <w:tr>
        <w:trPr>
          <w:trHeight w:val="20"/>
        </w:trPr>
        <w:tc>
          <w:tcPr>
            <w:tcW w:w="9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line="275" w:lineRule="auto"/>
        <w:tabs>
          <w:tab w:leader="none" w:pos="2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Weather impacts for the three months ended September 30, 2019 compared to the same period in the prior year include reduced heating demand due to warmer temperatures and reduced irrigation loads to agriculture customers in our Nebraska Gas service territory due to higher precipitation.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Operations and maintenance expense</w:t>
      </w:r>
      <w:r>
        <w:rPr>
          <w:rFonts w:ascii="Arial" w:cs="Arial" w:eastAsia="Arial" w:hAnsi="Arial"/>
          <w:sz w:val="18"/>
          <w:szCs w:val="18"/>
          <w:color w:val="auto"/>
        </w:rPr>
        <w:t xml:space="preserve"> increased primarily due to higher employee costs and higher outside services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by prior and current year capital expenditures.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6"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Results of Operations for the Gas Utilities for the Nine Months Ended September 30, 2019 Compared to the Nine Months Ended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for the nine months ended September 30, 2019 increased as a result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(in millions)</w:t>
            </w:r>
          </w:p>
        </w:tc>
      </w:tr>
      <w:tr>
        <w:trPr>
          <w:trHeight w:val="27"/>
        </w:trPr>
        <w:tc>
          <w:tcPr>
            <w:tcW w:w="9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New rates</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Customer growth - distribution</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Increased transport and transmission</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Decreased mark-to-market on non-utility natural gas commodity contracts</w:t>
            </w: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Excess deferred taxes returned to customers</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Weather</w:t>
            </w: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9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EFFE7"/>
            </w:tcBorders>
            <w:shd w:val="clear" w:color="auto" w:fill="CEFFE7"/>
          </w:tcPr>
          <w:p>
            <w:pPr>
              <w:spacing w:after="0"/>
              <w:rPr>
                <w:sz w:val="23"/>
                <w:szCs w:val="23"/>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 increase in Gross margin (non-GAAP)</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r>
      <w:tr>
        <w:trPr>
          <w:trHeight w:val="20"/>
        </w:trPr>
        <w:tc>
          <w:tcPr>
            <w:tcW w:w="9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u w:val="single" w:color="auto"/>
          <w:color w:val="auto"/>
        </w:rPr>
        <w:t>Operations and maintenance expense</w:t>
      </w:r>
      <w:r>
        <w:rPr>
          <w:rFonts w:ascii="Arial" w:cs="Arial" w:eastAsia="Arial" w:hAnsi="Arial"/>
          <w:sz w:val="18"/>
          <w:szCs w:val="18"/>
          <w:color w:val="auto"/>
        </w:rPr>
        <w:t xml:space="preserve"> increased primarily due to $7.2 million of higher outside services expenses, $4.1 million of higher employee costs and $1.3 million of higher property taxes due to a higher asset base driven by prior and current year capital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by prior and current year capital expenditures.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Statistics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center"/>
              <w:ind w:left="219"/>
              <w:spacing w:after="0"/>
              <w:rPr>
                <w:sz w:val="20"/>
                <w:szCs w:val="20"/>
                <w:color w:val="auto"/>
              </w:rPr>
            </w:pPr>
            <w:r>
              <w:rPr>
                <w:rFonts w:ascii="Arial" w:cs="Arial" w:eastAsia="Arial" w:hAnsi="Arial"/>
                <w:sz w:val="16"/>
                <w:szCs w:val="16"/>
                <w:color w:val="auto"/>
                <w:w w:val="92"/>
              </w:rPr>
              <w:t>Gross Margin (non-</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color w:val="auto"/>
              </w:rPr>
              <w:t>GAAP)</w:t>
            </w:r>
          </w:p>
        </w:tc>
        <w:tc>
          <w:tcPr>
            <w:tcW w:w="760" w:type="dxa"/>
            <w:vAlign w:val="bottom"/>
          </w:tcPr>
          <w:p>
            <w:pPr>
              <w:spacing w:after="0"/>
              <w:rPr>
                <w:sz w:val="17"/>
                <w:szCs w:val="17"/>
                <w:color w:val="auto"/>
              </w:rPr>
            </w:pPr>
          </w:p>
        </w:tc>
        <w:tc>
          <w:tcPr>
            <w:tcW w:w="660" w:type="dxa"/>
            <w:vAlign w:val="bottom"/>
            <w:gridSpan w:val="2"/>
          </w:tcPr>
          <w:p>
            <w:pPr>
              <w:ind w:left="420"/>
              <w:spacing w:after="0"/>
              <w:rPr>
                <w:sz w:val="20"/>
                <w:szCs w:val="20"/>
                <w:color w:val="auto"/>
              </w:rPr>
            </w:pPr>
            <w:r>
              <w:rPr>
                <w:rFonts w:ascii="Arial" w:cs="Arial" w:eastAsia="Arial" w:hAnsi="Arial"/>
                <w:sz w:val="16"/>
                <w:szCs w:val="16"/>
                <w:color w:val="auto"/>
              </w:rPr>
              <w:t>(in</w:t>
            </w: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95"/>
              </w:rPr>
              <w:t>Gas Utilities Quantities Sold &amp;</w:t>
            </w:r>
          </w:p>
        </w:tc>
      </w:tr>
      <w:tr>
        <w:trPr>
          <w:trHeight w:val="206"/>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4"/>
          </w:tcPr>
          <w:p>
            <w:pPr>
              <w:jc w:val="center"/>
              <w:ind w:right="320"/>
              <w:spacing w:after="0"/>
              <w:rPr>
                <w:sz w:val="20"/>
                <w:szCs w:val="20"/>
                <w:color w:val="auto"/>
              </w:rPr>
            </w:pPr>
            <w:r>
              <w:rPr>
                <w:rFonts w:ascii="Arial" w:cs="Arial" w:eastAsia="Arial" w:hAnsi="Arial"/>
                <w:sz w:val="16"/>
                <w:szCs w:val="16"/>
                <w:color w:val="auto"/>
                <w:w w:val="89"/>
              </w:rPr>
              <w:t>Gas Revenue (in thousands)</w:t>
            </w:r>
          </w:p>
        </w:tc>
        <w:tc>
          <w:tcPr>
            <w:tcW w:w="280" w:type="dxa"/>
            <w:vAlign w:val="bottom"/>
          </w:tcPr>
          <w:p>
            <w:pPr>
              <w:spacing w:after="0"/>
              <w:rPr>
                <w:sz w:val="17"/>
                <w:szCs w:val="17"/>
                <w:color w:val="auto"/>
              </w:rPr>
            </w:pPr>
          </w:p>
        </w:tc>
        <w:tc>
          <w:tcPr>
            <w:tcW w:w="1700" w:type="dxa"/>
            <w:vAlign w:val="bottom"/>
            <w:gridSpan w:val="2"/>
          </w:tcPr>
          <w:p>
            <w:pPr>
              <w:jc w:val="center"/>
              <w:ind w:left="199"/>
              <w:spacing w:after="0"/>
              <w:rPr>
                <w:sz w:val="20"/>
                <w:szCs w:val="20"/>
                <w:color w:val="auto"/>
              </w:rPr>
            </w:pPr>
            <w:r>
              <w:rPr>
                <w:rFonts w:ascii="Arial" w:cs="Arial" w:eastAsia="Arial" w:hAnsi="Arial"/>
                <w:sz w:val="16"/>
                <w:szCs w:val="16"/>
                <w:color w:val="auto"/>
                <w:w w:val="88"/>
              </w:rPr>
              <w:t>thousands)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91"/>
              </w:rPr>
              <w:t>Transported (Dth)</w:t>
            </w: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r>
      <w:tr>
        <w:trPr>
          <w:trHeight w:val="213"/>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center"/>
              <w:ind w:right="300"/>
              <w:spacing w:after="0"/>
              <w:rPr>
                <w:sz w:val="20"/>
                <w:szCs w:val="20"/>
                <w:color w:val="auto"/>
              </w:rPr>
            </w:pPr>
            <w:r>
              <w:rPr>
                <w:rFonts w:ascii="Arial" w:cs="Arial" w:eastAsia="Arial" w:hAnsi="Arial"/>
                <w:sz w:val="16"/>
                <w:szCs w:val="16"/>
                <w:color w:val="auto"/>
                <w:w w:val="90"/>
              </w:rPr>
              <w:t>Three Months Ended</w:t>
            </w:r>
          </w:p>
        </w:tc>
        <w:tc>
          <w:tcPr>
            <w:tcW w:w="280" w:type="dxa"/>
            <w:vAlign w:val="bottom"/>
          </w:tcPr>
          <w:p>
            <w:pPr>
              <w:spacing w:after="0"/>
              <w:rPr>
                <w:sz w:val="18"/>
                <w:szCs w:val="18"/>
                <w:color w:val="auto"/>
              </w:rPr>
            </w:pPr>
          </w:p>
        </w:tc>
        <w:tc>
          <w:tcPr>
            <w:tcW w:w="1700" w:type="dxa"/>
            <w:vAlign w:val="bottom"/>
            <w:gridSpan w:val="2"/>
          </w:tcPr>
          <w:p>
            <w:pPr>
              <w:jc w:val="center"/>
              <w:ind w:left="219"/>
              <w:spacing w:after="0"/>
              <w:rPr>
                <w:sz w:val="20"/>
                <w:szCs w:val="20"/>
                <w:color w:val="auto"/>
              </w:rPr>
            </w:pPr>
            <w:r>
              <w:rPr>
                <w:rFonts w:ascii="Arial" w:cs="Arial" w:eastAsia="Arial" w:hAnsi="Arial"/>
                <w:sz w:val="16"/>
                <w:szCs w:val="16"/>
                <w:color w:val="auto"/>
                <w:w w:val="90"/>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90"/>
              </w:rPr>
              <w:t>Three Months Ended</w:t>
            </w:r>
          </w:p>
        </w:tc>
      </w:tr>
      <w:tr>
        <w:trPr>
          <w:trHeight w:val="206"/>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4"/>
          </w:tcPr>
          <w:p>
            <w:pPr>
              <w:jc w:val="center"/>
              <w:ind w:right="320"/>
              <w:spacing w:after="0"/>
              <w:rPr>
                <w:sz w:val="20"/>
                <w:szCs w:val="20"/>
                <w:color w:val="auto"/>
              </w:rPr>
            </w:pPr>
            <w:r>
              <w:rPr>
                <w:rFonts w:ascii="Arial" w:cs="Arial" w:eastAsia="Arial" w:hAnsi="Arial"/>
                <w:sz w:val="16"/>
                <w:szCs w:val="16"/>
                <w:color w:val="auto"/>
                <w:w w:val="89"/>
              </w:rPr>
              <w:t>September 30,</w:t>
            </w:r>
          </w:p>
        </w:tc>
        <w:tc>
          <w:tcPr>
            <w:tcW w:w="280" w:type="dxa"/>
            <w:vAlign w:val="bottom"/>
          </w:tcPr>
          <w:p>
            <w:pPr>
              <w:spacing w:after="0"/>
              <w:rPr>
                <w:sz w:val="17"/>
                <w:szCs w:val="17"/>
                <w:color w:val="auto"/>
              </w:rPr>
            </w:pPr>
          </w:p>
        </w:tc>
        <w:tc>
          <w:tcPr>
            <w:tcW w:w="170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September 30,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89"/>
              </w:rPr>
              <w:t>September 30,</w:t>
            </w:r>
          </w:p>
        </w:tc>
      </w:tr>
      <w:tr>
        <w:trPr>
          <w:trHeight w:val="270"/>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320" w:type="dxa"/>
            <w:vAlign w:val="bottom"/>
          </w:tcPr>
          <w:p>
            <w:pPr>
              <w:spacing w:after="0"/>
              <w:rPr>
                <w:sz w:val="23"/>
                <w:szCs w:val="23"/>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1320" w:type="dxa"/>
            <w:vAlign w:val="bottom"/>
            <w:gridSpan w:val="2"/>
          </w:tcPr>
          <w:p>
            <w:pPr>
              <w:jc w:val="right"/>
              <w:ind w:right="39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3"/>
                <w:szCs w:val="23"/>
                <w:color w:val="auto"/>
              </w:rPr>
            </w:pPr>
          </w:p>
        </w:tc>
        <w:tc>
          <w:tcPr>
            <w:tcW w:w="1400" w:type="dxa"/>
            <w:vAlign w:val="bottom"/>
          </w:tcPr>
          <w:p>
            <w:pPr>
              <w:jc w:val="right"/>
              <w:ind w:right="539"/>
              <w:spacing w:after="0"/>
              <w:rPr>
                <w:sz w:val="20"/>
                <w:szCs w:val="20"/>
                <w:color w:val="auto"/>
              </w:rPr>
            </w:pPr>
            <w:r>
              <w:rPr>
                <w:rFonts w:ascii="Arial" w:cs="Arial" w:eastAsia="Arial" w:hAnsi="Arial"/>
                <w:sz w:val="16"/>
                <w:szCs w:val="16"/>
                <w:color w:val="auto"/>
              </w:rPr>
              <w:t>2019</w:t>
            </w:r>
          </w:p>
        </w:tc>
        <w:tc>
          <w:tcPr>
            <w:tcW w:w="1080" w:type="dxa"/>
            <w:vAlign w:val="bottom"/>
          </w:tcPr>
          <w:p>
            <w:pPr>
              <w:jc w:val="right"/>
              <w:ind w:right="379"/>
              <w:spacing w:after="0"/>
              <w:rPr>
                <w:sz w:val="20"/>
                <w:szCs w:val="20"/>
                <w:color w:val="auto"/>
              </w:rPr>
            </w:pPr>
            <w:r>
              <w:rPr>
                <w:rFonts w:ascii="Arial" w:cs="Arial" w:eastAsia="Arial" w:hAnsi="Arial"/>
                <w:sz w:val="16"/>
                <w:szCs w:val="16"/>
                <w:color w:val="auto"/>
              </w:rPr>
              <w:t>2018</w:t>
            </w:r>
          </w:p>
        </w:tc>
      </w:tr>
      <w:tr>
        <w:trPr>
          <w:trHeight w:val="33"/>
        </w:trPr>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0"/>
        </w:trPr>
        <w:tc>
          <w:tcPr>
            <w:tcW w:w="36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57,244</w:t>
            </w:r>
          </w:p>
        </w:tc>
        <w:tc>
          <w:tcPr>
            <w:tcW w:w="32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58,221</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43,441</w:t>
            </w:r>
          </w:p>
        </w:tc>
        <w:tc>
          <w:tcPr>
            <w:tcW w:w="760" w:type="dxa"/>
            <w:vAlign w:val="bottom"/>
            <w:tcBorders>
              <w:bottom w:val="single" w:sz="8" w:color="CEFFE7"/>
            </w:tcBorders>
            <w:shd w:val="clear" w:color="auto" w:fill="CEFFE7"/>
          </w:tcPr>
          <w:p>
            <w:pPr>
              <w:jc w:val="right"/>
              <w:ind w:right="5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5"/>
              </w:rPr>
              <w:t>42,598</w:t>
            </w:r>
          </w:p>
        </w:tc>
        <w:tc>
          <w:tcPr>
            <w:tcW w:w="10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3,599,549</w:t>
            </w: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3,708,196</w:t>
            </w: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19,629</w:t>
            </w:r>
          </w:p>
        </w:tc>
        <w:tc>
          <w:tcPr>
            <w:tcW w:w="3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19,639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11,589</w:t>
            </w:r>
          </w:p>
        </w:tc>
        <w:tc>
          <w:tcPr>
            <w:tcW w:w="7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w w:val="85"/>
              </w:rPr>
              <w:t>10,880</w:t>
            </w:r>
          </w:p>
        </w:tc>
        <w:tc>
          <w:tcPr>
            <w:tcW w:w="100" w:type="dxa"/>
            <w:vAlign w:val="bottom"/>
          </w:tcPr>
          <w:p>
            <w:pPr>
              <w:spacing w:after="0"/>
              <w:rPr>
                <w:sz w:val="20"/>
                <w:szCs w:val="20"/>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2,298,919</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2,278,304</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8,770</w:t>
            </w:r>
          </w:p>
        </w:tc>
        <w:tc>
          <w:tcPr>
            <w:tcW w:w="32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8,258</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2,493</w:t>
            </w:r>
          </w:p>
        </w:tc>
        <w:tc>
          <w:tcPr>
            <w:tcW w:w="76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2,028</w:t>
            </w:r>
          </w:p>
        </w:tc>
        <w:tc>
          <w:tcPr>
            <w:tcW w:w="10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2,960,930</w:t>
            </w: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2,304,098</w:t>
            </w:r>
          </w:p>
        </w:tc>
      </w:tr>
      <w:tr>
        <w:trPr>
          <w:trHeight w:val="270"/>
        </w:trPr>
        <w:tc>
          <w:tcPr>
            <w:tcW w:w="366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2,499</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EFFE7"/>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2,499</w:t>
            </w:r>
          </w:p>
        </w:tc>
        <w:tc>
          <w:tcPr>
            <w:tcW w:w="7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EFFE7"/>
            </w:tcBorders>
          </w:tcPr>
          <w:p>
            <w:pPr>
              <w:spacing w:after="0"/>
              <w:rPr>
                <w:sz w:val="23"/>
                <w:szCs w:val="23"/>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366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Total Distribution</w:t>
            </w: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88,142</w:t>
            </w:r>
          </w:p>
        </w:tc>
        <w:tc>
          <w:tcPr>
            <w:tcW w:w="32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86,605</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60,022</w:t>
            </w:r>
          </w:p>
        </w:tc>
        <w:tc>
          <w:tcPr>
            <w:tcW w:w="76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5"/>
              </w:rPr>
              <w:t>55,993</w:t>
            </w:r>
          </w:p>
        </w:tc>
        <w:tc>
          <w:tcPr>
            <w:tcW w:w="10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8,859,398</w:t>
            </w: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8,290,598</w:t>
            </w:r>
          </w:p>
        </w:tc>
      </w:tr>
      <w:tr>
        <w:trPr>
          <w:trHeight w:val="223"/>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50"/>
        </w:trPr>
        <w:tc>
          <w:tcPr>
            <w:tcW w:w="36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Transportation and Transmission</w:t>
            </w: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29,407</w:t>
            </w:r>
          </w:p>
        </w:tc>
        <w:tc>
          <w:tcPr>
            <w:tcW w:w="32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30,465</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29,373</w:t>
            </w:r>
          </w:p>
        </w:tc>
        <w:tc>
          <w:tcPr>
            <w:tcW w:w="76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5"/>
              </w:rPr>
              <w:t>30,465</w:t>
            </w:r>
          </w:p>
        </w:tc>
        <w:tc>
          <w:tcPr>
            <w:tcW w:w="10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31,538,815</w:t>
            </w: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29,808,567</w:t>
            </w:r>
          </w:p>
        </w:tc>
      </w:tr>
      <w:tr>
        <w:trPr>
          <w:trHeight w:val="230"/>
        </w:trPr>
        <w:tc>
          <w:tcPr>
            <w:tcW w:w="354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EFFE7"/>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84"/>
        </w:trPr>
        <w:tc>
          <w:tcPr>
            <w:tcW w:w="366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Total Regulated</w:t>
            </w:r>
          </w:p>
        </w:tc>
        <w:tc>
          <w:tcPr>
            <w:tcW w:w="220" w:type="dxa"/>
            <w:vAlign w:val="bottom"/>
            <w:tcBorders>
              <w:bottom w:val="single" w:sz="8" w:color="CEFFE7"/>
            </w:tcBorders>
            <w:shd w:val="clear" w:color="auto" w:fill="CEFFE7"/>
          </w:tcPr>
          <w:p>
            <w:pPr>
              <w:spacing w:after="0"/>
              <w:rPr>
                <w:sz w:val="24"/>
                <w:szCs w:val="24"/>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117,549</w:t>
            </w:r>
          </w:p>
        </w:tc>
        <w:tc>
          <w:tcPr>
            <w:tcW w:w="320" w:type="dxa"/>
            <w:vAlign w:val="bottom"/>
            <w:tcBorders>
              <w:bottom w:val="single" w:sz="8" w:color="CEFFE7"/>
            </w:tcBorders>
            <w:shd w:val="clear" w:color="auto" w:fill="CEFFE7"/>
          </w:tcPr>
          <w:p>
            <w:pPr>
              <w:spacing w:after="0"/>
              <w:rPr>
                <w:sz w:val="24"/>
                <w:szCs w:val="24"/>
                <w:color w:val="auto"/>
              </w:rPr>
            </w:pP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117,070</w:t>
            </w:r>
          </w:p>
        </w:tc>
        <w:tc>
          <w:tcPr>
            <w:tcW w:w="120" w:type="dxa"/>
            <w:vAlign w:val="bottom"/>
            <w:tcBorders>
              <w:bottom w:val="single" w:sz="8" w:color="CEFFE7"/>
            </w:tcBorders>
            <w:shd w:val="clear" w:color="auto" w:fill="CEFFE7"/>
          </w:tcPr>
          <w:p>
            <w:pPr>
              <w:spacing w:after="0"/>
              <w:rPr>
                <w:sz w:val="24"/>
                <w:szCs w:val="24"/>
                <w:color w:val="auto"/>
              </w:rPr>
            </w:pPr>
          </w:p>
        </w:tc>
        <w:tc>
          <w:tcPr>
            <w:tcW w:w="280" w:type="dxa"/>
            <w:vAlign w:val="bottom"/>
            <w:tcBorders>
              <w:bottom w:val="single" w:sz="8" w:color="CEFFE7"/>
            </w:tcBorders>
            <w:shd w:val="clear" w:color="auto" w:fill="CEFFE7"/>
          </w:tcPr>
          <w:p>
            <w:pPr>
              <w:spacing w:after="0"/>
              <w:rPr>
                <w:sz w:val="24"/>
                <w:szCs w:val="24"/>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89,395</w:t>
            </w:r>
          </w:p>
        </w:tc>
        <w:tc>
          <w:tcPr>
            <w:tcW w:w="760" w:type="dxa"/>
            <w:vAlign w:val="bottom"/>
            <w:tcBorders>
              <w:bottom w:val="single" w:sz="8" w:color="CEFFE7"/>
            </w:tcBorders>
            <w:shd w:val="clear" w:color="auto" w:fill="CEFFE7"/>
          </w:tcPr>
          <w:p>
            <w:pPr>
              <w:spacing w:after="0"/>
              <w:rPr>
                <w:sz w:val="24"/>
                <w:szCs w:val="24"/>
                <w:color w:val="auto"/>
              </w:rPr>
            </w:pPr>
          </w:p>
        </w:tc>
        <w:tc>
          <w:tcPr>
            <w:tcW w:w="5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5"/>
              </w:rPr>
              <w:t>86,458</w:t>
            </w:r>
          </w:p>
        </w:tc>
        <w:tc>
          <w:tcPr>
            <w:tcW w:w="100" w:type="dxa"/>
            <w:vAlign w:val="bottom"/>
            <w:tcBorders>
              <w:bottom w:val="single" w:sz="8" w:color="CEFFE7"/>
            </w:tcBorders>
            <w:shd w:val="clear" w:color="auto" w:fill="CEFFE7"/>
          </w:tcPr>
          <w:p>
            <w:pPr>
              <w:spacing w:after="0"/>
              <w:rPr>
                <w:sz w:val="24"/>
                <w:szCs w:val="24"/>
                <w:color w:val="auto"/>
              </w:rPr>
            </w:pPr>
          </w:p>
        </w:tc>
        <w:tc>
          <w:tcPr>
            <w:tcW w:w="140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40,398,213</w:t>
            </w:r>
          </w:p>
        </w:tc>
        <w:tc>
          <w:tcPr>
            <w:tcW w:w="10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38,099,165</w:t>
            </w:r>
          </w:p>
        </w:tc>
      </w:tr>
      <w:tr>
        <w:trPr>
          <w:trHeight w:val="21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50"/>
        </w:trPr>
        <w:tc>
          <w:tcPr>
            <w:tcW w:w="36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Non-regulated Services</w:t>
            </w: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13,195</w:t>
            </w:r>
          </w:p>
        </w:tc>
        <w:tc>
          <w:tcPr>
            <w:tcW w:w="32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14,606</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8,325</w:t>
            </w:r>
          </w:p>
        </w:tc>
        <w:tc>
          <w:tcPr>
            <w:tcW w:w="76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9,092</w:t>
            </w:r>
          </w:p>
        </w:tc>
        <w:tc>
          <w:tcPr>
            <w:tcW w:w="10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r>
      <w:tr>
        <w:trPr>
          <w:trHeight w:val="230"/>
        </w:trPr>
        <w:tc>
          <w:tcPr>
            <w:tcW w:w="354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EFFE7"/>
            </w:tcBorders>
          </w:tcPr>
          <w:p>
            <w:pPr>
              <w:spacing w:after="0"/>
              <w:rPr>
                <w:sz w:val="19"/>
                <w:szCs w:val="19"/>
                <w:color w:val="auto"/>
              </w:rPr>
            </w:pPr>
          </w:p>
        </w:tc>
        <w:tc>
          <w:tcPr>
            <w:tcW w:w="1400" w:type="dxa"/>
            <w:vAlign w:val="bottom"/>
            <w:tcBorders>
              <w:bottom w:val="single" w:sz="8" w:color="CEFFE7"/>
            </w:tcBorders>
          </w:tcPr>
          <w:p>
            <w:pPr>
              <w:spacing w:after="0"/>
              <w:rPr>
                <w:sz w:val="19"/>
                <w:szCs w:val="19"/>
                <w:color w:val="auto"/>
              </w:rPr>
            </w:pPr>
          </w:p>
        </w:tc>
        <w:tc>
          <w:tcPr>
            <w:tcW w:w="1080" w:type="dxa"/>
            <w:vAlign w:val="bottom"/>
            <w:tcBorders>
              <w:bottom w:val="single" w:sz="8" w:color="CEFFE7"/>
            </w:tcBorders>
          </w:tcPr>
          <w:p>
            <w:pPr>
              <w:spacing w:after="0"/>
              <w:rPr>
                <w:sz w:val="19"/>
                <w:szCs w:val="19"/>
                <w:color w:val="auto"/>
              </w:rPr>
            </w:pPr>
          </w:p>
        </w:tc>
      </w:tr>
      <w:tr>
        <w:trPr>
          <w:trHeight w:val="244"/>
        </w:trPr>
        <w:tc>
          <w:tcPr>
            <w:tcW w:w="366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w w:val="97"/>
              </w:rPr>
              <w:t>Total Gas Revenue &amp; Gross Margin (non-GAAP)</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130,744</w:t>
            </w:r>
          </w:p>
        </w:tc>
        <w:tc>
          <w:tcPr>
            <w:tcW w:w="32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131,676</w:t>
            </w:r>
          </w:p>
        </w:tc>
        <w:tc>
          <w:tcPr>
            <w:tcW w:w="12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97,720</w:t>
            </w:r>
          </w:p>
        </w:tc>
        <w:tc>
          <w:tcPr>
            <w:tcW w:w="760" w:type="dxa"/>
            <w:vAlign w:val="bottom"/>
            <w:tcBorders>
              <w:bottom w:val="single" w:sz="8" w:color="auto"/>
            </w:tcBorders>
            <w:shd w:val="clear" w:color="auto" w:fill="CEFFE7"/>
          </w:tcPr>
          <w:p>
            <w:pPr>
              <w:jc w:val="right"/>
              <w:ind w:right="5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5"/>
              </w:rPr>
              <w:t>95,550</w:t>
            </w:r>
          </w:p>
        </w:tc>
        <w:tc>
          <w:tcPr>
            <w:tcW w:w="10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6"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4"/>
        </w:trPr>
        <w:tc>
          <w:tcPr>
            <w:tcW w:w="3840" w:type="dxa"/>
            <w:vAlign w:val="bottom"/>
            <w:gridSpan w:val="4"/>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726"/>
        </w:trPr>
        <w:tc>
          <w:tcPr>
            <w:tcW w:w="36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gridSpan w:val="4"/>
          </w:tcPr>
          <w:p>
            <w:pPr>
              <w:jc w:val="center"/>
              <w:ind w:right="380"/>
              <w:spacing w:after="0"/>
              <w:rPr>
                <w:sz w:val="20"/>
                <w:szCs w:val="20"/>
                <w:color w:val="auto"/>
              </w:rPr>
            </w:pPr>
            <w:r>
              <w:rPr>
                <w:rFonts w:ascii="Arial" w:cs="Arial" w:eastAsia="Arial" w:hAnsi="Arial"/>
                <w:sz w:val="16"/>
                <w:szCs w:val="16"/>
                <w:color w:val="auto"/>
                <w:w w:val="92"/>
              </w:rPr>
              <w:t>Gross Margin (non-</w:t>
            </w: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GAAP)</w:t>
            </w:r>
          </w:p>
        </w:tc>
        <w:tc>
          <w:tcPr>
            <w:tcW w:w="440" w:type="dxa"/>
            <w:vAlign w:val="bottom"/>
          </w:tcPr>
          <w:p>
            <w:pPr>
              <w:spacing w:after="0"/>
              <w:rPr>
                <w:sz w:val="17"/>
                <w:szCs w:val="17"/>
                <w:color w:val="auto"/>
              </w:rPr>
            </w:pPr>
          </w:p>
        </w:tc>
        <w:tc>
          <w:tcPr>
            <w:tcW w:w="940" w:type="dxa"/>
            <w:vAlign w:val="bottom"/>
            <w:gridSpan w:val="2"/>
          </w:tcPr>
          <w:p>
            <w:pPr>
              <w:ind w:left="720"/>
              <w:spacing w:after="0"/>
              <w:rPr>
                <w:sz w:val="20"/>
                <w:szCs w:val="20"/>
                <w:color w:val="auto"/>
              </w:rPr>
            </w:pPr>
            <w:r>
              <w:rPr>
                <w:rFonts w:ascii="Arial" w:cs="Arial" w:eastAsia="Arial" w:hAnsi="Arial"/>
                <w:sz w:val="16"/>
                <w:szCs w:val="16"/>
                <w:color w:val="auto"/>
              </w:rPr>
              <w:t>(in</w:t>
            </w:r>
          </w:p>
        </w:tc>
        <w:tc>
          <w:tcPr>
            <w:tcW w:w="2420" w:type="dxa"/>
            <w:vAlign w:val="bottom"/>
            <w:gridSpan w:val="2"/>
          </w:tcPr>
          <w:p>
            <w:pPr>
              <w:jc w:val="center"/>
              <w:spacing w:after="0"/>
              <w:rPr>
                <w:sz w:val="20"/>
                <w:szCs w:val="20"/>
                <w:color w:val="auto"/>
              </w:rPr>
            </w:pPr>
            <w:r>
              <w:rPr>
                <w:rFonts w:ascii="Arial" w:cs="Arial" w:eastAsia="Arial" w:hAnsi="Arial"/>
                <w:sz w:val="16"/>
                <w:szCs w:val="16"/>
                <w:color w:val="auto"/>
                <w:w w:val="94"/>
              </w:rPr>
              <w:t>Gas Utilities Quantities Sold &amp;</w:t>
            </w:r>
          </w:p>
        </w:tc>
      </w:tr>
      <w:tr>
        <w:trPr>
          <w:trHeight w:val="206"/>
        </w:trPr>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4"/>
          </w:tcPr>
          <w:p>
            <w:pPr>
              <w:jc w:val="center"/>
              <w:ind w:right="280"/>
              <w:spacing w:after="0"/>
              <w:rPr>
                <w:sz w:val="20"/>
                <w:szCs w:val="20"/>
                <w:color w:val="auto"/>
              </w:rPr>
            </w:pPr>
            <w:r>
              <w:rPr>
                <w:rFonts w:ascii="Arial" w:cs="Arial" w:eastAsia="Arial" w:hAnsi="Arial"/>
                <w:sz w:val="16"/>
                <w:szCs w:val="16"/>
                <w:color w:val="auto"/>
                <w:w w:val="89"/>
              </w:rPr>
              <w:t>Gas Revenue (in thousands)</w:t>
            </w:r>
          </w:p>
        </w:tc>
        <w:tc>
          <w:tcPr>
            <w:tcW w:w="300" w:type="dxa"/>
            <w:vAlign w:val="bottom"/>
          </w:tcPr>
          <w:p>
            <w:pPr>
              <w:spacing w:after="0"/>
              <w:rPr>
                <w:sz w:val="17"/>
                <w:szCs w:val="17"/>
                <w:color w:val="auto"/>
              </w:rPr>
            </w:pPr>
          </w:p>
        </w:tc>
        <w:tc>
          <w:tcPr>
            <w:tcW w:w="1400" w:type="dxa"/>
            <w:vAlign w:val="bottom"/>
            <w:gridSpan w:val="2"/>
          </w:tcPr>
          <w:p>
            <w:pPr>
              <w:jc w:val="center"/>
              <w:ind w:left="499"/>
              <w:spacing w:after="0"/>
              <w:rPr>
                <w:sz w:val="20"/>
                <w:szCs w:val="20"/>
                <w:color w:val="auto"/>
              </w:rPr>
            </w:pPr>
            <w:r>
              <w:rPr>
                <w:rFonts w:ascii="Arial" w:cs="Arial" w:eastAsia="Arial" w:hAnsi="Arial"/>
                <w:sz w:val="16"/>
                <w:szCs w:val="16"/>
                <w:color w:val="auto"/>
                <w:w w:val="88"/>
              </w:rPr>
              <w:t>thousands)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2"/>
          </w:tcPr>
          <w:p>
            <w:pPr>
              <w:jc w:val="center"/>
              <w:spacing w:after="0"/>
              <w:rPr>
                <w:sz w:val="20"/>
                <w:szCs w:val="20"/>
                <w:color w:val="auto"/>
              </w:rPr>
            </w:pPr>
            <w:r>
              <w:rPr>
                <w:rFonts w:ascii="Arial" w:cs="Arial" w:eastAsia="Arial" w:hAnsi="Arial"/>
                <w:sz w:val="16"/>
                <w:szCs w:val="16"/>
                <w:color w:val="auto"/>
                <w:w w:val="91"/>
              </w:rPr>
              <w:t>Transported (Dth)</w:t>
            </w:r>
          </w:p>
        </w:tc>
      </w:tr>
      <w:tr>
        <w:trPr>
          <w:trHeight w:val="33"/>
        </w:trPr>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2420" w:type="dxa"/>
            <w:vAlign w:val="bottom"/>
            <w:tcBorders>
              <w:bottom w:val="single" w:sz="8" w:color="auto"/>
            </w:tcBorders>
            <w:gridSpan w:val="2"/>
          </w:tcPr>
          <w:p>
            <w:pPr>
              <w:spacing w:after="0"/>
              <w:rPr>
                <w:sz w:val="2"/>
                <w:szCs w:val="2"/>
                <w:color w:val="auto"/>
              </w:rPr>
            </w:pPr>
          </w:p>
        </w:tc>
      </w:tr>
      <w:tr>
        <w:trPr>
          <w:trHeight w:val="213"/>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4"/>
          </w:tcPr>
          <w:p>
            <w:pPr>
              <w:jc w:val="center"/>
              <w:ind w:right="280"/>
              <w:spacing w:after="0"/>
              <w:rPr>
                <w:sz w:val="20"/>
                <w:szCs w:val="20"/>
                <w:color w:val="auto"/>
              </w:rPr>
            </w:pPr>
            <w:r>
              <w:rPr>
                <w:rFonts w:ascii="Arial" w:cs="Arial" w:eastAsia="Arial" w:hAnsi="Arial"/>
                <w:sz w:val="16"/>
                <w:szCs w:val="16"/>
                <w:color w:val="auto"/>
                <w:w w:val="92"/>
              </w:rPr>
              <w:t>Nine Months Ended</w:t>
            </w:r>
          </w:p>
        </w:tc>
        <w:tc>
          <w:tcPr>
            <w:tcW w:w="300" w:type="dxa"/>
            <w:vAlign w:val="bottom"/>
          </w:tcPr>
          <w:p>
            <w:pPr>
              <w:spacing w:after="0"/>
              <w:rPr>
                <w:sz w:val="18"/>
                <w:szCs w:val="18"/>
                <w:color w:val="auto"/>
              </w:rPr>
            </w:pPr>
          </w:p>
        </w:tc>
        <w:tc>
          <w:tcPr>
            <w:tcW w:w="2340" w:type="dxa"/>
            <w:vAlign w:val="bottom"/>
            <w:gridSpan w:val="4"/>
          </w:tcPr>
          <w:p>
            <w:pPr>
              <w:jc w:val="center"/>
              <w:ind w:right="360"/>
              <w:spacing w:after="0"/>
              <w:rPr>
                <w:sz w:val="20"/>
                <w:szCs w:val="20"/>
                <w:color w:val="auto"/>
              </w:rPr>
            </w:pPr>
            <w:r>
              <w:rPr>
                <w:rFonts w:ascii="Arial" w:cs="Arial" w:eastAsia="Arial" w:hAnsi="Arial"/>
                <w:sz w:val="16"/>
                <w:szCs w:val="16"/>
                <w:color w:val="auto"/>
                <w:w w:val="92"/>
              </w:rPr>
              <w:t>Nine Months Ended</w:t>
            </w:r>
          </w:p>
        </w:tc>
        <w:tc>
          <w:tcPr>
            <w:tcW w:w="2420" w:type="dxa"/>
            <w:vAlign w:val="bottom"/>
            <w:gridSpan w:val="2"/>
          </w:tcPr>
          <w:p>
            <w:pPr>
              <w:jc w:val="center"/>
              <w:spacing w:after="0"/>
              <w:rPr>
                <w:sz w:val="20"/>
                <w:szCs w:val="20"/>
                <w:color w:val="auto"/>
              </w:rPr>
            </w:pPr>
            <w:r>
              <w:rPr>
                <w:rFonts w:ascii="Arial" w:cs="Arial" w:eastAsia="Arial" w:hAnsi="Arial"/>
                <w:sz w:val="16"/>
                <w:szCs w:val="16"/>
                <w:color w:val="auto"/>
                <w:w w:val="92"/>
              </w:rPr>
              <w:t>Nine Months Ended</w:t>
            </w:r>
          </w:p>
        </w:tc>
      </w:tr>
      <w:tr>
        <w:trPr>
          <w:trHeight w:val="206"/>
        </w:trPr>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4"/>
          </w:tcPr>
          <w:p>
            <w:pPr>
              <w:jc w:val="center"/>
              <w:ind w:right="280"/>
              <w:spacing w:after="0"/>
              <w:rPr>
                <w:sz w:val="20"/>
                <w:szCs w:val="20"/>
                <w:color w:val="auto"/>
              </w:rPr>
            </w:pPr>
            <w:r>
              <w:rPr>
                <w:rFonts w:ascii="Arial" w:cs="Arial" w:eastAsia="Arial" w:hAnsi="Arial"/>
                <w:sz w:val="16"/>
                <w:szCs w:val="16"/>
                <w:color w:val="auto"/>
                <w:w w:val="89"/>
              </w:rPr>
              <w:t>September 30,</w:t>
            </w:r>
          </w:p>
        </w:tc>
        <w:tc>
          <w:tcPr>
            <w:tcW w:w="300" w:type="dxa"/>
            <w:vAlign w:val="bottom"/>
          </w:tcPr>
          <w:p>
            <w:pPr>
              <w:spacing w:after="0"/>
              <w:rPr>
                <w:sz w:val="17"/>
                <w:szCs w:val="17"/>
                <w:color w:val="auto"/>
              </w:rPr>
            </w:pPr>
          </w:p>
        </w:tc>
        <w:tc>
          <w:tcPr>
            <w:tcW w:w="2340" w:type="dxa"/>
            <w:vAlign w:val="bottom"/>
            <w:gridSpan w:val="4"/>
          </w:tcPr>
          <w:p>
            <w:pPr>
              <w:jc w:val="center"/>
              <w:ind w:right="360"/>
              <w:spacing w:after="0"/>
              <w:rPr>
                <w:sz w:val="20"/>
                <w:szCs w:val="20"/>
                <w:color w:val="auto"/>
              </w:rPr>
            </w:pPr>
            <w:r>
              <w:rPr>
                <w:rFonts w:ascii="Arial" w:cs="Arial" w:eastAsia="Arial" w:hAnsi="Arial"/>
                <w:sz w:val="16"/>
                <w:szCs w:val="16"/>
                <w:color w:val="auto"/>
                <w:w w:val="89"/>
              </w:rPr>
              <w:t>September 30,</w:t>
            </w:r>
          </w:p>
        </w:tc>
        <w:tc>
          <w:tcPr>
            <w:tcW w:w="2420" w:type="dxa"/>
            <w:vAlign w:val="bottom"/>
            <w:gridSpan w:val="2"/>
          </w:tcPr>
          <w:p>
            <w:pPr>
              <w:jc w:val="center"/>
              <w:spacing w:after="0"/>
              <w:rPr>
                <w:sz w:val="20"/>
                <w:szCs w:val="20"/>
                <w:color w:val="auto"/>
              </w:rPr>
            </w:pPr>
            <w:r>
              <w:rPr>
                <w:rFonts w:ascii="Arial" w:cs="Arial" w:eastAsia="Arial" w:hAnsi="Arial"/>
                <w:sz w:val="16"/>
                <w:szCs w:val="16"/>
                <w:color w:val="auto"/>
                <w:w w:val="89"/>
              </w:rPr>
              <w:t>September 30,</w:t>
            </w:r>
          </w:p>
        </w:tc>
      </w:tr>
      <w:tr>
        <w:trPr>
          <w:trHeight w:val="270"/>
        </w:trPr>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280" w:type="dxa"/>
            <w:vAlign w:val="bottom"/>
          </w:tcPr>
          <w:p>
            <w:pPr>
              <w:spacing w:after="0"/>
              <w:rPr>
                <w:sz w:val="23"/>
                <w:szCs w:val="23"/>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color w:val="auto"/>
              </w:rPr>
              <w:t>2019</w:t>
            </w:r>
          </w:p>
        </w:tc>
        <w:tc>
          <w:tcPr>
            <w:tcW w:w="440" w:type="dxa"/>
            <w:vAlign w:val="bottom"/>
          </w:tcPr>
          <w:p>
            <w:pPr>
              <w:spacing w:after="0"/>
              <w:rPr>
                <w:sz w:val="23"/>
                <w:szCs w:val="23"/>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color w:val="auto"/>
                <w:w w:val="95"/>
              </w:rPr>
              <w:t>2018</w:t>
            </w:r>
          </w:p>
        </w:tc>
        <w:tc>
          <w:tcPr>
            <w:tcW w:w="100" w:type="dxa"/>
            <w:vAlign w:val="bottom"/>
          </w:tcPr>
          <w:p>
            <w:pPr>
              <w:spacing w:after="0"/>
              <w:rPr>
                <w:sz w:val="23"/>
                <w:szCs w:val="23"/>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color w:val="auto"/>
              </w:rPr>
              <w:t>2019</w:t>
            </w:r>
          </w:p>
        </w:tc>
        <w:tc>
          <w:tcPr>
            <w:tcW w:w="1120" w:type="dxa"/>
            <w:vAlign w:val="bottom"/>
          </w:tcPr>
          <w:p>
            <w:pPr>
              <w:jc w:val="right"/>
              <w:ind w:right="359"/>
              <w:spacing w:after="0"/>
              <w:rPr>
                <w:sz w:val="20"/>
                <w:szCs w:val="20"/>
                <w:color w:val="auto"/>
              </w:rPr>
            </w:pPr>
            <w:r>
              <w:rPr>
                <w:rFonts w:ascii="Arial" w:cs="Arial" w:eastAsia="Arial" w:hAnsi="Arial"/>
                <w:sz w:val="16"/>
                <w:szCs w:val="16"/>
                <w:color w:val="auto"/>
              </w:rPr>
              <w:t>2018</w:t>
            </w:r>
          </w:p>
        </w:tc>
      </w:tr>
      <w:tr>
        <w:trPr>
          <w:trHeight w:val="33"/>
        </w:trPr>
        <w:tc>
          <w:tcPr>
            <w:tcW w:w="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360" w:type="dxa"/>
            <w:vAlign w:val="bottom"/>
          </w:tcPr>
          <w:p>
            <w:pPr>
              <w:spacing w:after="0"/>
              <w:rPr>
                <w:sz w:val="21"/>
                <w:szCs w:val="21"/>
                <w:color w:val="auto"/>
              </w:rPr>
            </w:pPr>
          </w:p>
        </w:tc>
        <w:tc>
          <w:tcPr>
            <w:tcW w:w="348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383,466</w:t>
            </w:r>
          </w:p>
        </w:tc>
        <w:tc>
          <w:tcPr>
            <w:tcW w:w="2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383,972</w:t>
            </w:r>
          </w:p>
        </w:tc>
        <w:tc>
          <w:tcPr>
            <w:tcW w:w="1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201,168</w:t>
            </w:r>
          </w:p>
        </w:tc>
        <w:tc>
          <w:tcPr>
            <w:tcW w:w="44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192,072</w:t>
            </w:r>
          </w:p>
        </w:tc>
        <w:tc>
          <w:tcPr>
            <w:tcW w:w="1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44,356,725</w:t>
            </w:r>
          </w:p>
        </w:tc>
        <w:tc>
          <w:tcPr>
            <w:tcW w:w="11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42,642,021</w:t>
            </w:r>
          </w:p>
        </w:tc>
      </w:tr>
      <w:tr>
        <w:trPr>
          <w:trHeight w:val="237"/>
        </w:trPr>
        <w:tc>
          <w:tcPr>
            <w:tcW w:w="360" w:type="dxa"/>
            <w:vAlign w:val="bottom"/>
          </w:tcPr>
          <w:p>
            <w:pPr>
              <w:spacing w:after="0"/>
              <w:rPr>
                <w:sz w:val="20"/>
                <w:szCs w:val="20"/>
                <w:color w:val="auto"/>
              </w:rPr>
            </w:pPr>
          </w:p>
        </w:tc>
        <w:tc>
          <w:tcPr>
            <w:tcW w:w="3480" w:type="dxa"/>
            <w:vAlign w:val="bottom"/>
            <w:gridSpan w:val="3"/>
          </w:tcPr>
          <w:p>
            <w:pPr>
              <w:ind w:left="20"/>
              <w:spacing w:after="0"/>
              <w:rPr>
                <w:sz w:val="20"/>
                <w:szCs w:val="20"/>
                <w:color w:val="auto"/>
              </w:rPr>
            </w:pPr>
            <w:r>
              <w:rPr>
                <w:rFonts w:ascii="Arial" w:cs="Arial" w:eastAsia="Arial" w:hAnsi="Arial"/>
                <w:sz w:val="16"/>
                <w:szCs w:val="16"/>
                <w:color w:val="auto"/>
              </w:rPr>
              <w:t>Commercial</w:t>
            </w:r>
          </w:p>
        </w:tc>
        <w:tc>
          <w:tcPr>
            <w:tcW w:w="2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146,752</w:t>
            </w:r>
          </w:p>
        </w:tc>
        <w:tc>
          <w:tcPr>
            <w:tcW w:w="2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148,675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61,673</w:t>
            </w:r>
          </w:p>
        </w:tc>
        <w:tc>
          <w:tcPr>
            <w:tcW w:w="4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57,890</w:t>
            </w:r>
          </w:p>
        </w:tc>
        <w:tc>
          <w:tcPr>
            <w:tcW w:w="100" w:type="dxa"/>
            <w:vAlign w:val="bottom"/>
          </w:tcPr>
          <w:p>
            <w:pPr>
              <w:spacing w:after="0"/>
              <w:rPr>
                <w:sz w:val="20"/>
                <w:szCs w:val="20"/>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21,484,646</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20,842,996</w:t>
            </w:r>
          </w:p>
        </w:tc>
      </w:tr>
      <w:tr>
        <w:trPr>
          <w:trHeight w:val="33"/>
        </w:trPr>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348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2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18,764</w:t>
            </w:r>
          </w:p>
        </w:tc>
        <w:tc>
          <w:tcPr>
            <w:tcW w:w="2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20,805</w:t>
            </w:r>
          </w:p>
        </w:tc>
        <w:tc>
          <w:tcPr>
            <w:tcW w:w="1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5,830</w:t>
            </w:r>
          </w:p>
        </w:tc>
        <w:tc>
          <w:tcPr>
            <w:tcW w:w="44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5,341</w:t>
            </w:r>
          </w:p>
        </w:tc>
        <w:tc>
          <w:tcPr>
            <w:tcW w:w="1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5,141,399</w:t>
            </w:r>
          </w:p>
        </w:tc>
        <w:tc>
          <w:tcPr>
            <w:tcW w:w="11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5,235,417</w:t>
            </w:r>
          </w:p>
        </w:tc>
      </w:tr>
      <w:tr>
        <w:trPr>
          <w:trHeight w:val="270"/>
        </w:trPr>
        <w:tc>
          <w:tcPr>
            <w:tcW w:w="360" w:type="dxa"/>
            <w:vAlign w:val="bottom"/>
          </w:tcPr>
          <w:p>
            <w:pPr>
              <w:spacing w:after="0"/>
              <w:rPr>
                <w:sz w:val="23"/>
                <w:szCs w:val="23"/>
                <w:color w:val="auto"/>
              </w:rPr>
            </w:pPr>
          </w:p>
        </w:tc>
        <w:tc>
          <w:tcPr>
            <w:tcW w:w="3480" w:type="dxa"/>
            <w:vAlign w:val="bottom"/>
            <w:tcBorders>
              <w:bottom w:val="single" w:sz="8" w:color="CEFFE7"/>
            </w:tcBorders>
            <w:gridSpan w:val="3"/>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(6,789)</w:t>
            </w:r>
          </w:p>
        </w:tc>
        <w:tc>
          <w:tcPr>
            <w:tcW w:w="100" w:type="dxa"/>
            <w:vAlign w:val="bottom"/>
            <w:tcBorders>
              <w:bottom w:val="single" w:sz="8" w:color="CEFFE7"/>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w:t>
            </w:r>
          </w:p>
        </w:tc>
        <w:tc>
          <w:tcPr>
            <w:tcW w:w="4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(6,789)</w:t>
            </w:r>
          </w:p>
        </w:tc>
        <w:tc>
          <w:tcPr>
            <w:tcW w:w="100" w:type="dxa"/>
            <w:vAlign w:val="bottom"/>
            <w:tcBorders>
              <w:bottom w:val="single" w:sz="8" w:color="CEFFE7"/>
            </w:tcBorders>
          </w:tcPr>
          <w:p>
            <w:pPr>
              <w:spacing w:after="0"/>
              <w:rPr>
                <w:sz w:val="23"/>
                <w:szCs w:val="23"/>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50"/>
        </w:trPr>
        <w:tc>
          <w:tcPr>
            <w:tcW w:w="360" w:type="dxa"/>
            <w:vAlign w:val="bottom"/>
          </w:tcPr>
          <w:p>
            <w:pPr>
              <w:spacing w:after="0"/>
              <w:rPr>
                <w:sz w:val="21"/>
                <w:szCs w:val="21"/>
                <w:color w:val="auto"/>
              </w:rPr>
            </w:pPr>
          </w:p>
        </w:tc>
        <w:tc>
          <w:tcPr>
            <w:tcW w:w="3480" w:type="dxa"/>
            <w:vAlign w:val="bottom"/>
            <w:tcBorders>
              <w:bottom w:val="single" w:sz="8" w:color="CEFFE7"/>
            </w:tcBorders>
            <w:gridSpan w:val="3"/>
            <w:shd w:val="clear" w:color="auto" w:fill="CEFFE7"/>
          </w:tcPr>
          <w:p>
            <w:pPr>
              <w:ind w:left="260"/>
              <w:spacing w:after="0"/>
              <w:rPr>
                <w:sz w:val="20"/>
                <w:szCs w:val="20"/>
                <w:color w:val="auto"/>
              </w:rPr>
            </w:pPr>
            <w:r>
              <w:rPr>
                <w:rFonts w:ascii="Arial" w:cs="Arial" w:eastAsia="Arial" w:hAnsi="Arial"/>
                <w:sz w:val="16"/>
                <w:szCs w:val="16"/>
                <w:color w:val="auto"/>
              </w:rPr>
              <w:t>Total Distribution</w:t>
            </w:r>
          </w:p>
        </w:tc>
        <w:tc>
          <w:tcPr>
            <w:tcW w:w="2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548,014</w:t>
            </w:r>
          </w:p>
        </w:tc>
        <w:tc>
          <w:tcPr>
            <w:tcW w:w="2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546,663</w:t>
            </w:r>
          </w:p>
        </w:tc>
        <w:tc>
          <w:tcPr>
            <w:tcW w:w="1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267,703</w:t>
            </w:r>
          </w:p>
        </w:tc>
        <w:tc>
          <w:tcPr>
            <w:tcW w:w="44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248,514</w:t>
            </w:r>
          </w:p>
        </w:tc>
        <w:tc>
          <w:tcPr>
            <w:tcW w:w="1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70,982,770</w:t>
            </w:r>
          </w:p>
        </w:tc>
        <w:tc>
          <w:tcPr>
            <w:tcW w:w="11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68,720,434</w:t>
            </w:r>
          </w:p>
        </w:tc>
      </w:tr>
      <w:tr>
        <w:trPr>
          <w:trHeight w:val="223"/>
        </w:trPr>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50"/>
        </w:trPr>
        <w:tc>
          <w:tcPr>
            <w:tcW w:w="360" w:type="dxa"/>
            <w:vAlign w:val="bottom"/>
          </w:tcPr>
          <w:p>
            <w:pPr>
              <w:spacing w:after="0"/>
              <w:rPr>
                <w:sz w:val="21"/>
                <w:szCs w:val="21"/>
                <w:color w:val="auto"/>
              </w:rPr>
            </w:pPr>
          </w:p>
        </w:tc>
        <w:tc>
          <w:tcPr>
            <w:tcW w:w="348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Transportation and Transmission</w:t>
            </w:r>
          </w:p>
        </w:tc>
        <w:tc>
          <w:tcPr>
            <w:tcW w:w="2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103,352</w:t>
            </w:r>
          </w:p>
        </w:tc>
        <w:tc>
          <w:tcPr>
            <w:tcW w:w="2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101,887</w:t>
            </w:r>
          </w:p>
        </w:tc>
        <w:tc>
          <w:tcPr>
            <w:tcW w:w="1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103,351</w:t>
            </w:r>
          </w:p>
        </w:tc>
        <w:tc>
          <w:tcPr>
            <w:tcW w:w="44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101,887</w:t>
            </w:r>
          </w:p>
        </w:tc>
        <w:tc>
          <w:tcPr>
            <w:tcW w:w="1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110,622,285</w:t>
            </w:r>
          </w:p>
        </w:tc>
        <w:tc>
          <w:tcPr>
            <w:tcW w:w="11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107,388,321</w:t>
            </w:r>
          </w:p>
        </w:tc>
      </w:tr>
      <w:tr>
        <w:trPr>
          <w:trHeight w:val="230"/>
        </w:trPr>
        <w:tc>
          <w:tcPr>
            <w:tcW w:w="360" w:type="dxa"/>
            <w:vAlign w:val="bottom"/>
          </w:tcPr>
          <w:p>
            <w:pPr>
              <w:spacing w:after="0"/>
              <w:rPr>
                <w:sz w:val="19"/>
                <w:szCs w:val="19"/>
                <w:color w:val="auto"/>
              </w:rPr>
            </w:pPr>
          </w:p>
        </w:tc>
        <w:tc>
          <w:tcPr>
            <w:tcW w:w="860" w:type="dxa"/>
            <w:vAlign w:val="bottom"/>
            <w:tcBorders>
              <w:bottom w:val="single" w:sz="8" w:color="CEFFE7"/>
            </w:tcBorders>
          </w:tcPr>
          <w:p>
            <w:pPr>
              <w:spacing w:after="0"/>
              <w:rPr>
                <w:sz w:val="19"/>
                <w:szCs w:val="19"/>
                <w:color w:val="auto"/>
              </w:rPr>
            </w:pPr>
          </w:p>
        </w:tc>
        <w:tc>
          <w:tcPr>
            <w:tcW w:w="250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CEFFE7"/>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EFFE7"/>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84"/>
        </w:trPr>
        <w:tc>
          <w:tcPr>
            <w:tcW w:w="360" w:type="dxa"/>
            <w:vAlign w:val="bottom"/>
          </w:tcPr>
          <w:p>
            <w:pPr>
              <w:spacing w:after="0"/>
              <w:rPr>
                <w:sz w:val="24"/>
                <w:szCs w:val="24"/>
                <w:color w:val="auto"/>
              </w:rPr>
            </w:pPr>
          </w:p>
        </w:tc>
        <w:tc>
          <w:tcPr>
            <w:tcW w:w="3480" w:type="dxa"/>
            <w:vAlign w:val="bottom"/>
            <w:tcBorders>
              <w:bottom w:val="single" w:sz="8" w:color="CEFFE7"/>
            </w:tcBorders>
            <w:gridSpan w:val="3"/>
            <w:shd w:val="clear" w:color="auto" w:fill="CEFFE7"/>
          </w:tcPr>
          <w:p>
            <w:pPr>
              <w:ind w:left="260"/>
              <w:spacing w:after="0"/>
              <w:rPr>
                <w:sz w:val="20"/>
                <w:szCs w:val="20"/>
                <w:color w:val="auto"/>
              </w:rPr>
            </w:pPr>
            <w:r>
              <w:rPr>
                <w:rFonts w:ascii="Arial" w:cs="Arial" w:eastAsia="Arial" w:hAnsi="Arial"/>
                <w:sz w:val="16"/>
                <w:szCs w:val="16"/>
                <w:color w:val="auto"/>
              </w:rPr>
              <w:t>Total Regulated</w:t>
            </w:r>
          </w:p>
        </w:tc>
        <w:tc>
          <w:tcPr>
            <w:tcW w:w="200" w:type="dxa"/>
            <w:vAlign w:val="bottom"/>
            <w:tcBorders>
              <w:bottom w:val="single" w:sz="8" w:color="CEFFE7"/>
            </w:tcBorders>
            <w:shd w:val="clear" w:color="auto" w:fill="CEFFE7"/>
          </w:tcPr>
          <w:p>
            <w:pPr>
              <w:spacing w:after="0"/>
              <w:rPr>
                <w:sz w:val="24"/>
                <w:szCs w:val="24"/>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651,366</w:t>
            </w:r>
          </w:p>
        </w:tc>
        <w:tc>
          <w:tcPr>
            <w:tcW w:w="280" w:type="dxa"/>
            <w:vAlign w:val="bottom"/>
            <w:tcBorders>
              <w:bottom w:val="single" w:sz="8" w:color="CEFFE7"/>
            </w:tcBorders>
            <w:shd w:val="clear" w:color="auto" w:fill="CEFFE7"/>
          </w:tcPr>
          <w:p>
            <w:pPr>
              <w:spacing w:after="0"/>
              <w:rPr>
                <w:sz w:val="24"/>
                <w:szCs w:val="24"/>
                <w:color w:val="auto"/>
              </w:rPr>
            </w:pPr>
          </w:p>
        </w:tc>
        <w:tc>
          <w:tcPr>
            <w:tcW w:w="9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648,550</w:t>
            </w:r>
          </w:p>
        </w:tc>
        <w:tc>
          <w:tcPr>
            <w:tcW w:w="100" w:type="dxa"/>
            <w:vAlign w:val="bottom"/>
            <w:tcBorders>
              <w:bottom w:val="single" w:sz="8" w:color="CEFFE7"/>
            </w:tcBorders>
            <w:shd w:val="clear" w:color="auto" w:fill="CEFFE7"/>
          </w:tcPr>
          <w:p>
            <w:pPr>
              <w:spacing w:after="0"/>
              <w:rPr>
                <w:sz w:val="24"/>
                <w:szCs w:val="24"/>
                <w:color w:val="auto"/>
              </w:rPr>
            </w:pPr>
          </w:p>
        </w:tc>
        <w:tc>
          <w:tcPr>
            <w:tcW w:w="300" w:type="dxa"/>
            <w:vAlign w:val="bottom"/>
            <w:tcBorders>
              <w:bottom w:val="single" w:sz="8" w:color="CEFFE7"/>
            </w:tcBorders>
            <w:shd w:val="clear" w:color="auto" w:fill="CEFFE7"/>
          </w:tcPr>
          <w:p>
            <w:pPr>
              <w:spacing w:after="0"/>
              <w:rPr>
                <w:sz w:val="24"/>
                <w:szCs w:val="24"/>
                <w:color w:val="auto"/>
              </w:rPr>
            </w:pP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371,054</w:t>
            </w:r>
          </w:p>
        </w:tc>
        <w:tc>
          <w:tcPr>
            <w:tcW w:w="440" w:type="dxa"/>
            <w:vAlign w:val="bottom"/>
            <w:tcBorders>
              <w:bottom w:val="single" w:sz="8" w:color="CEFFE7"/>
            </w:tcBorders>
            <w:shd w:val="clear" w:color="auto" w:fill="CEFFE7"/>
          </w:tcPr>
          <w:p>
            <w:pPr>
              <w:spacing w:after="0"/>
              <w:rPr>
                <w:sz w:val="24"/>
                <w:szCs w:val="24"/>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350,401</w:t>
            </w:r>
          </w:p>
        </w:tc>
        <w:tc>
          <w:tcPr>
            <w:tcW w:w="100" w:type="dxa"/>
            <w:vAlign w:val="bottom"/>
            <w:tcBorders>
              <w:bottom w:val="single" w:sz="8" w:color="CEFFE7"/>
            </w:tcBorders>
            <w:shd w:val="clear" w:color="auto" w:fill="CEFFE7"/>
          </w:tcPr>
          <w:p>
            <w:pPr>
              <w:spacing w:after="0"/>
              <w:rPr>
                <w:sz w:val="24"/>
                <w:szCs w:val="24"/>
                <w:color w:val="auto"/>
              </w:rPr>
            </w:pPr>
          </w:p>
        </w:tc>
        <w:tc>
          <w:tcPr>
            <w:tcW w:w="130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181,605,055</w:t>
            </w:r>
          </w:p>
        </w:tc>
        <w:tc>
          <w:tcPr>
            <w:tcW w:w="11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176,108,755</w:t>
            </w:r>
          </w:p>
        </w:tc>
      </w:tr>
      <w:tr>
        <w:trPr>
          <w:trHeight w:val="217"/>
        </w:trPr>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50"/>
        </w:trPr>
        <w:tc>
          <w:tcPr>
            <w:tcW w:w="360" w:type="dxa"/>
            <w:vAlign w:val="bottom"/>
          </w:tcPr>
          <w:p>
            <w:pPr>
              <w:spacing w:after="0"/>
              <w:rPr>
                <w:sz w:val="21"/>
                <w:szCs w:val="21"/>
                <w:color w:val="auto"/>
              </w:rPr>
            </w:pPr>
          </w:p>
        </w:tc>
        <w:tc>
          <w:tcPr>
            <w:tcW w:w="348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Non-regulated Services</w:t>
            </w:r>
          </w:p>
        </w:tc>
        <w:tc>
          <w:tcPr>
            <w:tcW w:w="2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55,927</w:t>
            </w:r>
          </w:p>
        </w:tc>
        <w:tc>
          <w:tcPr>
            <w:tcW w:w="2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58,090</w:t>
            </w:r>
          </w:p>
        </w:tc>
        <w:tc>
          <w:tcPr>
            <w:tcW w:w="1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38,952</w:t>
            </w:r>
          </w:p>
        </w:tc>
        <w:tc>
          <w:tcPr>
            <w:tcW w:w="44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42,374</w:t>
            </w:r>
          </w:p>
        </w:tc>
        <w:tc>
          <w:tcPr>
            <w:tcW w:w="1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r>
      <w:tr>
        <w:trPr>
          <w:trHeight w:val="230"/>
        </w:trPr>
        <w:tc>
          <w:tcPr>
            <w:tcW w:w="360" w:type="dxa"/>
            <w:vAlign w:val="bottom"/>
          </w:tcPr>
          <w:p>
            <w:pPr>
              <w:spacing w:after="0"/>
              <w:rPr>
                <w:sz w:val="19"/>
                <w:szCs w:val="19"/>
                <w:color w:val="auto"/>
              </w:rPr>
            </w:pPr>
          </w:p>
        </w:tc>
        <w:tc>
          <w:tcPr>
            <w:tcW w:w="860" w:type="dxa"/>
            <w:vAlign w:val="bottom"/>
            <w:tcBorders>
              <w:bottom w:val="single" w:sz="8" w:color="CEFFE7"/>
            </w:tcBorders>
          </w:tcPr>
          <w:p>
            <w:pPr>
              <w:spacing w:after="0"/>
              <w:rPr>
                <w:sz w:val="19"/>
                <w:szCs w:val="19"/>
                <w:color w:val="auto"/>
              </w:rPr>
            </w:pPr>
          </w:p>
        </w:tc>
        <w:tc>
          <w:tcPr>
            <w:tcW w:w="250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CEFFE7"/>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EFFE7"/>
            </w:tcBorders>
          </w:tcPr>
          <w:p>
            <w:pPr>
              <w:spacing w:after="0"/>
              <w:rPr>
                <w:sz w:val="19"/>
                <w:szCs w:val="19"/>
                <w:color w:val="auto"/>
              </w:rPr>
            </w:pPr>
          </w:p>
        </w:tc>
        <w:tc>
          <w:tcPr>
            <w:tcW w:w="1300" w:type="dxa"/>
            <w:vAlign w:val="bottom"/>
            <w:tcBorders>
              <w:bottom w:val="single" w:sz="8" w:color="CEFFE7"/>
            </w:tcBorders>
          </w:tcPr>
          <w:p>
            <w:pPr>
              <w:spacing w:after="0"/>
              <w:rPr>
                <w:sz w:val="19"/>
                <w:szCs w:val="19"/>
                <w:color w:val="auto"/>
              </w:rPr>
            </w:pPr>
          </w:p>
        </w:tc>
        <w:tc>
          <w:tcPr>
            <w:tcW w:w="1120" w:type="dxa"/>
            <w:vAlign w:val="bottom"/>
            <w:tcBorders>
              <w:bottom w:val="single" w:sz="8" w:color="CEFFE7"/>
            </w:tcBorders>
          </w:tcPr>
          <w:p>
            <w:pPr>
              <w:spacing w:after="0"/>
              <w:rPr>
                <w:sz w:val="19"/>
                <w:szCs w:val="19"/>
                <w:color w:val="auto"/>
              </w:rPr>
            </w:pPr>
          </w:p>
        </w:tc>
      </w:tr>
      <w:tr>
        <w:trPr>
          <w:trHeight w:val="244"/>
        </w:trPr>
        <w:tc>
          <w:tcPr>
            <w:tcW w:w="360" w:type="dxa"/>
            <w:vAlign w:val="bottom"/>
          </w:tcPr>
          <w:p>
            <w:pPr>
              <w:spacing w:after="0"/>
              <w:rPr>
                <w:sz w:val="21"/>
                <w:szCs w:val="21"/>
                <w:color w:val="auto"/>
              </w:rPr>
            </w:pPr>
          </w:p>
        </w:tc>
        <w:tc>
          <w:tcPr>
            <w:tcW w:w="3480" w:type="dxa"/>
            <w:vAlign w:val="bottom"/>
            <w:tcBorders>
              <w:bottom w:val="single" w:sz="8" w:color="CEFFE7"/>
            </w:tcBorders>
            <w:gridSpan w:val="3"/>
            <w:shd w:val="clear" w:color="auto" w:fill="CEFFE7"/>
          </w:tcPr>
          <w:p>
            <w:pPr>
              <w:ind w:left="260"/>
              <w:spacing w:after="0"/>
              <w:rPr>
                <w:sz w:val="20"/>
                <w:szCs w:val="20"/>
                <w:color w:val="auto"/>
              </w:rPr>
            </w:pPr>
            <w:r>
              <w:rPr>
                <w:rFonts w:ascii="Arial" w:cs="Arial" w:eastAsia="Arial" w:hAnsi="Arial"/>
                <w:sz w:val="16"/>
                <w:szCs w:val="16"/>
                <w:color w:val="auto"/>
              </w:rPr>
              <w:t>Total Gas Revenue &amp; Gross Margin</w:t>
            </w:r>
          </w:p>
        </w:tc>
        <w:tc>
          <w:tcPr>
            <w:tcW w:w="2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707,293</w:t>
            </w: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706,640</w:t>
            </w:r>
          </w:p>
        </w:tc>
        <w:tc>
          <w:tcPr>
            <w:tcW w:w="1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410,006</w:t>
            </w:r>
          </w:p>
        </w:tc>
        <w:tc>
          <w:tcPr>
            <w:tcW w:w="44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392,775</w:t>
            </w:r>
          </w:p>
        </w:tc>
        <w:tc>
          <w:tcPr>
            <w:tcW w:w="10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Other revenue reflects the impact of revenue reserved in accordance with the TCJA</w:t>
      </w:r>
      <w:r>
        <w:rPr>
          <w:rFonts w:ascii="Arial" w:cs="Arial" w:eastAsia="Arial" w:hAnsi="Arial"/>
          <w:sz w:val="12"/>
          <w:szCs w:val="12"/>
          <w:color w:val="auto"/>
        </w:rPr>
        <w:t>.</w:t>
      </w: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0" w:type="dxa"/>
            <w:vAlign w:val="bottom"/>
            <w:gridSpan w:val="6"/>
          </w:tcPr>
          <w:p>
            <w:pPr>
              <w:jc w:val="center"/>
              <w:ind w:right="380"/>
              <w:spacing w:after="0"/>
              <w:rPr>
                <w:sz w:val="20"/>
                <w:szCs w:val="20"/>
                <w:color w:val="auto"/>
              </w:rPr>
            </w:pPr>
            <w:r>
              <w:rPr>
                <w:rFonts w:ascii="Arial" w:cs="Arial" w:eastAsia="Arial" w:hAnsi="Arial"/>
                <w:sz w:val="16"/>
                <w:szCs w:val="16"/>
                <w:color w:val="auto"/>
                <w:w w:val="94"/>
              </w:rPr>
              <w:t>Gross Margin (non-</w:t>
            </w: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95"/>
              </w:rPr>
              <w:t>Gas Utilities Quantities Sold &amp;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color w:val="auto"/>
              </w:rPr>
              <w:t>GAAP)</w:t>
            </w:r>
          </w:p>
        </w:tc>
        <w:tc>
          <w:tcPr>
            <w:tcW w:w="520" w:type="dxa"/>
            <w:vAlign w:val="bottom"/>
          </w:tcPr>
          <w:p>
            <w:pPr>
              <w:spacing w:after="0"/>
              <w:rPr>
                <w:sz w:val="17"/>
                <w:szCs w:val="17"/>
                <w:color w:val="auto"/>
              </w:rPr>
            </w:pPr>
          </w:p>
        </w:tc>
        <w:tc>
          <w:tcPr>
            <w:tcW w:w="940" w:type="dxa"/>
            <w:vAlign w:val="bottom"/>
            <w:gridSpan w:val="4"/>
          </w:tcPr>
          <w:p>
            <w:pPr>
              <w:ind w:left="700"/>
              <w:spacing w:after="0"/>
              <w:rPr>
                <w:sz w:val="20"/>
                <w:szCs w:val="20"/>
                <w:color w:val="auto"/>
              </w:rPr>
            </w:pPr>
            <w:r>
              <w:rPr>
                <w:rFonts w:ascii="Arial" w:cs="Arial" w:eastAsia="Arial" w:hAnsi="Arial"/>
                <w:sz w:val="16"/>
                <w:szCs w:val="16"/>
                <w:color w:val="auto"/>
              </w:rPr>
              <w:t>(in</w:t>
            </w: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91"/>
              </w:rPr>
              <w:t>Transported (Dth)</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6"/>
          </w:tcPr>
          <w:p>
            <w:pPr>
              <w:jc w:val="center"/>
              <w:ind w:right="340"/>
              <w:spacing w:after="0"/>
              <w:rPr>
                <w:sz w:val="20"/>
                <w:szCs w:val="20"/>
                <w:color w:val="auto"/>
              </w:rPr>
            </w:pPr>
            <w:r>
              <w:rPr>
                <w:rFonts w:ascii="Arial" w:cs="Arial" w:eastAsia="Arial" w:hAnsi="Arial"/>
                <w:sz w:val="16"/>
                <w:szCs w:val="16"/>
                <w:color w:val="auto"/>
                <w:w w:val="89"/>
              </w:rPr>
              <w:t>Revenue (in thousands)</w:t>
            </w:r>
          </w:p>
        </w:tc>
        <w:tc>
          <w:tcPr>
            <w:tcW w:w="300" w:type="dxa"/>
            <w:vAlign w:val="bottom"/>
          </w:tcPr>
          <w:p>
            <w:pPr>
              <w:spacing w:after="0"/>
              <w:rPr>
                <w:sz w:val="17"/>
                <w:szCs w:val="17"/>
                <w:color w:val="auto"/>
              </w:rPr>
            </w:pPr>
          </w:p>
        </w:tc>
        <w:tc>
          <w:tcPr>
            <w:tcW w:w="1460" w:type="dxa"/>
            <w:vAlign w:val="bottom"/>
            <w:gridSpan w:val="2"/>
          </w:tcPr>
          <w:p>
            <w:pPr>
              <w:jc w:val="center"/>
              <w:ind w:left="479"/>
              <w:spacing w:after="0"/>
              <w:rPr>
                <w:sz w:val="20"/>
                <w:szCs w:val="20"/>
                <w:color w:val="auto"/>
              </w:rPr>
            </w:pPr>
            <w:r>
              <w:rPr>
                <w:rFonts w:ascii="Arial" w:cs="Arial" w:eastAsia="Arial" w:hAnsi="Arial"/>
                <w:sz w:val="16"/>
                <w:szCs w:val="16"/>
                <w:color w:val="auto"/>
                <w:w w:val="88"/>
              </w:rPr>
              <w:t>thousands)</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6"/>
          </w:tcPr>
          <w:p>
            <w:pPr>
              <w:jc w:val="center"/>
              <w:ind w:right="340"/>
              <w:spacing w:after="0"/>
              <w:rPr>
                <w:sz w:val="20"/>
                <w:szCs w:val="20"/>
                <w:color w:val="auto"/>
              </w:rPr>
            </w:pPr>
            <w:r>
              <w:rPr>
                <w:rFonts w:ascii="Arial" w:cs="Arial" w:eastAsia="Arial" w:hAnsi="Arial"/>
                <w:sz w:val="16"/>
                <w:szCs w:val="16"/>
                <w:color w:val="auto"/>
                <w:w w:val="90"/>
              </w:rPr>
              <w:t>Three Months Ended</w:t>
            </w:r>
          </w:p>
        </w:tc>
        <w:tc>
          <w:tcPr>
            <w:tcW w:w="300" w:type="dxa"/>
            <w:vAlign w:val="bottom"/>
          </w:tcPr>
          <w:p>
            <w:pPr>
              <w:spacing w:after="0"/>
              <w:rPr>
                <w:sz w:val="18"/>
                <w:szCs w:val="18"/>
                <w:color w:val="auto"/>
              </w:rPr>
            </w:pPr>
          </w:p>
        </w:tc>
        <w:tc>
          <w:tcPr>
            <w:tcW w:w="2400" w:type="dxa"/>
            <w:vAlign w:val="bottom"/>
            <w:gridSpan w:val="6"/>
          </w:tcPr>
          <w:p>
            <w:pPr>
              <w:jc w:val="center"/>
              <w:ind w:right="380"/>
              <w:spacing w:after="0"/>
              <w:rPr>
                <w:sz w:val="20"/>
                <w:szCs w:val="20"/>
                <w:color w:val="auto"/>
              </w:rPr>
            </w:pPr>
            <w:r>
              <w:rPr>
                <w:rFonts w:ascii="Arial" w:cs="Arial" w:eastAsia="Arial" w:hAnsi="Arial"/>
                <w:sz w:val="16"/>
                <w:szCs w:val="16"/>
                <w:color w:val="auto"/>
                <w:w w:val="92"/>
              </w:rPr>
              <w:t>Three Months Ended</w:t>
            </w: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90"/>
              </w:rPr>
              <w:t>Three Months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6"/>
          </w:tcPr>
          <w:p>
            <w:pPr>
              <w:jc w:val="center"/>
              <w:ind w:right="360"/>
              <w:spacing w:after="0"/>
              <w:rPr>
                <w:sz w:val="20"/>
                <w:szCs w:val="20"/>
                <w:color w:val="auto"/>
              </w:rPr>
            </w:pPr>
            <w:r>
              <w:rPr>
                <w:rFonts w:ascii="Arial" w:cs="Arial" w:eastAsia="Arial" w:hAnsi="Arial"/>
                <w:sz w:val="16"/>
                <w:szCs w:val="16"/>
                <w:color w:val="auto"/>
                <w:w w:val="89"/>
              </w:rPr>
              <w:t>September 30,</w:t>
            </w:r>
          </w:p>
        </w:tc>
        <w:tc>
          <w:tcPr>
            <w:tcW w:w="300" w:type="dxa"/>
            <w:vAlign w:val="bottom"/>
          </w:tcPr>
          <w:p>
            <w:pPr>
              <w:spacing w:after="0"/>
              <w:rPr>
                <w:sz w:val="17"/>
                <w:szCs w:val="17"/>
                <w:color w:val="auto"/>
              </w:rPr>
            </w:pPr>
          </w:p>
        </w:tc>
        <w:tc>
          <w:tcPr>
            <w:tcW w:w="2400" w:type="dxa"/>
            <w:vAlign w:val="bottom"/>
            <w:gridSpan w:val="6"/>
          </w:tcPr>
          <w:p>
            <w:pPr>
              <w:jc w:val="center"/>
              <w:ind w:right="380"/>
              <w:spacing w:after="0"/>
              <w:rPr>
                <w:sz w:val="20"/>
                <w:szCs w:val="20"/>
                <w:color w:val="auto"/>
              </w:rPr>
            </w:pPr>
            <w:r>
              <w:rPr>
                <w:rFonts w:ascii="Arial" w:cs="Arial" w:eastAsia="Arial" w:hAnsi="Arial"/>
                <w:sz w:val="16"/>
                <w:szCs w:val="16"/>
                <w:color w:val="auto"/>
                <w:w w:val="89"/>
              </w:rPr>
              <w:t>September 30,</w:t>
            </w: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89"/>
              </w:rPr>
              <w:t>September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2019</w:t>
            </w:r>
          </w:p>
        </w:tc>
        <w:tc>
          <w:tcPr>
            <w:tcW w:w="320" w:type="dxa"/>
            <w:vAlign w:val="bottom"/>
          </w:tcPr>
          <w:p>
            <w:pPr>
              <w:spacing w:after="0"/>
              <w:rPr>
                <w:sz w:val="23"/>
                <w:szCs w:val="23"/>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color w:val="auto"/>
              </w:rPr>
              <w:t>2018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520" w:type="dxa"/>
            <w:vAlign w:val="bottom"/>
          </w:tcPr>
          <w:p>
            <w:pPr>
              <w:spacing w:after="0"/>
              <w:rPr>
                <w:sz w:val="23"/>
                <w:szCs w:val="23"/>
                <w:color w:val="auto"/>
              </w:rPr>
            </w:pPr>
          </w:p>
        </w:tc>
        <w:tc>
          <w:tcPr>
            <w:tcW w:w="820" w:type="dxa"/>
            <w:vAlign w:val="bottom"/>
          </w:tcPr>
          <w:p>
            <w:pPr>
              <w:jc w:val="right"/>
              <w:ind w:right="399"/>
              <w:spacing w:after="0"/>
              <w:rPr>
                <w:sz w:val="20"/>
                <w:szCs w:val="20"/>
                <w:color w:val="auto"/>
              </w:rPr>
            </w:pPr>
            <w:r>
              <w:rPr>
                <w:rFonts w:ascii="Arial" w:cs="Arial" w:eastAsia="Arial" w:hAnsi="Arial"/>
                <w:sz w:val="16"/>
                <w:szCs w:val="16"/>
                <w:color w:val="auto"/>
                <w:w w:val="89"/>
              </w:rPr>
              <w:t>2018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color w:val="auto"/>
              </w:rPr>
              <w:t>2019</w:t>
            </w:r>
          </w:p>
        </w:tc>
        <w:tc>
          <w:tcPr>
            <w:tcW w:w="1140" w:type="dxa"/>
            <w:vAlign w:val="bottom"/>
          </w:tcPr>
          <w:p>
            <w:pPr>
              <w:jc w:val="right"/>
              <w:ind w:right="37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3620" w:type="dxa"/>
            <w:vAlign w:val="bottom"/>
            <w:tcBorders>
              <w:bottom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rPr>
              <w:t>Arkansas</w:t>
            </w:r>
          </w:p>
        </w:tc>
        <w:tc>
          <w:tcPr>
            <w:tcW w:w="260" w:type="dxa"/>
            <w:vAlign w:val="bottom"/>
            <w:tcBorders>
              <w:bottom w:val="single" w:sz="8" w:color="CEFFE7"/>
            </w:tcBorders>
            <w:shd w:val="clear" w:color="auto" w:fill="CEFFE7"/>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21,387</w:t>
            </w:r>
          </w:p>
        </w:tc>
        <w:tc>
          <w:tcPr>
            <w:tcW w:w="32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18,743</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16,249</w:t>
            </w:r>
          </w:p>
        </w:tc>
        <w:tc>
          <w:tcPr>
            <w:tcW w:w="52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13,415</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4,094,454</w:t>
            </w:r>
          </w:p>
        </w:tc>
        <w:tc>
          <w:tcPr>
            <w:tcW w:w="11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4,022,089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6"/>
                <w:szCs w:val="16"/>
                <w:color w:val="auto"/>
              </w:rPr>
              <w:t>Colorado</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22,632</w:t>
            </w:r>
          </w:p>
        </w:tc>
        <w:tc>
          <w:tcPr>
            <w:tcW w:w="3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22,362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15,667</w:t>
            </w:r>
          </w:p>
        </w:tc>
        <w:tc>
          <w:tcPr>
            <w:tcW w:w="5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15,210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3,806,360</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2,893,029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3620" w:type="dxa"/>
            <w:vAlign w:val="bottom"/>
            <w:tcBorders>
              <w:bottom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rPr>
              <w:t>Iowa</w:t>
            </w:r>
          </w:p>
        </w:tc>
        <w:tc>
          <w:tcPr>
            <w:tcW w:w="26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16,381</w:t>
            </w:r>
          </w:p>
        </w:tc>
        <w:tc>
          <w:tcPr>
            <w:tcW w:w="32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16,982</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13,135</w:t>
            </w:r>
          </w:p>
        </w:tc>
        <w:tc>
          <w:tcPr>
            <w:tcW w:w="52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12,556</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5,686,772</w:t>
            </w:r>
          </w:p>
        </w:tc>
        <w:tc>
          <w:tcPr>
            <w:tcW w:w="11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5,595,205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6"/>
                <w:szCs w:val="16"/>
                <w:color w:val="auto"/>
              </w:rPr>
              <w:t>Kansas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19,013</w:t>
            </w:r>
          </w:p>
        </w:tc>
        <w:tc>
          <w:tcPr>
            <w:tcW w:w="3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18,497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12,309</w:t>
            </w:r>
          </w:p>
        </w:tc>
        <w:tc>
          <w:tcPr>
            <w:tcW w:w="5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11,129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7,602,758</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6,164,821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3620" w:type="dxa"/>
            <w:vAlign w:val="bottom"/>
            <w:tcBorders>
              <w:bottom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rPr>
              <w:t>Nebraska</w:t>
            </w:r>
          </w:p>
        </w:tc>
        <w:tc>
          <w:tcPr>
            <w:tcW w:w="26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35,715</w:t>
            </w:r>
          </w:p>
        </w:tc>
        <w:tc>
          <w:tcPr>
            <w:tcW w:w="32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40,553</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28,046</w:t>
            </w:r>
          </w:p>
        </w:tc>
        <w:tc>
          <w:tcPr>
            <w:tcW w:w="52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31,264</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13,999,302</w:t>
            </w:r>
          </w:p>
        </w:tc>
        <w:tc>
          <w:tcPr>
            <w:tcW w:w="11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13,831,306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6"/>
                <w:szCs w:val="16"/>
                <w:color w:val="auto"/>
              </w:rPr>
              <w:t>Wyoming</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15,616</w:t>
            </w:r>
          </w:p>
        </w:tc>
        <w:tc>
          <w:tcPr>
            <w:tcW w:w="3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14,539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12,314</w:t>
            </w:r>
          </w:p>
        </w:tc>
        <w:tc>
          <w:tcPr>
            <w:tcW w:w="5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11,976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5,208,567</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5,592,715</w:t>
            </w:r>
          </w:p>
        </w:tc>
        <w:tc>
          <w:tcPr>
            <w:tcW w:w="0" w:type="dxa"/>
            <w:vAlign w:val="bottom"/>
          </w:tcPr>
          <w:p>
            <w:pPr>
              <w:spacing w:after="0"/>
              <w:rPr>
                <w:sz w:val="1"/>
                <w:szCs w:val="1"/>
                <w:color w:val="auto"/>
              </w:rPr>
            </w:pPr>
          </w:p>
        </w:tc>
      </w:tr>
      <w:tr>
        <w:trPr>
          <w:trHeight w:val="33"/>
        </w:trPr>
        <w:tc>
          <w:tcPr>
            <w:tcW w:w="20" w:type="dxa"/>
            <w:vAlign w:val="bottom"/>
            <w:tcBorders>
              <w:bottom w:val="single" w:sz="8" w:color="CEFFE7"/>
            </w:tcBorders>
          </w:tcPr>
          <w:p>
            <w:pPr>
              <w:spacing w:after="0"/>
              <w:rPr>
                <w:sz w:val="2"/>
                <w:szCs w:val="2"/>
                <w:color w:val="auto"/>
              </w:rPr>
            </w:pPr>
          </w:p>
        </w:tc>
        <w:tc>
          <w:tcPr>
            <w:tcW w:w="360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EFFE7"/>
            </w:tcBorders>
            <w:shd w:val="clear" w:color="auto" w:fill="CEFFE7"/>
          </w:tcPr>
          <w:p>
            <w:pPr>
              <w:spacing w:after="0"/>
              <w:rPr>
                <w:sz w:val="21"/>
                <w:szCs w:val="21"/>
                <w:color w:val="auto"/>
              </w:rPr>
            </w:pPr>
          </w:p>
        </w:tc>
        <w:tc>
          <w:tcPr>
            <w:tcW w:w="3620" w:type="dxa"/>
            <w:vAlign w:val="bottom"/>
            <w:tcBorders>
              <w:bottom w:val="single" w:sz="8" w:color="CEFFE7"/>
            </w:tcBorders>
            <w:gridSpan w:val="2"/>
            <w:shd w:val="clear" w:color="auto" w:fill="CEFFE7"/>
          </w:tcPr>
          <w:p>
            <w:pPr>
              <w:ind w:left="260"/>
              <w:spacing w:after="0"/>
              <w:rPr>
                <w:sz w:val="20"/>
                <w:szCs w:val="20"/>
                <w:color w:val="auto"/>
              </w:rPr>
            </w:pPr>
            <w:r>
              <w:rPr>
                <w:rFonts w:ascii="Arial" w:cs="Arial" w:eastAsia="Arial" w:hAnsi="Arial"/>
                <w:sz w:val="16"/>
                <w:szCs w:val="16"/>
                <w:color w:val="auto"/>
                <w:w w:val="96"/>
              </w:rPr>
              <w:t>Total Gas Revenue &amp; Gross Margin (non-GAAP)</w:t>
            </w:r>
          </w:p>
        </w:tc>
        <w:tc>
          <w:tcPr>
            <w:tcW w:w="260" w:type="dxa"/>
            <w:vAlign w:val="bottom"/>
            <w:tcBorders>
              <w:bottom w:val="single" w:sz="8" w:color="auto"/>
            </w:tcBorders>
            <w:shd w:val="clear" w:color="auto" w:fill="CEFFE7"/>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130,744</w:t>
            </w:r>
          </w:p>
        </w:tc>
        <w:tc>
          <w:tcPr>
            <w:tcW w:w="32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131,676</w:t>
            </w:r>
          </w:p>
        </w:tc>
        <w:tc>
          <w:tcPr>
            <w:tcW w:w="20" w:type="dxa"/>
            <w:vAlign w:val="bottom"/>
            <w:tcBorders>
              <w:bottom w:val="single" w:sz="8" w:color="auto"/>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97,720</w:t>
            </w:r>
          </w:p>
        </w:tc>
        <w:tc>
          <w:tcPr>
            <w:tcW w:w="52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95,550</w:t>
            </w:r>
          </w:p>
        </w:tc>
        <w:tc>
          <w:tcPr>
            <w:tcW w:w="20" w:type="dxa"/>
            <w:vAlign w:val="bottom"/>
            <w:tcBorders>
              <w:bottom w:val="single" w:sz="8" w:color="auto"/>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40,398,213</w:t>
            </w:r>
          </w:p>
        </w:tc>
        <w:tc>
          <w:tcPr>
            <w:tcW w:w="11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38,099,165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6"/>
          </w:tcPr>
          <w:p>
            <w:pPr>
              <w:jc w:val="center"/>
              <w:ind w:right="400"/>
              <w:spacing w:after="0"/>
              <w:rPr>
                <w:sz w:val="20"/>
                <w:szCs w:val="20"/>
                <w:color w:val="auto"/>
              </w:rPr>
            </w:pPr>
            <w:r>
              <w:rPr>
                <w:rFonts w:ascii="Arial" w:cs="Arial" w:eastAsia="Arial" w:hAnsi="Arial"/>
                <w:sz w:val="16"/>
                <w:szCs w:val="16"/>
                <w:color w:val="auto"/>
                <w:w w:val="92"/>
              </w:rPr>
              <w:t>Gross Margin (non-</w:t>
            </w: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94"/>
              </w:rPr>
              <w:t>Gas Utilities Quantities Sold &amp;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color w:val="auto"/>
              </w:rPr>
              <w:t>GAAP)</w:t>
            </w:r>
          </w:p>
        </w:tc>
        <w:tc>
          <w:tcPr>
            <w:tcW w:w="520" w:type="dxa"/>
            <w:vAlign w:val="bottom"/>
          </w:tcPr>
          <w:p>
            <w:pPr>
              <w:spacing w:after="0"/>
              <w:rPr>
                <w:sz w:val="17"/>
                <w:szCs w:val="17"/>
                <w:color w:val="auto"/>
              </w:rPr>
            </w:pPr>
          </w:p>
        </w:tc>
        <w:tc>
          <w:tcPr>
            <w:tcW w:w="940" w:type="dxa"/>
            <w:vAlign w:val="bottom"/>
            <w:gridSpan w:val="4"/>
          </w:tcPr>
          <w:p>
            <w:pPr>
              <w:ind w:left="700"/>
              <w:spacing w:after="0"/>
              <w:rPr>
                <w:sz w:val="20"/>
                <w:szCs w:val="20"/>
                <w:color w:val="auto"/>
              </w:rPr>
            </w:pPr>
            <w:r>
              <w:rPr>
                <w:rFonts w:ascii="Arial" w:cs="Arial" w:eastAsia="Arial" w:hAnsi="Arial"/>
                <w:sz w:val="16"/>
                <w:szCs w:val="16"/>
                <w:color w:val="auto"/>
              </w:rPr>
              <w:t>(in</w:t>
            </w: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91"/>
              </w:rPr>
              <w:t>Transported (Dth)</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6"/>
          </w:tcPr>
          <w:p>
            <w:pPr>
              <w:jc w:val="center"/>
              <w:ind w:right="380"/>
              <w:spacing w:after="0"/>
              <w:rPr>
                <w:sz w:val="20"/>
                <w:szCs w:val="20"/>
                <w:color w:val="auto"/>
              </w:rPr>
            </w:pPr>
            <w:r>
              <w:rPr>
                <w:rFonts w:ascii="Arial" w:cs="Arial" w:eastAsia="Arial" w:hAnsi="Arial"/>
                <w:sz w:val="16"/>
                <w:szCs w:val="16"/>
                <w:color w:val="auto"/>
                <w:w w:val="89"/>
              </w:rPr>
              <w:t>Revenue (in thousands)</w:t>
            </w:r>
          </w:p>
        </w:tc>
        <w:tc>
          <w:tcPr>
            <w:tcW w:w="300" w:type="dxa"/>
            <w:vAlign w:val="bottom"/>
          </w:tcPr>
          <w:p>
            <w:pPr>
              <w:spacing w:after="0"/>
              <w:rPr>
                <w:sz w:val="17"/>
                <w:szCs w:val="17"/>
                <w:color w:val="auto"/>
              </w:rPr>
            </w:pPr>
          </w:p>
        </w:tc>
        <w:tc>
          <w:tcPr>
            <w:tcW w:w="1460" w:type="dxa"/>
            <w:vAlign w:val="bottom"/>
            <w:gridSpan w:val="2"/>
          </w:tcPr>
          <w:p>
            <w:pPr>
              <w:jc w:val="center"/>
              <w:ind w:left="439"/>
              <w:spacing w:after="0"/>
              <w:rPr>
                <w:sz w:val="20"/>
                <w:szCs w:val="20"/>
                <w:color w:val="auto"/>
              </w:rPr>
            </w:pPr>
            <w:r>
              <w:rPr>
                <w:rFonts w:ascii="Arial" w:cs="Arial" w:eastAsia="Arial" w:hAnsi="Arial"/>
                <w:sz w:val="16"/>
                <w:szCs w:val="16"/>
                <w:color w:val="auto"/>
                <w:w w:val="88"/>
              </w:rPr>
              <w:t>thousands)</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6"/>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6"/>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6"/>
          </w:tcPr>
          <w:p>
            <w:pPr>
              <w:jc w:val="center"/>
              <w:ind w:right="360"/>
              <w:spacing w:after="0"/>
              <w:rPr>
                <w:sz w:val="20"/>
                <w:szCs w:val="20"/>
                <w:color w:val="auto"/>
              </w:rPr>
            </w:pPr>
            <w:r>
              <w:rPr>
                <w:rFonts w:ascii="Arial" w:cs="Arial" w:eastAsia="Arial" w:hAnsi="Arial"/>
                <w:sz w:val="16"/>
                <w:szCs w:val="16"/>
                <w:color w:val="auto"/>
                <w:w w:val="92"/>
              </w:rPr>
              <w:t>Nine Months Ended</w:t>
            </w:r>
          </w:p>
        </w:tc>
        <w:tc>
          <w:tcPr>
            <w:tcW w:w="300" w:type="dxa"/>
            <w:vAlign w:val="bottom"/>
          </w:tcPr>
          <w:p>
            <w:pPr>
              <w:spacing w:after="0"/>
              <w:rPr>
                <w:sz w:val="18"/>
                <w:szCs w:val="18"/>
                <w:color w:val="auto"/>
              </w:rPr>
            </w:pPr>
          </w:p>
        </w:tc>
        <w:tc>
          <w:tcPr>
            <w:tcW w:w="2400" w:type="dxa"/>
            <w:vAlign w:val="bottom"/>
            <w:gridSpan w:val="6"/>
          </w:tcPr>
          <w:p>
            <w:pPr>
              <w:jc w:val="center"/>
              <w:ind w:right="420"/>
              <w:spacing w:after="0"/>
              <w:rPr>
                <w:sz w:val="20"/>
                <w:szCs w:val="20"/>
                <w:color w:val="auto"/>
              </w:rPr>
            </w:pPr>
            <w:r>
              <w:rPr>
                <w:rFonts w:ascii="Arial" w:cs="Arial" w:eastAsia="Arial" w:hAnsi="Arial"/>
                <w:sz w:val="16"/>
                <w:szCs w:val="16"/>
                <w:color w:val="auto"/>
                <w:w w:val="92"/>
              </w:rPr>
              <w:t>Nine Months Ended</w:t>
            </w: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92"/>
              </w:rPr>
              <w:t>Nine Months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6"/>
          </w:tcPr>
          <w:p>
            <w:pPr>
              <w:jc w:val="center"/>
              <w:ind w:right="360"/>
              <w:spacing w:after="0"/>
              <w:rPr>
                <w:sz w:val="20"/>
                <w:szCs w:val="20"/>
                <w:color w:val="auto"/>
              </w:rPr>
            </w:pPr>
            <w:r>
              <w:rPr>
                <w:rFonts w:ascii="Arial" w:cs="Arial" w:eastAsia="Arial" w:hAnsi="Arial"/>
                <w:sz w:val="16"/>
                <w:szCs w:val="16"/>
                <w:color w:val="auto"/>
                <w:w w:val="89"/>
              </w:rPr>
              <w:t>September 30,</w:t>
            </w:r>
          </w:p>
        </w:tc>
        <w:tc>
          <w:tcPr>
            <w:tcW w:w="300" w:type="dxa"/>
            <w:vAlign w:val="bottom"/>
          </w:tcPr>
          <w:p>
            <w:pPr>
              <w:spacing w:after="0"/>
              <w:rPr>
                <w:sz w:val="17"/>
                <w:szCs w:val="17"/>
                <w:color w:val="auto"/>
              </w:rPr>
            </w:pPr>
          </w:p>
        </w:tc>
        <w:tc>
          <w:tcPr>
            <w:tcW w:w="1460" w:type="dxa"/>
            <w:vAlign w:val="bottom"/>
            <w:gridSpan w:val="2"/>
          </w:tcPr>
          <w:p>
            <w:pPr>
              <w:jc w:val="center"/>
              <w:ind w:left="439"/>
              <w:spacing w:after="0"/>
              <w:rPr>
                <w:sz w:val="20"/>
                <w:szCs w:val="20"/>
                <w:color w:val="auto"/>
              </w:rPr>
            </w:pPr>
            <w:r>
              <w:rPr>
                <w:rFonts w:ascii="Arial" w:cs="Arial" w:eastAsia="Arial" w:hAnsi="Arial"/>
                <w:sz w:val="16"/>
                <w:szCs w:val="16"/>
                <w:color w:val="auto"/>
                <w:w w:val="89"/>
              </w:rPr>
              <w:t>September 30,</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gridSpan w:val="2"/>
          </w:tcPr>
          <w:p>
            <w:pPr>
              <w:jc w:val="center"/>
              <w:spacing w:after="0"/>
              <w:rPr>
                <w:sz w:val="20"/>
                <w:szCs w:val="20"/>
                <w:color w:val="auto"/>
              </w:rPr>
            </w:pPr>
            <w:r>
              <w:rPr>
                <w:rFonts w:ascii="Arial" w:cs="Arial" w:eastAsia="Arial" w:hAnsi="Arial"/>
                <w:sz w:val="16"/>
                <w:szCs w:val="16"/>
                <w:color w:val="auto"/>
                <w:w w:val="89"/>
              </w:rPr>
              <w:t>September 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320" w:type="dxa"/>
            <w:vAlign w:val="bottom"/>
          </w:tcPr>
          <w:p>
            <w:pPr>
              <w:spacing w:after="0"/>
              <w:rPr>
                <w:sz w:val="23"/>
                <w:szCs w:val="23"/>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color w:val="auto"/>
              </w:rPr>
              <w:t>2018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color w:val="auto"/>
              </w:rPr>
              <w:t>2019</w:t>
            </w:r>
          </w:p>
        </w:tc>
        <w:tc>
          <w:tcPr>
            <w:tcW w:w="520" w:type="dxa"/>
            <w:vAlign w:val="bottom"/>
          </w:tcPr>
          <w:p>
            <w:pPr>
              <w:spacing w:after="0"/>
              <w:rPr>
                <w:sz w:val="23"/>
                <w:szCs w:val="23"/>
                <w:color w:val="auto"/>
              </w:rPr>
            </w:pPr>
          </w:p>
        </w:tc>
        <w:tc>
          <w:tcPr>
            <w:tcW w:w="820" w:type="dxa"/>
            <w:vAlign w:val="bottom"/>
          </w:tcPr>
          <w:p>
            <w:pPr>
              <w:jc w:val="right"/>
              <w:ind w:right="399"/>
              <w:spacing w:after="0"/>
              <w:rPr>
                <w:sz w:val="20"/>
                <w:szCs w:val="20"/>
                <w:color w:val="auto"/>
              </w:rPr>
            </w:pPr>
            <w:r>
              <w:rPr>
                <w:rFonts w:ascii="Arial" w:cs="Arial" w:eastAsia="Arial" w:hAnsi="Arial"/>
                <w:sz w:val="16"/>
                <w:szCs w:val="16"/>
                <w:color w:val="auto"/>
                <w:w w:val="89"/>
              </w:rPr>
              <w:t>2018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color w:val="auto"/>
              </w:rPr>
              <w:t>2019</w:t>
            </w:r>
          </w:p>
        </w:tc>
        <w:tc>
          <w:tcPr>
            <w:tcW w:w="1140" w:type="dxa"/>
            <w:vAlign w:val="bottom"/>
          </w:tcPr>
          <w:p>
            <w:pPr>
              <w:jc w:val="right"/>
              <w:ind w:right="37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Arkansas</w:t>
            </w:r>
          </w:p>
        </w:tc>
        <w:tc>
          <w:tcPr>
            <w:tcW w:w="260" w:type="dxa"/>
            <w:vAlign w:val="bottom"/>
            <w:tcBorders>
              <w:bottom w:val="single" w:sz="8" w:color="CEFFE7"/>
            </w:tcBorders>
            <w:shd w:val="clear" w:color="auto" w:fill="CEFFE7"/>
          </w:tcPr>
          <w:p>
            <w:pPr>
              <w:jc w:val="right"/>
              <w:ind w:right="102"/>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127,014</w:t>
            </w:r>
          </w:p>
        </w:tc>
        <w:tc>
          <w:tcPr>
            <w:tcW w:w="32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116,226</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79,148</w:t>
            </w:r>
          </w:p>
        </w:tc>
        <w:tc>
          <w:tcPr>
            <w:tcW w:w="52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65,803</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21,061,567</w:t>
            </w:r>
          </w:p>
        </w:tc>
        <w:tc>
          <w:tcPr>
            <w:tcW w:w="11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21,183,322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Colorado</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135,816</w:t>
            </w:r>
          </w:p>
        </w:tc>
        <w:tc>
          <w:tcPr>
            <w:tcW w:w="3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125,898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73,022</w:t>
            </w:r>
          </w:p>
        </w:tc>
        <w:tc>
          <w:tcPr>
            <w:tcW w:w="5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66,917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23,050,638</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19,301,834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Iowa</w:t>
            </w:r>
          </w:p>
        </w:tc>
        <w:tc>
          <w:tcPr>
            <w:tcW w:w="26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105,736</w:t>
            </w:r>
          </w:p>
        </w:tc>
        <w:tc>
          <w:tcPr>
            <w:tcW w:w="32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111,968</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50,773</w:t>
            </w:r>
          </w:p>
        </w:tc>
        <w:tc>
          <w:tcPr>
            <w:tcW w:w="52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49,630</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28,834,731</w:t>
            </w:r>
          </w:p>
        </w:tc>
        <w:tc>
          <w:tcPr>
            <w:tcW w:w="11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28,527,522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Kansas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77,609</w:t>
            </w:r>
          </w:p>
        </w:tc>
        <w:tc>
          <w:tcPr>
            <w:tcW w:w="3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81,880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42,385</w:t>
            </w:r>
          </w:p>
        </w:tc>
        <w:tc>
          <w:tcPr>
            <w:tcW w:w="5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40,896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24,336,744</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23,391,905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Nebraska</w:t>
            </w:r>
          </w:p>
        </w:tc>
        <w:tc>
          <w:tcPr>
            <w:tcW w:w="26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183,827</w:t>
            </w:r>
          </w:p>
        </w:tc>
        <w:tc>
          <w:tcPr>
            <w:tcW w:w="32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196,307</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111,828</w:t>
            </w:r>
          </w:p>
        </w:tc>
        <w:tc>
          <w:tcPr>
            <w:tcW w:w="52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117,925</w:t>
            </w:r>
          </w:p>
        </w:tc>
        <w:tc>
          <w:tcPr>
            <w:tcW w:w="2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jc w:val="right"/>
              <w:ind w:right="139"/>
              <w:spacing w:after="0"/>
              <w:rPr>
                <w:sz w:val="20"/>
                <w:szCs w:val="20"/>
                <w:color w:val="auto"/>
              </w:rPr>
            </w:pPr>
            <w:r>
              <w:rPr>
                <w:rFonts w:ascii="Arial" w:cs="Arial" w:eastAsia="Arial" w:hAnsi="Arial"/>
                <w:sz w:val="16"/>
                <w:szCs w:val="16"/>
                <w:color w:val="auto"/>
              </w:rPr>
              <w:t>57,815,316</w:t>
            </w:r>
          </w:p>
        </w:tc>
        <w:tc>
          <w:tcPr>
            <w:tcW w:w="11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58,223,856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Arial" w:cs="Arial" w:eastAsia="Arial" w:hAnsi="Arial"/>
                <w:sz w:val="16"/>
                <w:szCs w:val="16"/>
                <w:color w:val="auto"/>
              </w:rPr>
              <w:t>Wyoming</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77,291</w:t>
            </w:r>
          </w:p>
        </w:tc>
        <w:tc>
          <w:tcPr>
            <w:tcW w:w="3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74,361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52,850</w:t>
            </w:r>
          </w:p>
        </w:tc>
        <w:tc>
          <w:tcPr>
            <w:tcW w:w="5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51,604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26,506,059</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25,480,316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600" w:type="dxa"/>
            <w:vAlign w:val="bottom"/>
            <w:tcBorders>
              <w:bottom w:val="single" w:sz="8" w:color="CEFFE7"/>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80" w:type="dxa"/>
            <w:vAlign w:val="bottom"/>
            <w:tcBorders>
              <w:bottom w:val="single" w:sz="8" w:color="CEFFE7"/>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80" w:type="dxa"/>
            <w:vAlign w:val="bottom"/>
            <w:tcBorders>
              <w:bottom w:val="single" w:sz="8" w:color="CEFFE7"/>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20" w:type="dxa"/>
            <w:vAlign w:val="bottom"/>
            <w:gridSpan w:val="2"/>
            <w:shd w:val="clear" w:color="auto" w:fill="CEFFE7"/>
          </w:tcPr>
          <w:p>
            <w:pPr>
              <w:ind w:left="260"/>
              <w:spacing w:after="0"/>
              <w:rPr>
                <w:sz w:val="20"/>
                <w:szCs w:val="20"/>
                <w:color w:val="auto"/>
              </w:rPr>
            </w:pPr>
            <w:r>
              <w:rPr>
                <w:rFonts w:ascii="Arial" w:cs="Arial" w:eastAsia="Arial" w:hAnsi="Arial"/>
                <w:sz w:val="16"/>
                <w:szCs w:val="16"/>
                <w:color w:val="auto"/>
              </w:rPr>
              <w:t>Total Gas Revenue &amp; Gross Margin (non-</w:t>
            </w:r>
          </w:p>
        </w:tc>
        <w:tc>
          <w:tcPr>
            <w:tcW w:w="260" w:type="dxa"/>
            <w:vAlign w:val="bottom"/>
            <w:vMerge w:val="restart"/>
            <w:shd w:val="clear" w:color="auto" w:fill="CEFFE7"/>
          </w:tcPr>
          <w:p>
            <w:pPr>
              <w:jc w:val="right"/>
              <w:ind w:right="102"/>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707,293</w:t>
            </w:r>
          </w:p>
        </w:tc>
        <w:tc>
          <w:tcPr>
            <w:tcW w:w="320" w:type="dxa"/>
            <w:vAlign w:val="bottom"/>
            <w:vMerge w:val="restart"/>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706,640</w:t>
            </w:r>
          </w:p>
        </w:tc>
        <w:tc>
          <w:tcPr>
            <w:tcW w:w="20" w:type="dxa"/>
            <w:vAlign w:val="bottom"/>
            <w:shd w:val="clear" w:color="auto" w:fill="CEFFE7"/>
          </w:tcPr>
          <w:p>
            <w:pPr>
              <w:spacing w:after="0"/>
              <w:rPr>
                <w:sz w:val="17"/>
                <w:szCs w:val="17"/>
                <w:color w:val="auto"/>
              </w:rPr>
            </w:pPr>
          </w:p>
        </w:tc>
        <w:tc>
          <w:tcPr>
            <w:tcW w:w="80" w:type="dxa"/>
            <w:vAlign w:val="bottom"/>
            <w:shd w:val="clear" w:color="auto" w:fill="CEFFE7"/>
          </w:tcPr>
          <w:p>
            <w:pPr>
              <w:spacing w:after="0"/>
              <w:rPr>
                <w:sz w:val="17"/>
                <w:szCs w:val="17"/>
                <w:color w:val="auto"/>
              </w:rPr>
            </w:pPr>
          </w:p>
        </w:tc>
        <w:tc>
          <w:tcPr>
            <w:tcW w:w="20" w:type="dxa"/>
            <w:vAlign w:val="bottom"/>
            <w:shd w:val="clear" w:color="auto" w:fill="CEFFE7"/>
          </w:tcPr>
          <w:p>
            <w:pPr>
              <w:spacing w:after="0"/>
              <w:rPr>
                <w:sz w:val="17"/>
                <w:szCs w:val="17"/>
                <w:color w:val="auto"/>
              </w:rPr>
            </w:pPr>
          </w:p>
        </w:tc>
        <w:tc>
          <w:tcPr>
            <w:tcW w:w="300" w:type="dxa"/>
            <w:vAlign w:val="bottom"/>
            <w:vMerge w:val="restart"/>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410,006</w:t>
            </w:r>
          </w:p>
        </w:tc>
        <w:tc>
          <w:tcPr>
            <w:tcW w:w="520" w:type="dxa"/>
            <w:vAlign w:val="bottom"/>
            <w:vMerge w:val="restart"/>
            <w:shd w:val="clear" w:color="auto" w:fill="CEFFE7"/>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392,775</w:t>
            </w:r>
          </w:p>
        </w:tc>
        <w:tc>
          <w:tcPr>
            <w:tcW w:w="20" w:type="dxa"/>
            <w:vAlign w:val="bottom"/>
            <w:shd w:val="clear" w:color="auto" w:fill="CEFFE7"/>
          </w:tcPr>
          <w:p>
            <w:pPr>
              <w:spacing w:after="0"/>
              <w:rPr>
                <w:sz w:val="17"/>
                <w:szCs w:val="17"/>
                <w:color w:val="auto"/>
              </w:rPr>
            </w:pPr>
          </w:p>
        </w:tc>
        <w:tc>
          <w:tcPr>
            <w:tcW w:w="80" w:type="dxa"/>
            <w:vAlign w:val="bottom"/>
            <w:shd w:val="clear" w:color="auto" w:fill="CEFFE7"/>
          </w:tcPr>
          <w:p>
            <w:pPr>
              <w:spacing w:after="0"/>
              <w:rPr>
                <w:sz w:val="17"/>
                <w:szCs w:val="17"/>
                <w:color w:val="auto"/>
              </w:rPr>
            </w:pPr>
          </w:p>
        </w:tc>
        <w:tc>
          <w:tcPr>
            <w:tcW w:w="20" w:type="dxa"/>
            <w:vAlign w:val="bottom"/>
            <w:shd w:val="clear" w:color="auto" w:fill="CEFFE7"/>
          </w:tcPr>
          <w:p>
            <w:pPr>
              <w:spacing w:after="0"/>
              <w:rPr>
                <w:sz w:val="17"/>
                <w:szCs w:val="17"/>
                <w:color w:val="auto"/>
              </w:rPr>
            </w:pPr>
          </w:p>
        </w:tc>
        <w:tc>
          <w:tcPr>
            <w:tcW w:w="1340" w:type="dxa"/>
            <w:vAlign w:val="bottom"/>
            <w:vMerge w:val="restart"/>
            <w:shd w:val="clear" w:color="auto" w:fill="CEFFE7"/>
          </w:tcPr>
          <w:p>
            <w:pPr>
              <w:jc w:val="right"/>
              <w:ind w:right="139"/>
              <w:spacing w:after="0"/>
              <w:rPr>
                <w:sz w:val="20"/>
                <w:szCs w:val="20"/>
                <w:color w:val="auto"/>
              </w:rPr>
            </w:pPr>
            <w:r>
              <w:rPr>
                <w:rFonts w:ascii="Arial" w:cs="Arial" w:eastAsia="Arial" w:hAnsi="Arial"/>
                <w:sz w:val="16"/>
                <w:szCs w:val="16"/>
                <w:color w:val="auto"/>
              </w:rPr>
              <w:t>181,605,055</w:t>
            </w:r>
          </w:p>
        </w:tc>
        <w:tc>
          <w:tcPr>
            <w:tcW w:w="114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176,108,755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20" w:type="dxa"/>
            <w:vAlign w:val="bottom"/>
            <w:gridSpan w:val="2"/>
            <w:shd w:val="clear" w:color="auto" w:fill="CEFFE7"/>
          </w:tcPr>
          <w:p>
            <w:pPr>
              <w:ind w:left="260"/>
              <w:spacing w:after="0"/>
              <w:rPr>
                <w:sz w:val="20"/>
                <w:szCs w:val="20"/>
                <w:color w:val="auto"/>
              </w:rPr>
            </w:pPr>
            <w:r>
              <w:rPr>
                <w:rFonts w:ascii="Arial" w:cs="Arial" w:eastAsia="Arial" w:hAnsi="Arial"/>
                <w:sz w:val="16"/>
                <w:szCs w:val="16"/>
                <w:color w:val="auto"/>
              </w:rPr>
              <w:t>GAAP)</w:t>
            </w:r>
          </w:p>
        </w:tc>
        <w:tc>
          <w:tcPr>
            <w:tcW w:w="260" w:type="dxa"/>
            <w:vAlign w:val="bottom"/>
            <w:vMerge w:val="continue"/>
            <w:shd w:val="clear" w:color="auto" w:fill="CEFFE7"/>
          </w:tcPr>
          <w:p>
            <w:pPr>
              <w:spacing w:after="0"/>
              <w:rPr>
                <w:sz w:val="19"/>
                <w:szCs w:val="19"/>
                <w:color w:val="auto"/>
              </w:rPr>
            </w:pPr>
          </w:p>
        </w:tc>
        <w:tc>
          <w:tcPr>
            <w:tcW w:w="920" w:type="dxa"/>
            <w:vAlign w:val="bottom"/>
            <w:vMerge w:val="continue"/>
            <w:shd w:val="clear" w:color="auto" w:fill="CEFFE7"/>
          </w:tcPr>
          <w:p>
            <w:pPr>
              <w:spacing w:after="0"/>
              <w:rPr>
                <w:sz w:val="19"/>
                <w:szCs w:val="19"/>
                <w:color w:val="auto"/>
              </w:rPr>
            </w:pPr>
          </w:p>
        </w:tc>
        <w:tc>
          <w:tcPr>
            <w:tcW w:w="320" w:type="dxa"/>
            <w:vAlign w:val="bottom"/>
            <w:vMerge w:val="continue"/>
            <w:shd w:val="clear" w:color="auto" w:fill="CEFFE7"/>
          </w:tcPr>
          <w:p>
            <w:pPr>
              <w:spacing w:after="0"/>
              <w:rPr>
                <w:sz w:val="19"/>
                <w:szCs w:val="19"/>
                <w:color w:val="auto"/>
              </w:rPr>
            </w:pPr>
          </w:p>
        </w:tc>
        <w:tc>
          <w:tcPr>
            <w:tcW w:w="940" w:type="dxa"/>
            <w:vAlign w:val="bottom"/>
            <w:vMerge w:val="continue"/>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c>
          <w:tcPr>
            <w:tcW w:w="300" w:type="dxa"/>
            <w:vAlign w:val="bottom"/>
            <w:vMerge w:val="continue"/>
            <w:shd w:val="clear" w:color="auto" w:fill="CEFFE7"/>
          </w:tcPr>
          <w:p>
            <w:pPr>
              <w:spacing w:after="0"/>
              <w:rPr>
                <w:sz w:val="19"/>
                <w:szCs w:val="19"/>
                <w:color w:val="auto"/>
              </w:rPr>
            </w:pPr>
          </w:p>
        </w:tc>
        <w:tc>
          <w:tcPr>
            <w:tcW w:w="940" w:type="dxa"/>
            <w:vAlign w:val="bottom"/>
            <w:vMerge w:val="continue"/>
            <w:shd w:val="clear" w:color="auto" w:fill="CEFFE7"/>
          </w:tcPr>
          <w:p>
            <w:pPr>
              <w:spacing w:after="0"/>
              <w:rPr>
                <w:sz w:val="19"/>
                <w:szCs w:val="19"/>
                <w:color w:val="auto"/>
              </w:rPr>
            </w:pPr>
          </w:p>
        </w:tc>
        <w:tc>
          <w:tcPr>
            <w:tcW w:w="520" w:type="dxa"/>
            <w:vAlign w:val="bottom"/>
            <w:vMerge w:val="continue"/>
            <w:shd w:val="clear" w:color="auto" w:fill="CEFFE7"/>
          </w:tcPr>
          <w:p>
            <w:pPr>
              <w:spacing w:after="0"/>
              <w:rPr>
                <w:sz w:val="19"/>
                <w:szCs w:val="19"/>
                <w:color w:val="auto"/>
              </w:rPr>
            </w:pPr>
          </w:p>
        </w:tc>
        <w:tc>
          <w:tcPr>
            <w:tcW w:w="820" w:type="dxa"/>
            <w:vAlign w:val="bottom"/>
            <w:vMerge w:val="continue"/>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c>
          <w:tcPr>
            <w:tcW w:w="1340" w:type="dxa"/>
            <w:vAlign w:val="bottom"/>
            <w:vMerge w:val="continue"/>
            <w:shd w:val="clear" w:color="auto" w:fill="CEFFE7"/>
          </w:tcPr>
          <w:p>
            <w:pPr>
              <w:spacing w:after="0"/>
              <w:rPr>
                <w:sz w:val="19"/>
                <w:szCs w:val="19"/>
                <w:color w:val="auto"/>
              </w:rPr>
            </w:pPr>
          </w:p>
        </w:tc>
        <w:tc>
          <w:tcPr>
            <w:tcW w:w="1140" w:type="dxa"/>
            <w:vAlign w:val="bottom"/>
            <w:vMerge w:val="continue"/>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8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8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Gas Utilities are highly seasonal, and sales volumes vary considerably with weather and seasonal heating and industrial loads. Approximately 70% of our Gas Utilities’ revenue and margins are expected in the first and fourth quarters of each year. Therefore, revenue for, and certain expenses of, these operations fluctuate significantly among quarters. Depending upon the geographic location in which our Gas Utilities operate, the winter heating season begins around November 1 and ends around March 31.</w:t>
      </w:r>
    </w:p>
    <w:p>
      <w:pPr>
        <w:sectPr>
          <w:pgSz w:w="11900" w:h="16838" w:orient="portrait"/>
          <w:cols w:equalWidth="0" w:num="1">
            <w:col w:w="11400"/>
          </w:cols>
          <w:pgMar w:left="240" w:top="118" w:right="259" w:bottom="1"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118" w:right="259" w:bottom="1"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184"/>
        </w:trPr>
        <w:tc>
          <w:tcPr>
            <w:tcW w:w="446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1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628"/>
        </w:trPr>
        <w:tc>
          <w:tcPr>
            <w:tcW w:w="122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20" w:type="dxa"/>
            <w:vAlign w:val="bottom"/>
            <w:gridSpan w:val="3"/>
          </w:tcPr>
          <w:p>
            <w:pPr>
              <w:jc w:val="center"/>
              <w:ind w:left="570"/>
              <w:spacing w:after="0"/>
              <w:rPr>
                <w:sz w:val="20"/>
                <w:szCs w:val="20"/>
                <w:color w:val="auto"/>
              </w:rPr>
            </w:pPr>
            <w:r>
              <w:rPr>
                <w:rFonts w:ascii="Arial" w:cs="Arial" w:eastAsia="Arial" w:hAnsi="Arial"/>
                <w:sz w:val="18"/>
                <w:szCs w:val="18"/>
                <w:color w:val="auto"/>
                <w:w w:val="89"/>
              </w:rPr>
              <w:t>Three Months Ended September 30,</w:t>
            </w:r>
          </w:p>
        </w:tc>
        <w:tc>
          <w:tcPr>
            <w:tcW w:w="1700" w:type="dxa"/>
            <w:vAlign w:val="bottom"/>
          </w:tcPr>
          <w:p>
            <w:pPr>
              <w:spacing w:after="0"/>
              <w:rPr>
                <w:sz w:val="24"/>
                <w:szCs w:val="24"/>
                <w:color w:val="auto"/>
              </w:rPr>
            </w:pPr>
          </w:p>
        </w:tc>
      </w:tr>
      <w:tr>
        <w:trPr>
          <w:trHeight w:val="270"/>
        </w:trPr>
        <w:tc>
          <w:tcPr>
            <w:tcW w:w="12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700" w:type="dxa"/>
            <w:vAlign w:val="bottom"/>
          </w:tcPr>
          <w:p>
            <w:pPr>
              <w:jc w:val="right"/>
              <w:ind w:right="1090"/>
              <w:spacing w:after="0"/>
              <w:rPr>
                <w:sz w:val="20"/>
                <w:szCs w:val="20"/>
                <w:color w:val="auto"/>
              </w:rPr>
            </w:pPr>
            <w:r>
              <w:rPr>
                <w:rFonts w:ascii="Arial" w:cs="Arial" w:eastAsia="Arial" w:hAnsi="Arial"/>
                <w:sz w:val="18"/>
                <w:szCs w:val="18"/>
                <w:color w:val="auto"/>
              </w:rPr>
              <w:t>2019</w:t>
            </w:r>
          </w:p>
        </w:tc>
        <w:tc>
          <w:tcPr>
            <w:tcW w:w="1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700" w:type="dxa"/>
            <w:vAlign w:val="bottom"/>
          </w:tcPr>
          <w:p>
            <w:pPr>
              <w:jc w:val="right"/>
              <w:ind w:right="1090"/>
              <w:spacing w:after="0"/>
              <w:rPr>
                <w:sz w:val="20"/>
                <w:szCs w:val="20"/>
                <w:color w:val="auto"/>
              </w:rPr>
            </w:pPr>
            <w:r>
              <w:rPr>
                <w:rFonts w:ascii="Arial" w:cs="Arial" w:eastAsia="Arial" w:hAnsi="Arial"/>
                <w:sz w:val="18"/>
                <w:szCs w:val="18"/>
                <w:color w:val="auto"/>
              </w:rPr>
              <w:t>2018</w:t>
            </w:r>
          </w:p>
        </w:tc>
      </w:tr>
      <w:tr>
        <w:trPr>
          <w:trHeight w:val="27"/>
        </w:trPr>
        <w:tc>
          <w:tcPr>
            <w:tcW w:w="1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2"/>
        </w:trPr>
        <w:tc>
          <w:tcPr>
            <w:tcW w:w="12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87"/>
              </w:rPr>
              <w:t>Variance</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Actual Variance</w:t>
            </w:r>
          </w:p>
        </w:tc>
        <w:tc>
          <w:tcPr>
            <w:tcW w:w="900" w:type="dxa"/>
            <w:vAlign w:val="bottom"/>
          </w:tcPr>
          <w:p>
            <w:pPr>
              <w:spacing w:after="0"/>
              <w:rPr>
                <w:sz w:val="19"/>
                <w:szCs w:val="19"/>
                <w:color w:val="auto"/>
              </w:rPr>
            </w:pP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0"/>
              </w:rPr>
              <w:t>Variance</w:t>
            </w:r>
          </w:p>
        </w:tc>
      </w:tr>
      <w:tr>
        <w:trPr>
          <w:trHeight w:val="230"/>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Heating Degree Days</w:t>
            </w:r>
          </w:p>
        </w:tc>
        <w:tc>
          <w:tcPr>
            <w:tcW w:w="1040" w:type="dxa"/>
            <w:vAlign w:val="bottom"/>
          </w:tcPr>
          <w:p>
            <w:pPr>
              <w:ind w:left="400"/>
              <w:spacing w:after="0"/>
              <w:rPr>
                <w:sz w:val="20"/>
                <w:szCs w:val="20"/>
                <w:color w:val="auto"/>
              </w:rPr>
            </w:pPr>
            <w:r>
              <w:rPr>
                <w:rFonts w:ascii="Arial" w:cs="Arial" w:eastAsia="Arial" w:hAnsi="Arial"/>
                <w:sz w:val="18"/>
                <w:szCs w:val="18"/>
                <w:color w:val="auto"/>
              </w:rPr>
              <w:t>Actual</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4"/>
              </w:rPr>
              <w:t>from Normal</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to Prior Year</w:t>
            </w:r>
          </w:p>
        </w:tc>
        <w:tc>
          <w:tcPr>
            <w:tcW w:w="900" w:type="dxa"/>
            <w:vAlign w:val="bottom"/>
          </w:tcPr>
          <w:p>
            <w:pPr>
              <w:ind w:left="260"/>
              <w:spacing w:after="0"/>
              <w:rPr>
                <w:sz w:val="20"/>
                <w:szCs w:val="20"/>
                <w:color w:val="auto"/>
              </w:rPr>
            </w:pPr>
            <w:r>
              <w:rPr>
                <w:rFonts w:ascii="Arial" w:cs="Arial" w:eastAsia="Arial" w:hAnsi="Arial"/>
                <w:sz w:val="18"/>
                <w:szCs w:val="18"/>
                <w:color w:val="auto"/>
              </w:rPr>
              <w:t>Actual</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6"/>
              </w:rPr>
              <w:t>from Normal</w:t>
            </w:r>
          </w:p>
        </w:tc>
      </w:tr>
      <w:tr>
        <w:trPr>
          <w:trHeight w:val="27"/>
        </w:trPr>
        <w:tc>
          <w:tcPr>
            <w:tcW w:w="12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4460" w:type="dxa"/>
            <w:vAlign w:val="bottom"/>
            <w:gridSpan w:val="2"/>
            <w:shd w:val="clear" w:color="auto" w:fill="CEFFE7"/>
          </w:tcPr>
          <w:p>
            <w:pPr>
              <w:ind w:left="180"/>
              <w:spacing w:after="0" w:line="264" w:lineRule="exact"/>
              <w:rPr>
                <w:sz w:val="20"/>
                <w:szCs w:val="20"/>
                <w:color w:val="auto"/>
              </w:rPr>
            </w:pPr>
            <w:r>
              <w:rPr>
                <w:rFonts w:ascii="Arial" w:cs="Arial" w:eastAsia="Arial" w:hAnsi="Arial"/>
                <w:sz w:val="18"/>
                <w:szCs w:val="18"/>
                <w:color w:val="auto"/>
              </w:rPr>
              <w:t xml:space="preserve">Arkansas </w:t>
            </w:r>
            <w:r>
              <w:rPr>
                <w:rFonts w:ascii="Arial" w:cs="Arial" w:eastAsia="Arial" w:hAnsi="Arial"/>
                <w:sz w:val="25"/>
                <w:szCs w:val="25"/>
                <w:color w:val="auto"/>
                <w:vertAlign w:val="superscript"/>
              </w:rPr>
              <w:t>(a)</w:t>
            </w:r>
          </w:p>
        </w:tc>
        <w:tc>
          <w:tcPr>
            <w:tcW w:w="1040" w:type="dxa"/>
            <w:vAlign w:val="bottom"/>
            <w:shd w:val="clear" w:color="auto" w:fill="CEFFE7"/>
          </w:tcPr>
          <w:p>
            <w:pPr>
              <w:jc w:val="center"/>
              <w:ind w:left="1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EFFE7"/>
          </w:tcPr>
          <w:p>
            <w:pPr>
              <w:jc w:val="center"/>
              <w:ind w:left="270"/>
              <w:spacing w:after="0"/>
              <w:rPr>
                <w:sz w:val="20"/>
                <w:szCs w:val="20"/>
                <w:color w:val="auto"/>
              </w:rPr>
            </w:pPr>
            <w:r>
              <w:rPr>
                <w:rFonts w:ascii="Arial" w:cs="Arial" w:eastAsia="Arial" w:hAnsi="Arial"/>
                <w:sz w:val="18"/>
                <w:szCs w:val="18"/>
                <w:color w:val="auto"/>
                <w:w w:val="92"/>
              </w:rPr>
              <w:t>(100)%</w:t>
            </w:r>
          </w:p>
        </w:tc>
        <w:tc>
          <w:tcPr>
            <w:tcW w:w="16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2"/>
              </w:rPr>
              <w:t>(100)%</w:t>
            </w:r>
          </w:p>
        </w:tc>
        <w:tc>
          <w:tcPr>
            <w:tcW w:w="900" w:type="dxa"/>
            <w:vAlign w:val="bottom"/>
            <w:shd w:val="clear" w:color="auto" w:fill="CEFFE7"/>
          </w:tcPr>
          <w:p>
            <w:pPr>
              <w:jc w:val="center"/>
              <w:ind w:left="30"/>
              <w:spacing w:after="0"/>
              <w:rPr>
                <w:sz w:val="20"/>
                <w:szCs w:val="20"/>
                <w:color w:val="auto"/>
              </w:rPr>
            </w:pPr>
            <w:r>
              <w:rPr>
                <w:rFonts w:ascii="Arial" w:cs="Arial" w:eastAsia="Arial" w:hAnsi="Arial"/>
                <w:sz w:val="18"/>
                <w:szCs w:val="18"/>
                <w:color w:val="auto"/>
                <w:w w:val="89"/>
              </w:rPr>
              <w:t>12</w:t>
            </w:r>
          </w:p>
        </w:tc>
        <w:tc>
          <w:tcPr>
            <w:tcW w:w="1700" w:type="dxa"/>
            <w:vAlign w:val="bottom"/>
            <w:shd w:val="clear" w:color="auto" w:fill="CEFFE7"/>
          </w:tcPr>
          <w:p>
            <w:pPr>
              <w:jc w:val="center"/>
              <w:ind w:left="250"/>
              <w:spacing w:after="0"/>
              <w:rPr>
                <w:sz w:val="20"/>
                <w:szCs w:val="20"/>
                <w:color w:val="auto"/>
              </w:rPr>
            </w:pPr>
            <w:r>
              <w:rPr>
                <w:rFonts w:ascii="Arial" w:cs="Arial" w:eastAsia="Arial" w:hAnsi="Arial"/>
                <w:sz w:val="18"/>
                <w:szCs w:val="18"/>
                <w:color w:val="auto"/>
                <w:w w:val="91"/>
              </w:rPr>
              <w:t>(72)%</w:t>
            </w: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Colorado</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89"/>
              </w:rPr>
              <w:t>68</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5"/>
              </w:rPr>
              <w:t>(68)%</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(38)%</w:t>
            </w: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86"/>
              </w:rPr>
              <w:t>109</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1"/>
              </w:rPr>
              <w:t>(49)%</w:t>
            </w:r>
          </w:p>
        </w:tc>
      </w:tr>
      <w:tr>
        <w:trPr>
          <w:trHeight w:val="27"/>
        </w:trPr>
        <w:tc>
          <w:tcPr>
            <w:tcW w:w="1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46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Iowa</w:t>
            </w:r>
          </w:p>
        </w:tc>
        <w:tc>
          <w:tcPr>
            <w:tcW w:w="1040" w:type="dxa"/>
            <w:vAlign w:val="bottom"/>
            <w:tcBorders>
              <w:bottom w:val="single" w:sz="8" w:color="CEFFE7"/>
            </w:tcBorders>
            <w:shd w:val="clear" w:color="auto" w:fill="CEFFE7"/>
          </w:tcPr>
          <w:p>
            <w:pPr>
              <w:jc w:val="center"/>
              <w:ind w:left="130"/>
              <w:spacing w:after="0"/>
              <w:rPr>
                <w:sz w:val="20"/>
                <w:szCs w:val="20"/>
                <w:color w:val="auto"/>
              </w:rPr>
            </w:pPr>
            <w:r>
              <w:rPr>
                <w:rFonts w:ascii="Arial" w:cs="Arial" w:eastAsia="Arial" w:hAnsi="Arial"/>
                <w:sz w:val="18"/>
                <w:szCs w:val="18"/>
                <w:color w:val="auto"/>
                <w:w w:val="89"/>
              </w:rPr>
              <w:t>43</w:t>
            </w:r>
          </w:p>
        </w:tc>
        <w:tc>
          <w:tcPr>
            <w:tcW w:w="1700" w:type="dxa"/>
            <w:vAlign w:val="bottom"/>
            <w:tcBorders>
              <w:bottom w:val="single" w:sz="8" w:color="CEFFE7"/>
            </w:tcBorders>
            <w:shd w:val="clear" w:color="auto" w:fill="CEFFE7"/>
          </w:tcPr>
          <w:p>
            <w:pPr>
              <w:jc w:val="center"/>
              <w:ind w:left="270"/>
              <w:spacing w:after="0"/>
              <w:rPr>
                <w:sz w:val="20"/>
                <w:szCs w:val="20"/>
                <w:color w:val="auto"/>
              </w:rPr>
            </w:pPr>
            <w:r>
              <w:rPr>
                <w:rFonts w:ascii="Arial" w:cs="Arial" w:eastAsia="Arial" w:hAnsi="Arial"/>
                <w:sz w:val="18"/>
                <w:szCs w:val="18"/>
                <w:color w:val="auto"/>
                <w:w w:val="95"/>
              </w:rPr>
              <w:t>(69)%</w:t>
            </w:r>
          </w:p>
        </w:tc>
        <w:tc>
          <w:tcPr>
            <w:tcW w:w="162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5"/>
              </w:rPr>
              <w:t>(66)%</w:t>
            </w:r>
          </w:p>
        </w:tc>
        <w:tc>
          <w:tcPr>
            <w:tcW w:w="900" w:type="dxa"/>
            <w:vAlign w:val="bottom"/>
            <w:tcBorders>
              <w:bottom w:val="single" w:sz="8" w:color="CEFFE7"/>
            </w:tcBorders>
            <w:shd w:val="clear" w:color="auto" w:fill="CEFFE7"/>
          </w:tcPr>
          <w:p>
            <w:pPr>
              <w:jc w:val="center"/>
              <w:ind w:left="30"/>
              <w:spacing w:after="0"/>
              <w:rPr>
                <w:sz w:val="20"/>
                <w:szCs w:val="20"/>
                <w:color w:val="auto"/>
              </w:rPr>
            </w:pPr>
            <w:r>
              <w:rPr>
                <w:rFonts w:ascii="Arial" w:cs="Arial" w:eastAsia="Arial" w:hAnsi="Arial"/>
                <w:sz w:val="18"/>
                <w:szCs w:val="18"/>
                <w:color w:val="auto"/>
                <w:w w:val="86"/>
              </w:rPr>
              <w:t>128</w:t>
            </w:r>
          </w:p>
        </w:tc>
        <w:tc>
          <w:tcPr>
            <w:tcW w:w="1700" w:type="dxa"/>
            <w:vAlign w:val="bottom"/>
            <w:tcBorders>
              <w:bottom w:val="single" w:sz="8" w:color="CEFFE7"/>
            </w:tcBorders>
            <w:shd w:val="clear" w:color="auto" w:fill="CEFFE7"/>
          </w:tcPr>
          <w:p>
            <w:pPr>
              <w:jc w:val="center"/>
              <w:ind w:left="250"/>
              <w:spacing w:after="0"/>
              <w:rPr>
                <w:sz w:val="20"/>
                <w:szCs w:val="20"/>
                <w:color w:val="auto"/>
              </w:rPr>
            </w:pPr>
            <w:r>
              <w:rPr>
                <w:rFonts w:ascii="Arial" w:cs="Arial" w:eastAsia="Arial" w:hAnsi="Arial"/>
                <w:sz w:val="18"/>
                <w:szCs w:val="18"/>
                <w:color w:val="auto"/>
                <w:w w:val="94"/>
              </w:rPr>
              <w:t>(7)%</w:t>
            </w:r>
          </w:p>
        </w:tc>
      </w:tr>
      <w:tr>
        <w:trPr>
          <w:trHeight w:val="270"/>
        </w:trPr>
        <w:tc>
          <w:tcPr>
            <w:tcW w:w="446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Kansas </w:t>
            </w:r>
            <w:r>
              <w:rPr>
                <w:rFonts w:ascii="Arial" w:cs="Arial" w:eastAsia="Arial" w:hAnsi="Arial"/>
                <w:sz w:val="25"/>
                <w:szCs w:val="25"/>
                <w:color w:val="auto"/>
                <w:vertAlign w:val="superscript"/>
              </w:rPr>
              <w:t>(a)</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2"/>
              </w:rPr>
              <w:t>(101)%</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(100)%</w:t>
            </w: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89"/>
              </w:rPr>
              <w:t>54</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4"/>
              </w:rPr>
              <w:t>(2)%</w:t>
            </w:r>
          </w:p>
        </w:tc>
      </w:tr>
      <w:tr>
        <w:trPr>
          <w:trHeight w:val="250"/>
        </w:trPr>
        <w:tc>
          <w:tcPr>
            <w:tcW w:w="446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Nebraska</w:t>
            </w:r>
          </w:p>
        </w:tc>
        <w:tc>
          <w:tcPr>
            <w:tcW w:w="1040" w:type="dxa"/>
            <w:vAlign w:val="bottom"/>
            <w:tcBorders>
              <w:bottom w:val="single" w:sz="8" w:color="CEFFE7"/>
            </w:tcBorders>
            <w:shd w:val="clear" w:color="auto" w:fill="CEFFE7"/>
          </w:tcPr>
          <w:p>
            <w:pPr>
              <w:jc w:val="center"/>
              <w:ind w:left="130"/>
              <w:spacing w:after="0"/>
              <w:rPr>
                <w:sz w:val="20"/>
                <w:szCs w:val="20"/>
                <w:color w:val="auto"/>
              </w:rPr>
            </w:pPr>
            <w:r>
              <w:rPr>
                <w:rFonts w:ascii="Arial" w:cs="Arial" w:eastAsia="Arial" w:hAnsi="Arial"/>
                <w:sz w:val="18"/>
                <w:szCs w:val="18"/>
                <w:color w:val="auto"/>
                <w:w w:val="89"/>
              </w:rPr>
              <w:t>22</w:t>
            </w:r>
          </w:p>
        </w:tc>
        <w:tc>
          <w:tcPr>
            <w:tcW w:w="1700" w:type="dxa"/>
            <w:vAlign w:val="bottom"/>
            <w:tcBorders>
              <w:bottom w:val="single" w:sz="8" w:color="CEFFE7"/>
            </w:tcBorders>
            <w:shd w:val="clear" w:color="auto" w:fill="CEFFE7"/>
          </w:tcPr>
          <w:p>
            <w:pPr>
              <w:jc w:val="center"/>
              <w:ind w:left="270"/>
              <w:spacing w:after="0"/>
              <w:rPr>
                <w:sz w:val="20"/>
                <w:szCs w:val="20"/>
                <w:color w:val="auto"/>
              </w:rPr>
            </w:pPr>
            <w:r>
              <w:rPr>
                <w:rFonts w:ascii="Arial" w:cs="Arial" w:eastAsia="Arial" w:hAnsi="Arial"/>
                <w:sz w:val="18"/>
                <w:szCs w:val="18"/>
                <w:color w:val="auto"/>
                <w:w w:val="95"/>
              </w:rPr>
              <w:t>(80)%</w:t>
            </w:r>
          </w:p>
        </w:tc>
        <w:tc>
          <w:tcPr>
            <w:tcW w:w="162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5"/>
              </w:rPr>
              <w:t>(78)%</w:t>
            </w:r>
          </w:p>
        </w:tc>
        <w:tc>
          <w:tcPr>
            <w:tcW w:w="900" w:type="dxa"/>
            <w:vAlign w:val="bottom"/>
            <w:tcBorders>
              <w:bottom w:val="single" w:sz="8" w:color="CEFFE7"/>
            </w:tcBorders>
            <w:shd w:val="clear" w:color="auto" w:fill="CEFFE7"/>
          </w:tcPr>
          <w:p>
            <w:pPr>
              <w:jc w:val="center"/>
              <w:ind w:left="30"/>
              <w:spacing w:after="0"/>
              <w:rPr>
                <w:sz w:val="20"/>
                <w:szCs w:val="20"/>
                <w:color w:val="auto"/>
              </w:rPr>
            </w:pPr>
            <w:r>
              <w:rPr>
                <w:rFonts w:ascii="Arial" w:cs="Arial" w:eastAsia="Arial" w:hAnsi="Arial"/>
                <w:sz w:val="18"/>
                <w:szCs w:val="18"/>
                <w:color w:val="auto"/>
                <w:w w:val="86"/>
              </w:rPr>
              <w:t>101</w:t>
            </w:r>
          </w:p>
        </w:tc>
        <w:tc>
          <w:tcPr>
            <w:tcW w:w="1700" w:type="dxa"/>
            <w:vAlign w:val="bottom"/>
            <w:tcBorders>
              <w:bottom w:val="single" w:sz="8" w:color="CEFFE7"/>
            </w:tcBorders>
            <w:shd w:val="clear" w:color="auto" w:fill="CEFFE7"/>
          </w:tcPr>
          <w:p>
            <w:pPr>
              <w:jc w:val="center"/>
              <w:ind w:left="250"/>
              <w:spacing w:after="0"/>
              <w:rPr>
                <w:sz w:val="20"/>
                <w:szCs w:val="20"/>
                <w:color w:val="auto"/>
              </w:rPr>
            </w:pPr>
            <w:r>
              <w:rPr>
                <w:rFonts w:ascii="Arial" w:cs="Arial" w:eastAsia="Arial" w:hAnsi="Arial"/>
                <w:sz w:val="18"/>
                <w:szCs w:val="18"/>
                <w:color w:val="auto"/>
                <w:w w:val="94"/>
              </w:rPr>
              <w:t>(7)%</w:t>
            </w: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Wyoming</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86"/>
              </w:rPr>
              <w:t>183</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5"/>
              </w:rPr>
              <w:t>(37)%</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86"/>
              </w:rPr>
              <w:t>236</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1"/>
              </w:rPr>
              <w:t>(23)%</w:t>
            </w:r>
          </w:p>
        </w:tc>
      </w:tr>
      <w:tr>
        <w:trPr>
          <w:trHeight w:val="27"/>
        </w:trPr>
        <w:tc>
          <w:tcPr>
            <w:tcW w:w="1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460" w:type="dxa"/>
            <w:vAlign w:val="bottom"/>
            <w:gridSpan w:val="2"/>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(b)</w:t>
            </w:r>
          </w:p>
        </w:tc>
        <w:tc>
          <w:tcPr>
            <w:tcW w:w="1040" w:type="dxa"/>
            <w:vAlign w:val="bottom"/>
            <w:shd w:val="clear" w:color="auto" w:fill="CEFFE7"/>
          </w:tcPr>
          <w:p>
            <w:pPr>
              <w:jc w:val="center"/>
              <w:ind w:left="130"/>
              <w:spacing w:after="0"/>
              <w:rPr>
                <w:sz w:val="20"/>
                <w:szCs w:val="20"/>
                <w:color w:val="auto"/>
              </w:rPr>
            </w:pPr>
            <w:r>
              <w:rPr>
                <w:rFonts w:ascii="Arial" w:cs="Arial" w:eastAsia="Arial" w:hAnsi="Arial"/>
                <w:sz w:val="18"/>
                <w:szCs w:val="18"/>
                <w:color w:val="auto"/>
                <w:w w:val="89"/>
              </w:rPr>
              <w:t>53</w:t>
            </w:r>
          </w:p>
        </w:tc>
        <w:tc>
          <w:tcPr>
            <w:tcW w:w="1700" w:type="dxa"/>
            <w:vAlign w:val="bottom"/>
            <w:shd w:val="clear" w:color="auto" w:fill="CEFFE7"/>
          </w:tcPr>
          <w:p>
            <w:pPr>
              <w:jc w:val="center"/>
              <w:ind w:left="270"/>
              <w:spacing w:after="0"/>
              <w:rPr>
                <w:sz w:val="20"/>
                <w:szCs w:val="20"/>
                <w:color w:val="auto"/>
              </w:rPr>
            </w:pPr>
            <w:r>
              <w:rPr>
                <w:rFonts w:ascii="Arial" w:cs="Arial" w:eastAsia="Arial" w:hAnsi="Arial"/>
                <w:sz w:val="18"/>
                <w:szCs w:val="18"/>
                <w:color w:val="auto"/>
                <w:w w:val="95"/>
              </w:rPr>
              <w:t>(62)%</w:t>
            </w:r>
          </w:p>
        </w:tc>
        <w:tc>
          <w:tcPr>
            <w:tcW w:w="16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5"/>
              </w:rPr>
              <w:t>(51)%</w:t>
            </w:r>
          </w:p>
        </w:tc>
        <w:tc>
          <w:tcPr>
            <w:tcW w:w="900" w:type="dxa"/>
            <w:vAlign w:val="bottom"/>
            <w:shd w:val="clear" w:color="auto" w:fill="CEFFE7"/>
          </w:tcPr>
          <w:p>
            <w:pPr>
              <w:jc w:val="center"/>
              <w:ind w:left="30"/>
              <w:spacing w:after="0"/>
              <w:rPr>
                <w:sz w:val="20"/>
                <w:szCs w:val="20"/>
                <w:color w:val="auto"/>
              </w:rPr>
            </w:pPr>
            <w:r>
              <w:rPr>
                <w:rFonts w:ascii="Arial" w:cs="Arial" w:eastAsia="Arial" w:hAnsi="Arial"/>
                <w:sz w:val="18"/>
                <w:szCs w:val="18"/>
                <w:color w:val="auto"/>
                <w:w w:val="86"/>
              </w:rPr>
              <w:t>109</w:t>
            </w:r>
          </w:p>
        </w:tc>
        <w:tc>
          <w:tcPr>
            <w:tcW w:w="1700" w:type="dxa"/>
            <w:vAlign w:val="bottom"/>
            <w:shd w:val="clear" w:color="auto" w:fill="CEFFE7"/>
          </w:tcPr>
          <w:p>
            <w:pPr>
              <w:jc w:val="center"/>
              <w:ind w:left="250"/>
              <w:spacing w:after="0"/>
              <w:rPr>
                <w:sz w:val="20"/>
                <w:szCs w:val="20"/>
                <w:color w:val="auto"/>
              </w:rPr>
            </w:pPr>
            <w:r>
              <w:rPr>
                <w:rFonts w:ascii="Arial" w:cs="Arial" w:eastAsia="Arial" w:hAnsi="Arial"/>
                <w:sz w:val="18"/>
                <w:szCs w:val="18"/>
                <w:color w:val="auto"/>
                <w:w w:val="91"/>
              </w:rPr>
              <w:t>(27)%</w:t>
            </w:r>
          </w:p>
        </w:tc>
      </w:tr>
      <w:tr>
        <w:trPr>
          <w:trHeight w:val="864"/>
        </w:trPr>
        <w:tc>
          <w:tcPr>
            <w:tcW w:w="12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20" w:type="dxa"/>
            <w:vAlign w:val="bottom"/>
            <w:gridSpan w:val="3"/>
          </w:tcPr>
          <w:p>
            <w:pPr>
              <w:jc w:val="center"/>
              <w:ind w:left="570"/>
              <w:spacing w:after="0"/>
              <w:rPr>
                <w:sz w:val="20"/>
                <w:szCs w:val="20"/>
                <w:color w:val="auto"/>
              </w:rPr>
            </w:pPr>
            <w:r>
              <w:rPr>
                <w:rFonts w:ascii="Arial" w:cs="Arial" w:eastAsia="Arial" w:hAnsi="Arial"/>
                <w:sz w:val="18"/>
                <w:szCs w:val="18"/>
                <w:color w:val="auto"/>
                <w:w w:val="89"/>
              </w:rPr>
              <w:t>Nine Months Ended September 30,</w:t>
            </w:r>
          </w:p>
        </w:tc>
        <w:tc>
          <w:tcPr>
            <w:tcW w:w="1700" w:type="dxa"/>
            <w:vAlign w:val="bottom"/>
          </w:tcPr>
          <w:p>
            <w:pPr>
              <w:spacing w:after="0"/>
              <w:rPr>
                <w:sz w:val="24"/>
                <w:szCs w:val="24"/>
                <w:color w:val="auto"/>
              </w:rPr>
            </w:pPr>
          </w:p>
        </w:tc>
      </w:tr>
      <w:tr>
        <w:trPr>
          <w:trHeight w:val="270"/>
        </w:trPr>
        <w:tc>
          <w:tcPr>
            <w:tcW w:w="12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700" w:type="dxa"/>
            <w:vAlign w:val="bottom"/>
          </w:tcPr>
          <w:p>
            <w:pPr>
              <w:jc w:val="right"/>
              <w:ind w:right="1090"/>
              <w:spacing w:after="0"/>
              <w:rPr>
                <w:sz w:val="20"/>
                <w:szCs w:val="20"/>
                <w:color w:val="auto"/>
              </w:rPr>
            </w:pPr>
            <w:r>
              <w:rPr>
                <w:rFonts w:ascii="Arial" w:cs="Arial" w:eastAsia="Arial" w:hAnsi="Arial"/>
                <w:sz w:val="18"/>
                <w:szCs w:val="18"/>
                <w:color w:val="auto"/>
              </w:rPr>
              <w:t>2019</w:t>
            </w:r>
          </w:p>
        </w:tc>
        <w:tc>
          <w:tcPr>
            <w:tcW w:w="1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700" w:type="dxa"/>
            <w:vAlign w:val="bottom"/>
          </w:tcPr>
          <w:p>
            <w:pPr>
              <w:jc w:val="right"/>
              <w:ind w:right="1090"/>
              <w:spacing w:after="0"/>
              <w:rPr>
                <w:sz w:val="20"/>
                <w:szCs w:val="20"/>
                <w:color w:val="auto"/>
              </w:rPr>
            </w:pPr>
            <w:r>
              <w:rPr>
                <w:rFonts w:ascii="Arial" w:cs="Arial" w:eastAsia="Arial" w:hAnsi="Arial"/>
                <w:sz w:val="18"/>
                <w:szCs w:val="18"/>
                <w:color w:val="auto"/>
              </w:rPr>
              <w:t>2018</w:t>
            </w:r>
          </w:p>
        </w:tc>
      </w:tr>
      <w:tr>
        <w:trPr>
          <w:trHeight w:val="27"/>
        </w:trPr>
        <w:tc>
          <w:tcPr>
            <w:tcW w:w="12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2"/>
        </w:trPr>
        <w:tc>
          <w:tcPr>
            <w:tcW w:w="12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87"/>
              </w:rPr>
              <w:t>Variance</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Actual Variance</w:t>
            </w:r>
          </w:p>
        </w:tc>
        <w:tc>
          <w:tcPr>
            <w:tcW w:w="900" w:type="dxa"/>
            <w:vAlign w:val="bottom"/>
          </w:tcPr>
          <w:p>
            <w:pPr>
              <w:spacing w:after="0"/>
              <w:rPr>
                <w:sz w:val="19"/>
                <w:szCs w:val="19"/>
                <w:color w:val="auto"/>
              </w:rPr>
            </w:pP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0"/>
              </w:rPr>
              <w:t>Variance</w:t>
            </w:r>
          </w:p>
        </w:tc>
      </w:tr>
      <w:tr>
        <w:trPr>
          <w:trHeight w:val="230"/>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Heating Degree Days:</w:t>
            </w:r>
          </w:p>
        </w:tc>
        <w:tc>
          <w:tcPr>
            <w:tcW w:w="1040" w:type="dxa"/>
            <w:vAlign w:val="bottom"/>
          </w:tcPr>
          <w:p>
            <w:pPr>
              <w:ind w:left="400"/>
              <w:spacing w:after="0"/>
              <w:rPr>
                <w:sz w:val="20"/>
                <w:szCs w:val="20"/>
                <w:color w:val="auto"/>
              </w:rPr>
            </w:pPr>
            <w:r>
              <w:rPr>
                <w:rFonts w:ascii="Arial" w:cs="Arial" w:eastAsia="Arial" w:hAnsi="Arial"/>
                <w:sz w:val="18"/>
                <w:szCs w:val="18"/>
                <w:color w:val="auto"/>
              </w:rPr>
              <w:t>Actual</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4"/>
              </w:rPr>
              <w:t>from Normal</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to Prior Year</w:t>
            </w:r>
          </w:p>
        </w:tc>
        <w:tc>
          <w:tcPr>
            <w:tcW w:w="900" w:type="dxa"/>
            <w:vAlign w:val="bottom"/>
          </w:tcPr>
          <w:p>
            <w:pPr>
              <w:ind w:left="260"/>
              <w:spacing w:after="0"/>
              <w:rPr>
                <w:sz w:val="20"/>
                <w:szCs w:val="20"/>
                <w:color w:val="auto"/>
              </w:rPr>
            </w:pPr>
            <w:r>
              <w:rPr>
                <w:rFonts w:ascii="Arial" w:cs="Arial" w:eastAsia="Arial" w:hAnsi="Arial"/>
                <w:sz w:val="18"/>
                <w:szCs w:val="18"/>
                <w:color w:val="auto"/>
              </w:rPr>
              <w:t>Actual</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6"/>
              </w:rPr>
              <w:t>from Normal</w:t>
            </w:r>
          </w:p>
        </w:tc>
      </w:tr>
      <w:tr>
        <w:trPr>
          <w:trHeight w:val="27"/>
        </w:trPr>
        <w:tc>
          <w:tcPr>
            <w:tcW w:w="12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4460" w:type="dxa"/>
            <w:vAlign w:val="bottom"/>
            <w:gridSpan w:val="2"/>
            <w:shd w:val="clear" w:color="auto" w:fill="CEFFE7"/>
          </w:tcPr>
          <w:p>
            <w:pPr>
              <w:ind w:left="180"/>
              <w:spacing w:after="0" w:line="264" w:lineRule="exact"/>
              <w:rPr>
                <w:sz w:val="20"/>
                <w:szCs w:val="20"/>
                <w:color w:val="auto"/>
              </w:rPr>
            </w:pPr>
            <w:r>
              <w:rPr>
                <w:rFonts w:ascii="Arial" w:cs="Arial" w:eastAsia="Arial" w:hAnsi="Arial"/>
                <w:sz w:val="18"/>
                <w:szCs w:val="18"/>
                <w:color w:val="auto"/>
              </w:rPr>
              <w:t xml:space="preserve">Arkansas </w:t>
            </w:r>
            <w:r>
              <w:rPr>
                <w:rFonts w:ascii="Arial" w:cs="Arial" w:eastAsia="Arial" w:hAnsi="Arial"/>
                <w:sz w:val="25"/>
                <w:szCs w:val="25"/>
                <w:color w:val="auto"/>
                <w:vertAlign w:val="superscript"/>
              </w:rPr>
              <w:t>(a)</w:t>
            </w:r>
          </w:p>
        </w:tc>
        <w:tc>
          <w:tcPr>
            <w:tcW w:w="1040" w:type="dxa"/>
            <w:vAlign w:val="bottom"/>
            <w:shd w:val="clear" w:color="auto" w:fill="CEFFE7"/>
          </w:tcPr>
          <w:p>
            <w:pPr>
              <w:jc w:val="center"/>
              <w:ind w:left="150"/>
              <w:spacing w:after="0"/>
              <w:rPr>
                <w:sz w:val="20"/>
                <w:szCs w:val="20"/>
                <w:color w:val="auto"/>
              </w:rPr>
            </w:pPr>
            <w:r>
              <w:rPr>
                <w:rFonts w:ascii="Arial" w:cs="Arial" w:eastAsia="Arial" w:hAnsi="Arial"/>
                <w:sz w:val="18"/>
                <w:szCs w:val="18"/>
                <w:color w:val="auto"/>
                <w:w w:val="88"/>
              </w:rPr>
              <w:t>2,347</w:t>
            </w:r>
          </w:p>
        </w:tc>
        <w:tc>
          <w:tcPr>
            <w:tcW w:w="1700" w:type="dxa"/>
            <w:vAlign w:val="bottom"/>
            <w:shd w:val="clear" w:color="auto" w:fill="CEFFE7"/>
          </w:tcPr>
          <w:p>
            <w:pPr>
              <w:jc w:val="center"/>
              <w:ind w:left="290"/>
              <w:spacing w:after="0"/>
              <w:rPr>
                <w:sz w:val="20"/>
                <w:szCs w:val="20"/>
                <w:color w:val="auto"/>
              </w:rPr>
            </w:pPr>
            <w:r>
              <w:rPr>
                <w:rFonts w:ascii="Arial" w:cs="Arial" w:eastAsia="Arial" w:hAnsi="Arial"/>
                <w:sz w:val="18"/>
                <w:szCs w:val="18"/>
                <w:color w:val="auto"/>
                <w:w w:val="94"/>
              </w:rPr>
              <w:t>(5)%</w:t>
            </w:r>
          </w:p>
        </w:tc>
        <w:tc>
          <w:tcPr>
            <w:tcW w:w="1620" w:type="dxa"/>
            <w:vAlign w:val="bottom"/>
            <w:shd w:val="clear" w:color="auto" w:fill="CEFFE7"/>
          </w:tcPr>
          <w:p>
            <w:pPr>
              <w:jc w:val="center"/>
              <w:ind w:right="10"/>
              <w:spacing w:after="0"/>
              <w:rPr>
                <w:sz w:val="20"/>
                <w:szCs w:val="20"/>
                <w:color w:val="auto"/>
              </w:rPr>
            </w:pPr>
            <w:r>
              <w:rPr>
                <w:rFonts w:ascii="Arial" w:cs="Arial" w:eastAsia="Arial" w:hAnsi="Arial"/>
                <w:sz w:val="18"/>
                <w:szCs w:val="18"/>
                <w:color w:val="auto"/>
                <w:w w:val="94"/>
              </w:rPr>
              <w:t>(5)%</w:t>
            </w:r>
          </w:p>
        </w:tc>
        <w:tc>
          <w:tcPr>
            <w:tcW w:w="90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88"/>
              </w:rPr>
              <w:t>2,460</w:t>
            </w:r>
          </w:p>
        </w:tc>
        <w:tc>
          <w:tcPr>
            <w:tcW w:w="1700" w:type="dxa"/>
            <w:vAlign w:val="bottom"/>
            <w:shd w:val="clear" w:color="auto" w:fill="CEFFE7"/>
          </w:tcPr>
          <w:p>
            <w:pPr>
              <w:jc w:val="center"/>
              <w:ind w:left="250"/>
              <w:spacing w:after="0"/>
              <w:rPr>
                <w:sz w:val="20"/>
                <w:szCs w:val="20"/>
                <w:color w:val="auto"/>
              </w:rPr>
            </w:pPr>
            <w:r>
              <w:rPr>
                <w:rFonts w:ascii="Arial" w:cs="Arial" w:eastAsia="Arial" w:hAnsi="Arial"/>
                <w:sz w:val="18"/>
                <w:szCs w:val="18"/>
                <w:color w:val="auto"/>
                <w:w w:val="94"/>
              </w:rPr>
              <w:t>(1)%</w:t>
            </w: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Colorado</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88"/>
              </w:rPr>
              <w:t>4,115</w:t>
            </w:r>
          </w:p>
        </w:tc>
        <w:tc>
          <w:tcPr>
            <w:tcW w:w="1700" w:type="dxa"/>
            <w:vAlign w:val="bottom"/>
          </w:tcPr>
          <w:p>
            <w:pPr>
              <w:jc w:val="center"/>
              <w:ind w:left="2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16%</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8"/>
              </w:rPr>
              <w:t>3,548</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1"/>
              </w:rPr>
              <w:t>(14)%</w:t>
            </w:r>
          </w:p>
        </w:tc>
      </w:tr>
      <w:tr>
        <w:trPr>
          <w:trHeight w:val="27"/>
        </w:trPr>
        <w:tc>
          <w:tcPr>
            <w:tcW w:w="1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46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Iowa</w:t>
            </w:r>
          </w:p>
        </w:tc>
        <w:tc>
          <w:tcPr>
            <w:tcW w:w="1040" w:type="dxa"/>
            <w:vAlign w:val="bottom"/>
            <w:tcBorders>
              <w:bottom w:val="single" w:sz="8" w:color="CEFFE7"/>
            </w:tcBorders>
            <w:shd w:val="clear" w:color="auto" w:fill="CEFFE7"/>
          </w:tcPr>
          <w:p>
            <w:pPr>
              <w:jc w:val="center"/>
              <w:ind w:left="150"/>
              <w:spacing w:after="0"/>
              <w:rPr>
                <w:sz w:val="20"/>
                <w:szCs w:val="20"/>
                <w:color w:val="auto"/>
              </w:rPr>
            </w:pPr>
            <w:r>
              <w:rPr>
                <w:rFonts w:ascii="Arial" w:cs="Arial" w:eastAsia="Arial" w:hAnsi="Arial"/>
                <w:sz w:val="18"/>
                <w:szCs w:val="18"/>
                <w:color w:val="auto"/>
                <w:w w:val="88"/>
              </w:rPr>
              <w:t>4,611</w:t>
            </w:r>
          </w:p>
        </w:tc>
        <w:tc>
          <w:tcPr>
            <w:tcW w:w="1700" w:type="dxa"/>
            <w:vAlign w:val="bottom"/>
            <w:tcBorders>
              <w:bottom w:val="single" w:sz="8" w:color="CEFFE7"/>
            </w:tcBorders>
            <w:shd w:val="clear" w:color="auto" w:fill="CEFFE7"/>
          </w:tcPr>
          <w:p>
            <w:pPr>
              <w:jc w:val="center"/>
              <w:ind w:left="270"/>
              <w:spacing w:after="0"/>
              <w:rPr>
                <w:sz w:val="20"/>
                <w:szCs w:val="20"/>
                <w:color w:val="auto"/>
              </w:rPr>
            </w:pPr>
            <w:r>
              <w:rPr>
                <w:rFonts w:ascii="Arial" w:cs="Arial" w:eastAsia="Arial" w:hAnsi="Arial"/>
                <w:sz w:val="18"/>
                <w:szCs w:val="18"/>
                <w:color w:val="auto"/>
                <w:w w:val="94"/>
              </w:rPr>
              <w:t>10%</w:t>
            </w:r>
          </w:p>
        </w:tc>
        <w:tc>
          <w:tcPr>
            <w:tcW w:w="1620" w:type="dxa"/>
            <w:vAlign w:val="bottom"/>
            <w:tcBorders>
              <w:bottom w:val="single" w:sz="8" w:color="CEFFE7"/>
            </w:tcBorders>
            <w:shd w:val="clear" w:color="auto" w:fill="CEFFE7"/>
          </w:tcPr>
          <w:p>
            <w:pPr>
              <w:jc w:val="center"/>
              <w:ind w:right="10"/>
              <w:spacing w:after="0"/>
              <w:rPr>
                <w:sz w:val="20"/>
                <w:szCs w:val="20"/>
                <w:color w:val="auto"/>
              </w:rPr>
            </w:pPr>
            <w:r>
              <w:rPr>
                <w:rFonts w:ascii="Arial" w:cs="Arial" w:eastAsia="Arial" w:hAnsi="Arial"/>
                <w:sz w:val="18"/>
                <w:szCs w:val="18"/>
                <w:color w:val="auto"/>
                <w:w w:val="92"/>
              </w:rPr>
              <w:t>3%</w:t>
            </w:r>
          </w:p>
        </w:tc>
        <w:tc>
          <w:tcPr>
            <w:tcW w:w="900" w:type="dxa"/>
            <w:vAlign w:val="bottom"/>
            <w:tcBorders>
              <w:bottom w:val="single" w:sz="8" w:color="CEFFE7"/>
            </w:tcBorders>
            <w:shd w:val="clear" w:color="auto" w:fill="CEFFE7"/>
          </w:tcPr>
          <w:p>
            <w:pPr>
              <w:jc w:val="center"/>
              <w:ind w:left="10"/>
              <w:spacing w:after="0"/>
              <w:rPr>
                <w:sz w:val="20"/>
                <w:szCs w:val="20"/>
                <w:color w:val="auto"/>
              </w:rPr>
            </w:pPr>
            <w:r>
              <w:rPr>
                <w:rFonts w:ascii="Arial" w:cs="Arial" w:eastAsia="Arial" w:hAnsi="Arial"/>
                <w:sz w:val="18"/>
                <w:szCs w:val="18"/>
                <w:color w:val="auto"/>
                <w:w w:val="88"/>
              </w:rPr>
              <w:t>4,460</w:t>
            </w:r>
          </w:p>
        </w:tc>
        <w:tc>
          <w:tcPr>
            <w:tcW w:w="1700" w:type="dxa"/>
            <w:vAlign w:val="bottom"/>
            <w:tcBorders>
              <w:bottom w:val="single" w:sz="8" w:color="CEFFE7"/>
            </w:tcBorders>
            <w:shd w:val="clear" w:color="auto" w:fill="CEFFE7"/>
          </w:tcPr>
          <w:p>
            <w:pPr>
              <w:jc w:val="center"/>
              <w:ind w:left="250"/>
              <w:spacing w:after="0"/>
              <w:rPr>
                <w:sz w:val="20"/>
                <w:szCs w:val="20"/>
                <w:color w:val="auto"/>
              </w:rPr>
            </w:pPr>
            <w:r>
              <w:rPr>
                <w:rFonts w:ascii="Arial" w:cs="Arial" w:eastAsia="Arial" w:hAnsi="Arial"/>
                <w:sz w:val="18"/>
                <w:szCs w:val="18"/>
                <w:color w:val="auto"/>
                <w:w w:val="92"/>
              </w:rPr>
              <w:t>6%</w:t>
            </w:r>
          </w:p>
        </w:tc>
      </w:tr>
      <w:tr>
        <w:trPr>
          <w:trHeight w:val="270"/>
        </w:trPr>
        <w:tc>
          <w:tcPr>
            <w:tcW w:w="446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Kansas </w:t>
            </w:r>
            <w:r>
              <w:rPr>
                <w:rFonts w:ascii="Arial" w:cs="Arial" w:eastAsia="Arial" w:hAnsi="Arial"/>
                <w:sz w:val="25"/>
                <w:szCs w:val="25"/>
                <w:color w:val="auto"/>
                <w:vertAlign w:val="superscript"/>
              </w:rPr>
              <w:t>(a)</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88"/>
              </w:rPr>
              <w:t>3,204</w:t>
            </w:r>
          </w:p>
        </w:tc>
        <w:tc>
          <w:tcPr>
            <w:tcW w:w="1700" w:type="dxa"/>
            <w:vAlign w:val="bottom"/>
          </w:tcPr>
          <w:p>
            <w:pPr>
              <w:jc w:val="center"/>
              <w:ind w:left="290"/>
              <w:spacing w:after="0"/>
              <w:rPr>
                <w:sz w:val="20"/>
                <w:szCs w:val="20"/>
                <w:color w:val="auto"/>
              </w:rPr>
            </w:pPr>
            <w:r>
              <w:rPr>
                <w:rFonts w:ascii="Arial" w:cs="Arial" w:eastAsia="Arial" w:hAnsi="Arial"/>
                <w:sz w:val="18"/>
                <w:szCs w:val="18"/>
                <w:color w:val="auto"/>
                <w:w w:val="92"/>
              </w:rPr>
              <w:t>8%</w:t>
            </w:r>
          </w:p>
        </w:tc>
        <w:tc>
          <w:tcPr>
            <w:tcW w:w="1620" w:type="dxa"/>
            <w:vAlign w:val="bottom"/>
          </w:tcPr>
          <w:p>
            <w:pPr>
              <w:jc w:val="center"/>
              <w:ind w:right="10"/>
              <w:spacing w:after="0"/>
              <w:rPr>
                <w:sz w:val="20"/>
                <w:szCs w:val="20"/>
                <w:color w:val="auto"/>
              </w:rPr>
            </w:pPr>
            <w:r>
              <w:rPr>
                <w:rFonts w:ascii="Arial" w:cs="Arial" w:eastAsia="Arial" w:hAnsi="Arial"/>
                <w:sz w:val="18"/>
                <w:szCs w:val="18"/>
                <w:color w:val="auto"/>
                <w:w w:val="92"/>
              </w:rPr>
              <w:t>6%</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8"/>
              </w:rPr>
              <w:t>3,032</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2"/>
              </w:rPr>
              <w:t>2%</w:t>
            </w:r>
          </w:p>
        </w:tc>
      </w:tr>
      <w:tr>
        <w:trPr>
          <w:trHeight w:val="250"/>
        </w:trPr>
        <w:tc>
          <w:tcPr>
            <w:tcW w:w="446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Nebraska</w:t>
            </w:r>
          </w:p>
        </w:tc>
        <w:tc>
          <w:tcPr>
            <w:tcW w:w="1040" w:type="dxa"/>
            <w:vAlign w:val="bottom"/>
            <w:tcBorders>
              <w:bottom w:val="single" w:sz="8" w:color="CEFFE7"/>
            </w:tcBorders>
            <w:shd w:val="clear" w:color="auto" w:fill="CEFFE7"/>
          </w:tcPr>
          <w:p>
            <w:pPr>
              <w:jc w:val="center"/>
              <w:ind w:left="150"/>
              <w:spacing w:after="0"/>
              <w:rPr>
                <w:sz w:val="20"/>
                <w:szCs w:val="20"/>
                <w:color w:val="auto"/>
              </w:rPr>
            </w:pPr>
            <w:r>
              <w:rPr>
                <w:rFonts w:ascii="Arial" w:cs="Arial" w:eastAsia="Arial" w:hAnsi="Arial"/>
                <w:sz w:val="18"/>
                <w:szCs w:val="18"/>
                <w:color w:val="auto"/>
                <w:w w:val="88"/>
              </w:rPr>
              <w:t>4,169</w:t>
            </w:r>
          </w:p>
        </w:tc>
        <w:tc>
          <w:tcPr>
            <w:tcW w:w="1700" w:type="dxa"/>
            <w:vAlign w:val="bottom"/>
            <w:tcBorders>
              <w:bottom w:val="single" w:sz="8" w:color="CEFFE7"/>
            </w:tcBorders>
            <w:shd w:val="clear" w:color="auto" w:fill="CEFFE7"/>
          </w:tcPr>
          <w:p>
            <w:pPr>
              <w:jc w:val="center"/>
              <w:ind w:left="270"/>
              <w:spacing w:after="0"/>
              <w:rPr>
                <w:sz w:val="20"/>
                <w:szCs w:val="20"/>
                <w:color w:val="auto"/>
              </w:rPr>
            </w:pPr>
            <w:r>
              <w:rPr>
                <w:rFonts w:ascii="Arial" w:cs="Arial" w:eastAsia="Arial" w:hAnsi="Arial"/>
                <w:sz w:val="18"/>
                <w:szCs w:val="18"/>
                <w:color w:val="auto"/>
                <w:w w:val="94"/>
              </w:rPr>
              <w:t>10%</w:t>
            </w:r>
          </w:p>
        </w:tc>
        <w:tc>
          <w:tcPr>
            <w:tcW w:w="1620" w:type="dxa"/>
            <w:vAlign w:val="bottom"/>
            <w:tcBorders>
              <w:bottom w:val="single" w:sz="8" w:color="CEFFE7"/>
            </w:tcBorders>
            <w:shd w:val="clear" w:color="auto" w:fill="CEFFE7"/>
          </w:tcPr>
          <w:p>
            <w:pPr>
              <w:jc w:val="center"/>
              <w:ind w:right="10"/>
              <w:spacing w:after="0"/>
              <w:rPr>
                <w:sz w:val="20"/>
                <w:szCs w:val="20"/>
                <w:color w:val="auto"/>
              </w:rPr>
            </w:pPr>
            <w:r>
              <w:rPr>
                <w:rFonts w:ascii="Arial" w:cs="Arial" w:eastAsia="Arial" w:hAnsi="Arial"/>
                <w:sz w:val="18"/>
                <w:szCs w:val="18"/>
                <w:color w:val="auto"/>
                <w:w w:val="92"/>
              </w:rPr>
              <w:t>4%</w:t>
            </w:r>
          </w:p>
        </w:tc>
        <w:tc>
          <w:tcPr>
            <w:tcW w:w="900" w:type="dxa"/>
            <w:vAlign w:val="bottom"/>
            <w:tcBorders>
              <w:bottom w:val="single" w:sz="8" w:color="CEFFE7"/>
            </w:tcBorders>
            <w:shd w:val="clear" w:color="auto" w:fill="CEFFE7"/>
          </w:tcPr>
          <w:p>
            <w:pPr>
              <w:jc w:val="center"/>
              <w:ind w:left="10"/>
              <w:spacing w:after="0"/>
              <w:rPr>
                <w:sz w:val="20"/>
                <w:szCs w:val="20"/>
                <w:color w:val="auto"/>
              </w:rPr>
            </w:pPr>
            <w:r>
              <w:rPr>
                <w:rFonts w:ascii="Arial" w:cs="Arial" w:eastAsia="Arial" w:hAnsi="Arial"/>
                <w:sz w:val="18"/>
                <w:szCs w:val="18"/>
                <w:color w:val="auto"/>
                <w:w w:val="88"/>
              </w:rPr>
              <w:t>4,016</w:t>
            </w:r>
          </w:p>
        </w:tc>
        <w:tc>
          <w:tcPr>
            <w:tcW w:w="1700" w:type="dxa"/>
            <w:vAlign w:val="bottom"/>
            <w:tcBorders>
              <w:bottom w:val="single" w:sz="8" w:color="CEFFE7"/>
            </w:tcBorders>
            <w:shd w:val="clear" w:color="auto" w:fill="CEFFE7"/>
          </w:tcPr>
          <w:p>
            <w:pPr>
              <w:jc w:val="center"/>
              <w:ind w:left="250"/>
              <w:spacing w:after="0"/>
              <w:rPr>
                <w:sz w:val="20"/>
                <w:szCs w:val="20"/>
                <w:color w:val="auto"/>
              </w:rPr>
            </w:pPr>
            <w:r>
              <w:rPr>
                <w:rFonts w:ascii="Arial" w:cs="Arial" w:eastAsia="Arial" w:hAnsi="Arial"/>
                <w:sz w:val="18"/>
                <w:szCs w:val="18"/>
                <w:color w:val="auto"/>
                <w:w w:val="92"/>
              </w:rPr>
              <w:t>6%</w:t>
            </w: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Wyoming</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88"/>
              </w:rPr>
              <w:t>5,093</w:t>
            </w:r>
          </w:p>
        </w:tc>
        <w:tc>
          <w:tcPr>
            <w:tcW w:w="1700" w:type="dxa"/>
            <w:vAlign w:val="bottom"/>
          </w:tcPr>
          <w:p>
            <w:pPr>
              <w:jc w:val="center"/>
              <w:ind w:left="290"/>
              <w:spacing w:after="0"/>
              <w:rPr>
                <w:sz w:val="20"/>
                <w:szCs w:val="20"/>
                <w:color w:val="auto"/>
              </w:rPr>
            </w:pPr>
            <w:r>
              <w:rPr>
                <w:rFonts w:ascii="Arial" w:cs="Arial" w:eastAsia="Arial" w:hAnsi="Arial"/>
                <w:sz w:val="18"/>
                <w:szCs w:val="18"/>
                <w:color w:val="auto"/>
                <w:w w:val="92"/>
              </w:rPr>
              <w:t>9%</w:t>
            </w: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12%</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88"/>
              </w:rPr>
              <w:t>4,552</w:t>
            </w:r>
          </w:p>
        </w:tc>
        <w:tc>
          <w:tcPr>
            <w:tcW w:w="1700" w:type="dxa"/>
            <w:vAlign w:val="bottom"/>
          </w:tcPr>
          <w:p>
            <w:pPr>
              <w:jc w:val="center"/>
              <w:ind w:left="250"/>
              <w:spacing w:after="0"/>
              <w:rPr>
                <w:sz w:val="20"/>
                <w:szCs w:val="20"/>
                <w:color w:val="auto"/>
              </w:rPr>
            </w:pPr>
            <w:r>
              <w:rPr>
                <w:rFonts w:ascii="Arial" w:cs="Arial" w:eastAsia="Arial" w:hAnsi="Arial"/>
                <w:sz w:val="18"/>
                <w:szCs w:val="18"/>
                <w:color w:val="auto"/>
                <w:w w:val="94"/>
              </w:rPr>
              <w:t>(4)%</w:t>
            </w:r>
          </w:p>
        </w:tc>
      </w:tr>
      <w:tr>
        <w:trPr>
          <w:trHeight w:val="27"/>
        </w:trPr>
        <w:tc>
          <w:tcPr>
            <w:tcW w:w="12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460" w:type="dxa"/>
            <w:vAlign w:val="bottom"/>
            <w:gridSpan w:val="2"/>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(b)</w:t>
            </w:r>
          </w:p>
        </w:tc>
        <w:tc>
          <w:tcPr>
            <w:tcW w:w="1040" w:type="dxa"/>
            <w:vAlign w:val="bottom"/>
            <w:shd w:val="clear" w:color="auto" w:fill="CEFFE7"/>
          </w:tcPr>
          <w:p>
            <w:pPr>
              <w:jc w:val="center"/>
              <w:ind w:left="150"/>
              <w:spacing w:after="0"/>
              <w:rPr>
                <w:sz w:val="20"/>
                <w:szCs w:val="20"/>
                <w:color w:val="auto"/>
              </w:rPr>
            </w:pPr>
            <w:r>
              <w:rPr>
                <w:rFonts w:ascii="Arial" w:cs="Arial" w:eastAsia="Arial" w:hAnsi="Arial"/>
                <w:sz w:val="18"/>
                <w:szCs w:val="18"/>
                <w:color w:val="auto"/>
                <w:w w:val="88"/>
              </w:rPr>
              <w:t>4,297</w:t>
            </w:r>
          </w:p>
        </w:tc>
        <w:tc>
          <w:tcPr>
            <w:tcW w:w="1700" w:type="dxa"/>
            <w:vAlign w:val="bottom"/>
            <w:shd w:val="clear" w:color="auto" w:fill="CEFFE7"/>
          </w:tcPr>
          <w:p>
            <w:pPr>
              <w:jc w:val="center"/>
              <w:ind w:left="290"/>
              <w:spacing w:after="0"/>
              <w:rPr>
                <w:sz w:val="20"/>
                <w:szCs w:val="20"/>
                <w:color w:val="auto"/>
              </w:rPr>
            </w:pPr>
            <w:r>
              <w:rPr>
                <w:rFonts w:ascii="Arial" w:cs="Arial" w:eastAsia="Arial" w:hAnsi="Arial"/>
                <w:sz w:val="18"/>
                <w:szCs w:val="18"/>
                <w:color w:val="auto"/>
                <w:w w:val="92"/>
              </w:rPr>
              <w:t>7%</w:t>
            </w:r>
          </w:p>
        </w:tc>
        <w:tc>
          <w:tcPr>
            <w:tcW w:w="1620" w:type="dxa"/>
            <w:vAlign w:val="bottom"/>
            <w:shd w:val="clear" w:color="auto" w:fill="CEFFE7"/>
          </w:tcPr>
          <w:p>
            <w:pPr>
              <w:jc w:val="center"/>
              <w:ind w:right="10"/>
              <w:spacing w:after="0"/>
              <w:rPr>
                <w:sz w:val="20"/>
                <w:szCs w:val="20"/>
                <w:color w:val="auto"/>
              </w:rPr>
            </w:pPr>
            <w:r>
              <w:rPr>
                <w:rFonts w:ascii="Arial" w:cs="Arial" w:eastAsia="Arial" w:hAnsi="Arial"/>
                <w:sz w:val="18"/>
                <w:szCs w:val="18"/>
                <w:color w:val="auto"/>
                <w:w w:val="92"/>
              </w:rPr>
              <w:t>7%</w:t>
            </w:r>
          </w:p>
        </w:tc>
        <w:tc>
          <w:tcPr>
            <w:tcW w:w="90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88"/>
              </w:rPr>
              <w:t>4,008</w:t>
            </w:r>
          </w:p>
        </w:tc>
        <w:tc>
          <w:tcPr>
            <w:tcW w:w="1700" w:type="dxa"/>
            <w:vAlign w:val="bottom"/>
            <w:shd w:val="clear" w:color="auto" w:fill="CEFFE7"/>
          </w:tcPr>
          <w:p>
            <w:pPr>
              <w:jc w:val="center"/>
              <w:ind w:left="250"/>
              <w:spacing w:after="0"/>
              <w:rPr>
                <w:sz w:val="20"/>
                <w:szCs w:val="20"/>
                <w:color w:val="auto"/>
              </w:rPr>
            </w:pPr>
            <w:r>
              <w:rPr>
                <w:rFonts w:ascii="Arial" w:cs="Arial" w:eastAsia="Arial" w:hAnsi="Arial"/>
                <w:sz w:val="18"/>
                <w:szCs w:val="18"/>
                <w:color w:val="auto"/>
                <w:w w:val="93"/>
              </w:rPr>
              <w:t>—%</w:t>
            </w:r>
          </w:p>
        </w:tc>
      </w:tr>
      <w:tr>
        <w:trPr>
          <w:trHeight w:val="180"/>
        </w:trPr>
        <w:tc>
          <w:tcPr>
            <w:tcW w:w="1220" w:type="dxa"/>
            <w:vAlign w:val="bottom"/>
          </w:tcPr>
          <w:p>
            <w:pPr>
              <w:spacing w:after="0" w:line="180" w:lineRule="exact"/>
              <w:rPr>
                <w:sz w:val="20"/>
                <w:szCs w:val="20"/>
                <w:color w:val="auto"/>
              </w:rPr>
            </w:pPr>
            <w:r>
              <w:rPr>
                <w:rFonts w:ascii="Arial" w:cs="Arial" w:eastAsia="Arial" w:hAnsi="Arial"/>
                <w:sz w:val="18"/>
                <w:szCs w:val="18"/>
                <w:color w:val="auto"/>
              </w:rPr>
              <w:t>__________</w:t>
            </w:r>
          </w:p>
        </w:tc>
        <w:tc>
          <w:tcPr>
            <w:tcW w:w="3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Arkansas and Kansas have weather normalization mechanisms that mitigate the weather impact on gross margins.</w:t>
      </w:r>
    </w:p>
    <w:p>
      <w:pPr>
        <w:spacing w:after="0" w:line="5" w:lineRule="exact"/>
        <w:rPr>
          <w:rFonts w:ascii="Arial" w:cs="Arial" w:eastAsia="Arial" w:hAnsi="Arial"/>
          <w:sz w:val="16"/>
          <w:szCs w:val="16"/>
          <w:color w:val="auto"/>
        </w:rPr>
      </w:pPr>
    </w:p>
    <w:p>
      <w:pPr>
        <w:ind w:left="340" w:right="120" w:hanging="332"/>
        <w:spacing w:after="0" w:line="257"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combined heating degree days are calculated based on a weighted average of total customers by state excluding Kansas due to its weather normalization mechanism. Arkansas is excluded based on the weather normalization mechanism in effect from November through April.</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Matters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more information on recent regulatory activity and enacted regulatory provisions with respect to the states in which our Utilities operate, see Note 5 of the Notes to Condensed Consolidated Financial Statements and Part I, Items 1 and 2 and Part II, Item 8 of our 2018 Annual Report on Form 10-K filed with the SEC.</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4"/>
        </w:trPr>
        <w:tc>
          <w:tcPr>
            <w:tcW w:w="458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Power Generation</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5"/>
          </w:tcPr>
          <w:p>
            <w:pPr>
              <w:jc w:val="right"/>
              <w:ind w:right="290"/>
              <w:spacing w:after="0"/>
              <w:rPr>
                <w:sz w:val="20"/>
                <w:szCs w:val="20"/>
                <w:color w:val="auto"/>
              </w:rPr>
            </w:pPr>
            <w:r>
              <w:rPr>
                <w:rFonts w:ascii="Arial" w:cs="Arial" w:eastAsia="Arial" w:hAnsi="Arial"/>
                <w:sz w:val="18"/>
                <w:szCs w:val="18"/>
                <w:color w:val="auto"/>
                <w:w w:val="94"/>
              </w:rPr>
              <w:t>Three Months Ended September 30,</w:t>
            </w:r>
          </w:p>
        </w:tc>
        <w:tc>
          <w:tcPr>
            <w:tcW w:w="260" w:type="dxa"/>
            <w:vAlign w:val="bottom"/>
          </w:tcPr>
          <w:p>
            <w:pPr>
              <w:spacing w:after="0"/>
              <w:rPr>
                <w:sz w:val="24"/>
                <w:szCs w:val="24"/>
                <w:color w:val="auto"/>
              </w:rPr>
            </w:pPr>
          </w:p>
        </w:tc>
        <w:tc>
          <w:tcPr>
            <w:tcW w:w="3160" w:type="dxa"/>
            <w:vAlign w:val="bottom"/>
            <w:gridSpan w:val="5"/>
          </w:tcPr>
          <w:p>
            <w:pPr>
              <w:jc w:val="right"/>
              <w:ind w:right="330"/>
              <w:spacing w:after="0"/>
              <w:rPr>
                <w:sz w:val="20"/>
                <w:szCs w:val="20"/>
                <w:color w:val="auto"/>
              </w:rPr>
            </w:pPr>
            <w:r>
              <w:rPr>
                <w:rFonts w:ascii="Arial" w:cs="Arial" w:eastAsia="Arial" w:hAnsi="Arial"/>
                <w:sz w:val="18"/>
                <w:szCs w:val="18"/>
                <w:color w:val="auto"/>
                <w:w w:val="96"/>
              </w:rPr>
              <w:t>Nine Months Ended September 30,</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2"/>
              </w:rPr>
              <w:t>Variance</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3"/>
          </w:tcPr>
          <w:p>
            <w:pPr>
              <w:jc w:val="right"/>
              <w:ind w:right="51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25,811</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24,491</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1,320</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75,764</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71,173</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9,229</w:t>
            </w:r>
          </w:p>
        </w:tc>
        <w:tc>
          <w:tcPr>
            <w:tcW w:w="3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7,434</w:t>
            </w:r>
          </w:p>
        </w:tc>
        <w:tc>
          <w:tcPr>
            <w:tcW w:w="22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1,795</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27,750</w:t>
            </w:r>
          </w:p>
        </w:tc>
        <w:tc>
          <w:tcPr>
            <w:tcW w:w="2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25,520</w:t>
            </w:r>
          </w:p>
        </w:tc>
        <w:tc>
          <w:tcPr>
            <w:tcW w:w="2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4,760</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3,978</w:t>
            </w: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782</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14,069</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11,922</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EFFE7"/>
            </w:tcBorders>
          </w:tcPr>
          <w:p>
            <w:pPr>
              <w:spacing w:after="0"/>
              <w:rPr>
                <w:sz w:val="2"/>
                <w:szCs w:val="2"/>
                <w:color w:val="auto"/>
              </w:rPr>
            </w:pPr>
          </w:p>
        </w:tc>
        <w:tc>
          <w:tcPr>
            <w:tcW w:w="140" w:type="dxa"/>
            <w:vAlign w:val="bottom"/>
            <w:tcBorders>
              <w:bottom w:val="single" w:sz="8" w:color="CEFFE7"/>
            </w:tcBorders>
          </w:tcPr>
          <w:p>
            <w:pPr>
              <w:spacing w:after="0"/>
              <w:rPr>
                <w:sz w:val="2"/>
                <w:szCs w:val="2"/>
                <w:color w:val="auto"/>
              </w:rPr>
            </w:pPr>
          </w:p>
        </w:tc>
        <w:tc>
          <w:tcPr>
            <w:tcW w:w="322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EFFE7"/>
            </w:tcBorders>
            <w:gridSpan w:val="3"/>
            <w:shd w:val="clear" w:color="auto" w:fill="CEFFE7"/>
          </w:tcPr>
          <w:p>
            <w:pPr>
              <w:ind w:left="600"/>
              <w:spacing w:after="0"/>
              <w:rPr>
                <w:sz w:val="20"/>
                <w:szCs w:val="20"/>
                <w:color w:val="auto"/>
              </w:rPr>
            </w:pPr>
            <w:r>
              <w:rPr>
                <w:rFonts w:ascii="Arial" w:cs="Arial" w:eastAsia="Arial" w:hAnsi="Arial"/>
                <w:sz w:val="18"/>
                <w:szCs w:val="18"/>
                <w:color w:val="auto"/>
              </w:rPr>
              <w:t>Total operating expense</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13,989</w:t>
            </w:r>
          </w:p>
        </w:tc>
        <w:tc>
          <w:tcPr>
            <w:tcW w:w="30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11,412</w:t>
            </w:r>
          </w:p>
        </w:tc>
        <w:tc>
          <w:tcPr>
            <w:tcW w:w="22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2,577</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41,819</w:t>
            </w:r>
          </w:p>
        </w:tc>
        <w:tc>
          <w:tcPr>
            <w:tcW w:w="2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37,442</w:t>
            </w:r>
          </w:p>
        </w:tc>
        <w:tc>
          <w:tcPr>
            <w:tcW w:w="24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318"/>
        </w:trPr>
        <w:tc>
          <w:tcPr>
            <w:tcW w:w="1220" w:type="dxa"/>
            <w:vAlign w:val="bottom"/>
            <w:tcBorders>
              <w:bottom w:val="single" w:sz="8" w:color="CEFFE7"/>
            </w:tcBorders>
          </w:tcPr>
          <w:p>
            <w:pPr>
              <w:spacing w:after="0"/>
              <w:rPr>
                <w:sz w:val="24"/>
                <w:szCs w:val="24"/>
                <w:color w:val="auto"/>
              </w:rPr>
            </w:pPr>
          </w:p>
        </w:tc>
        <w:tc>
          <w:tcPr>
            <w:tcW w:w="140" w:type="dxa"/>
            <w:vAlign w:val="bottom"/>
            <w:tcBorders>
              <w:bottom w:val="single" w:sz="8" w:color="CEFFE7"/>
            </w:tcBorders>
          </w:tcPr>
          <w:p>
            <w:pPr>
              <w:spacing w:after="0"/>
              <w:rPr>
                <w:sz w:val="24"/>
                <w:szCs w:val="24"/>
                <w:color w:val="auto"/>
              </w:rPr>
            </w:pPr>
          </w:p>
        </w:tc>
        <w:tc>
          <w:tcPr>
            <w:tcW w:w="3220" w:type="dxa"/>
            <w:vAlign w:val="bottom"/>
            <w:tcBorders>
              <w:bottom w:val="single" w:sz="8" w:color="CEFFE7"/>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EFFE7"/>
            </w:tcBorders>
            <w:gridSpan w:val="3"/>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Adjusted operating income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11,822</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13,079</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(1,257)</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33,945</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33,731</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spacing w:after="0"/>
              <w:rPr>
                <w:sz w:val="20"/>
                <w:szCs w:val="20"/>
                <w:color w:val="auto"/>
              </w:rPr>
            </w:pPr>
            <w:r>
              <w:rPr>
                <w:rFonts w:ascii="Arial" w:cs="Arial" w:eastAsia="Arial" w:hAnsi="Arial"/>
                <w:sz w:val="18"/>
                <w:szCs w:val="18"/>
                <w:color w:val="auto"/>
              </w:rPr>
              <w:t>________________</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00" w:hanging="332"/>
        <w:spacing w:after="0" w:line="334"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Due to the changes in our segment disclosures discussed in Note 3 of the Notes to Condensed Consolidated Financial Statements, Power Generation Adjusted operating income was revised for the three and nine months ended September 30, 2018, which resulted in a decrease of $(1.4) million and $(4.4) million, respectively.</w:t>
      </w:r>
    </w:p>
    <w:p>
      <w:pPr>
        <w:spacing w:after="0" w:line="31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Results of Operations for Power Generation for the Three and Nine Months Ended September 30, 2019 Compared to the Three and Nine Months Ended September 30, 2018:</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increased in the current year due to increased wind MWh sold and higher PPA prices. Operating expenses increased in the current year primarily due to higher depreciation and property taxes from new wind assets.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w w:val="99"/>
              </w:rPr>
              <w:t>The following table summarizes MWh for our Power Generation segment:</w:t>
            </w:r>
          </w:p>
        </w:tc>
        <w:tc>
          <w:tcPr>
            <w:tcW w:w="1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820" w:type="dxa"/>
            <w:vAlign w:val="bottom"/>
          </w:tcPr>
          <w:p>
            <w:pPr>
              <w:spacing w:after="0"/>
              <w:rPr>
                <w:sz w:val="24"/>
                <w:szCs w:val="24"/>
                <w:color w:val="auto"/>
              </w:rPr>
            </w:pPr>
          </w:p>
        </w:tc>
        <w:tc>
          <w:tcPr>
            <w:tcW w:w="2840" w:type="dxa"/>
            <w:vAlign w:val="bottom"/>
            <w:gridSpan w:val="2"/>
          </w:tcPr>
          <w:p>
            <w:pPr>
              <w:jc w:val="right"/>
              <w:ind w:right="50"/>
              <w:spacing w:after="0"/>
              <w:rPr>
                <w:sz w:val="20"/>
                <w:szCs w:val="20"/>
                <w:color w:val="auto"/>
              </w:rPr>
            </w:pPr>
            <w:r>
              <w:rPr>
                <w:rFonts w:ascii="Arial" w:cs="Arial" w:eastAsia="Arial" w:hAnsi="Arial"/>
                <w:sz w:val="18"/>
                <w:szCs w:val="18"/>
                <w:color w:val="auto"/>
                <w:w w:val="92"/>
              </w:rPr>
              <w:t>Three Months Ended September 30,</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w w:val="94"/>
              </w:rPr>
              <w:t>Nine Months Ended September 30,</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3"/>
                <w:szCs w:val="23"/>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2019</w:t>
            </w:r>
          </w:p>
        </w:tc>
        <w:tc>
          <w:tcPr>
            <w:tcW w:w="126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1600" w:type="dxa"/>
            <w:vAlign w:val="bottom"/>
          </w:tcPr>
          <w:p>
            <w:pPr>
              <w:jc w:val="right"/>
              <w:ind w:right="610"/>
              <w:spacing w:after="0"/>
              <w:rPr>
                <w:sz w:val="20"/>
                <w:szCs w:val="20"/>
                <w:color w:val="auto"/>
              </w:rPr>
            </w:pPr>
            <w:r>
              <w:rPr>
                <w:rFonts w:ascii="Arial" w:cs="Arial" w:eastAsia="Arial" w:hAnsi="Arial"/>
                <w:sz w:val="18"/>
                <w:szCs w:val="18"/>
                <w:color w:val="auto"/>
              </w:rPr>
              <w:t>2019</w:t>
            </w: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5820" w:type="dxa"/>
            <w:vAlign w:val="bottom"/>
            <w:vMerge w:val="restart"/>
          </w:tcPr>
          <w:p>
            <w:pPr>
              <w:ind w:left="40"/>
              <w:spacing w:after="0"/>
              <w:rPr>
                <w:sz w:val="20"/>
                <w:szCs w:val="20"/>
                <w:color w:val="auto"/>
              </w:rPr>
            </w:pPr>
            <w:r>
              <w:rPr>
                <w:rFonts w:ascii="Arial" w:cs="Arial" w:eastAsia="Arial" w:hAnsi="Arial"/>
                <w:sz w:val="18"/>
                <w:szCs w:val="18"/>
                <w:color w:val="auto"/>
              </w:rPr>
              <w:t>Quantities Sold, Generated and Purchased</w:t>
            </w: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82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(MWh) </w:t>
            </w:r>
            <w:r>
              <w:rPr>
                <w:rFonts w:ascii="Arial" w:cs="Arial" w:eastAsia="Arial" w:hAnsi="Arial"/>
                <w:sz w:val="25"/>
                <w:szCs w:val="25"/>
                <w:color w:val="auto"/>
                <w:vertAlign w:val="superscript"/>
              </w:rPr>
              <w:t>(a)</w:t>
            </w:r>
          </w:p>
        </w:tc>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Sold</w:t>
            </w:r>
          </w:p>
        </w:tc>
        <w:tc>
          <w:tcPr>
            <w:tcW w:w="158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16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Black Hills Colorado IPP </w:t>
            </w:r>
            <w:r>
              <w:rPr>
                <w:rFonts w:ascii="Arial" w:cs="Arial" w:eastAsia="Arial" w:hAnsi="Arial"/>
                <w:sz w:val="25"/>
                <w:szCs w:val="25"/>
                <w:color w:val="auto"/>
                <w:vertAlign w:val="superscript"/>
              </w:rPr>
              <w:t>(b)</w:t>
            </w: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275,867</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304,102</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692,156</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745,365</w:t>
            </w:r>
          </w:p>
        </w:tc>
        <w:tc>
          <w:tcPr>
            <w:tcW w:w="0" w:type="dxa"/>
            <w:vAlign w:val="bottom"/>
          </w:tcPr>
          <w:p>
            <w:pPr>
              <w:spacing w:after="0"/>
              <w:rPr>
                <w:sz w:val="1"/>
                <w:szCs w:val="1"/>
                <w:color w:val="auto"/>
              </w:rPr>
            </w:pPr>
          </w:p>
        </w:tc>
      </w:tr>
      <w:tr>
        <w:trPr>
          <w:trHeight w:val="270"/>
        </w:trPr>
        <w:tc>
          <w:tcPr>
            <w:tcW w:w="582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158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rPr>
              <w:t>162,668</w:t>
            </w:r>
          </w:p>
        </w:tc>
        <w:tc>
          <w:tcPr>
            <w:tcW w:w="1260" w:type="dxa"/>
            <w:vAlign w:val="bottom"/>
            <w:shd w:val="clear" w:color="auto" w:fill="CEFFE7"/>
          </w:tcPr>
          <w:p>
            <w:pPr>
              <w:jc w:val="right"/>
              <w:ind w:right="110"/>
              <w:spacing w:after="0"/>
              <w:rPr>
                <w:sz w:val="20"/>
                <w:szCs w:val="20"/>
                <w:color w:val="auto"/>
              </w:rPr>
            </w:pPr>
            <w:r>
              <w:rPr>
                <w:rFonts w:ascii="Arial" w:cs="Arial" w:eastAsia="Arial" w:hAnsi="Arial"/>
                <w:sz w:val="18"/>
                <w:szCs w:val="18"/>
                <w:color w:val="auto"/>
              </w:rPr>
              <w:t>160,011</w:t>
            </w:r>
          </w:p>
        </w:tc>
        <w:tc>
          <w:tcPr>
            <w:tcW w:w="1600" w:type="dxa"/>
            <w:vAlign w:val="bottom"/>
            <w:shd w:val="clear" w:color="auto" w:fill="CEFFE7"/>
          </w:tcPr>
          <w:p>
            <w:pPr>
              <w:jc w:val="right"/>
              <w:ind w:right="210"/>
              <w:spacing w:after="0"/>
              <w:rPr>
                <w:sz w:val="20"/>
                <w:szCs w:val="20"/>
                <w:color w:val="auto"/>
              </w:rPr>
            </w:pPr>
            <w:r>
              <w:rPr>
                <w:rFonts w:ascii="Arial" w:cs="Arial" w:eastAsia="Arial" w:hAnsi="Arial"/>
                <w:sz w:val="18"/>
                <w:szCs w:val="18"/>
                <w:color w:val="auto"/>
              </w:rPr>
              <w:t>476,430</w:t>
            </w:r>
          </w:p>
        </w:tc>
        <w:tc>
          <w:tcPr>
            <w:tcW w:w="11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470,072</w:t>
            </w:r>
          </w:p>
        </w:tc>
        <w:tc>
          <w:tcPr>
            <w:tcW w:w="0" w:type="dxa"/>
            <w:vAlign w:val="bottom"/>
          </w:tcPr>
          <w:p>
            <w:pPr>
              <w:spacing w:after="0"/>
              <w:rPr>
                <w:sz w:val="1"/>
                <w:szCs w:val="1"/>
                <w:color w:val="auto"/>
              </w:rPr>
            </w:pPr>
          </w:p>
        </w:tc>
      </w:tr>
      <w:tr>
        <w:trPr>
          <w:trHeight w:val="270"/>
        </w:trPr>
        <w:tc>
          <w:tcPr>
            <w:tcW w:w="5820" w:type="dxa"/>
            <w:vAlign w:val="bottom"/>
            <w:tcBorders>
              <w:bottom w:val="single" w:sz="8" w:color="CEFFE7"/>
            </w:tcBorders>
          </w:tcPr>
          <w:p>
            <w:pPr>
              <w:ind w:left="380"/>
              <w:spacing w:after="0" w:line="270" w:lineRule="exact"/>
              <w:rPr>
                <w:sz w:val="20"/>
                <w:szCs w:val="20"/>
                <w:color w:val="auto"/>
              </w:rPr>
            </w:pPr>
            <w:r>
              <w:rPr>
                <w:rFonts w:ascii="Arial" w:cs="Arial" w:eastAsia="Arial" w:hAnsi="Arial"/>
                <w:sz w:val="18"/>
                <w:szCs w:val="18"/>
                <w:color w:val="auto"/>
              </w:rPr>
              <w:t xml:space="preserve">Black Hills Electric Generation </w:t>
            </w:r>
            <w:r>
              <w:rPr>
                <w:rFonts w:ascii="Arial" w:cs="Arial" w:eastAsia="Arial" w:hAnsi="Arial"/>
                <w:sz w:val="25"/>
                <w:szCs w:val="25"/>
                <w:color w:val="auto"/>
                <w:vertAlign w:val="superscript"/>
              </w:rPr>
              <w:t>(d)</w:t>
            </w: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30,912</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112,461</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82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Total Sold</w:t>
            </w:r>
          </w:p>
        </w:tc>
        <w:tc>
          <w:tcPr>
            <w:tcW w:w="1580" w:type="dxa"/>
            <w:vAlign w:val="bottom"/>
            <w:tcBorders>
              <w:bottom w:val="single" w:sz="8" w:color="auto"/>
            </w:tcBorders>
            <w:shd w:val="clear" w:color="auto" w:fill="CEFFE7"/>
          </w:tcPr>
          <w:p>
            <w:pPr>
              <w:jc w:val="right"/>
              <w:ind w:right="230"/>
              <w:spacing w:after="0"/>
              <w:rPr>
                <w:sz w:val="20"/>
                <w:szCs w:val="20"/>
                <w:color w:val="auto"/>
              </w:rPr>
            </w:pPr>
            <w:r>
              <w:rPr>
                <w:rFonts w:ascii="Arial" w:cs="Arial" w:eastAsia="Arial" w:hAnsi="Arial"/>
                <w:sz w:val="18"/>
                <w:szCs w:val="18"/>
                <w:color w:val="auto"/>
              </w:rPr>
              <w:t>469,447</w:t>
            </w:r>
          </w:p>
        </w:tc>
        <w:tc>
          <w:tcPr>
            <w:tcW w:w="126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rPr>
              <w:t>464,113</w:t>
            </w:r>
          </w:p>
        </w:tc>
        <w:tc>
          <w:tcPr>
            <w:tcW w:w="1600" w:type="dxa"/>
            <w:vAlign w:val="bottom"/>
            <w:tcBorders>
              <w:bottom w:val="single" w:sz="8" w:color="auto"/>
            </w:tcBorders>
            <w:shd w:val="clear" w:color="auto" w:fill="CEFFE7"/>
          </w:tcPr>
          <w:p>
            <w:pPr>
              <w:jc w:val="right"/>
              <w:ind w:right="210"/>
              <w:spacing w:after="0"/>
              <w:rPr>
                <w:sz w:val="20"/>
                <w:szCs w:val="20"/>
                <w:color w:val="auto"/>
              </w:rPr>
            </w:pPr>
            <w:r>
              <w:rPr>
                <w:rFonts w:ascii="Arial" w:cs="Arial" w:eastAsia="Arial" w:hAnsi="Arial"/>
                <w:sz w:val="18"/>
                <w:szCs w:val="18"/>
                <w:color w:val="auto"/>
              </w:rPr>
              <w:t>1,281,047</w:t>
            </w:r>
          </w:p>
        </w:tc>
        <w:tc>
          <w:tcPr>
            <w:tcW w:w="11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1,215,437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Generated</w:t>
            </w:r>
          </w:p>
        </w:tc>
        <w:tc>
          <w:tcPr>
            <w:tcW w:w="158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16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Black Hills Colorado IPP </w:t>
            </w:r>
            <w:r>
              <w:rPr>
                <w:rFonts w:ascii="Arial" w:cs="Arial" w:eastAsia="Arial" w:hAnsi="Arial"/>
                <w:sz w:val="25"/>
                <w:szCs w:val="25"/>
                <w:color w:val="auto"/>
                <w:vertAlign w:val="superscript"/>
              </w:rPr>
              <w:t>(b)</w:t>
            </w: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275,867</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304,102</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692,156</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745,365</w:t>
            </w:r>
          </w:p>
        </w:tc>
        <w:tc>
          <w:tcPr>
            <w:tcW w:w="0" w:type="dxa"/>
            <w:vAlign w:val="bottom"/>
          </w:tcPr>
          <w:p>
            <w:pPr>
              <w:spacing w:after="0"/>
              <w:rPr>
                <w:sz w:val="1"/>
                <w:szCs w:val="1"/>
                <w:color w:val="auto"/>
              </w:rPr>
            </w:pPr>
          </w:p>
        </w:tc>
      </w:tr>
      <w:tr>
        <w:trPr>
          <w:trHeight w:val="270"/>
        </w:trPr>
        <w:tc>
          <w:tcPr>
            <w:tcW w:w="582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158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rPr>
              <w:t>142,219</w:t>
            </w:r>
          </w:p>
        </w:tc>
        <w:tc>
          <w:tcPr>
            <w:tcW w:w="1260" w:type="dxa"/>
            <w:vAlign w:val="bottom"/>
            <w:shd w:val="clear" w:color="auto" w:fill="CEFFE7"/>
          </w:tcPr>
          <w:p>
            <w:pPr>
              <w:jc w:val="right"/>
              <w:ind w:right="110"/>
              <w:spacing w:after="0"/>
              <w:rPr>
                <w:sz w:val="20"/>
                <w:szCs w:val="20"/>
                <w:color w:val="auto"/>
              </w:rPr>
            </w:pPr>
            <w:r>
              <w:rPr>
                <w:rFonts w:ascii="Arial" w:cs="Arial" w:eastAsia="Arial" w:hAnsi="Arial"/>
                <w:sz w:val="18"/>
                <w:szCs w:val="18"/>
                <w:color w:val="auto"/>
              </w:rPr>
              <w:t>144,476</w:t>
            </w:r>
          </w:p>
        </w:tc>
        <w:tc>
          <w:tcPr>
            <w:tcW w:w="1600" w:type="dxa"/>
            <w:vAlign w:val="bottom"/>
            <w:shd w:val="clear" w:color="auto" w:fill="CEFFE7"/>
          </w:tcPr>
          <w:p>
            <w:pPr>
              <w:jc w:val="right"/>
              <w:ind w:right="210"/>
              <w:spacing w:after="0"/>
              <w:rPr>
                <w:sz w:val="20"/>
                <w:szCs w:val="20"/>
                <w:color w:val="auto"/>
              </w:rPr>
            </w:pPr>
            <w:r>
              <w:rPr>
                <w:rFonts w:ascii="Arial" w:cs="Arial" w:eastAsia="Arial" w:hAnsi="Arial"/>
                <w:sz w:val="18"/>
                <w:szCs w:val="18"/>
                <w:color w:val="auto"/>
              </w:rPr>
              <w:t>407,001</w:t>
            </w:r>
          </w:p>
        </w:tc>
        <w:tc>
          <w:tcPr>
            <w:tcW w:w="11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407,324</w:t>
            </w:r>
          </w:p>
        </w:tc>
        <w:tc>
          <w:tcPr>
            <w:tcW w:w="0" w:type="dxa"/>
            <w:vAlign w:val="bottom"/>
          </w:tcPr>
          <w:p>
            <w:pPr>
              <w:spacing w:after="0"/>
              <w:rPr>
                <w:sz w:val="1"/>
                <w:szCs w:val="1"/>
                <w:color w:val="auto"/>
              </w:rPr>
            </w:pPr>
          </w:p>
        </w:tc>
      </w:tr>
      <w:tr>
        <w:trPr>
          <w:trHeight w:val="270"/>
        </w:trPr>
        <w:tc>
          <w:tcPr>
            <w:tcW w:w="5820" w:type="dxa"/>
            <w:vAlign w:val="bottom"/>
            <w:tcBorders>
              <w:bottom w:val="single" w:sz="8" w:color="CEFFE7"/>
            </w:tcBorders>
          </w:tcPr>
          <w:p>
            <w:pPr>
              <w:ind w:left="380"/>
              <w:spacing w:after="0" w:line="270" w:lineRule="exact"/>
              <w:rPr>
                <w:sz w:val="20"/>
                <w:szCs w:val="20"/>
                <w:color w:val="auto"/>
              </w:rPr>
            </w:pPr>
            <w:r>
              <w:rPr>
                <w:rFonts w:ascii="Arial" w:cs="Arial" w:eastAsia="Arial" w:hAnsi="Arial"/>
                <w:sz w:val="18"/>
                <w:szCs w:val="18"/>
                <w:color w:val="auto"/>
              </w:rPr>
              <w:t xml:space="preserve">Black Hills Electric Generation </w:t>
            </w:r>
            <w:r>
              <w:rPr>
                <w:rFonts w:ascii="Arial" w:cs="Arial" w:eastAsia="Arial" w:hAnsi="Arial"/>
                <w:sz w:val="25"/>
                <w:szCs w:val="25"/>
                <w:color w:val="auto"/>
                <w:vertAlign w:val="superscript"/>
              </w:rPr>
              <w:t>(d)</w:t>
            </w: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30,912</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112,461</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82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Total Generated</w:t>
            </w:r>
          </w:p>
        </w:tc>
        <w:tc>
          <w:tcPr>
            <w:tcW w:w="1580" w:type="dxa"/>
            <w:vAlign w:val="bottom"/>
            <w:tcBorders>
              <w:bottom w:val="single" w:sz="8" w:color="auto"/>
            </w:tcBorders>
            <w:shd w:val="clear" w:color="auto" w:fill="CEFFE7"/>
          </w:tcPr>
          <w:p>
            <w:pPr>
              <w:jc w:val="right"/>
              <w:ind w:right="230"/>
              <w:spacing w:after="0"/>
              <w:rPr>
                <w:sz w:val="20"/>
                <w:szCs w:val="20"/>
                <w:color w:val="auto"/>
              </w:rPr>
            </w:pPr>
            <w:r>
              <w:rPr>
                <w:rFonts w:ascii="Arial" w:cs="Arial" w:eastAsia="Arial" w:hAnsi="Arial"/>
                <w:sz w:val="18"/>
                <w:szCs w:val="18"/>
                <w:color w:val="auto"/>
              </w:rPr>
              <w:t>448,998</w:t>
            </w:r>
          </w:p>
        </w:tc>
        <w:tc>
          <w:tcPr>
            <w:tcW w:w="126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rPr>
              <w:t>448,578</w:t>
            </w:r>
          </w:p>
        </w:tc>
        <w:tc>
          <w:tcPr>
            <w:tcW w:w="1600" w:type="dxa"/>
            <w:vAlign w:val="bottom"/>
            <w:tcBorders>
              <w:bottom w:val="single" w:sz="8" w:color="auto"/>
            </w:tcBorders>
            <w:shd w:val="clear" w:color="auto" w:fill="CEFFE7"/>
          </w:tcPr>
          <w:p>
            <w:pPr>
              <w:jc w:val="right"/>
              <w:ind w:right="210"/>
              <w:spacing w:after="0"/>
              <w:rPr>
                <w:sz w:val="20"/>
                <w:szCs w:val="20"/>
                <w:color w:val="auto"/>
              </w:rPr>
            </w:pPr>
            <w:r>
              <w:rPr>
                <w:rFonts w:ascii="Arial" w:cs="Arial" w:eastAsia="Arial" w:hAnsi="Arial"/>
                <w:sz w:val="18"/>
                <w:szCs w:val="18"/>
                <w:color w:val="auto"/>
              </w:rPr>
              <w:t>1,211,618</w:t>
            </w:r>
          </w:p>
        </w:tc>
        <w:tc>
          <w:tcPr>
            <w:tcW w:w="11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1,152,689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Purchased</w:t>
            </w:r>
          </w:p>
        </w:tc>
        <w:tc>
          <w:tcPr>
            <w:tcW w:w="158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160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20" w:type="dxa"/>
            <w:vAlign w:val="bottom"/>
            <w:tcBorders>
              <w:bottom w:val="single" w:sz="8" w:color="CEFFE7"/>
            </w:tcBorders>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16,865</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16,685</w:t>
            </w: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56,205</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65,724</w:t>
            </w:r>
          </w:p>
        </w:tc>
        <w:tc>
          <w:tcPr>
            <w:tcW w:w="0" w:type="dxa"/>
            <w:vAlign w:val="bottom"/>
          </w:tcPr>
          <w:p>
            <w:pPr>
              <w:spacing w:after="0"/>
              <w:rPr>
                <w:sz w:val="1"/>
                <w:szCs w:val="1"/>
                <w:color w:val="auto"/>
              </w:rPr>
            </w:pPr>
          </w:p>
        </w:tc>
      </w:tr>
      <w:tr>
        <w:trPr>
          <w:trHeight w:val="257"/>
        </w:trPr>
        <w:tc>
          <w:tcPr>
            <w:tcW w:w="582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Total Purchased</w:t>
            </w:r>
          </w:p>
        </w:tc>
        <w:tc>
          <w:tcPr>
            <w:tcW w:w="1580" w:type="dxa"/>
            <w:vAlign w:val="bottom"/>
            <w:tcBorders>
              <w:bottom w:val="single" w:sz="8" w:color="auto"/>
            </w:tcBorders>
            <w:shd w:val="clear" w:color="auto" w:fill="CEFFE7"/>
          </w:tcPr>
          <w:p>
            <w:pPr>
              <w:jc w:val="right"/>
              <w:ind w:right="230"/>
              <w:spacing w:after="0"/>
              <w:rPr>
                <w:sz w:val="20"/>
                <w:szCs w:val="20"/>
                <w:color w:val="auto"/>
              </w:rPr>
            </w:pPr>
            <w:r>
              <w:rPr>
                <w:rFonts w:ascii="Arial" w:cs="Arial" w:eastAsia="Arial" w:hAnsi="Arial"/>
                <w:sz w:val="18"/>
                <w:szCs w:val="18"/>
                <w:color w:val="auto"/>
              </w:rPr>
              <w:t>16,865</w:t>
            </w:r>
          </w:p>
        </w:tc>
        <w:tc>
          <w:tcPr>
            <w:tcW w:w="126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rPr>
              <w:t>16,685</w:t>
            </w:r>
          </w:p>
        </w:tc>
        <w:tc>
          <w:tcPr>
            <w:tcW w:w="1600" w:type="dxa"/>
            <w:vAlign w:val="bottom"/>
            <w:tcBorders>
              <w:bottom w:val="single" w:sz="8" w:color="auto"/>
            </w:tcBorders>
            <w:shd w:val="clear" w:color="auto" w:fill="CEFFE7"/>
          </w:tcPr>
          <w:p>
            <w:pPr>
              <w:jc w:val="right"/>
              <w:ind w:right="210"/>
              <w:spacing w:after="0"/>
              <w:rPr>
                <w:sz w:val="20"/>
                <w:szCs w:val="20"/>
                <w:color w:val="auto"/>
              </w:rPr>
            </w:pPr>
            <w:r>
              <w:rPr>
                <w:rFonts w:ascii="Arial" w:cs="Arial" w:eastAsia="Arial" w:hAnsi="Arial"/>
                <w:sz w:val="18"/>
                <w:szCs w:val="18"/>
                <w:color w:val="auto"/>
              </w:rPr>
              <w:t>56,205</w:t>
            </w:r>
          </w:p>
        </w:tc>
        <w:tc>
          <w:tcPr>
            <w:tcW w:w="11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65,724</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6"/>
                <w:szCs w:val="16"/>
                <w:color w:val="auto"/>
              </w:rPr>
              <w:t>____________</w:t>
            </w:r>
          </w:p>
        </w:tc>
        <w:tc>
          <w:tcPr>
            <w:tcW w:w="1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82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Company uses and losses are not included in the quantities sold, generated, and purchased.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Decrease from the prior year is a result of the impact of Colorado Electric’s wind generation replacing natural-gas generation.</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Under the 20-year economy energy PPA with the City of Gillette effective September 2014, Black Hills Wyoming purchases energy on behalf of the City of Gillette and sells that energy to the City of Gillette. MWh sold may not equal MWh generated and purchased due to a dispatch agreement Black Hills Wyoming has with South Dakota Electric to cover energy imbalances.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Increase from prior year is driven by Black Hills Electric Generation’s acquisition of new wind assets.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18" w:right="2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84"/>
        </w:trPr>
        <w:tc>
          <w:tcPr>
            <w:tcW w:w="656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1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66"/>
        </w:trPr>
        <w:tc>
          <w:tcPr>
            <w:tcW w:w="7960" w:type="dxa"/>
            <w:vAlign w:val="bottom"/>
            <w:gridSpan w:val="4"/>
          </w:tcPr>
          <w:p>
            <w:pPr>
              <w:spacing w:after="0"/>
              <w:rPr>
                <w:sz w:val="20"/>
                <w:szCs w:val="20"/>
                <w:color w:val="auto"/>
              </w:rPr>
            </w:pPr>
            <w:r>
              <w:rPr>
                <w:rFonts w:ascii="Arial" w:cs="Arial" w:eastAsia="Arial" w:hAnsi="Arial"/>
                <w:sz w:val="18"/>
                <w:szCs w:val="18"/>
                <w:color w:val="auto"/>
                <w:w w:val="92"/>
              </w:rPr>
              <w:t>The following table provides certain operating statistics for our plants within the Power Generation segment:</w:t>
            </w:r>
          </w:p>
        </w:tc>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12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940" w:type="dxa"/>
            <w:vAlign w:val="bottom"/>
            <w:gridSpan w:val="3"/>
          </w:tcPr>
          <w:p>
            <w:pPr>
              <w:ind w:left="120"/>
              <w:spacing w:after="0"/>
              <w:rPr>
                <w:sz w:val="20"/>
                <w:szCs w:val="20"/>
                <w:color w:val="auto"/>
              </w:rPr>
            </w:pPr>
            <w:r>
              <w:rPr>
                <w:rFonts w:ascii="Arial" w:cs="Arial" w:eastAsia="Arial" w:hAnsi="Arial"/>
                <w:sz w:val="18"/>
                <w:szCs w:val="18"/>
                <w:color w:val="auto"/>
                <w:w w:val="96"/>
              </w:rPr>
              <w:t>Three Months Ended September 30,</w:t>
            </w:r>
          </w:p>
        </w:tc>
        <w:tc>
          <w:tcPr>
            <w:tcW w:w="2820" w:type="dxa"/>
            <w:vAlign w:val="bottom"/>
            <w:gridSpan w:val="2"/>
          </w:tcPr>
          <w:p>
            <w:pPr>
              <w:ind w:left="140"/>
              <w:spacing w:after="0"/>
              <w:rPr>
                <w:sz w:val="20"/>
                <w:szCs w:val="20"/>
                <w:color w:val="auto"/>
              </w:rPr>
            </w:pPr>
            <w:r>
              <w:rPr>
                <w:rFonts w:ascii="Arial" w:cs="Arial" w:eastAsia="Arial" w:hAnsi="Arial"/>
                <w:sz w:val="18"/>
                <w:szCs w:val="18"/>
                <w:color w:val="auto"/>
                <w:w w:val="94"/>
              </w:rPr>
              <w:t>Nine Months Ended September 30,</w:t>
            </w:r>
          </w:p>
        </w:tc>
      </w:tr>
      <w:tr>
        <w:trPr>
          <w:trHeight w:val="270"/>
        </w:trPr>
        <w:tc>
          <w:tcPr>
            <w:tcW w:w="6560" w:type="dxa"/>
            <w:vAlign w:val="bottom"/>
            <w:gridSpan w:val="3"/>
          </w:tcPr>
          <w:p>
            <w:pPr>
              <w:ind w:left="6180"/>
              <w:spacing w:after="0"/>
              <w:rPr>
                <w:sz w:val="20"/>
                <w:szCs w:val="20"/>
                <w:color w:val="auto"/>
              </w:rPr>
            </w:pPr>
            <w:r>
              <w:rPr>
                <w:rFonts w:ascii="Arial" w:cs="Arial" w:eastAsia="Arial" w:hAnsi="Arial"/>
                <w:sz w:val="18"/>
                <w:szCs w:val="18"/>
                <w:color w:val="auto"/>
                <w:w w:val="89"/>
              </w:rPr>
              <w:t>2019</w:t>
            </w:r>
          </w:p>
        </w:tc>
        <w:tc>
          <w:tcPr>
            <w:tcW w:w="1400" w:type="dxa"/>
            <w:vAlign w:val="bottom"/>
          </w:tcPr>
          <w:p>
            <w:pPr>
              <w:jc w:val="right"/>
              <w:spacing w:after="0"/>
              <w:rPr>
                <w:sz w:val="20"/>
                <w:szCs w:val="20"/>
                <w:color w:val="auto"/>
              </w:rPr>
            </w:pPr>
            <w:r>
              <w:rPr>
                <w:rFonts w:ascii="Arial" w:cs="Arial" w:eastAsia="Arial" w:hAnsi="Arial"/>
                <w:sz w:val="18"/>
                <w:szCs w:val="18"/>
                <w:color w:val="auto"/>
              </w:rPr>
              <w:t>2018</w:t>
            </w:r>
          </w:p>
        </w:tc>
        <w:tc>
          <w:tcPr>
            <w:tcW w:w="640" w:type="dxa"/>
            <w:vAlign w:val="bottom"/>
          </w:tcPr>
          <w:p>
            <w:pPr>
              <w:spacing w:after="0"/>
              <w:rPr>
                <w:sz w:val="23"/>
                <w:szCs w:val="23"/>
                <w:color w:val="auto"/>
              </w:rPr>
            </w:pPr>
          </w:p>
        </w:tc>
        <w:tc>
          <w:tcPr>
            <w:tcW w:w="1640" w:type="dxa"/>
            <w:vAlign w:val="bottom"/>
          </w:tcPr>
          <w:p>
            <w:pPr>
              <w:jc w:val="right"/>
              <w:ind w:right="670"/>
              <w:spacing w:after="0"/>
              <w:rPr>
                <w:sz w:val="20"/>
                <w:szCs w:val="20"/>
                <w:color w:val="auto"/>
              </w:rPr>
            </w:pPr>
            <w:r>
              <w:rPr>
                <w:rFonts w:ascii="Arial" w:cs="Arial" w:eastAsia="Arial" w:hAnsi="Arial"/>
                <w:sz w:val="18"/>
                <w:szCs w:val="18"/>
                <w:color w:val="auto"/>
              </w:rPr>
              <w:t>2019</w:t>
            </w:r>
          </w:p>
        </w:tc>
        <w:tc>
          <w:tcPr>
            <w:tcW w:w="1180" w:type="dxa"/>
            <w:vAlign w:val="bottom"/>
          </w:tcPr>
          <w:p>
            <w:pPr>
              <w:ind w:left="300"/>
              <w:spacing w:after="0"/>
              <w:rPr>
                <w:sz w:val="20"/>
                <w:szCs w:val="20"/>
                <w:color w:val="auto"/>
              </w:rPr>
            </w:pPr>
            <w:r>
              <w:rPr>
                <w:rFonts w:ascii="Arial" w:cs="Arial" w:eastAsia="Arial" w:hAnsi="Arial"/>
                <w:sz w:val="18"/>
                <w:szCs w:val="18"/>
                <w:color w:val="auto"/>
              </w:rPr>
              <w:t>2018</w:t>
            </w:r>
          </w:p>
        </w:tc>
      </w:tr>
      <w:tr>
        <w:trPr>
          <w:trHeight w:val="27"/>
        </w:trPr>
        <w:tc>
          <w:tcPr>
            <w:tcW w:w="12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Contracted power plant fleet availability:</w:t>
            </w:r>
          </w:p>
        </w:tc>
        <w:tc>
          <w:tcPr>
            <w:tcW w:w="1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12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60" w:type="dxa"/>
            <w:vAlign w:val="bottom"/>
            <w:tcBorders>
              <w:bottom w:val="single" w:sz="8" w:color="CEFFE7"/>
            </w:tcBorders>
            <w:gridSpan w:val="3"/>
            <w:shd w:val="clear" w:color="auto" w:fill="CEFFE7"/>
          </w:tcPr>
          <w:p>
            <w:pPr>
              <w:ind w:left="240"/>
              <w:spacing w:after="0"/>
              <w:rPr>
                <w:sz w:val="20"/>
                <w:szCs w:val="20"/>
                <w:color w:val="auto"/>
              </w:rPr>
            </w:pPr>
            <w:r>
              <w:rPr>
                <w:rFonts w:ascii="Arial" w:cs="Arial" w:eastAsia="Arial" w:hAnsi="Arial"/>
                <w:sz w:val="18"/>
                <w:szCs w:val="18"/>
                <w:color w:val="auto"/>
              </w:rPr>
              <w:t>Coal-fired plant</w:t>
            </w:r>
          </w:p>
        </w:tc>
        <w:tc>
          <w:tcPr>
            <w:tcW w:w="1400" w:type="dxa"/>
            <w:vAlign w:val="bottom"/>
            <w:tcBorders>
              <w:bottom w:val="single" w:sz="8" w:color="CEFFE7"/>
            </w:tcBorders>
            <w:shd w:val="clear" w:color="auto" w:fill="CEFFE7"/>
          </w:tcPr>
          <w:p>
            <w:pPr>
              <w:jc w:val="right"/>
              <w:ind w:right="830"/>
              <w:spacing w:after="0"/>
              <w:rPr>
                <w:sz w:val="20"/>
                <w:szCs w:val="20"/>
                <w:color w:val="auto"/>
              </w:rPr>
            </w:pPr>
            <w:r>
              <w:rPr>
                <w:rFonts w:ascii="Arial" w:cs="Arial" w:eastAsia="Arial" w:hAnsi="Arial"/>
                <w:sz w:val="18"/>
                <w:szCs w:val="18"/>
                <w:color w:val="auto"/>
                <w:w w:val="90"/>
              </w:rPr>
              <w:t>98.0%</w:t>
            </w:r>
          </w:p>
        </w:tc>
        <w:tc>
          <w:tcPr>
            <w:tcW w:w="6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97.9%</w:t>
            </w:r>
          </w:p>
        </w:tc>
        <w:tc>
          <w:tcPr>
            <w:tcW w:w="16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95.2%</w:t>
            </w:r>
          </w:p>
        </w:tc>
        <w:tc>
          <w:tcPr>
            <w:tcW w:w="1180" w:type="dxa"/>
            <w:vAlign w:val="bottom"/>
            <w:tcBorders>
              <w:bottom w:val="single" w:sz="8" w:color="CEFFE7"/>
            </w:tcBorders>
            <w:shd w:val="clear" w:color="auto" w:fill="CEFFE7"/>
          </w:tcPr>
          <w:p>
            <w:pPr>
              <w:ind w:left="680"/>
              <w:spacing w:after="0"/>
              <w:rPr>
                <w:sz w:val="20"/>
                <w:szCs w:val="20"/>
                <w:color w:val="auto"/>
              </w:rPr>
            </w:pPr>
            <w:r>
              <w:rPr>
                <w:rFonts w:ascii="Arial" w:cs="Arial" w:eastAsia="Arial" w:hAnsi="Arial"/>
                <w:sz w:val="18"/>
                <w:szCs w:val="18"/>
                <w:color w:val="auto"/>
                <w:w w:val="93"/>
              </w:rPr>
              <w:t>93.9%</w:t>
            </w:r>
          </w:p>
        </w:tc>
      </w:tr>
      <w:tr>
        <w:trPr>
          <w:trHeight w:val="270"/>
        </w:trPr>
        <w:tc>
          <w:tcPr>
            <w:tcW w:w="6560" w:type="dxa"/>
            <w:vAlign w:val="bottom"/>
            <w:gridSpan w:val="3"/>
          </w:tcPr>
          <w:p>
            <w:pPr>
              <w:ind w:left="240"/>
              <w:spacing w:after="0" w:line="270" w:lineRule="exact"/>
              <w:rPr>
                <w:sz w:val="20"/>
                <w:szCs w:val="20"/>
                <w:color w:val="auto"/>
              </w:rPr>
            </w:pPr>
            <w:r>
              <w:rPr>
                <w:rFonts w:ascii="Arial" w:cs="Arial" w:eastAsia="Arial" w:hAnsi="Arial"/>
                <w:sz w:val="18"/>
                <w:szCs w:val="18"/>
                <w:color w:val="auto"/>
              </w:rPr>
              <w:t xml:space="preserve">Natural gas-fired plants </w:t>
            </w:r>
            <w:r>
              <w:rPr>
                <w:rFonts w:ascii="Arial" w:cs="Arial" w:eastAsia="Arial" w:hAnsi="Arial"/>
                <w:sz w:val="25"/>
                <w:szCs w:val="25"/>
                <w:color w:val="auto"/>
                <w:vertAlign w:val="superscript"/>
              </w:rPr>
              <w:t>(a)</w:t>
            </w:r>
          </w:p>
        </w:tc>
        <w:tc>
          <w:tcPr>
            <w:tcW w:w="1400" w:type="dxa"/>
            <w:vAlign w:val="bottom"/>
          </w:tcPr>
          <w:p>
            <w:pPr>
              <w:jc w:val="right"/>
              <w:ind w:right="830"/>
              <w:spacing w:after="0"/>
              <w:rPr>
                <w:sz w:val="20"/>
                <w:szCs w:val="20"/>
                <w:color w:val="auto"/>
              </w:rPr>
            </w:pPr>
            <w:r>
              <w:rPr>
                <w:rFonts w:ascii="Arial" w:cs="Arial" w:eastAsia="Arial" w:hAnsi="Arial"/>
                <w:sz w:val="18"/>
                <w:szCs w:val="18"/>
                <w:color w:val="auto"/>
                <w:w w:val="90"/>
              </w:rPr>
              <w:t>97.6%</w:t>
            </w:r>
          </w:p>
        </w:tc>
        <w:tc>
          <w:tcPr>
            <w:tcW w:w="640" w:type="dxa"/>
            <w:vAlign w:val="bottom"/>
          </w:tcPr>
          <w:p>
            <w:pPr>
              <w:ind w:left="20"/>
              <w:spacing w:after="0"/>
              <w:rPr>
                <w:sz w:val="20"/>
                <w:szCs w:val="20"/>
                <w:color w:val="auto"/>
              </w:rPr>
            </w:pPr>
            <w:r>
              <w:rPr>
                <w:rFonts w:ascii="Arial" w:cs="Arial" w:eastAsia="Arial" w:hAnsi="Arial"/>
                <w:sz w:val="18"/>
                <w:szCs w:val="18"/>
                <w:color w:val="auto"/>
              </w:rPr>
              <w:t>99.3%</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98.4%</w:t>
            </w:r>
          </w:p>
        </w:tc>
        <w:tc>
          <w:tcPr>
            <w:tcW w:w="1180" w:type="dxa"/>
            <w:vAlign w:val="bottom"/>
          </w:tcPr>
          <w:p>
            <w:pPr>
              <w:ind w:left="680"/>
              <w:spacing w:after="0"/>
              <w:rPr>
                <w:sz w:val="20"/>
                <w:szCs w:val="20"/>
                <w:color w:val="auto"/>
              </w:rPr>
            </w:pPr>
            <w:r>
              <w:rPr>
                <w:rFonts w:ascii="Arial" w:cs="Arial" w:eastAsia="Arial" w:hAnsi="Arial"/>
                <w:sz w:val="18"/>
                <w:szCs w:val="18"/>
                <w:color w:val="auto"/>
                <w:w w:val="93"/>
              </w:rPr>
              <w:t>99.4%</w:t>
            </w:r>
          </w:p>
        </w:tc>
      </w:tr>
      <w:tr>
        <w:trPr>
          <w:trHeight w:val="270"/>
        </w:trPr>
        <w:tc>
          <w:tcPr>
            <w:tcW w:w="6560" w:type="dxa"/>
            <w:vAlign w:val="bottom"/>
            <w:gridSpan w:val="3"/>
            <w:shd w:val="clear" w:color="auto" w:fill="CEFFE7"/>
          </w:tcPr>
          <w:p>
            <w:pPr>
              <w:ind w:left="240"/>
              <w:spacing w:after="0" w:line="270" w:lineRule="exact"/>
              <w:rPr>
                <w:sz w:val="20"/>
                <w:szCs w:val="20"/>
                <w:color w:val="auto"/>
              </w:rPr>
            </w:pPr>
            <w:r>
              <w:rPr>
                <w:rFonts w:ascii="Arial" w:cs="Arial" w:eastAsia="Arial" w:hAnsi="Arial"/>
                <w:sz w:val="18"/>
                <w:szCs w:val="18"/>
                <w:color w:val="auto"/>
              </w:rPr>
              <w:t xml:space="preserve">Wind </w:t>
            </w:r>
            <w:r>
              <w:rPr>
                <w:rFonts w:ascii="Arial" w:cs="Arial" w:eastAsia="Arial" w:hAnsi="Arial"/>
                <w:sz w:val="25"/>
                <w:szCs w:val="25"/>
                <w:color w:val="auto"/>
                <w:vertAlign w:val="superscript"/>
              </w:rPr>
              <w:t>(b)</w:t>
            </w:r>
          </w:p>
        </w:tc>
        <w:tc>
          <w:tcPr>
            <w:tcW w:w="1400" w:type="dxa"/>
            <w:vAlign w:val="bottom"/>
            <w:shd w:val="clear" w:color="auto" w:fill="CEFFE7"/>
          </w:tcPr>
          <w:p>
            <w:pPr>
              <w:jc w:val="right"/>
              <w:ind w:right="830"/>
              <w:spacing w:after="0"/>
              <w:rPr>
                <w:sz w:val="20"/>
                <w:szCs w:val="20"/>
                <w:color w:val="auto"/>
              </w:rPr>
            </w:pPr>
            <w:r>
              <w:rPr>
                <w:rFonts w:ascii="Arial" w:cs="Arial" w:eastAsia="Arial" w:hAnsi="Arial"/>
                <w:sz w:val="18"/>
                <w:szCs w:val="18"/>
                <w:color w:val="auto"/>
                <w:w w:val="90"/>
              </w:rPr>
              <w:t>81.9%</w:t>
            </w:r>
          </w:p>
        </w:tc>
        <w:tc>
          <w:tcPr>
            <w:tcW w:w="640" w:type="dxa"/>
            <w:vAlign w:val="bottom"/>
            <w:shd w:val="clear" w:color="auto" w:fill="CEFFE7"/>
          </w:tcPr>
          <w:p>
            <w:pPr>
              <w:ind w:left="20"/>
              <w:spacing w:after="0"/>
              <w:rPr>
                <w:sz w:val="20"/>
                <w:szCs w:val="20"/>
                <w:color w:val="auto"/>
              </w:rPr>
            </w:pPr>
            <w:r>
              <w:rPr>
                <w:rFonts w:ascii="Arial" w:cs="Arial" w:eastAsia="Arial" w:hAnsi="Arial"/>
                <w:sz w:val="18"/>
                <w:szCs w:val="18"/>
                <w:color w:val="auto"/>
              </w:rPr>
              <w:t>N/A</w:t>
            </w:r>
          </w:p>
        </w:tc>
        <w:tc>
          <w:tcPr>
            <w:tcW w:w="164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rPr>
              <w:t>93.4%</w:t>
            </w:r>
          </w:p>
        </w:tc>
        <w:tc>
          <w:tcPr>
            <w:tcW w:w="1180" w:type="dxa"/>
            <w:vAlign w:val="bottom"/>
            <w:shd w:val="clear" w:color="auto" w:fill="CEFFE7"/>
          </w:tcPr>
          <w:p>
            <w:pPr>
              <w:ind w:left="680"/>
              <w:spacing w:after="0"/>
              <w:rPr>
                <w:sz w:val="20"/>
                <w:szCs w:val="20"/>
                <w:color w:val="auto"/>
              </w:rPr>
            </w:pPr>
            <w:r>
              <w:rPr>
                <w:rFonts w:ascii="Arial" w:cs="Arial" w:eastAsia="Arial" w:hAnsi="Arial"/>
                <w:sz w:val="18"/>
                <w:szCs w:val="18"/>
                <w:color w:val="auto"/>
              </w:rPr>
              <w:t>N/A</w:t>
            </w:r>
          </w:p>
        </w:tc>
      </w:tr>
      <w:tr>
        <w:trPr>
          <w:trHeight w:val="243"/>
        </w:trPr>
        <w:tc>
          <w:tcPr>
            <w:tcW w:w="6560" w:type="dxa"/>
            <w:vAlign w:val="bottom"/>
            <w:gridSpan w:val="3"/>
          </w:tcPr>
          <w:p>
            <w:pPr>
              <w:ind w:left="240"/>
              <w:spacing w:after="0"/>
              <w:rPr>
                <w:sz w:val="20"/>
                <w:szCs w:val="20"/>
                <w:color w:val="auto"/>
              </w:rPr>
            </w:pPr>
            <w:r>
              <w:rPr>
                <w:rFonts w:ascii="Arial" w:cs="Arial" w:eastAsia="Arial" w:hAnsi="Arial"/>
                <w:sz w:val="18"/>
                <w:szCs w:val="18"/>
                <w:color w:val="auto"/>
              </w:rPr>
              <w:t>Total availability</w:t>
            </w:r>
          </w:p>
        </w:tc>
        <w:tc>
          <w:tcPr>
            <w:tcW w:w="1400" w:type="dxa"/>
            <w:vAlign w:val="bottom"/>
          </w:tcPr>
          <w:p>
            <w:pPr>
              <w:jc w:val="right"/>
              <w:ind w:right="830"/>
              <w:spacing w:after="0"/>
              <w:rPr>
                <w:sz w:val="20"/>
                <w:szCs w:val="20"/>
                <w:color w:val="auto"/>
              </w:rPr>
            </w:pPr>
            <w:r>
              <w:rPr>
                <w:rFonts w:ascii="Arial" w:cs="Arial" w:eastAsia="Arial" w:hAnsi="Arial"/>
                <w:sz w:val="18"/>
                <w:szCs w:val="18"/>
                <w:color w:val="auto"/>
                <w:w w:val="90"/>
              </w:rPr>
              <w:t>93.6%</w:t>
            </w:r>
          </w:p>
        </w:tc>
        <w:tc>
          <w:tcPr>
            <w:tcW w:w="640" w:type="dxa"/>
            <w:vAlign w:val="bottom"/>
          </w:tcPr>
          <w:p>
            <w:pPr>
              <w:ind w:left="20"/>
              <w:spacing w:after="0"/>
              <w:rPr>
                <w:sz w:val="20"/>
                <w:szCs w:val="20"/>
                <w:color w:val="auto"/>
              </w:rPr>
            </w:pPr>
            <w:r>
              <w:rPr>
                <w:rFonts w:ascii="Arial" w:cs="Arial" w:eastAsia="Arial" w:hAnsi="Arial"/>
                <w:sz w:val="18"/>
                <w:szCs w:val="18"/>
                <w:color w:val="auto"/>
              </w:rPr>
              <w:t>98.9%</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96.5%</w:t>
            </w:r>
          </w:p>
        </w:tc>
        <w:tc>
          <w:tcPr>
            <w:tcW w:w="1180" w:type="dxa"/>
            <w:vAlign w:val="bottom"/>
          </w:tcPr>
          <w:p>
            <w:pPr>
              <w:ind w:left="680"/>
              <w:spacing w:after="0"/>
              <w:rPr>
                <w:sz w:val="20"/>
                <w:szCs w:val="20"/>
                <w:color w:val="auto"/>
              </w:rPr>
            </w:pPr>
            <w:r>
              <w:rPr>
                <w:rFonts w:ascii="Arial" w:cs="Arial" w:eastAsia="Arial" w:hAnsi="Arial"/>
                <w:sz w:val="18"/>
                <w:szCs w:val="18"/>
                <w:color w:val="auto"/>
                <w:w w:val="93"/>
              </w:rPr>
              <w:t>98.0%</w:t>
            </w:r>
          </w:p>
        </w:tc>
      </w:tr>
      <w:tr>
        <w:trPr>
          <w:trHeight w:val="27"/>
        </w:trPr>
        <w:tc>
          <w:tcPr>
            <w:tcW w:w="12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1220" w:type="dxa"/>
            <w:vAlign w:val="bottom"/>
            <w:shd w:val="clear" w:color="auto" w:fill="CEFFE7"/>
          </w:tcPr>
          <w:p>
            <w:pPr>
              <w:spacing w:after="0"/>
              <w:rPr>
                <w:sz w:val="19"/>
                <w:szCs w:val="19"/>
                <w:color w:val="auto"/>
              </w:rPr>
            </w:pPr>
          </w:p>
        </w:tc>
        <w:tc>
          <w:tcPr>
            <w:tcW w:w="4440" w:type="dxa"/>
            <w:vAlign w:val="bottom"/>
            <w:shd w:val="clear" w:color="auto" w:fill="CEFFE7"/>
          </w:tcPr>
          <w:p>
            <w:pPr>
              <w:spacing w:after="0"/>
              <w:rPr>
                <w:sz w:val="19"/>
                <w:szCs w:val="19"/>
                <w:color w:val="auto"/>
              </w:rPr>
            </w:pPr>
          </w:p>
        </w:tc>
        <w:tc>
          <w:tcPr>
            <w:tcW w:w="900" w:type="dxa"/>
            <w:vAlign w:val="bottom"/>
            <w:shd w:val="clear" w:color="auto" w:fill="CEFFE7"/>
          </w:tcPr>
          <w:p>
            <w:pPr>
              <w:spacing w:after="0"/>
              <w:rPr>
                <w:sz w:val="19"/>
                <w:szCs w:val="19"/>
                <w:color w:val="auto"/>
              </w:rPr>
            </w:pPr>
          </w:p>
        </w:tc>
        <w:tc>
          <w:tcPr>
            <w:tcW w:w="1400" w:type="dxa"/>
            <w:vAlign w:val="bottom"/>
            <w:shd w:val="clear" w:color="auto" w:fill="CEFFE7"/>
          </w:tcPr>
          <w:p>
            <w:pPr>
              <w:spacing w:after="0"/>
              <w:rPr>
                <w:sz w:val="19"/>
                <w:szCs w:val="19"/>
                <w:color w:val="auto"/>
              </w:rPr>
            </w:pPr>
          </w:p>
        </w:tc>
        <w:tc>
          <w:tcPr>
            <w:tcW w:w="640" w:type="dxa"/>
            <w:vAlign w:val="bottom"/>
            <w:shd w:val="clear" w:color="auto" w:fill="CEFFE7"/>
          </w:tcPr>
          <w:p>
            <w:pPr>
              <w:spacing w:after="0"/>
              <w:rPr>
                <w:sz w:val="19"/>
                <w:szCs w:val="19"/>
                <w:color w:val="auto"/>
              </w:rPr>
            </w:pPr>
          </w:p>
        </w:tc>
        <w:tc>
          <w:tcPr>
            <w:tcW w:w="1640" w:type="dxa"/>
            <w:vAlign w:val="bottom"/>
            <w:shd w:val="clear" w:color="auto" w:fill="CEFFE7"/>
          </w:tcPr>
          <w:p>
            <w:pPr>
              <w:spacing w:after="0"/>
              <w:rPr>
                <w:sz w:val="19"/>
                <w:szCs w:val="19"/>
                <w:color w:val="auto"/>
              </w:rPr>
            </w:pPr>
          </w:p>
        </w:tc>
        <w:tc>
          <w:tcPr>
            <w:tcW w:w="1180" w:type="dxa"/>
            <w:vAlign w:val="bottom"/>
            <w:shd w:val="clear" w:color="auto" w:fill="CEFFE7"/>
          </w:tcPr>
          <w:p>
            <w:pPr>
              <w:spacing w:after="0"/>
              <w:rPr>
                <w:sz w:val="19"/>
                <w:szCs w:val="19"/>
                <w:color w:val="auto"/>
              </w:rPr>
            </w:pPr>
          </w:p>
        </w:tc>
      </w:tr>
      <w:tr>
        <w:trPr>
          <w:trHeight w:val="247"/>
        </w:trPr>
        <w:tc>
          <w:tcPr>
            <w:tcW w:w="6560" w:type="dxa"/>
            <w:vAlign w:val="bottom"/>
            <w:gridSpan w:val="3"/>
          </w:tcPr>
          <w:p>
            <w:pPr>
              <w:ind w:left="240"/>
              <w:spacing w:after="0" w:line="247" w:lineRule="exact"/>
              <w:rPr>
                <w:sz w:val="20"/>
                <w:szCs w:val="20"/>
                <w:color w:val="auto"/>
              </w:rPr>
            </w:pPr>
            <w:r>
              <w:rPr>
                <w:rFonts w:ascii="Arial" w:cs="Arial" w:eastAsia="Arial" w:hAnsi="Arial"/>
                <w:sz w:val="18"/>
                <w:szCs w:val="18"/>
                <w:color w:val="auto"/>
              </w:rPr>
              <w:t xml:space="preserve">Wind capacity factor </w:t>
            </w:r>
            <w:r>
              <w:rPr>
                <w:rFonts w:ascii="Arial" w:cs="Arial" w:eastAsia="Arial" w:hAnsi="Arial"/>
                <w:sz w:val="25"/>
                <w:szCs w:val="25"/>
                <w:color w:val="auto"/>
                <w:vertAlign w:val="superscript"/>
              </w:rPr>
              <w:t>(b)</w:t>
            </w:r>
          </w:p>
        </w:tc>
        <w:tc>
          <w:tcPr>
            <w:tcW w:w="1400" w:type="dxa"/>
            <w:vAlign w:val="bottom"/>
          </w:tcPr>
          <w:p>
            <w:pPr>
              <w:jc w:val="right"/>
              <w:ind w:right="830"/>
              <w:spacing w:after="0"/>
              <w:rPr>
                <w:sz w:val="20"/>
                <w:szCs w:val="20"/>
                <w:color w:val="auto"/>
              </w:rPr>
            </w:pPr>
            <w:r>
              <w:rPr>
                <w:rFonts w:ascii="Arial" w:cs="Arial" w:eastAsia="Arial" w:hAnsi="Arial"/>
                <w:sz w:val="18"/>
                <w:szCs w:val="18"/>
                <w:color w:val="auto"/>
                <w:w w:val="90"/>
              </w:rPr>
              <w:t>15.0%</w:t>
            </w:r>
          </w:p>
        </w:tc>
        <w:tc>
          <w:tcPr>
            <w:tcW w:w="640" w:type="dxa"/>
            <w:vAlign w:val="bottom"/>
          </w:tcPr>
          <w:p>
            <w:pPr>
              <w:ind w:left="20"/>
              <w:spacing w:after="0"/>
              <w:rPr>
                <w:sz w:val="20"/>
                <w:szCs w:val="20"/>
                <w:color w:val="auto"/>
              </w:rPr>
            </w:pPr>
            <w:r>
              <w:rPr>
                <w:rFonts w:ascii="Arial" w:cs="Arial" w:eastAsia="Arial" w:hAnsi="Arial"/>
                <w:sz w:val="18"/>
                <w:szCs w:val="18"/>
                <w:color w:val="auto"/>
              </w:rPr>
              <w:t>N/A</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22.1%</w:t>
            </w:r>
          </w:p>
        </w:tc>
        <w:tc>
          <w:tcPr>
            <w:tcW w:w="1180" w:type="dxa"/>
            <w:vAlign w:val="bottom"/>
          </w:tcPr>
          <w:p>
            <w:pPr>
              <w:ind w:left="680"/>
              <w:spacing w:after="0"/>
              <w:rPr>
                <w:sz w:val="20"/>
                <w:szCs w:val="20"/>
                <w:color w:val="auto"/>
              </w:rPr>
            </w:pPr>
            <w:r>
              <w:rPr>
                <w:rFonts w:ascii="Arial" w:cs="Arial" w:eastAsia="Arial" w:hAnsi="Arial"/>
                <w:sz w:val="18"/>
                <w:szCs w:val="18"/>
                <w:color w:val="auto"/>
              </w:rPr>
              <w:t>N/A</w:t>
            </w:r>
          </w:p>
        </w:tc>
      </w:tr>
      <w:tr>
        <w:trPr>
          <w:trHeight w:val="190"/>
        </w:trPr>
        <w:tc>
          <w:tcPr>
            <w:tcW w:w="1220" w:type="dxa"/>
            <w:vAlign w:val="bottom"/>
          </w:tcPr>
          <w:p>
            <w:pPr>
              <w:spacing w:after="0"/>
              <w:rPr>
                <w:sz w:val="20"/>
                <w:szCs w:val="20"/>
                <w:color w:val="auto"/>
              </w:rPr>
            </w:pPr>
            <w:r>
              <w:rPr>
                <w:rFonts w:ascii="Arial" w:cs="Arial" w:eastAsia="Arial" w:hAnsi="Arial"/>
                <w:sz w:val="16"/>
                <w:szCs w:val="16"/>
                <w:color w:val="auto"/>
              </w:rPr>
              <w:t>____________</w:t>
            </w:r>
          </w:p>
        </w:tc>
        <w:tc>
          <w:tcPr>
            <w:tcW w:w="4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80" w:type="dxa"/>
            <w:vAlign w:val="bottom"/>
          </w:tcPr>
          <w:p>
            <w:pPr>
              <w:spacing w:after="0"/>
              <w:rPr>
                <w:sz w:val="16"/>
                <w:szCs w:val="16"/>
                <w:color w:val="auto"/>
              </w:rPr>
            </w:pPr>
          </w:p>
        </w:tc>
      </w:tr>
    </w:tbl>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2019 included a planned outage at Pueblo Airport Generating Station.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 from the prior year is driven by Black Hills Electric Generation’s acquisition of new wind assets.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Mining</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9"/>
        </w:trPr>
        <w:tc>
          <w:tcPr>
            <w:tcW w:w="56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5"/>
          </w:tcPr>
          <w:p>
            <w:pPr>
              <w:jc w:val="right"/>
              <w:ind w:right="290"/>
              <w:spacing w:after="0"/>
              <w:rPr>
                <w:sz w:val="20"/>
                <w:szCs w:val="20"/>
                <w:color w:val="auto"/>
              </w:rPr>
            </w:pPr>
            <w:r>
              <w:rPr>
                <w:rFonts w:ascii="Arial" w:cs="Arial" w:eastAsia="Arial" w:hAnsi="Arial"/>
                <w:sz w:val="18"/>
                <w:szCs w:val="18"/>
                <w:color w:val="auto"/>
                <w:w w:val="94"/>
              </w:rPr>
              <w:t>Three Months Ended September 30,</w:t>
            </w:r>
          </w:p>
        </w:tc>
        <w:tc>
          <w:tcPr>
            <w:tcW w:w="260" w:type="dxa"/>
            <w:vAlign w:val="bottom"/>
          </w:tcPr>
          <w:p>
            <w:pPr>
              <w:spacing w:after="0"/>
              <w:rPr>
                <w:sz w:val="24"/>
                <w:szCs w:val="24"/>
                <w:color w:val="auto"/>
              </w:rPr>
            </w:pPr>
          </w:p>
        </w:tc>
        <w:tc>
          <w:tcPr>
            <w:tcW w:w="3160" w:type="dxa"/>
            <w:vAlign w:val="bottom"/>
            <w:gridSpan w:val="5"/>
          </w:tcPr>
          <w:p>
            <w:pPr>
              <w:jc w:val="right"/>
              <w:ind w:right="330"/>
              <w:spacing w:after="0"/>
              <w:rPr>
                <w:sz w:val="20"/>
                <w:szCs w:val="20"/>
                <w:color w:val="auto"/>
              </w:rPr>
            </w:pPr>
            <w:r>
              <w:rPr>
                <w:rFonts w:ascii="Arial" w:cs="Arial" w:eastAsia="Arial" w:hAnsi="Arial"/>
                <w:sz w:val="18"/>
                <w:szCs w:val="18"/>
                <w:color w:val="auto"/>
                <w:w w:val="96"/>
              </w:rPr>
              <w:t>Nine Months Ended September 30,</w:t>
            </w:r>
          </w:p>
        </w:tc>
      </w:tr>
      <w:tr>
        <w:trPr>
          <w:trHeight w:val="270"/>
        </w:trPr>
        <w:tc>
          <w:tcPr>
            <w:tcW w:w="56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3"/>
                <w:szCs w:val="23"/>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w w:val="95"/>
              </w:rPr>
              <w:t>Variance</w:t>
            </w:r>
          </w:p>
        </w:tc>
        <w:tc>
          <w:tcPr>
            <w:tcW w:w="260" w:type="dxa"/>
            <w:vAlign w:val="bottom"/>
          </w:tcPr>
          <w:p>
            <w:pPr>
              <w:spacing w:after="0"/>
              <w:rPr>
                <w:sz w:val="23"/>
                <w:szCs w:val="23"/>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2"/>
              </w:rPr>
              <w:t>Variance</w:t>
            </w:r>
          </w:p>
        </w:tc>
      </w:tr>
      <w:tr>
        <w:trPr>
          <w:trHeight w:val="27"/>
        </w:trPr>
        <w:tc>
          <w:tcPr>
            <w:tcW w:w="5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3"/>
          </w:tcPr>
          <w:p>
            <w:pPr>
              <w:jc w:val="right"/>
              <w:ind w:right="51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5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15,552</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17,301</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(1,749)</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45,026</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51,328</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(6,302)</w:t>
            </w:r>
          </w:p>
        </w:tc>
      </w:tr>
      <w:tr>
        <w:trPr>
          <w:trHeight w:val="318"/>
        </w:trPr>
        <w:tc>
          <w:tcPr>
            <w:tcW w:w="5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9,900</w:t>
            </w:r>
          </w:p>
        </w:tc>
        <w:tc>
          <w:tcPr>
            <w:tcW w:w="3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10,761</w:t>
            </w:r>
          </w:p>
        </w:tc>
        <w:tc>
          <w:tcPr>
            <w:tcW w:w="22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(861)</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28,988</w:t>
            </w:r>
          </w:p>
        </w:tc>
        <w:tc>
          <w:tcPr>
            <w:tcW w:w="2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32,807</w:t>
            </w:r>
          </w:p>
        </w:tc>
        <w:tc>
          <w:tcPr>
            <w:tcW w:w="2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(3,819)</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2,278</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1,989</w:t>
            </w: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6,687</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5,874</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813</w:t>
            </w:r>
          </w:p>
        </w:tc>
      </w:tr>
      <w:tr>
        <w:trPr>
          <w:trHeight w:val="27"/>
        </w:trPr>
        <w:tc>
          <w:tcPr>
            <w:tcW w:w="560" w:type="dxa"/>
            <w:vAlign w:val="bottom"/>
            <w:tcBorders>
              <w:bottom w:val="single" w:sz="8" w:color="CEFFE7"/>
            </w:tcBorders>
          </w:tcPr>
          <w:p>
            <w:pPr>
              <w:spacing w:after="0"/>
              <w:rPr>
                <w:sz w:val="2"/>
                <w:szCs w:val="2"/>
                <w:color w:val="auto"/>
              </w:rPr>
            </w:pPr>
          </w:p>
        </w:tc>
        <w:tc>
          <w:tcPr>
            <w:tcW w:w="402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12,178</w:t>
            </w:r>
          </w:p>
        </w:tc>
        <w:tc>
          <w:tcPr>
            <w:tcW w:w="30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12,750</w:t>
            </w:r>
          </w:p>
        </w:tc>
        <w:tc>
          <w:tcPr>
            <w:tcW w:w="22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(572)</w:t>
            </w:r>
          </w:p>
        </w:tc>
        <w:tc>
          <w:tcPr>
            <w:tcW w:w="260" w:type="dxa"/>
            <w:vAlign w:val="bottom"/>
            <w:tcBorders>
              <w:bottom w:val="single" w:sz="8" w:color="CEFFE7"/>
            </w:tcBorders>
            <w:shd w:val="clear" w:color="auto" w:fill="CEFFE7"/>
          </w:tcPr>
          <w:p>
            <w:pPr>
              <w:spacing w:after="0"/>
              <w:rPr>
                <w:sz w:val="22"/>
                <w:szCs w:val="22"/>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35,675</w:t>
            </w:r>
          </w:p>
        </w:tc>
        <w:tc>
          <w:tcPr>
            <w:tcW w:w="2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38,681</w:t>
            </w:r>
          </w:p>
        </w:tc>
        <w:tc>
          <w:tcPr>
            <w:tcW w:w="24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(3,006)</w:t>
            </w:r>
          </w:p>
        </w:tc>
      </w:tr>
      <w:tr>
        <w:trPr>
          <w:trHeight w:val="318"/>
        </w:trPr>
        <w:tc>
          <w:tcPr>
            <w:tcW w:w="560" w:type="dxa"/>
            <w:vAlign w:val="bottom"/>
            <w:tcBorders>
              <w:bottom w:val="single" w:sz="8" w:color="CEFFE7"/>
            </w:tcBorders>
          </w:tcPr>
          <w:p>
            <w:pPr>
              <w:spacing w:after="0"/>
              <w:rPr>
                <w:sz w:val="24"/>
                <w:szCs w:val="24"/>
                <w:color w:val="auto"/>
              </w:rPr>
            </w:pPr>
          </w:p>
        </w:tc>
        <w:tc>
          <w:tcPr>
            <w:tcW w:w="4020" w:type="dxa"/>
            <w:vAlign w:val="bottom"/>
            <w:tcBorders>
              <w:bottom w:val="single" w:sz="8" w:color="CEFFE7"/>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r>
      <w:tr>
        <w:trPr>
          <w:trHeight w:val="257"/>
        </w:trPr>
        <w:tc>
          <w:tcPr>
            <w:tcW w:w="45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Adjusted operating income</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3,374</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4,551</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(1,177)</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9,351</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12,647</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(3,296)</w:t>
            </w:r>
          </w:p>
        </w:tc>
      </w:tr>
      <w:tr>
        <w:trPr>
          <w:trHeight w:val="20"/>
        </w:trPr>
        <w:tc>
          <w:tcPr>
            <w:tcW w:w="5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operating statistics for our Mining segment (in thousands, except for Revenue per ton):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3460" w:type="dxa"/>
            <w:vAlign w:val="bottom"/>
            <w:gridSpan w:val="4"/>
          </w:tcPr>
          <w:p>
            <w:pPr>
              <w:jc w:val="right"/>
              <w:ind w:right="330"/>
              <w:spacing w:after="0"/>
              <w:rPr>
                <w:sz w:val="20"/>
                <w:szCs w:val="20"/>
                <w:color w:val="auto"/>
              </w:rPr>
            </w:pPr>
            <w:r>
              <w:rPr>
                <w:rFonts w:ascii="Arial" w:cs="Arial" w:eastAsia="Arial" w:hAnsi="Arial"/>
                <w:sz w:val="18"/>
                <w:szCs w:val="18"/>
                <w:color w:val="auto"/>
              </w:rPr>
              <w:t>Three Months Ended September 30,</w:t>
            </w:r>
          </w:p>
        </w:tc>
        <w:tc>
          <w:tcPr>
            <w:tcW w:w="380" w:type="dxa"/>
            <w:vAlign w:val="bottom"/>
          </w:tcPr>
          <w:p>
            <w:pPr>
              <w:spacing w:after="0"/>
              <w:rPr>
                <w:sz w:val="20"/>
                <w:szCs w:val="20"/>
                <w:color w:val="auto"/>
              </w:rPr>
            </w:pPr>
          </w:p>
        </w:tc>
        <w:tc>
          <w:tcPr>
            <w:tcW w:w="3120" w:type="dxa"/>
            <w:vAlign w:val="bottom"/>
            <w:gridSpan w:val="3"/>
          </w:tcPr>
          <w:p>
            <w:pPr>
              <w:jc w:val="right"/>
              <w:ind w:right="330"/>
              <w:spacing w:after="0"/>
              <w:rPr>
                <w:sz w:val="20"/>
                <w:szCs w:val="20"/>
                <w:color w:val="auto"/>
              </w:rPr>
            </w:pPr>
            <w:r>
              <w:rPr>
                <w:rFonts w:ascii="Arial" w:cs="Arial" w:eastAsia="Arial" w:hAnsi="Arial"/>
                <w:sz w:val="18"/>
                <w:szCs w:val="18"/>
                <w:color w:val="auto"/>
                <w:w w:val="95"/>
              </w:rPr>
              <w:t>Nine Months Ended September 30,</w:t>
            </w:r>
          </w:p>
        </w:tc>
      </w:tr>
      <w:tr>
        <w:trPr>
          <w:trHeight w:val="270"/>
        </w:trPr>
        <w:tc>
          <w:tcPr>
            <w:tcW w:w="44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3"/>
                <w:szCs w:val="23"/>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3"/>
                <w:szCs w:val="23"/>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2018</w:t>
            </w:r>
          </w:p>
        </w:tc>
      </w:tr>
      <w:tr>
        <w:trPr>
          <w:trHeight w:val="27"/>
        </w:trPr>
        <w:tc>
          <w:tcPr>
            <w:tcW w:w="4460" w:type="dxa"/>
            <w:vAlign w:val="bottom"/>
            <w:tcBorders>
              <w:bottom w:val="single" w:sz="8" w:color="CEFFE7"/>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Tons of coal sold</w:t>
            </w:r>
          </w:p>
        </w:tc>
        <w:tc>
          <w:tcPr>
            <w:tcW w:w="114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969</w:t>
            </w:r>
          </w:p>
        </w:tc>
        <w:tc>
          <w:tcPr>
            <w:tcW w:w="4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1,078</w:t>
            </w:r>
          </w:p>
        </w:tc>
        <w:tc>
          <w:tcPr>
            <w:tcW w:w="38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2,720</w:t>
            </w:r>
          </w:p>
        </w:tc>
        <w:tc>
          <w:tcPr>
            <w:tcW w:w="44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3,119</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Cubic yards of overburden moved</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2,341</w:t>
            </w:r>
          </w:p>
        </w:tc>
        <w:tc>
          <w:tcPr>
            <w:tcW w:w="4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2,361</w:t>
            </w:r>
          </w:p>
        </w:tc>
        <w:tc>
          <w:tcPr>
            <w:tcW w:w="3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6,380</w:t>
            </w:r>
          </w:p>
        </w:tc>
        <w:tc>
          <w:tcPr>
            <w:tcW w:w="4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6,763</w:t>
            </w:r>
          </w:p>
        </w:tc>
      </w:tr>
      <w:tr>
        <w:trPr>
          <w:trHeight w:val="27"/>
        </w:trPr>
        <w:tc>
          <w:tcPr>
            <w:tcW w:w="4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46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560" w:type="dxa"/>
            <w:vAlign w:val="bottom"/>
            <w:shd w:val="clear" w:color="auto" w:fill="CEFFE7"/>
          </w:tcPr>
          <w:p>
            <w:pPr>
              <w:spacing w:after="0"/>
              <w:rPr>
                <w:sz w:val="24"/>
                <w:szCs w:val="24"/>
                <w:color w:val="auto"/>
              </w:rPr>
            </w:pPr>
          </w:p>
        </w:tc>
        <w:tc>
          <w:tcPr>
            <w:tcW w:w="44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380" w:type="dxa"/>
            <w:vAlign w:val="bottom"/>
            <w:shd w:val="clear" w:color="auto" w:fill="CEFFE7"/>
          </w:tcPr>
          <w:p>
            <w:pPr>
              <w:spacing w:after="0"/>
              <w:rPr>
                <w:sz w:val="24"/>
                <w:szCs w:val="24"/>
                <w:color w:val="auto"/>
              </w:rPr>
            </w:pPr>
          </w:p>
        </w:tc>
        <w:tc>
          <w:tcPr>
            <w:tcW w:w="440" w:type="dxa"/>
            <w:vAlign w:val="bottom"/>
            <w:shd w:val="clear" w:color="auto" w:fill="CEFFE7"/>
          </w:tcPr>
          <w:p>
            <w:pPr>
              <w:spacing w:after="0"/>
              <w:rPr>
                <w:sz w:val="24"/>
                <w:szCs w:val="24"/>
                <w:color w:val="auto"/>
              </w:rPr>
            </w:pPr>
          </w:p>
        </w:tc>
        <w:tc>
          <w:tcPr>
            <w:tcW w:w="1300" w:type="dxa"/>
            <w:vAlign w:val="bottom"/>
            <w:shd w:val="clear" w:color="auto" w:fill="CEFFE7"/>
          </w:tcPr>
          <w:p>
            <w:pPr>
              <w:spacing w:after="0"/>
              <w:rPr>
                <w:sz w:val="24"/>
                <w:szCs w:val="24"/>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Revenue per ton</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15.47</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15.54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15.90</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15.92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Mining for the Three Months Ended September 30, 2019 Compared to the Three Months Ended September 30, 2018:</w:t>
      </w:r>
    </w:p>
    <w:p>
      <w:pPr>
        <w:spacing w:after="0" w:line="24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Current year revenue decreased due to 10% fewer tons sold driven primarily by unplanned generation facility outages. Operating expenses decreased primarily due to lower royalties and production taxes on decreased revenues.</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Mining for the Nine Months Ended September 30, 2019 Compared to the Nine Months Ended September 30, 2018:</w:t>
      </w:r>
    </w:p>
    <w:p>
      <w:pPr>
        <w:spacing w:after="0" w:line="24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Current year revenue decreased due to 13% fewer tons sold driven primarily by planned and unplanned generation facility outages. Operating expenses decreased primarily due to lower royalties and production taxes on decreased revenues and lower fuel, labor and major maintenance expenses.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8"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4"/>
        </w:trPr>
        <w:tc>
          <w:tcPr>
            <w:tcW w:w="458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Corporate and Other</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5"/>
          </w:tcPr>
          <w:p>
            <w:pPr>
              <w:jc w:val="center"/>
              <w:ind w:right="90"/>
              <w:spacing w:after="0"/>
              <w:rPr>
                <w:sz w:val="20"/>
                <w:szCs w:val="20"/>
                <w:color w:val="auto"/>
              </w:rPr>
            </w:pPr>
            <w:r>
              <w:rPr>
                <w:rFonts w:ascii="Arial" w:cs="Arial" w:eastAsia="Arial" w:hAnsi="Arial"/>
                <w:sz w:val="18"/>
                <w:szCs w:val="18"/>
                <w:color w:val="auto"/>
                <w:w w:val="89"/>
              </w:rPr>
              <w:t>Three Months Ended September 30,</w:t>
            </w:r>
          </w:p>
        </w:tc>
        <w:tc>
          <w:tcPr>
            <w:tcW w:w="280" w:type="dxa"/>
            <w:vAlign w:val="bottom"/>
          </w:tcPr>
          <w:p>
            <w:pPr>
              <w:spacing w:after="0"/>
              <w:rPr>
                <w:sz w:val="24"/>
                <w:szCs w:val="24"/>
                <w:color w:val="auto"/>
              </w:rPr>
            </w:pPr>
          </w:p>
        </w:tc>
        <w:tc>
          <w:tcPr>
            <w:tcW w:w="3160" w:type="dxa"/>
            <w:vAlign w:val="bottom"/>
            <w:gridSpan w:val="5"/>
          </w:tcPr>
          <w:p>
            <w:pPr>
              <w:jc w:val="center"/>
              <w:ind w:right="130"/>
              <w:spacing w:after="0"/>
              <w:rPr>
                <w:sz w:val="20"/>
                <w:szCs w:val="20"/>
                <w:color w:val="auto"/>
              </w:rPr>
            </w:pPr>
            <w:r>
              <w:rPr>
                <w:rFonts w:ascii="Arial" w:cs="Arial" w:eastAsia="Arial" w:hAnsi="Arial"/>
                <w:sz w:val="18"/>
                <w:szCs w:val="18"/>
                <w:color w:val="auto"/>
                <w:w w:val="90"/>
              </w:rPr>
              <w:t>Nine Months Ended September 30,</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3"/>
                <w:szCs w:val="23"/>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w w:val="95"/>
              </w:rPr>
              <w:t>Variance</w:t>
            </w:r>
          </w:p>
        </w:tc>
        <w:tc>
          <w:tcPr>
            <w:tcW w:w="28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2"/>
              </w:rPr>
              <w:t>Variance</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3"/>
          </w:tcPr>
          <w:p>
            <w:pPr>
              <w:jc w:val="right"/>
              <w:ind w:right="53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EFFE7"/>
            </w:tcBorders>
            <w:gridSpan w:val="3"/>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Adjusted operating income (loss)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(439)</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(2,709)</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0"/>
        </w:trPr>
        <w:tc>
          <w:tcPr>
            <w:tcW w:w="1560" w:type="dxa"/>
            <w:vAlign w:val="bottom"/>
            <w:gridSpan w:val="2"/>
            <w:vMerge w:val="restart"/>
          </w:tcPr>
          <w:p>
            <w:pPr>
              <w:spacing w:after="0"/>
              <w:rPr>
                <w:sz w:val="20"/>
                <w:szCs w:val="20"/>
                <w:color w:val="auto"/>
              </w:rPr>
            </w:pPr>
            <w:r>
              <w:rPr>
                <w:rFonts w:ascii="Arial" w:cs="Arial" w:eastAsia="Arial" w:hAnsi="Arial"/>
                <w:sz w:val="18"/>
                <w:szCs w:val="18"/>
                <w:color w:val="auto"/>
                <w:w w:val="96"/>
              </w:rPr>
              <w:t>________________</w:t>
            </w:r>
          </w:p>
        </w:tc>
        <w:tc>
          <w:tcPr>
            <w:tcW w:w="30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60" w:type="dxa"/>
            <w:vAlign w:val="bottom"/>
            <w:gridSpan w:val="2"/>
            <w:vMerge w:val="continue"/>
          </w:tcPr>
          <w:p>
            <w:pPr>
              <w:spacing w:after="0"/>
              <w:rPr>
                <w:sz w:val="17"/>
                <w:szCs w:val="17"/>
                <w:color w:val="auto"/>
              </w:rPr>
            </w:pPr>
          </w:p>
        </w:tc>
        <w:tc>
          <w:tcPr>
            <w:tcW w:w="30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520" w:hanging="332"/>
        <w:spacing w:after="0" w:line="254"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Due to the changes in our segment disclosures as discussed in Note 3 of the Notes to Condensed Consolidated Financial Statements, Corporate and Other Adjusted operating income (loss) was revised for the three and nine months ended September 30, 2018, which resulted in a decrease of $(0.2) million and $(0.4) million, respectively.</w:t>
      </w:r>
    </w:p>
    <w:p>
      <w:pPr>
        <w:spacing w:after="0" w:line="154"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Results of Operations for Corporate and Other for the Nine Months Ended September 30, 2019 Compared to the Three and Nine Months Ended September 30, 2018:</w:t>
      </w:r>
    </w:p>
    <w:p>
      <w:pPr>
        <w:spacing w:after="0" w:line="1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variance in Adjusted operating income (loss) was primarily due to prior year expenses related to the oil and gas segment that were not reclassified to discontinued operations.</w:t>
      </w:r>
    </w:p>
    <w:p>
      <w:pPr>
        <w:spacing w:after="0" w:line="38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Consolidated Interest expense, Impairment of investment, Other income (expense) and Income tax benefit (expense) for the Three Months Ended September 30, 2019 Compared to the Three Months Ended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Investment</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For the three months ended September 30, 2019, we recorded a non-cash write-down of $20 million in our investment in equity securities of a privately held oil and gas company. The impairment was triggered by a deterioration in earnings performance of the privately held oil and gas company and an adverse change in future natural gas prices. See Note 21 of the Notes to Condensed Consolidated Financial Statements for additional details.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 (Expense)</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Income tax benefit (expense) for the three months ended September 30, 2019 was $(2.5) million compared to $(7.5) million for the same period in 2018. The decrease in tax expense was primarily due to a prior year $(5.3) million income tax expense associated with changes in the previously estimated impact of tax reform on deferred income taxes.</w:t>
      </w:r>
    </w:p>
    <w:p>
      <w:pPr>
        <w:spacing w:after="0" w:line="18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For the three months ended September 30, 2019 the effective tax rate was 14.0% compared to 7.6% excluding the tax reform adjustments, for the same period in 2018. The higher effective tax rate is primarily due to a prior year state tax benefit.</w:t>
      </w:r>
    </w:p>
    <w:p>
      <w:pPr>
        <w:spacing w:after="0" w:line="166"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Consolidated Interest expense, Impairment of investment, Other income (expense) and Income tax benefit (expense) for the Nine Months Ended September 30, 2019 Compared to the Nine Months Ended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Investment</w:t>
      </w:r>
    </w:p>
    <w:p>
      <w:pPr>
        <w:spacing w:after="0" w:line="22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For the nine months ended September 30, 2019, we recorded a non-cash write-down of $20 million in our investment in equity securities of a privately held oil and gas company. The impairment was triggered by a deterioration in earnings performance of the privately held oil and gas company and an adverse change in future natural gas prices. See Note 21 of the Notes to Condensed Consolidated Financial Statements for additional details.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Benefit (Expense)</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Income tax benefit (expense) for the nine months ended September 30, 2019 was $(22) million compared to $12 million reported for the same period in 2018. The increase in tax expense was primarily due to a prior year $49 million tax benefit resulting from legal entity restructuring partially offset by a prior year $(7.5) million income tax expense associated with changes in the previously estimated impact of tax reform on deferred income taxes.</w:t>
      </w:r>
    </w:p>
    <w:p>
      <w:pPr>
        <w:spacing w:after="0" w:line="16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For the nine months ended September 30, 2019 the effective tax rate was 13.6% compared to 17.1% excluding the legal entity restructuring and tax reform adjustments, for the same period in 2018. The lower effective tax rate is primarily due to $5.0 million of federal production tax credits and related state investment tax credits associated with new wind assets, a $1.0 million tax benefit for deferred tax amortization related to tax reform.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in our critical accounting estimates from those reported in our 2018 Annual Report on Form 10-K filed with the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our critical accounting estimates, see Part II, Item 7 of our 2018 Annual Report on Form 10-K.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have been no material changes in Liquidity and Capital Resources from those reported in Item 7 of our 2018 Annual Report on Form 10-K filed with the SEC except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Requirements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 At September 30, 2019, we had sufficient liquidity to cover collateral that could be required to be posted under these contracts.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TCJA required revaluation of federal deferred tax assets and liabilities using the new lower corporate tax rate of 21%. We have reached agreements with regulators in seven states and are working with FERC regarding returning benefits to customers. Our working capital requirements increased as a result of complying with the TCJA and providing the benefits of the TCJA to customers. These agreements will negatively impact our cash flows by approximately $40 million to $45 million per year for each of the next several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September 30, 2019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50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r>
      <w:tr>
        <w:trPr>
          <w:trHeight w:val="27"/>
        </w:trPr>
        <w:tc>
          <w:tcPr>
            <w:tcW w:w="38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Operating activities</w:t>
            </w:r>
          </w:p>
        </w:tc>
        <w:tc>
          <w:tcPr>
            <w:tcW w:w="350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386,075</w:t>
            </w:r>
          </w:p>
        </w:tc>
        <w:tc>
          <w:tcPr>
            <w:tcW w:w="3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378,722</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7,353</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5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(593,272)</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(281,771)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(311,501)</w:t>
            </w:r>
          </w:p>
        </w:tc>
      </w:tr>
      <w:tr>
        <w:trPr>
          <w:trHeight w:val="27"/>
        </w:trPr>
        <w:tc>
          <w:tcPr>
            <w:tcW w:w="38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Financing activities</w:t>
            </w:r>
          </w:p>
        </w:tc>
        <w:tc>
          <w:tcPr>
            <w:tcW w:w="350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199,827</w:t>
            </w:r>
          </w:p>
        </w:tc>
        <w:tc>
          <w:tcPr>
            <w:tcW w:w="3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(101,949)</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301,776</w:t>
            </w:r>
          </w:p>
        </w:tc>
      </w:tr>
      <w:tr>
        <w:trPr>
          <w:trHeight w:val="675"/>
        </w:trPr>
        <w:tc>
          <w:tcPr>
            <w:tcW w:w="3820" w:type="dxa"/>
            <w:vAlign w:val="bottom"/>
          </w:tcPr>
          <w:p>
            <w:pPr>
              <w:spacing w:after="0"/>
              <w:rPr>
                <w:sz w:val="24"/>
                <w:szCs w:val="24"/>
                <w:color w:val="auto"/>
              </w:rPr>
            </w:pPr>
          </w:p>
        </w:tc>
        <w:tc>
          <w:tcPr>
            <w:tcW w:w="3500" w:type="dxa"/>
            <w:vAlign w:val="bottom"/>
          </w:tcPr>
          <w:p>
            <w:pPr>
              <w:jc w:val="right"/>
              <w:ind w:right="1430"/>
              <w:spacing w:after="0"/>
              <w:rPr>
                <w:sz w:val="20"/>
                <w:szCs w:val="20"/>
                <w:color w:val="auto"/>
              </w:rPr>
            </w:pPr>
            <w:r>
              <w:rPr>
                <w:rFonts w:ascii="Arial" w:cs="Arial" w:eastAsia="Arial" w:hAnsi="Arial"/>
                <w:sz w:val="18"/>
                <w:szCs w:val="18"/>
                <w:color w:val="auto"/>
              </w:rPr>
              <w:t>53</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2019 Compared to Year-to-Date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Net cash provided by operating activities was $386 million for the nine months ended September 30, 2019, compared to net cash provided by operating activities of $379 million for the same period in 2018 for an increase of $7 million. The variance was primarily attributable to:</w:t>
      </w:r>
    </w:p>
    <w:p>
      <w:pPr>
        <w:spacing w:after="0" w:line="147" w:lineRule="exact"/>
        <w:rPr>
          <w:sz w:val="20"/>
          <w:szCs w:val="20"/>
          <w:color w:val="auto"/>
        </w:rPr>
      </w:pPr>
    </w:p>
    <w:p>
      <w:pPr>
        <w:ind w:left="660" w:right="24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 earnings (income from continuing operations plus non-cash adjustments) were $19 million higher for the nine months ended September 30, 2019 compared to the same period in the prior year;</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cash inflows from changes in operating assets and liabilities were $28 million for the nine months ended September 30, 2019, compared to net cash inflows of $42 million in the same period in the prior year. This $14 million decrease was primarily due to:</w:t>
      </w:r>
    </w:p>
    <w:p>
      <w:pPr>
        <w:spacing w:after="0" w:line="170" w:lineRule="exact"/>
        <w:rPr>
          <w:rFonts w:ascii="Arial" w:cs="Arial" w:eastAsia="Arial" w:hAnsi="Arial"/>
          <w:sz w:val="18"/>
          <w:szCs w:val="18"/>
          <w:color w:val="auto"/>
        </w:rPr>
      </w:pPr>
    </w:p>
    <w:p>
      <w:pPr>
        <w:ind w:left="1140" w:right="240" w:hanging="322"/>
        <w:spacing w:after="0" w:line="277"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Cash inflows increased by approximately $48 million primarily as a result of higher collections of accounts receivable for the nine months ended September 30, 2019 compared to the same period in the prior year;</w:t>
      </w:r>
    </w:p>
    <w:p>
      <w:pPr>
        <w:spacing w:after="0" w:line="170" w:lineRule="exact"/>
        <w:rPr>
          <w:rFonts w:ascii="Arial" w:cs="Arial" w:eastAsia="Arial" w:hAnsi="Arial"/>
          <w:sz w:val="18"/>
          <w:szCs w:val="18"/>
          <w:color w:val="auto"/>
        </w:rPr>
      </w:pPr>
    </w:p>
    <w:p>
      <w:pPr>
        <w:ind w:left="1140" w:right="320" w:hanging="322"/>
        <w:spacing w:after="0" w:line="277"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Cash outflows increased by approximately $3 million as a result of decreases in accounts payable and accrued liabilities driven by higher employee costs and other working capital requirements; and</w:t>
      </w:r>
    </w:p>
    <w:p>
      <w:pPr>
        <w:spacing w:after="0" w:line="170" w:lineRule="exact"/>
        <w:rPr>
          <w:rFonts w:ascii="Arial" w:cs="Arial" w:eastAsia="Arial" w:hAnsi="Arial"/>
          <w:sz w:val="18"/>
          <w:szCs w:val="18"/>
          <w:color w:val="auto"/>
        </w:rPr>
      </w:pPr>
    </w:p>
    <w:p>
      <w:pPr>
        <w:ind w:left="1140" w:right="180" w:hanging="322"/>
        <w:spacing w:after="0" w:line="308" w:lineRule="auto"/>
        <w:tabs>
          <w:tab w:leader="none" w:pos="11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Cash inflows decreased by approximately $66 million as a result of changes in the timing of recovery from fuel cost adjustments as well as revenue reserved in the prior year due to the TCJA tax rate change that has subsequently been returned to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Net cash used in investing activities was $593 million for the nine months ended September 30, 2019, compared to net cash used in investing activities of $282 million for the same period in 2018 for a variance of $311 million. The variance was primarily attributable to:</w:t>
      </w:r>
    </w:p>
    <w:p>
      <w:pPr>
        <w:spacing w:after="0" w:line="170" w:lineRule="exact"/>
        <w:rPr>
          <w:sz w:val="20"/>
          <w:szCs w:val="20"/>
          <w:color w:val="auto"/>
        </w:rPr>
      </w:pPr>
    </w:p>
    <w:p>
      <w:pPr>
        <w:ind w:left="660" w:hanging="328"/>
        <w:spacing w:after="0" w:line="25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Capital expenditures of approximately $593 million for the nine months ended September 30, 2019 compared to $278 million for the same period in the prior year. Higher current year expenditures are driven by higher programmatic safety, reliability and integrity spending at our Gas Utilities and Electric Utilities segments, the 35-mile Natural Bridge pipeline project at our Gas Utilities segment, the Busch Ranch II wind project at our Power Generation segment and construction of the final segment of the 175-mile transmission line from Rapid City, South Dakota, to Stegall, Nebraska at our Electric Utilities segment.</w:t>
      </w:r>
    </w:p>
    <w:p>
      <w:pPr>
        <w:spacing w:after="0" w:line="188"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$24 million investment made in the prior year partially offset by an $18 million change in net cash provided by investing activities from discontinued operations primarily due to the prior year sale of assets held for sale.</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126" w:right="31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cash provided by financing activities for the nine months ended September 30, 2019 was $200 million, compared to $102 million of net cash used in financing activities for the same period in 2018 for a variance of $302 million. This variance is primarily due to:</w:t>
      </w:r>
    </w:p>
    <w:p>
      <w:pPr>
        <w:spacing w:after="0" w:line="170"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amended our Corporate term loan due July 30, 2020, which increased our debt to $400 million from $300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Current year issuance of common stock for net proceeds of $99 million through our ATM equity offering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Current year net short-term borrowings of $109 million driven by increased capital expenditures;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prior year, $99 million of net proceeds from the August 17, 2018 debt transaction was used to repay short-term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$15 million of higher current year dividend payments; and</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Payments for other financing activities decreased by $8.4 million, which was primarily driven by prior year financing costs associated with the July 30, 2018 and August 17, 2018 debt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Dividends paid on our common stock totaled $92 million for the nine months ended September 30, 2019, or $0.505 per share per quarter. On October 31, 2019, our board of directors declared a quarterly dividend of $0.535 per share payable December 1, 2019, equivalent to an annual dividend of $2.14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 and Short-Term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 and CP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had the following borrowings, outstanding letters of credit, and available capacity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89"/>
              </w:rPr>
              <w:t>Current</w:t>
            </w:r>
          </w:p>
        </w:tc>
        <w:tc>
          <w:tcPr>
            <w:tcW w:w="16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Short-term borrowings at</w:t>
            </w:r>
          </w:p>
        </w:tc>
        <w:tc>
          <w:tcPr>
            <w:tcW w:w="240" w:type="dxa"/>
            <w:vAlign w:val="bottom"/>
          </w:tcPr>
          <w:p>
            <w:pPr>
              <w:spacing w:after="0"/>
              <w:rPr>
                <w:sz w:val="20"/>
                <w:szCs w:val="20"/>
                <w:color w:val="auto"/>
              </w:rPr>
            </w:pPr>
          </w:p>
        </w:tc>
        <w:tc>
          <w:tcPr>
            <w:tcW w:w="1800" w:type="dxa"/>
            <w:vAlign w:val="bottom"/>
          </w:tcPr>
          <w:p>
            <w:pPr>
              <w:jc w:val="center"/>
              <w:ind w:right="70"/>
              <w:spacing w:after="0"/>
              <w:rPr>
                <w:sz w:val="20"/>
                <w:szCs w:val="20"/>
                <w:color w:val="auto"/>
              </w:rPr>
            </w:pPr>
            <w:r>
              <w:rPr>
                <w:rFonts w:ascii="Arial" w:cs="Arial" w:eastAsia="Arial" w:hAnsi="Arial"/>
                <w:sz w:val="18"/>
                <w:szCs w:val="18"/>
                <w:color w:val="auto"/>
                <w:w w:val="91"/>
              </w:rPr>
              <w:t>Letters of Credit at</w:t>
            </w:r>
          </w:p>
        </w:tc>
        <w:tc>
          <w:tcPr>
            <w:tcW w:w="240" w:type="dxa"/>
            <w:vAlign w:val="bottom"/>
          </w:tcPr>
          <w:p>
            <w:pPr>
              <w:spacing w:after="0"/>
              <w:rPr>
                <w:sz w:val="20"/>
                <w:szCs w:val="20"/>
                <w:color w:val="auto"/>
              </w:rPr>
            </w:pPr>
          </w:p>
        </w:tc>
        <w:tc>
          <w:tcPr>
            <w:tcW w:w="1860" w:type="dxa"/>
            <w:vAlign w:val="bottom"/>
          </w:tcPr>
          <w:p>
            <w:pPr>
              <w:jc w:val="center"/>
              <w:ind w:right="110"/>
              <w:spacing w:after="0"/>
              <w:rPr>
                <w:sz w:val="20"/>
                <w:szCs w:val="20"/>
                <w:color w:val="auto"/>
              </w:rPr>
            </w:pPr>
            <w:r>
              <w:rPr>
                <w:rFonts w:ascii="Arial" w:cs="Arial" w:eastAsia="Arial" w:hAnsi="Arial"/>
                <w:sz w:val="18"/>
                <w:szCs w:val="18"/>
                <w:color w:val="auto"/>
                <w:w w:val="91"/>
              </w:rPr>
              <w:t>Available Capacity at</w:t>
            </w:r>
          </w:p>
        </w:tc>
      </w:tr>
      <w:tr>
        <w:trPr>
          <w:trHeight w:val="270"/>
        </w:trPr>
        <w:tc>
          <w:tcPr>
            <w:tcW w:w="2660" w:type="dxa"/>
            <w:vAlign w:val="bottom"/>
          </w:tcPr>
          <w:p>
            <w:pPr>
              <w:ind w:left="40"/>
              <w:spacing w:after="0"/>
              <w:rPr>
                <w:sz w:val="20"/>
                <w:szCs w:val="20"/>
                <w:color w:val="auto"/>
              </w:rPr>
            </w:pPr>
            <w:r>
              <w:rPr>
                <w:rFonts w:ascii="Arial" w:cs="Arial" w:eastAsia="Arial" w:hAnsi="Arial"/>
                <w:sz w:val="18"/>
                <w:szCs w:val="18"/>
                <w:color w:val="auto"/>
              </w:rPr>
              <w:t>Credit Facility</w:t>
            </w:r>
          </w:p>
        </w:tc>
        <w:tc>
          <w:tcPr>
            <w:tcW w:w="1280" w:type="dxa"/>
            <w:vAlign w:val="bottom"/>
          </w:tcPr>
          <w:p>
            <w:pPr>
              <w:jc w:val="center"/>
              <w:ind w:left="70"/>
              <w:spacing w:after="0"/>
              <w:rPr>
                <w:sz w:val="20"/>
                <w:szCs w:val="20"/>
                <w:color w:val="auto"/>
              </w:rPr>
            </w:pPr>
            <w:r>
              <w:rPr>
                <w:rFonts w:ascii="Arial" w:cs="Arial" w:eastAsia="Arial" w:hAnsi="Arial"/>
                <w:sz w:val="18"/>
                <w:szCs w:val="18"/>
                <w:color w:val="auto"/>
                <w:w w:val="94"/>
              </w:rPr>
              <w:t>Expiration</w:t>
            </w:r>
          </w:p>
        </w:tc>
        <w:tc>
          <w:tcPr>
            <w:tcW w:w="280" w:type="dxa"/>
            <w:vAlign w:val="bottom"/>
          </w:tcPr>
          <w:p>
            <w:pPr>
              <w:spacing w:after="0"/>
              <w:rPr>
                <w:sz w:val="23"/>
                <w:szCs w:val="23"/>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Capacity</w:t>
            </w:r>
          </w:p>
        </w:tc>
        <w:tc>
          <w:tcPr>
            <w:tcW w:w="16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September 30, 2019</w:t>
            </w:r>
          </w:p>
        </w:tc>
        <w:tc>
          <w:tcPr>
            <w:tcW w:w="240" w:type="dxa"/>
            <w:vAlign w:val="bottom"/>
          </w:tcPr>
          <w:p>
            <w:pPr>
              <w:spacing w:after="0"/>
              <w:rPr>
                <w:sz w:val="23"/>
                <w:szCs w:val="23"/>
                <w:color w:val="auto"/>
              </w:rPr>
            </w:pPr>
          </w:p>
        </w:tc>
        <w:tc>
          <w:tcPr>
            <w:tcW w:w="1800" w:type="dxa"/>
            <w:vAlign w:val="bottom"/>
          </w:tcPr>
          <w:p>
            <w:pPr>
              <w:jc w:val="center"/>
              <w:ind w:right="70"/>
              <w:spacing w:after="0"/>
              <w:rPr>
                <w:sz w:val="20"/>
                <w:szCs w:val="20"/>
                <w:color w:val="auto"/>
              </w:rPr>
            </w:pPr>
            <w:r>
              <w:rPr>
                <w:rFonts w:ascii="Arial" w:cs="Arial" w:eastAsia="Arial" w:hAnsi="Arial"/>
                <w:sz w:val="18"/>
                <w:szCs w:val="18"/>
                <w:color w:val="auto"/>
                <w:w w:val="88"/>
              </w:rPr>
              <w:t>September 30, 2019</w:t>
            </w:r>
          </w:p>
        </w:tc>
        <w:tc>
          <w:tcPr>
            <w:tcW w:w="240" w:type="dxa"/>
            <w:vAlign w:val="bottom"/>
          </w:tcPr>
          <w:p>
            <w:pPr>
              <w:spacing w:after="0"/>
              <w:rPr>
                <w:sz w:val="23"/>
                <w:szCs w:val="23"/>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color w:val="auto"/>
                <w:w w:val="88"/>
              </w:rPr>
              <w:t>September 30, 2019</w:t>
            </w:r>
          </w:p>
        </w:tc>
      </w:tr>
      <w:tr>
        <w:trPr>
          <w:trHeight w:val="27"/>
        </w:trPr>
        <w:tc>
          <w:tcPr>
            <w:tcW w:w="2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2"/>
        </w:trPr>
        <w:tc>
          <w:tcPr>
            <w:tcW w:w="2660" w:type="dxa"/>
            <w:vAlign w:val="bottom"/>
            <w:shd w:val="clear" w:color="auto" w:fill="CEFFE7"/>
          </w:tcPr>
          <w:p>
            <w:pPr>
              <w:ind w:left="40"/>
              <w:spacing w:after="0"/>
              <w:rPr>
                <w:sz w:val="20"/>
                <w:szCs w:val="20"/>
                <w:color w:val="auto"/>
              </w:rPr>
            </w:pPr>
            <w:r>
              <w:rPr>
                <w:rFonts w:ascii="Arial" w:cs="Arial" w:eastAsia="Arial" w:hAnsi="Arial"/>
                <w:sz w:val="18"/>
                <w:szCs w:val="18"/>
                <w:color w:val="auto"/>
              </w:rPr>
              <w:t>Revolving Credit Facility and CP</w:t>
            </w:r>
          </w:p>
        </w:tc>
        <w:tc>
          <w:tcPr>
            <w:tcW w:w="128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100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9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8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860" w:type="dxa"/>
            <w:vAlign w:val="bottom"/>
            <w:shd w:val="clear" w:color="auto" w:fill="CEFFE7"/>
          </w:tcPr>
          <w:p>
            <w:pPr>
              <w:spacing w:after="0"/>
              <w:rPr>
                <w:sz w:val="19"/>
                <w:szCs w:val="19"/>
                <w:color w:val="auto"/>
              </w:rPr>
            </w:pPr>
          </w:p>
        </w:tc>
      </w:tr>
      <w:tr>
        <w:trPr>
          <w:trHeight w:val="230"/>
        </w:trPr>
        <w:tc>
          <w:tcPr>
            <w:tcW w:w="2660" w:type="dxa"/>
            <w:vAlign w:val="bottom"/>
            <w:shd w:val="clear" w:color="auto" w:fill="CEFFE7"/>
          </w:tcPr>
          <w:p>
            <w:pPr>
              <w:ind w:left="40"/>
              <w:spacing w:after="0"/>
              <w:rPr>
                <w:sz w:val="20"/>
                <w:szCs w:val="20"/>
                <w:color w:val="auto"/>
              </w:rPr>
            </w:pPr>
            <w:r>
              <w:rPr>
                <w:rFonts w:ascii="Arial" w:cs="Arial" w:eastAsia="Arial" w:hAnsi="Arial"/>
                <w:sz w:val="18"/>
                <w:szCs w:val="18"/>
                <w:color w:val="auto"/>
              </w:rPr>
              <w:t>Program</w:t>
            </w:r>
          </w:p>
        </w:tc>
        <w:tc>
          <w:tcPr>
            <w:tcW w:w="1280" w:type="dxa"/>
            <w:vAlign w:val="bottom"/>
            <w:shd w:val="clear" w:color="auto" w:fill="CEFFE7"/>
          </w:tcPr>
          <w:p>
            <w:pPr>
              <w:jc w:val="center"/>
              <w:ind w:left="70"/>
              <w:spacing w:after="0"/>
              <w:rPr>
                <w:sz w:val="20"/>
                <w:szCs w:val="20"/>
                <w:color w:val="auto"/>
              </w:rPr>
            </w:pPr>
            <w:r>
              <w:rPr>
                <w:rFonts w:ascii="Arial" w:cs="Arial" w:eastAsia="Arial" w:hAnsi="Arial"/>
                <w:sz w:val="18"/>
                <w:szCs w:val="18"/>
                <w:color w:val="auto"/>
                <w:w w:val="89"/>
              </w:rPr>
              <w:t>July 30, 2023</w:t>
            </w:r>
          </w:p>
        </w:tc>
        <w:tc>
          <w:tcPr>
            <w:tcW w:w="2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295</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437</w:t>
            </w:r>
          </w:p>
        </w:tc>
      </w:tr>
      <w:tr>
        <w:trPr>
          <w:trHeight w:val="27"/>
        </w:trPr>
        <w:tc>
          <w:tcPr>
            <w:tcW w:w="2660" w:type="dxa"/>
            <w:vAlign w:val="bottom"/>
            <w:shd w:val="clear" w:color="auto" w:fill="CEFFE7"/>
          </w:tcPr>
          <w:p>
            <w:pPr>
              <w:spacing w:after="0"/>
              <w:rPr>
                <w:sz w:val="2"/>
                <w:szCs w:val="2"/>
                <w:color w:val="auto"/>
              </w:rPr>
            </w:pPr>
          </w:p>
        </w:tc>
        <w:tc>
          <w:tcPr>
            <w:tcW w:w="1280" w:type="dxa"/>
            <w:vAlign w:val="bottom"/>
            <w:shd w:val="clear" w:color="auto" w:fill="CEFFE7"/>
          </w:tcPr>
          <w:p>
            <w:pPr>
              <w:spacing w:after="0"/>
              <w:rPr>
                <w:sz w:val="2"/>
                <w:szCs w:val="2"/>
                <w:color w:val="auto"/>
              </w:rPr>
            </w:pPr>
          </w:p>
        </w:tc>
        <w:tc>
          <w:tcPr>
            <w:tcW w:w="280" w:type="dxa"/>
            <w:vAlign w:val="bottom"/>
            <w:shd w:val="clear" w:color="auto" w:fill="CEFFE7"/>
          </w:tcPr>
          <w:p>
            <w:pPr>
              <w:spacing w:after="0"/>
              <w:rPr>
                <w:sz w:val="2"/>
                <w:szCs w:val="2"/>
                <w:color w:val="auto"/>
              </w:rPr>
            </w:pPr>
          </w:p>
        </w:tc>
        <w:tc>
          <w:tcPr>
            <w:tcW w:w="1000" w:type="dxa"/>
            <w:vAlign w:val="bottom"/>
            <w:shd w:val="clear" w:color="auto" w:fill="CEFFE7"/>
          </w:tcPr>
          <w:p>
            <w:pPr>
              <w:spacing w:after="0"/>
              <w:rPr>
                <w:sz w:val="2"/>
                <w:szCs w:val="2"/>
                <w:color w:val="auto"/>
              </w:rPr>
            </w:pPr>
          </w:p>
        </w:tc>
        <w:tc>
          <w:tcPr>
            <w:tcW w:w="160" w:type="dxa"/>
            <w:vAlign w:val="bottom"/>
            <w:shd w:val="clear" w:color="auto" w:fill="CEFFE7"/>
          </w:tcPr>
          <w:p>
            <w:pPr>
              <w:spacing w:after="0"/>
              <w:rPr>
                <w:sz w:val="2"/>
                <w:szCs w:val="2"/>
                <w:color w:val="auto"/>
              </w:rPr>
            </w:pPr>
          </w:p>
        </w:tc>
        <w:tc>
          <w:tcPr>
            <w:tcW w:w="190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80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186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interest rate on short-term borrowings at September 30, 2019 was 2.43%. Short-term borrowing activity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was (dollars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60" w:type="dxa"/>
            <w:vAlign w:val="bottom"/>
          </w:tcPr>
          <w:p>
            <w:pPr>
              <w:jc w:val="right"/>
              <w:ind w:right="310"/>
              <w:spacing w:after="0"/>
              <w:rPr>
                <w:sz w:val="20"/>
                <w:szCs w:val="20"/>
                <w:color w:val="auto"/>
              </w:rPr>
            </w:pPr>
            <w:r>
              <w:rPr>
                <w:rFonts w:ascii="Arial" w:cs="Arial" w:eastAsia="Arial" w:hAnsi="Arial"/>
                <w:sz w:val="18"/>
                <w:szCs w:val="18"/>
                <w:color w:val="auto"/>
                <w:w w:val="97"/>
              </w:rPr>
              <w:t>For the Nine Months Ended</w:t>
            </w:r>
          </w:p>
        </w:tc>
      </w:tr>
      <w:tr>
        <w:trPr>
          <w:trHeight w:val="230"/>
        </w:trPr>
        <w:tc>
          <w:tcPr>
            <w:tcW w:w="7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60" w:type="dxa"/>
            <w:vAlign w:val="bottom"/>
          </w:tcPr>
          <w:p>
            <w:pPr>
              <w:jc w:val="right"/>
              <w:ind w:right="590"/>
              <w:spacing w:after="0"/>
              <w:rPr>
                <w:sz w:val="20"/>
                <w:szCs w:val="20"/>
                <w:color w:val="auto"/>
              </w:rPr>
            </w:pPr>
            <w:r>
              <w:rPr>
                <w:rFonts w:ascii="Arial" w:cs="Arial" w:eastAsia="Arial" w:hAnsi="Arial"/>
                <w:sz w:val="18"/>
                <w:szCs w:val="18"/>
                <w:color w:val="auto"/>
              </w:rPr>
              <w:t>September 30, 2019</w:t>
            </w:r>
          </w:p>
        </w:tc>
      </w:tr>
      <w:tr>
        <w:trPr>
          <w:trHeight w:val="27"/>
        </w:trPr>
        <w:tc>
          <w:tcPr>
            <w:tcW w:w="7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Maximum amount outstanding - short-term borrowing (based on daily outstanding balances)</w:t>
            </w:r>
          </w:p>
        </w:tc>
        <w:tc>
          <w:tcPr>
            <w:tcW w:w="11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295</w:t>
            </w:r>
          </w:p>
        </w:tc>
      </w:tr>
      <w:tr>
        <w:trPr>
          <w:trHeight w:val="243"/>
        </w:trPr>
        <w:tc>
          <w:tcPr>
            <w:tcW w:w="7720" w:type="dxa"/>
            <w:vAlign w:val="bottom"/>
          </w:tcPr>
          <w:p>
            <w:pPr>
              <w:ind w:left="120"/>
              <w:spacing w:after="0"/>
              <w:rPr>
                <w:sz w:val="20"/>
                <w:szCs w:val="20"/>
                <w:color w:val="auto"/>
              </w:rPr>
            </w:pPr>
            <w:r>
              <w:rPr>
                <w:rFonts w:ascii="Arial" w:cs="Arial" w:eastAsia="Arial" w:hAnsi="Arial"/>
                <w:sz w:val="18"/>
                <w:szCs w:val="18"/>
                <w:color w:val="auto"/>
              </w:rPr>
              <w:t>Average amount outstanding - short-term borrowing (based on daily outstanding balances)</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171</w:t>
            </w:r>
          </w:p>
        </w:tc>
      </w:tr>
      <w:tr>
        <w:trPr>
          <w:trHeight w:val="27"/>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772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Weighted average interest rates - short-term borrowing</w:t>
            </w:r>
          </w:p>
        </w:tc>
        <w:tc>
          <w:tcPr>
            <w:tcW w:w="1140" w:type="dxa"/>
            <w:vAlign w:val="bottom"/>
            <w:tcBorders>
              <w:bottom w:val="single" w:sz="8" w:color="CEFFE7"/>
            </w:tcBorders>
            <w:shd w:val="clear" w:color="auto" w:fill="CEFFE7"/>
          </w:tcPr>
          <w:p>
            <w:pPr>
              <w:spacing w:after="0"/>
              <w:rPr>
                <w:sz w:val="21"/>
                <w:szCs w:val="21"/>
                <w:color w:val="auto"/>
              </w:rPr>
            </w:pPr>
          </w:p>
        </w:tc>
        <w:tc>
          <w:tcPr>
            <w:tcW w:w="2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2.59%</w:t>
            </w:r>
          </w:p>
        </w:tc>
      </w:tr>
      <w:tr>
        <w:trPr>
          <w:trHeight w:val="648"/>
        </w:trPr>
        <w:tc>
          <w:tcPr>
            <w:tcW w:w="7720" w:type="dxa"/>
            <w:vAlign w:val="bottom"/>
          </w:tcPr>
          <w:p>
            <w:pPr>
              <w:jc w:val="right"/>
              <w:ind w:right="1830"/>
              <w:spacing w:after="0"/>
              <w:rPr>
                <w:sz w:val="20"/>
                <w:szCs w:val="20"/>
                <w:color w:val="auto"/>
              </w:rPr>
            </w:pPr>
            <w:r>
              <w:rPr>
                <w:rFonts w:ascii="Arial" w:cs="Arial" w:eastAsia="Arial" w:hAnsi="Arial"/>
                <w:sz w:val="18"/>
                <w:szCs w:val="18"/>
                <w:color w:val="auto"/>
              </w:rPr>
              <w:t>55</w:t>
            </w:r>
          </w:p>
        </w:tc>
        <w:tc>
          <w:tcPr>
            <w:tcW w:w="114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Covenant Requirements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Revolving Credit Facility contains customary affirmative and negative covenants, such as limitations on certain liens, restrictions on certain transactions, and maintenance of a certain Consolidated Indebtedness to Capitalization Ratio. Subject to applicable cure periods, a violation of any of these covenants would constitute an event of default that entitles the lenders to terminate their remaining commitments and accelerate all principal and interest outstanding. We were in compliance with these covenants as of September 30, 2019. See Note 8 of the Notes to Condensed Consolidated Financial Statements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Covenants within Wyoming Electric’s financing agreements require Wyoming Electric to maintain a debt to capitalization ratio of no more than 0.60 to 1.00.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we were in compliance with these covenants.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 for the nine months ended September 30, 2019 consisted of the following:</w:t>
      </w:r>
    </w:p>
    <w:p>
      <w:pPr>
        <w:spacing w:after="0" w:line="225" w:lineRule="exact"/>
        <w:rPr>
          <w:sz w:val="20"/>
          <w:szCs w:val="20"/>
          <w:color w:val="auto"/>
        </w:rPr>
      </w:pPr>
    </w:p>
    <w:p>
      <w:pPr>
        <w:ind w:left="340" w:right="58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issued a total of 1,328,332 shares of common stock under the ATM equity offering program for proceeds of $99 million, net of $1.0 million in commissions. As of September 30, 2019, there were no shares that were sold, but not settled.</w:t>
      </w:r>
    </w:p>
    <w:p>
      <w:pPr>
        <w:spacing w:after="0" w:line="170"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June 17, 2019, we amended our Corporate term loan due July 30, 2020. This amendment increased total commitments to $400 million from $300 million, extended the term through June 17, 2021 and continues to have substantially similar terms and covenants as the amended and restated Revolving Credit Facility. The net proceeds were used to pay down short-term debt. Proceeds from the October 3, 2019 debt transaction were used to repay this term loan.</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Short-term borrowings from our CP Program and Revolver.</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October 3, 2019, we completed a public debt offering of $700 million principal amount in senior unsecured notes. The debt offering consisted of $400 million of 3.05% 10-year senior notes due October 15, 2029 and $300 million of 3.875% 30-year senior notes due October 15, 2049. Proceeds were used to repay the $400 million Corporate term loan due June 17, 2021, retire the $200 million 5.875% senior notes due July 15, 2020, repay a portion of short-term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Financing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assess debt and equity needs to support our capital expenditure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After assessing the current operating performance, liquidity and the credit ratings of the Company, management believes that the Company will have access to the capital markets at prevailing market rates for companies with comparable credit ratings.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w w:val="93"/>
              </w:rPr>
              <w:t>The following table represents the credit ratings and outlook and risk profile of BHC at September 30, 2019:</w:t>
            </w:r>
          </w:p>
        </w:tc>
        <w:tc>
          <w:tcPr>
            <w:tcW w:w="2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Rating Agency</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9"/>
              </w:rPr>
              <w:t>Senior Unsecured Rating</w:t>
            </w: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Outlook</w:t>
            </w:r>
          </w:p>
        </w:tc>
      </w:tr>
      <w:tr>
        <w:trPr>
          <w:trHeight w:val="27"/>
        </w:trPr>
        <w:tc>
          <w:tcPr>
            <w:tcW w:w="80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00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S&amp;P </w:t>
            </w:r>
            <w:r>
              <w:rPr>
                <w:rFonts w:ascii="Arial" w:cs="Arial" w:eastAsia="Arial" w:hAnsi="Arial"/>
                <w:sz w:val="25"/>
                <w:szCs w:val="25"/>
                <w:color w:val="auto"/>
                <w:vertAlign w:val="superscript"/>
              </w:rPr>
              <w:t>(a)</w:t>
            </w:r>
          </w:p>
        </w:tc>
        <w:tc>
          <w:tcPr>
            <w:tcW w:w="23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8"/>
              </w:rPr>
              <w:t>BBB+</w:t>
            </w:r>
          </w:p>
        </w:tc>
        <w:tc>
          <w:tcPr>
            <w:tcW w:w="1120" w:type="dxa"/>
            <w:vAlign w:val="bottom"/>
            <w:shd w:val="clear" w:color="auto" w:fill="CEFFE7"/>
          </w:tcPr>
          <w:p>
            <w:pPr>
              <w:jc w:val="center"/>
              <w:ind w:right="30"/>
              <w:spacing w:after="0"/>
              <w:rPr>
                <w:sz w:val="20"/>
                <w:szCs w:val="20"/>
                <w:color w:val="auto"/>
              </w:rPr>
            </w:pPr>
            <w:r>
              <w:rPr>
                <w:rFonts w:ascii="Arial" w:cs="Arial" w:eastAsia="Arial" w:hAnsi="Arial"/>
                <w:sz w:val="18"/>
                <w:szCs w:val="18"/>
                <w:color w:val="auto"/>
                <w:w w:val="86"/>
              </w:rPr>
              <w:t>Stable</w:t>
            </w:r>
          </w:p>
        </w:tc>
      </w:tr>
      <w:tr>
        <w:trPr>
          <w:trHeight w:val="270"/>
        </w:trPr>
        <w:tc>
          <w:tcPr>
            <w:tcW w:w="8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Moody’s </w:t>
            </w:r>
            <w:r>
              <w:rPr>
                <w:rFonts w:ascii="Arial" w:cs="Arial" w:eastAsia="Arial" w:hAnsi="Arial"/>
                <w:sz w:val="25"/>
                <w:szCs w:val="25"/>
                <w:color w:val="auto"/>
                <w:vertAlign w:val="superscript"/>
              </w:rPr>
              <w:t>(b)</w:t>
            </w:r>
          </w:p>
        </w:tc>
        <w:tc>
          <w:tcPr>
            <w:tcW w:w="2300" w:type="dxa"/>
            <w:vAlign w:val="bottom"/>
          </w:tcPr>
          <w:p>
            <w:pPr>
              <w:jc w:val="center"/>
              <w:spacing w:after="0"/>
              <w:rPr>
                <w:sz w:val="20"/>
                <w:szCs w:val="20"/>
                <w:color w:val="auto"/>
              </w:rPr>
            </w:pPr>
            <w:r>
              <w:rPr>
                <w:rFonts w:ascii="Arial" w:cs="Arial" w:eastAsia="Arial" w:hAnsi="Arial"/>
                <w:sz w:val="18"/>
                <w:szCs w:val="18"/>
                <w:color w:val="auto"/>
                <w:w w:val="85"/>
              </w:rPr>
              <w:t>Baa2</w:t>
            </w: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6"/>
              </w:rPr>
              <w:t>Stable</w:t>
            </w:r>
          </w:p>
        </w:tc>
      </w:tr>
      <w:tr>
        <w:trPr>
          <w:trHeight w:val="270"/>
        </w:trPr>
        <w:tc>
          <w:tcPr>
            <w:tcW w:w="800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Fitch </w:t>
            </w:r>
            <w:r>
              <w:rPr>
                <w:rFonts w:ascii="Arial" w:cs="Arial" w:eastAsia="Arial" w:hAnsi="Arial"/>
                <w:sz w:val="25"/>
                <w:szCs w:val="25"/>
                <w:color w:val="auto"/>
                <w:vertAlign w:val="superscript"/>
              </w:rPr>
              <w:t>(c)</w:t>
            </w:r>
          </w:p>
        </w:tc>
        <w:tc>
          <w:tcPr>
            <w:tcW w:w="2300" w:type="dxa"/>
            <w:vAlign w:val="bottom"/>
            <w:shd w:val="clear" w:color="auto" w:fill="CEFFE7"/>
          </w:tcPr>
          <w:p>
            <w:pPr>
              <w:ind w:left="960"/>
              <w:spacing w:after="0"/>
              <w:rPr>
                <w:sz w:val="20"/>
                <w:szCs w:val="20"/>
                <w:color w:val="auto"/>
              </w:rPr>
            </w:pPr>
            <w:r>
              <w:rPr>
                <w:rFonts w:ascii="Arial" w:cs="Arial" w:eastAsia="Arial" w:hAnsi="Arial"/>
                <w:sz w:val="18"/>
                <w:szCs w:val="18"/>
                <w:color w:val="auto"/>
              </w:rPr>
              <w:t>BBB+</w:t>
            </w:r>
          </w:p>
        </w:tc>
        <w:tc>
          <w:tcPr>
            <w:tcW w:w="1120" w:type="dxa"/>
            <w:vAlign w:val="bottom"/>
            <w:shd w:val="clear" w:color="auto" w:fill="CEFFE7"/>
          </w:tcPr>
          <w:p>
            <w:pPr>
              <w:jc w:val="center"/>
              <w:ind w:right="30"/>
              <w:spacing w:after="0"/>
              <w:rPr>
                <w:sz w:val="20"/>
                <w:szCs w:val="20"/>
                <w:color w:val="auto"/>
              </w:rPr>
            </w:pPr>
            <w:r>
              <w:rPr>
                <w:rFonts w:ascii="Arial" w:cs="Arial" w:eastAsia="Arial" w:hAnsi="Arial"/>
                <w:sz w:val="18"/>
                <w:szCs w:val="18"/>
                <w:color w:val="auto"/>
                <w:w w:val="86"/>
              </w:rPr>
              <w:t>Stable</w:t>
            </w:r>
          </w:p>
        </w:tc>
      </w:tr>
      <w:tr>
        <w:trPr>
          <w:trHeight w:val="179"/>
        </w:trPr>
        <w:tc>
          <w:tcPr>
            <w:tcW w:w="800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2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9"/>
        </w:trPr>
        <w:tc>
          <w:tcPr>
            <w:tcW w:w="8000" w:type="dxa"/>
            <w:vAlign w:val="bottom"/>
          </w:tcPr>
          <w:p>
            <w:pPr>
              <w:spacing w:after="0"/>
              <w:rPr>
                <w:sz w:val="20"/>
                <w:szCs w:val="20"/>
                <w:color w:val="auto"/>
              </w:rPr>
            </w:pPr>
            <w:r>
              <w:rPr>
                <w:rFonts w:ascii="Arial" w:cs="Arial" w:eastAsia="Arial" w:hAnsi="Arial"/>
                <w:sz w:val="16"/>
                <w:szCs w:val="16"/>
                <w:color w:val="auto"/>
              </w:rPr>
              <w:t>(a)  On February 28, 2019, S&amp;P affirmed our BBB+ rating and maintained a Stable outlook.</w:t>
            </w:r>
          </w:p>
        </w:tc>
        <w:tc>
          <w:tcPr>
            <w:tcW w:w="2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8000" w:type="dxa"/>
            <w:vAlign w:val="bottom"/>
          </w:tcPr>
          <w:p>
            <w:pPr>
              <w:spacing w:after="0"/>
              <w:rPr>
                <w:sz w:val="20"/>
                <w:szCs w:val="20"/>
                <w:color w:val="auto"/>
              </w:rPr>
            </w:pPr>
            <w:r>
              <w:rPr>
                <w:rFonts w:ascii="Arial" w:cs="Arial" w:eastAsia="Arial" w:hAnsi="Arial"/>
                <w:sz w:val="16"/>
                <w:szCs w:val="16"/>
                <w:color w:val="auto"/>
              </w:rPr>
              <w:t>(b)  On December 12, 2018, Moody’s affirmed our Baa2 rating and maintained a Stable outlook.</w:t>
            </w:r>
          </w:p>
        </w:tc>
        <w:tc>
          <w:tcPr>
            <w:tcW w:w="2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6"/>
        </w:trPr>
        <w:tc>
          <w:tcPr>
            <w:tcW w:w="8000" w:type="dxa"/>
            <w:vAlign w:val="bottom"/>
          </w:tcPr>
          <w:p>
            <w:pPr>
              <w:spacing w:after="0"/>
              <w:rPr>
                <w:sz w:val="20"/>
                <w:szCs w:val="20"/>
                <w:color w:val="auto"/>
              </w:rPr>
            </w:pPr>
            <w:r>
              <w:rPr>
                <w:rFonts w:ascii="Arial" w:cs="Arial" w:eastAsia="Arial" w:hAnsi="Arial"/>
                <w:sz w:val="16"/>
                <w:szCs w:val="16"/>
                <w:color w:val="auto"/>
              </w:rPr>
              <w:t>(c)  On August 29, 2019, Fitch affirmed our BBB+ rating and maintained a Stable outlook.</w:t>
            </w:r>
          </w:p>
        </w:tc>
        <w:tc>
          <w:tcPr>
            <w:tcW w:w="2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41"/>
        </w:trPr>
        <w:tc>
          <w:tcPr>
            <w:tcW w:w="8000" w:type="dxa"/>
            <w:vAlign w:val="bottom"/>
          </w:tcPr>
          <w:p>
            <w:pPr>
              <w:ind w:left="5620"/>
              <w:spacing w:after="0"/>
              <w:rPr>
                <w:sz w:val="20"/>
                <w:szCs w:val="20"/>
                <w:color w:val="auto"/>
              </w:rPr>
            </w:pPr>
            <w:r>
              <w:rPr>
                <w:rFonts w:ascii="Arial" w:cs="Arial" w:eastAsia="Arial" w:hAnsi="Arial"/>
                <w:sz w:val="18"/>
                <w:szCs w:val="18"/>
                <w:color w:val="auto"/>
              </w:rPr>
              <w:t>56</w:t>
            </w:r>
          </w:p>
        </w:tc>
        <w:tc>
          <w:tcPr>
            <w:tcW w:w="23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7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280" w:type="dxa"/>
            <w:vAlign w:val="bottom"/>
            <w:gridSpan w:val="9"/>
          </w:tcPr>
          <w:p>
            <w:pPr>
              <w:spacing w:after="0"/>
              <w:rPr>
                <w:sz w:val="20"/>
                <w:szCs w:val="20"/>
                <w:color w:val="auto"/>
              </w:rPr>
            </w:pPr>
            <w:r>
              <w:rPr>
                <w:rFonts w:ascii="Arial" w:cs="Arial" w:eastAsia="Arial" w:hAnsi="Arial"/>
                <w:sz w:val="18"/>
                <w:szCs w:val="18"/>
                <w:color w:val="auto"/>
                <w:w w:val="94"/>
              </w:rPr>
              <w:t>The following table represents the credit ratings of South Dakota Electric at September 30, 2019:</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20" w:type="dxa"/>
            <w:vAlign w:val="bottom"/>
            <w:gridSpan w:val="3"/>
          </w:tcPr>
          <w:p>
            <w:pPr>
              <w:ind w:left="40"/>
              <w:spacing w:after="0"/>
              <w:rPr>
                <w:sz w:val="20"/>
                <w:szCs w:val="20"/>
                <w:color w:val="auto"/>
              </w:rPr>
            </w:pPr>
            <w:r>
              <w:rPr>
                <w:rFonts w:ascii="Arial" w:cs="Arial" w:eastAsia="Arial" w:hAnsi="Arial"/>
                <w:sz w:val="18"/>
                <w:szCs w:val="18"/>
                <w:b w:val="1"/>
                <w:bCs w:val="1"/>
                <w:color w:val="auto"/>
              </w:rPr>
              <w:t>Rating Agency</w:t>
            </w: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9"/>
              </w:rPr>
              <w:t>Senior Secured Rating</w:t>
            </w: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20" w:type="dxa"/>
            <w:vAlign w:val="bottom"/>
            <w:gridSpan w:val="3"/>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S&amp;P </w:t>
            </w:r>
            <w:r>
              <w:rPr>
                <w:rFonts w:ascii="Arial" w:cs="Arial" w:eastAsia="Arial" w:hAnsi="Arial"/>
                <w:sz w:val="25"/>
                <w:szCs w:val="25"/>
                <w:color w:val="auto"/>
                <w:vertAlign w:val="superscript"/>
              </w:rPr>
              <w:t>(a)</w:t>
            </w:r>
          </w:p>
        </w:tc>
        <w:tc>
          <w:tcPr>
            <w:tcW w:w="200" w:type="dxa"/>
            <w:vAlign w:val="bottom"/>
            <w:shd w:val="clear" w:color="auto" w:fill="CEFFE7"/>
          </w:tcPr>
          <w:p>
            <w:pPr>
              <w:spacing w:after="0"/>
              <w:rPr>
                <w:sz w:val="22"/>
                <w:szCs w:val="22"/>
                <w:color w:val="auto"/>
              </w:rPr>
            </w:pPr>
          </w:p>
        </w:tc>
        <w:tc>
          <w:tcPr>
            <w:tcW w:w="1940" w:type="dxa"/>
            <w:vAlign w:val="bottom"/>
            <w:shd w:val="clear" w:color="auto" w:fill="CEFFE7"/>
          </w:tcPr>
          <w:p>
            <w:pPr>
              <w:spacing w:after="0"/>
              <w:rPr>
                <w:sz w:val="22"/>
                <w:szCs w:val="22"/>
                <w:color w:val="auto"/>
              </w:rPr>
            </w:pPr>
          </w:p>
        </w:tc>
        <w:tc>
          <w:tcPr>
            <w:tcW w:w="300" w:type="dxa"/>
            <w:vAlign w:val="bottom"/>
            <w:shd w:val="clear" w:color="auto" w:fill="CEFFE7"/>
          </w:tcPr>
          <w:p>
            <w:pPr>
              <w:spacing w:after="0"/>
              <w:rPr>
                <w:sz w:val="22"/>
                <w:szCs w:val="22"/>
                <w:color w:val="auto"/>
              </w:rPr>
            </w:pPr>
          </w:p>
        </w:tc>
        <w:tc>
          <w:tcPr>
            <w:tcW w:w="1060" w:type="dxa"/>
            <w:vAlign w:val="bottom"/>
            <w:shd w:val="clear" w:color="auto" w:fill="CEFFE7"/>
          </w:tcPr>
          <w:p>
            <w:pPr>
              <w:spacing w:after="0"/>
              <w:rPr>
                <w:sz w:val="22"/>
                <w:szCs w:val="22"/>
                <w:color w:val="auto"/>
              </w:rPr>
            </w:pPr>
          </w:p>
        </w:tc>
        <w:tc>
          <w:tcPr>
            <w:tcW w:w="300" w:type="dxa"/>
            <w:vAlign w:val="bottom"/>
            <w:shd w:val="clear" w:color="auto" w:fill="CEFFE7"/>
          </w:tcPr>
          <w:p>
            <w:pPr>
              <w:spacing w:after="0"/>
              <w:rPr>
                <w:sz w:val="22"/>
                <w:szCs w:val="22"/>
                <w:color w:val="auto"/>
              </w:rPr>
            </w:pPr>
          </w:p>
        </w:tc>
        <w:tc>
          <w:tcPr>
            <w:tcW w:w="1060" w:type="dxa"/>
            <w:vAlign w:val="bottom"/>
            <w:shd w:val="clear" w:color="auto" w:fill="CEFFE7"/>
          </w:tcPr>
          <w:p>
            <w:pPr>
              <w:spacing w:after="0"/>
              <w:rPr>
                <w:sz w:val="22"/>
                <w:szCs w:val="22"/>
                <w:color w:val="auto"/>
              </w:rPr>
            </w:pPr>
          </w:p>
        </w:tc>
        <w:tc>
          <w:tcPr>
            <w:tcW w:w="300" w:type="dxa"/>
            <w:vAlign w:val="bottom"/>
            <w:shd w:val="clear" w:color="auto" w:fill="CEFFE7"/>
          </w:tcPr>
          <w:p>
            <w:pPr>
              <w:spacing w:after="0"/>
              <w:rPr>
                <w:sz w:val="22"/>
                <w:szCs w:val="22"/>
                <w:color w:val="auto"/>
              </w:rPr>
            </w:pPr>
          </w:p>
        </w:tc>
        <w:tc>
          <w:tcPr>
            <w:tcW w:w="1080" w:type="dxa"/>
            <w:vAlign w:val="bottom"/>
            <w:shd w:val="clear" w:color="auto" w:fill="CEFFE7"/>
          </w:tcPr>
          <w:p>
            <w:pPr>
              <w:spacing w:after="0"/>
              <w:rPr>
                <w:sz w:val="22"/>
                <w:szCs w:val="22"/>
                <w:color w:val="auto"/>
              </w:rPr>
            </w:pPr>
          </w:p>
        </w:tc>
        <w:tc>
          <w:tcPr>
            <w:tcW w:w="280" w:type="dxa"/>
            <w:vAlign w:val="bottom"/>
            <w:shd w:val="clear" w:color="auto" w:fill="CEFFE7"/>
          </w:tcPr>
          <w:p>
            <w:pPr>
              <w:spacing w:after="0"/>
              <w:rPr>
                <w:sz w:val="22"/>
                <w:szCs w:val="22"/>
                <w:color w:val="auto"/>
              </w:rPr>
            </w:pPr>
          </w:p>
        </w:tc>
        <w:tc>
          <w:tcPr>
            <w:tcW w:w="1080" w:type="dxa"/>
            <w:vAlign w:val="bottom"/>
            <w:shd w:val="clear" w:color="auto" w:fill="CEFFE7"/>
          </w:tcPr>
          <w:p>
            <w:pPr>
              <w:spacing w:after="0"/>
              <w:rPr>
                <w:sz w:val="22"/>
                <w:szCs w:val="22"/>
                <w:color w:val="auto"/>
              </w:rPr>
            </w:pPr>
          </w:p>
        </w:tc>
        <w:tc>
          <w:tcPr>
            <w:tcW w:w="200" w:type="dxa"/>
            <w:vAlign w:val="bottom"/>
            <w:shd w:val="clear" w:color="auto" w:fill="CEFFE7"/>
          </w:tcPr>
          <w:p>
            <w:pPr>
              <w:spacing w:after="0"/>
              <w:rPr>
                <w:sz w:val="22"/>
                <w:szCs w:val="22"/>
                <w:color w:val="auto"/>
              </w:rPr>
            </w:pPr>
          </w:p>
        </w:tc>
        <w:tc>
          <w:tcPr>
            <w:tcW w:w="1200" w:type="dxa"/>
            <w:vAlign w:val="bottom"/>
            <w:shd w:val="clear" w:color="auto" w:fill="CEFFE7"/>
          </w:tcPr>
          <w:p>
            <w:pPr>
              <w:jc w:val="center"/>
              <w:ind w:right="77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0"/>
        </w:trPr>
        <w:tc>
          <w:tcPr>
            <w:tcW w:w="24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Moody’s </w:t>
            </w:r>
            <w:r>
              <w:rPr>
                <w:rFonts w:ascii="Arial" w:cs="Arial" w:eastAsia="Arial" w:hAnsi="Arial"/>
                <w:sz w:val="25"/>
                <w:szCs w:val="25"/>
                <w:color w:val="auto"/>
                <w:vertAlign w:val="superscript"/>
              </w:rPr>
              <w:t>(b)</w:t>
            </w:r>
          </w:p>
        </w:tc>
        <w:tc>
          <w:tcPr>
            <w:tcW w:w="2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center"/>
              <w:ind w:right="770"/>
              <w:spacing w:after="0"/>
              <w:rPr>
                <w:sz w:val="20"/>
                <w:szCs w:val="20"/>
                <w:color w:val="auto"/>
              </w:rPr>
            </w:pPr>
            <w:r>
              <w:rPr>
                <w:rFonts w:ascii="Arial" w:cs="Arial" w:eastAsia="Arial" w:hAnsi="Arial"/>
                <w:sz w:val="18"/>
                <w:szCs w:val="18"/>
                <w:color w:val="auto"/>
                <w:w w:val="99"/>
              </w:rPr>
              <w:t>A1</w:t>
            </w:r>
          </w:p>
        </w:tc>
        <w:tc>
          <w:tcPr>
            <w:tcW w:w="0" w:type="dxa"/>
            <w:vAlign w:val="bottom"/>
          </w:tcPr>
          <w:p>
            <w:pPr>
              <w:spacing w:after="0"/>
              <w:rPr>
                <w:sz w:val="1"/>
                <w:szCs w:val="1"/>
                <w:color w:val="auto"/>
              </w:rPr>
            </w:pPr>
          </w:p>
        </w:tc>
      </w:tr>
      <w:tr>
        <w:trPr>
          <w:trHeight w:val="270"/>
        </w:trPr>
        <w:tc>
          <w:tcPr>
            <w:tcW w:w="2420" w:type="dxa"/>
            <w:vAlign w:val="bottom"/>
            <w:gridSpan w:val="3"/>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Fitch </w:t>
            </w:r>
            <w:r>
              <w:rPr>
                <w:rFonts w:ascii="Arial" w:cs="Arial" w:eastAsia="Arial" w:hAnsi="Arial"/>
                <w:sz w:val="25"/>
                <w:szCs w:val="25"/>
                <w:color w:val="auto"/>
                <w:vertAlign w:val="superscript"/>
              </w:rPr>
              <w:t>(c)</w:t>
            </w:r>
          </w:p>
        </w:tc>
        <w:tc>
          <w:tcPr>
            <w:tcW w:w="200" w:type="dxa"/>
            <w:vAlign w:val="bottom"/>
            <w:shd w:val="clear" w:color="auto" w:fill="CEFFE7"/>
          </w:tcPr>
          <w:p>
            <w:pPr>
              <w:spacing w:after="0"/>
              <w:rPr>
                <w:sz w:val="23"/>
                <w:szCs w:val="23"/>
                <w:color w:val="auto"/>
              </w:rPr>
            </w:pPr>
          </w:p>
        </w:tc>
        <w:tc>
          <w:tcPr>
            <w:tcW w:w="194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106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106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108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108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1200" w:type="dxa"/>
            <w:vAlign w:val="bottom"/>
            <w:shd w:val="clear" w:color="auto" w:fill="CEFFE7"/>
          </w:tcPr>
          <w:p>
            <w:pPr>
              <w:jc w:val="center"/>
              <w:ind w:right="77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179"/>
        </w:trPr>
        <w:tc>
          <w:tcPr>
            <w:tcW w:w="1220" w:type="dxa"/>
            <w:vAlign w:val="bottom"/>
          </w:tcPr>
          <w:p>
            <w:pPr>
              <w:spacing w:after="0" w:line="179" w:lineRule="exact"/>
              <w:rPr>
                <w:sz w:val="20"/>
                <w:szCs w:val="20"/>
                <w:color w:val="auto"/>
              </w:rPr>
            </w:pPr>
            <w:r>
              <w:rPr>
                <w:rFonts w:ascii="Arial" w:cs="Arial" w:eastAsia="Arial" w:hAnsi="Arial"/>
                <w:sz w:val="16"/>
                <w:szCs w:val="16"/>
                <w:color w:val="auto"/>
              </w:rPr>
              <w:t>__________</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60" w:type="dxa"/>
            <w:vAlign w:val="bottom"/>
            <w:gridSpan w:val="5"/>
          </w:tcPr>
          <w:p>
            <w:pPr>
              <w:spacing w:after="0"/>
              <w:rPr>
                <w:sz w:val="20"/>
                <w:szCs w:val="20"/>
                <w:color w:val="auto"/>
              </w:rPr>
            </w:pPr>
            <w:r>
              <w:rPr>
                <w:rFonts w:ascii="Arial" w:cs="Arial" w:eastAsia="Arial" w:hAnsi="Arial"/>
                <w:sz w:val="16"/>
                <w:szCs w:val="16"/>
                <w:color w:val="auto"/>
              </w:rPr>
              <w:t>(a)  On April 30, 2019, S&amp;P affirmed A rating.</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60" w:type="dxa"/>
            <w:vAlign w:val="bottom"/>
            <w:gridSpan w:val="5"/>
          </w:tcPr>
          <w:p>
            <w:pPr>
              <w:spacing w:after="0"/>
              <w:rPr>
                <w:sz w:val="20"/>
                <w:szCs w:val="20"/>
                <w:color w:val="auto"/>
              </w:rPr>
            </w:pPr>
            <w:r>
              <w:rPr>
                <w:rFonts w:ascii="Arial" w:cs="Arial" w:eastAsia="Arial" w:hAnsi="Arial"/>
                <w:sz w:val="16"/>
                <w:szCs w:val="16"/>
                <w:color w:val="auto"/>
              </w:rPr>
              <w:t>(b)  On October 15, 2019, Moody’s affirmed A1 rating.</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60" w:type="dxa"/>
            <w:vAlign w:val="bottom"/>
            <w:gridSpan w:val="5"/>
          </w:tcPr>
          <w:p>
            <w:pPr>
              <w:spacing w:after="0"/>
              <w:rPr>
                <w:sz w:val="20"/>
                <w:szCs w:val="20"/>
                <w:color w:val="auto"/>
              </w:rPr>
            </w:pPr>
            <w:r>
              <w:rPr>
                <w:rFonts w:ascii="Arial" w:cs="Arial" w:eastAsia="Arial" w:hAnsi="Arial"/>
                <w:sz w:val="16"/>
                <w:szCs w:val="16"/>
                <w:color w:val="auto"/>
              </w:rPr>
              <w:t>(c)  On August 29, 2019, Fitch affirmed A rating.</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2420" w:type="dxa"/>
            <w:vAlign w:val="bottom"/>
            <w:gridSpan w:val="3"/>
          </w:tcPr>
          <w:p>
            <w:pPr>
              <w:spacing w:after="0"/>
              <w:rPr>
                <w:sz w:val="20"/>
                <w:szCs w:val="20"/>
                <w:color w:val="auto"/>
              </w:rPr>
            </w:pPr>
            <w:r>
              <w:rPr>
                <w:rFonts w:ascii="Arial" w:cs="Arial" w:eastAsia="Arial" w:hAnsi="Arial"/>
                <w:sz w:val="18"/>
                <w:szCs w:val="18"/>
                <w:b w:val="1"/>
                <w:bCs w:val="1"/>
                <w:color w:val="auto"/>
              </w:rPr>
              <w:t>Capital Requirements</w:t>
            </w: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42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jc w:val="center"/>
              <w:ind w:right="90"/>
              <w:spacing w:after="0"/>
              <w:rPr>
                <w:sz w:val="20"/>
                <w:szCs w:val="20"/>
                <w:color w:val="auto"/>
              </w:rPr>
            </w:pPr>
            <w:r>
              <w:rPr>
                <w:rFonts w:ascii="Arial" w:cs="Arial" w:eastAsia="Arial" w:hAnsi="Arial"/>
                <w:sz w:val="18"/>
                <w:szCs w:val="18"/>
                <w:color w:val="auto"/>
                <w:w w:val="95"/>
              </w:rPr>
              <w:t>Actual</w:t>
            </w:r>
          </w:p>
        </w:tc>
        <w:tc>
          <w:tcPr>
            <w:tcW w:w="30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Planned</w:t>
            </w:r>
          </w:p>
        </w:tc>
        <w:tc>
          <w:tcPr>
            <w:tcW w:w="30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Planned</w:t>
            </w:r>
          </w:p>
        </w:tc>
        <w:tc>
          <w:tcPr>
            <w:tcW w:w="30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Planned</w:t>
            </w:r>
          </w:p>
        </w:tc>
        <w:tc>
          <w:tcPr>
            <w:tcW w:w="28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Planned</w:t>
            </w:r>
          </w:p>
        </w:tc>
        <w:tc>
          <w:tcPr>
            <w:tcW w:w="200" w:type="dxa"/>
            <w:vAlign w:val="bottom"/>
          </w:tcPr>
          <w:p>
            <w:pPr>
              <w:spacing w:after="0"/>
              <w:rPr>
                <w:sz w:val="24"/>
                <w:szCs w:val="24"/>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Planned</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Capital Expenditures by</w:t>
            </w:r>
          </w:p>
        </w:tc>
        <w:tc>
          <w:tcPr>
            <w:tcW w:w="200" w:type="dxa"/>
            <w:vAlign w:val="bottom"/>
          </w:tcPr>
          <w:p>
            <w:pPr>
              <w:spacing w:after="0"/>
              <w:rPr>
                <w:sz w:val="19"/>
                <w:szCs w:val="19"/>
                <w:color w:val="auto"/>
              </w:rPr>
            </w:pPr>
          </w:p>
        </w:tc>
        <w:tc>
          <w:tcPr>
            <w:tcW w:w="1940" w:type="dxa"/>
            <w:vAlign w:val="bottom"/>
          </w:tcPr>
          <w:p>
            <w:pPr>
              <w:jc w:val="center"/>
              <w:ind w:right="70"/>
              <w:spacing w:after="0"/>
              <w:rPr>
                <w:sz w:val="20"/>
                <w:szCs w:val="20"/>
                <w:color w:val="auto"/>
              </w:rPr>
            </w:pPr>
            <w:r>
              <w:rPr>
                <w:rFonts w:ascii="Arial" w:cs="Arial" w:eastAsia="Arial" w:hAnsi="Arial"/>
                <w:sz w:val="18"/>
                <w:szCs w:val="18"/>
                <w:color w:val="auto"/>
                <w:w w:val="92"/>
              </w:rPr>
              <w:t>Nine Months Ended</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EFFE7"/>
            </w:tcBorders>
            <w:gridSpan w:val="3"/>
          </w:tcPr>
          <w:p>
            <w:pPr>
              <w:ind w:left="40"/>
              <w:spacing w:after="0"/>
              <w:rPr>
                <w:sz w:val="20"/>
                <w:szCs w:val="20"/>
                <w:color w:val="auto"/>
              </w:rPr>
            </w:pPr>
            <w:r>
              <w:rPr>
                <w:rFonts w:ascii="Arial" w:cs="Arial" w:eastAsia="Arial" w:hAnsi="Arial"/>
                <w:sz w:val="18"/>
                <w:szCs w:val="18"/>
                <w:color w:val="auto"/>
              </w:rPr>
              <w:t>Segment</w:t>
            </w:r>
          </w:p>
        </w:tc>
        <w:tc>
          <w:tcPr>
            <w:tcW w:w="2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center"/>
              <w:ind w:right="70"/>
              <w:spacing w:after="0" w:line="257" w:lineRule="exact"/>
              <w:rPr>
                <w:sz w:val="20"/>
                <w:szCs w:val="20"/>
                <w:color w:val="auto"/>
              </w:rPr>
            </w:pPr>
            <w:r>
              <w:rPr>
                <w:rFonts w:ascii="Arial" w:cs="Arial" w:eastAsia="Arial" w:hAnsi="Arial"/>
                <w:sz w:val="18"/>
                <w:szCs w:val="18"/>
                <w:color w:val="auto"/>
                <w:w w:val="85"/>
              </w:rPr>
              <w:t xml:space="preserve">September 30, 2019 </w:t>
            </w:r>
            <w:r>
              <w:rPr>
                <w:rFonts w:ascii="Arial" w:cs="Arial" w:eastAsia="Arial" w:hAnsi="Arial"/>
                <w:sz w:val="25"/>
                <w:szCs w:val="25"/>
                <w:color w:val="auto"/>
                <w:w w:val="85"/>
                <w:vertAlign w:val="superscript"/>
              </w:rPr>
              <w:t>(a)</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0"/>
              <w:spacing w:after="0" w:line="257" w:lineRule="exact"/>
              <w:rPr>
                <w:sz w:val="20"/>
                <w:szCs w:val="20"/>
                <w:color w:val="auto"/>
              </w:rPr>
            </w:pPr>
            <w:r>
              <w:rPr>
                <w:rFonts w:ascii="Arial" w:cs="Arial" w:eastAsia="Arial" w:hAnsi="Arial"/>
                <w:sz w:val="18"/>
                <w:szCs w:val="18"/>
                <w:color w:val="auto"/>
              </w:rPr>
              <w:t xml:space="preserve">2019 </w:t>
            </w:r>
            <w:r>
              <w:rPr>
                <w:rFonts w:ascii="Arial" w:cs="Arial" w:eastAsia="Arial" w:hAnsi="Arial"/>
                <w:sz w:val="25"/>
                <w:szCs w:val="25"/>
                <w:color w:val="auto"/>
                <w:vertAlign w:val="superscript"/>
              </w:rPr>
              <w:t>(b)</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44"/>
        </w:trPr>
        <w:tc>
          <w:tcPr>
            <w:tcW w:w="242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CEFFE7"/>
            </w:tcBorders>
            <w:shd w:val="clear" w:color="auto" w:fill="CEFFE7"/>
          </w:tcPr>
          <w:p>
            <w:pPr>
              <w:spacing w:after="0"/>
              <w:rPr>
                <w:sz w:val="21"/>
                <w:szCs w:val="21"/>
                <w:color w:val="auto"/>
              </w:rPr>
            </w:pPr>
          </w:p>
        </w:tc>
        <w:tc>
          <w:tcPr>
            <w:tcW w:w="194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4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Electric Utilities </w:t>
            </w:r>
            <w:r>
              <w:rPr>
                <w:rFonts w:ascii="Arial" w:cs="Arial" w:eastAsia="Arial" w:hAnsi="Arial"/>
                <w:sz w:val="25"/>
                <w:szCs w:val="25"/>
                <w:color w:val="auto"/>
                <w:vertAlign w:val="superscript"/>
              </w:rPr>
              <w:t>(c)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147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0"/>
        </w:trPr>
        <w:tc>
          <w:tcPr>
            <w:tcW w:w="2420" w:type="dxa"/>
            <w:vAlign w:val="bottom"/>
            <w:gridSpan w:val="3"/>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Gas Utilities </w:t>
            </w:r>
            <w:r>
              <w:rPr>
                <w:rFonts w:ascii="Arial" w:cs="Arial" w:eastAsia="Arial" w:hAnsi="Arial"/>
                <w:sz w:val="25"/>
                <w:szCs w:val="25"/>
                <w:color w:val="auto"/>
                <w:vertAlign w:val="superscript"/>
              </w:rPr>
              <w:t>(c)</w:t>
            </w:r>
          </w:p>
        </w:tc>
        <w:tc>
          <w:tcPr>
            <w:tcW w:w="200" w:type="dxa"/>
            <w:vAlign w:val="bottom"/>
            <w:shd w:val="clear" w:color="auto" w:fill="CEFFE7"/>
          </w:tcPr>
          <w:p>
            <w:pPr>
              <w:spacing w:after="0"/>
              <w:rPr>
                <w:sz w:val="23"/>
                <w:szCs w:val="23"/>
                <w:color w:val="auto"/>
              </w:rPr>
            </w:pPr>
          </w:p>
        </w:tc>
        <w:tc>
          <w:tcPr>
            <w:tcW w:w="19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367</w:t>
            </w:r>
          </w:p>
        </w:tc>
        <w:tc>
          <w:tcPr>
            <w:tcW w:w="300" w:type="dxa"/>
            <w:vAlign w:val="bottom"/>
            <w:shd w:val="clear" w:color="auto" w:fill="CEFFE7"/>
          </w:tcPr>
          <w:p>
            <w:pPr>
              <w:spacing w:after="0"/>
              <w:rPr>
                <w:sz w:val="23"/>
                <w:szCs w:val="23"/>
                <w:color w:val="auto"/>
              </w:rPr>
            </w:pPr>
          </w:p>
        </w:tc>
        <w:tc>
          <w:tcPr>
            <w:tcW w:w="10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490</w:t>
            </w:r>
          </w:p>
        </w:tc>
        <w:tc>
          <w:tcPr>
            <w:tcW w:w="300" w:type="dxa"/>
            <w:vAlign w:val="bottom"/>
            <w:shd w:val="clear" w:color="auto" w:fill="CEFFE7"/>
          </w:tcPr>
          <w:p>
            <w:pPr>
              <w:spacing w:after="0"/>
              <w:rPr>
                <w:sz w:val="23"/>
                <w:szCs w:val="23"/>
                <w:color w:val="auto"/>
              </w:rPr>
            </w:pPr>
          </w:p>
        </w:tc>
        <w:tc>
          <w:tcPr>
            <w:tcW w:w="10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361</w:t>
            </w:r>
          </w:p>
        </w:tc>
        <w:tc>
          <w:tcPr>
            <w:tcW w:w="300" w:type="dxa"/>
            <w:vAlign w:val="bottom"/>
            <w:shd w:val="clear" w:color="auto" w:fill="CEFFE7"/>
          </w:tcPr>
          <w:p>
            <w:pPr>
              <w:spacing w:after="0"/>
              <w:rPr>
                <w:sz w:val="23"/>
                <w:szCs w:val="23"/>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297</w:t>
            </w:r>
          </w:p>
        </w:tc>
        <w:tc>
          <w:tcPr>
            <w:tcW w:w="280" w:type="dxa"/>
            <w:vAlign w:val="bottom"/>
            <w:shd w:val="clear" w:color="auto" w:fill="CEFFE7"/>
          </w:tcPr>
          <w:p>
            <w:pPr>
              <w:spacing w:after="0"/>
              <w:rPr>
                <w:sz w:val="23"/>
                <w:szCs w:val="23"/>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CEFFE7"/>
          </w:tcPr>
          <w:p>
            <w:pPr>
              <w:spacing w:after="0"/>
              <w:rPr>
                <w:sz w:val="23"/>
                <w:szCs w:val="23"/>
                <w:color w:val="auto"/>
              </w:rPr>
            </w:pPr>
          </w:p>
        </w:tc>
        <w:tc>
          <w:tcPr>
            <w:tcW w:w="1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Power Generation</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Mining</w:t>
            </w:r>
          </w:p>
        </w:tc>
        <w:tc>
          <w:tcPr>
            <w:tcW w:w="200" w:type="dxa"/>
            <w:vAlign w:val="bottom"/>
            <w:tcBorders>
              <w:bottom w:val="single" w:sz="8" w:color="CEFFE7"/>
            </w:tcBorders>
            <w:shd w:val="clear" w:color="auto" w:fill="CEFFE7"/>
          </w:tcPr>
          <w:p>
            <w:pPr>
              <w:spacing w:after="0"/>
              <w:rPr>
                <w:sz w:val="21"/>
                <w:szCs w:val="21"/>
                <w:color w:val="auto"/>
              </w:rPr>
            </w:pPr>
          </w:p>
        </w:tc>
        <w:tc>
          <w:tcPr>
            <w:tcW w:w="1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EFFE7"/>
            </w:tcBorders>
          </w:tcPr>
          <w:p>
            <w:pPr>
              <w:spacing w:after="0"/>
              <w:rPr>
                <w:sz w:val="2"/>
                <w:szCs w:val="2"/>
                <w:color w:val="auto"/>
              </w:rPr>
            </w:pPr>
          </w:p>
        </w:tc>
        <w:tc>
          <w:tcPr>
            <w:tcW w:w="300" w:type="dxa"/>
            <w:vAlign w:val="bottom"/>
            <w:tcBorders>
              <w:bottom w:val="single" w:sz="8" w:color="CEFFE7"/>
            </w:tcBorders>
          </w:tcPr>
          <w:p>
            <w:pPr>
              <w:spacing w:after="0"/>
              <w:rPr>
                <w:sz w:val="2"/>
                <w:szCs w:val="2"/>
                <w:color w:val="auto"/>
              </w:rPr>
            </w:pPr>
          </w:p>
        </w:tc>
        <w:tc>
          <w:tcPr>
            <w:tcW w:w="9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20" w:type="dxa"/>
            <w:vAlign w:val="bottom"/>
            <w:tcBorders>
              <w:bottom w:val="single" w:sz="8" w:color="CEFFE7"/>
            </w:tcBorders>
            <w:shd w:val="clear" w:color="auto" w:fill="CEFFE7"/>
          </w:tcPr>
          <w:p>
            <w:pPr>
              <w:spacing w:after="0"/>
              <w:rPr>
                <w:sz w:val="22"/>
                <w:szCs w:val="22"/>
                <w:color w:val="auto"/>
              </w:rPr>
            </w:pPr>
          </w:p>
        </w:tc>
        <w:tc>
          <w:tcPr>
            <w:tcW w:w="300" w:type="dxa"/>
            <w:vAlign w:val="bottom"/>
            <w:tcBorders>
              <w:bottom w:val="single" w:sz="8" w:color="CEFFE7"/>
            </w:tcBorders>
            <w:shd w:val="clear" w:color="auto" w:fill="CEFFE7"/>
          </w:tcPr>
          <w:p>
            <w:pPr>
              <w:spacing w:after="0"/>
              <w:rPr>
                <w:sz w:val="22"/>
                <w:szCs w:val="22"/>
                <w:color w:val="auto"/>
              </w:rPr>
            </w:pPr>
          </w:p>
        </w:tc>
        <w:tc>
          <w:tcPr>
            <w:tcW w:w="900" w:type="dxa"/>
            <w:vAlign w:val="bottom"/>
            <w:tcBorders>
              <w:bottom w:val="single" w:sz="8" w:color="CEFFE7"/>
            </w:tcBorders>
            <w:shd w:val="clear" w:color="auto" w:fill="CEFFE7"/>
          </w:tcPr>
          <w:p>
            <w:pPr>
              <w:spacing w:after="0"/>
              <w:rPr>
                <w:sz w:val="22"/>
                <w:szCs w:val="22"/>
                <w:color w:val="auto"/>
              </w:rPr>
            </w:pPr>
          </w:p>
        </w:tc>
        <w:tc>
          <w:tcPr>
            <w:tcW w:w="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614</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820</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623</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543</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475</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122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6"/>
                <w:szCs w:val="16"/>
                <w:color w:val="auto"/>
              </w:rPr>
              <w:t>__________</w:t>
            </w:r>
          </w:p>
        </w:tc>
        <w:tc>
          <w:tcPr>
            <w:tcW w:w="300" w:type="dxa"/>
            <w:vAlign w:val="bottom"/>
            <w:tcBorders>
              <w:top w:val="single" w:sz="8" w:color="CEFFE7"/>
            </w:tcBorders>
          </w:tcPr>
          <w:p>
            <w:pPr>
              <w:spacing w:after="0" w:line="20" w:lineRule="exact"/>
              <w:rPr>
                <w:sz w:val="1"/>
                <w:szCs w:val="1"/>
                <w:color w:val="auto"/>
              </w:rPr>
            </w:pPr>
          </w:p>
        </w:tc>
        <w:tc>
          <w:tcPr>
            <w:tcW w:w="90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2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60" w:hanging="352"/>
        <w:spacing w:after="0"/>
        <w:tabs>
          <w:tab w:leader="none" w:pos="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Expenditures for the nine months ended September 30, 2019 include the impact of accruals for property, plant and equipment.</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actual capital expenditures for the nine months ended September 30, 2019.</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Planned capital expenditures increased for 2019 through 2023 primarily due to increased programmatic safety, reliability and integrity spending.</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continue to evaluate potential future acquisitions and other growth opportunities when they arise. As a result, capital expenditures may vary significantly from the estimates identified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have been no significant changes in contractual obligations from those previously disclosed in Note 19 of our Notes to the Consolidated Financial Statements in our 2018 Annual Report on Form 10-K except for the items described in Notes 8, 16, and 20 of the Notes to Condensed Consolidated Financial Statements in this Quarterly Report on Form 10-Q.</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There have been no significant changes to off-balance sheet commitments from those previously disclosed in Item 7 of our 2018 Annual Report on Form 10-K filed with the SEC except for the items described in Note 8 of the Notes to Condensed Consolidated Financial Statements in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than the pronouncements reported in our 2018 Annual Report on Form 10-K filed with the SEC and those discussed in Note 1 of the Notes to Condensed Consolidated Financial Statements in this Quarterly Report on Form 10-Q, there have been no new accounting pronouncements that are expected to have a material effect on our financial position, results of operations, or cash flows.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Quarterly Report on Form 10-Q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forward-looking statements of this nature, including statements contained within Item 2 - Management’s Discussion &amp; Analysis of Financial Condition and Results of Operations.</w:t>
      </w:r>
    </w:p>
    <w:p>
      <w:pPr>
        <w:spacing w:after="0" w:line="19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Any forward-looking statement contained in this document speaks only as of the date the statement was made. The Company undertakes no obligation to update any forward-looking statement or statements to reflect events or circumstances that occur after the date on which the statement was made or to reflect the occurrence of unanticipated events. New factors emerge from time to time,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described in our 2018 Annual Report on Form 10-K including statements contained within Item 1A - Risk Factors of our 2018 Annual Report on Form 10-K, Part II, Item 1A of this Quarterly Report on Form 10-Q and other reports that we file with the SEC from time to time.</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Information regarding our quantitative and qualitative disclosures about market risk is disclosed in Item 7A of our Annual Report on Form 10-K. During the nine months ended September 30, 2019, there were no material changes to our quantitative and qualitative disclosures about market risk.</w:t>
      </w:r>
    </w:p>
    <w:p>
      <w:pPr>
        <w:spacing w:after="0" w:line="1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Chief Executive Officer and Chief Financial Officer evaluated the effectiveness of our disclosure controls and procedures (as defined in Rules 13a-15(e) and 15d-15(e) of the Securities Exchange Act of 1934) as of September 30, 2019. Based on their evaluation, they have concluded that our disclosure controls and procedures were effective at September 30, 2019.</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Security Exchange Act of 1934, as amended,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quarter ended September 30, 2019, there have been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126" w:right="31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BLACK HILLS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 — Other Information</w:t>
      </w:r>
    </w:p>
    <w:p>
      <w:pPr>
        <w:spacing w:after="0" w:line="200" w:lineRule="exact"/>
        <w:rPr>
          <w:sz w:val="20"/>
          <w:szCs w:val="20"/>
          <w:color w:val="auto"/>
        </w:rPr>
      </w:pP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Legal Proceedings</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information regarding legal proceedings, see Note 19 in Item 8 of our 2018 Annual Report on Form 10-K and Note 16 in Item 1 of Part I of this Quarterly Report on Form 10-Q, which information from Note 16 is incorporated by reference into this item.</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Mine Safety Disclosures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in Exhibit 95 of this Quarterly Report on Form 10-Q.</w:t>
      </w:r>
    </w:p>
    <w:p>
      <w:pPr>
        <w:spacing w:after="0" w:line="1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Exhibits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ind w:left="40"/>
              <w:spacing w:after="0"/>
              <w:rPr>
                <w:sz w:val="20"/>
                <w:szCs w:val="20"/>
                <w:color w:val="auto"/>
              </w:rPr>
            </w:pPr>
            <w:r>
              <w:rPr>
                <w:rFonts w:ascii="Arial" w:cs="Arial" w:eastAsia="Arial" w:hAnsi="Arial"/>
                <w:sz w:val="18"/>
                <w:szCs w:val="18"/>
                <w:b w:val="1"/>
                <w:bCs w:val="1"/>
                <w:color w:val="auto"/>
              </w:rPr>
              <w:t>Exhibit Number</w:t>
            </w:r>
          </w:p>
        </w:tc>
        <w:tc>
          <w:tcPr>
            <w:tcW w:w="9100" w:type="dxa"/>
            <w:vAlign w:val="bottom"/>
            <w:gridSpan w:val="29"/>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426"/>
        </w:trPr>
        <w:tc>
          <w:tcPr>
            <w:tcW w:w="2320" w:type="dxa"/>
            <w:vAlign w:val="bottom"/>
          </w:tcPr>
          <w:p>
            <w:pPr>
              <w:ind w:left="40"/>
              <w:spacing w:after="0"/>
              <w:rPr>
                <w:sz w:val="20"/>
                <w:szCs w:val="20"/>
                <w:color w:val="auto"/>
              </w:rPr>
            </w:pPr>
            <w:r>
              <w:rPr>
                <w:rFonts w:ascii="Arial" w:cs="Arial" w:eastAsia="Arial" w:hAnsi="Arial"/>
                <w:sz w:val="18"/>
                <w:szCs w:val="18"/>
                <w:color w:val="auto"/>
              </w:rPr>
              <w:t>Exhibit 3.1*</w:t>
            </w:r>
          </w:p>
        </w:tc>
        <w:tc>
          <w:tcPr>
            <w:tcW w:w="9100" w:type="dxa"/>
            <w:vAlign w:val="bottom"/>
            <w:gridSpan w:val="29"/>
          </w:tcPr>
          <w:p>
            <w:pPr>
              <w:spacing w:after="0"/>
              <w:rPr>
                <w:rFonts w:ascii="Arial" w:cs="Arial" w:eastAsia="Arial" w:hAnsi="Arial"/>
                <w:sz w:val="18"/>
                <w:szCs w:val="18"/>
                <w:color w:val="0000FF"/>
                <w:w w:val="93"/>
              </w:rPr>
            </w:pPr>
            <w:hyperlink r:id="rId54">
              <w:r>
                <w:rPr>
                  <w:rFonts w:ascii="Arial" w:cs="Arial" w:eastAsia="Arial" w:hAnsi="Arial"/>
                  <w:sz w:val="18"/>
                  <w:szCs w:val="18"/>
                  <w:color w:val="0000FF"/>
                  <w:w w:val="93"/>
                </w:rPr>
                <w:t>Restated Articles of Incorporation of the Registrant dated January 30, 2018 (filed as Exhibit 3 to the Registrant’s Form 8-K</w:t>
              </w:r>
            </w:hyperlink>
          </w:p>
        </w:tc>
      </w:tr>
      <w:tr>
        <w:trPr>
          <w:trHeight w:val="196"/>
        </w:trPr>
        <w:tc>
          <w:tcPr>
            <w:tcW w:w="2320" w:type="dxa"/>
            <w:vAlign w:val="bottom"/>
          </w:tcPr>
          <w:p>
            <w:pPr>
              <w:spacing w:after="0"/>
              <w:rPr>
                <w:sz w:val="17"/>
                <w:szCs w:val="17"/>
                <w:color w:val="auto"/>
              </w:rPr>
            </w:pPr>
          </w:p>
        </w:tc>
        <w:tc>
          <w:tcPr>
            <w:tcW w:w="19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filed on February 5, 2018).</w:t>
              </w:r>
            </w:hyperlink>
          </w:p>
        </w:tc>
        <w:tc>
          <w:tcPr>
            <w:tcW w:w="6920" w:type="dxa"/>
            <w:vAlign w:val="bottom"/>
            <w:tcBorders>
              <w:top w:val="single" w:sz="8" w:color="0000FF"/>
            </w:tcBorders>
            <w:gridSpan w:val="14"/>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3.2*</w:t>
            </w:r>
          </w:p>
        </w:tc>
        <w:tc>
          <w:tcPr>
            <w:tcW w:w="9100" w:type="dxa"/>
            <w:vAlign w:val="bottom"/>
            <w:gridSpan w:val="29"/>
          </w:tcPr>
          <w:p>
            <w:pPr>
              <w:spacing w:after="0"/>
              <w:rPr>
                <w:rFonts w:ascii="Arial" w:cs="Arial" w:eastAsia="Arial" w:hAnsi="Arial"/>
                <w:sz w:val="18"/>
                <w:szCs w:val="18"/>
                <w:color w:val="0000FF"/>
                <w:w w:val="94"/>
              </w:rPr>
            </w:pPr>
            <w:hyperlink r:id="rId55">
              <w:r>
                <w:rPr>
                  <w:rFonts w:ascii="Arial" w:cs="Arial" w:eastAsia="Arial" w:hAnsi="Arial"/>
                  <w:sz w:val="18"/>
                  <w:szCs w:val="18"/>
                  <w:color w:val="0000FF"/>
                  <w:w w:val="94"/>
                </w:rPr>
                <w:t>Amended and Restated Bylaws of the Registrant dated April 24, 2017 (filed as Exhibit 3 to the Registrant’s Form 8-K filed</w:t>
              </w:r>
            </w:hyperlink>
          </w:p>
        </w:tc>
      </w:tr>
      <w:tr>
        <w:trPr>
          <w:trHeight w:val="196"/>
        </w:trPr>
        <w:tc>
          <w:tcPr>
            <w:tcW w:w="2320" w:type="dxa"/>
            <w:vAlign w:val="bottom"/>
          </w:tcPr>
          <w:p>
            <w:pPr>
              <w:spacing w:after="0"/>
              <w:rPr>
                <w:sz w:val="17"/>
                <w:szCs w:val="17"/>
                <w:color w:val="auto"/>
              </w:rPr>
            </w:pPr>
          </w:p>
        </w:tc>
        <w:tc>
          <w:tcPr>
            <w:tcW w:w="88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on April 28, 2017).</w:t>
              </w:r>
            </w:hyperlink>
          </w:p>
        </w:tc>
        <w:tc>
          <w:tcPr>
            <w:tcW w:w="240" w:type="dxa"/>
            <w:vAlign w:val="bottom"/>
            <w:gridSpan w:val="8"/>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4.1*</w:t>
            </w:r>
          </w:p>
        </w:tc>
        <w:tc>
          <w:tcPr>
            <w:tcW w:w="8680" w:type="dxa"/>
            <w:vAlign w:val="bottom"/>
            <w:tcBorders>
              <w:bottom w:val="single" w:sz="8" w:color="0000FF"/>
            </w:tcBorders>
            <w:gridSpan w:val="19"/>
          </w:tcPr>
          <w:p>
            <w:pPr>
              <w:spacing w:after="0"/>
              <w:rPr>
                <w:rFonts w:ascii="Arial" w:cs="Arial" w:eastAsia="Arial" w:hAnsi="Arial"/>
                <w:sz w:val="18"/>
                <w:szCs w:val="18"/>
                <w:color w:val="0000FF"/>
                <w:w w:val="89"/>
              </w:rPr>
            </w:pPr>
            <w:hyperlink r:id="rId56">
              <w:r>
                <w:rPr>
                  <w:rFonts w:ascii="Arial" w:cs="Arial" w:eastAsia="Arial" w:hAnsi="Arial"/>
                  <w:sz w:val="18"/>
                  <w:szCs w:val="18"/>
                  <w:color w:val="0000FF"/>
                  <w:w w:val="89"/>
                </w:rPr>
                <w:t>Indenture dated as of May 21, 2003 between the Registrant and Wells Fargo Bank, National Association (as successor to</w:t>
              </w:r>
            </w:hyperlink>
          </w:p>
        </w:tc>
        <w:tc>
          <w:tcPr>
            <w:tcW w:w="420" w:type="dxa"/>
            <w:vAlign w:val="bottom"/>
            <w:gridSpan w:val="10"/>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9100" w:type="dxa"/>
            <w:vAlign w:val="bottom"/>
            <w:gridSpan w:val="29"/>
          </w:tcPr>
          <w:p>
            <w:pPr>
              <w:spacing w:after="0" w:line="196" w:lineRule="exact"/>
              <w:rPr>
                <w:rFonts w:ascii="Arial" w:cs="Arial" w:eastAsia="Arial" w:hAnsi="Arial"/>
                <w:sz w:val="18"/>
                <w:szCs w:val="18"/>
                <w:color w:val="0000FF"/>
                <w:w w:val="94"/>
              </w:rPr>
            </w:pPr>
            <w:hyperlink r:id="rId56">
              <w:r>
                <w:rPr>
                  <w:rFonts w:ascii="Arial" w:cs="Arial" w:eastAsia="Arial" w:hAnsi="Arial"/>
                  <w:sz w:val="18"/>
                  <w:szCs w:val="18"/>
                  <w:color w:val="0000FF"/>
                  <w:w w:val="94"/>
                </w:rPr>
                <w:t>LaSalle Bank National Association), as Trustee (filed as Exhibit 4.1 to the Registrant’s Form 10-Q for the quarterly period</w:t>
              </w:r>
            </w:hyperlink>
          </w:p>
        </w:tc>
      </w:tr>
      <w:tr>
        <w:trPr>
          <w:trHeight w:val="196"/>
        </w:trPr>
        <w:tc>
          <w:tcPr>
            <w:tcW w:w="2320" w:type="dxa"/>
            <w:vAlign w:val="bottom"/>
          </w:tcPr>
          <w:p>
            <w:pPr>
              <w:spacing w:after="0"/>
              <w:rPr>
                <w:sz w:val="17"/>
                <w:szCs w:val="17"/>
                <w:color w:val="auto"/>
              </w:rPr>
            </w:pPr>
          </w:p>
        </w:tc>
        <w:tc>
          <w:tcPr>
            <w:tcW w:w="88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ended June 30, 2003).</w:t>
              </w:r>
            </w:hyperlink>
          </w:p>
        </w:tc>
        <w:tc>
          <w:tcPr>
            <w:tcW w:w="300" w:type="dxa"/>
            <w:vAlign w:val="bottom"/>
            <w:gridSpan w:val="9"/>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2320" w:type="dxa"/>
            <w:vAlign w:val="bottom"/>
          </w:tcPr>
          <w:p>
            <w:pPr>
              <w:spacing w:after="0"/>
              <w:rPr>
                <w:sz w:val="21"/>
                <w:szCs w:val="21"/>
                <w:color w:val="auto"/>
              </w:rPr>
            </w:pPr>
          </w:p>
        </w:tc>
        <w:tc>
          <w:tcPr>
            <w:tcW w:w="9100" w:type="dxa"/>
            <w:vAlign w:val="bottom"/>
            <w:gridSpan w:val="29"/>
          </w:tcPr>
          <w:p>
            <w:pPr>
              <w:spacing w:after="0"/>
              <w:rPr>
                <w:rFonts w:ascii="Arial" w:cs="Arial" w:eastAsia="Arial" w:hAnsi="Arial"/>
                <w:sz w:val="18"/>
                <w:szCs w:val="18"/>
                <w:color w:val="0000FF"/>
                <w:w w:val="93"/>
              </w:rPr>
            </w:pPr>
            <w:hyperlink r:id="rId57">
              <w:r>
                <w:rPr>
                  <w:rFonts w:ascii="Arial" w:cs="Arial" w:eastAsia="Arial" w:hAnsi="Arial"/>
                  <w:sz w:val="18"/>
                  <w:szCs w:val="18"/>
                  <w:color w:val="0000FF"/>
                  <w:w w:val="93"/>
                </w:rPr>
                <w:t>First Supplemental Indenture dated as of May 21, 2003 (filed as Exhibit 4.2 to the Registrant’s Form 10-Q for the quarterly</w:t>
              </w:r>
            </w:hyperlink>
          </w:p>
        </w:tc>
      </w:tr>
      <w:tr>
        <w:trPr>
          <w:trHeight w:val="196"/>
        </w:trPr>
        <w:tc>
          <w:tcPr>
            <w:tcW w:w="2320" w:type="dxa"/>
            <w:vAlign w:val="bottom"/>
          </w:tcPr>
          <w:p>
            <w:pPr>
              <w:spacing w:after="0"/>
              <w:rPr>
                <w:sz w:val="17"/>
                <w:szCs w:val="17"/>
                <w:color w:val="auto"/>
              </w:rPr>
            </w:pPr>
          </w:p>
        </w:tc>
        <w:tc>
          <w:tcPr>
            <w:tcW w:w="88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period ended June 30, 2003).</w:t>
              </w:r>
            </w:hyperlink>
          </w:p>
        </w:tc>
        <w:tc>
          <w:tcPr>
            <w:tcW w:w="240" w:type="dxa"/>
            <w:vAlign w:val="bottom"/>
            <w:gridSpan w:val="8"/>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2320" w:type="dxa"/>
            <w:vAlign w:val="bottom"/>
          </w:tcPr>
          <w:p>
            <w:pPr>
              <w:spacing w:after="0"/>
              <w:rPr>
                <w:sz w:val="21"/>
                <w:szCs w:val="21"/>
                <w:color w:val="auto"/>
              </w:rPr>
            </w:pPr>
          </w:p>
        </w:tc>
        <w:tc>
          <w:tcPr>
            <w:tcW w:w="9100" w:type="dxa"/>
            <w:vAlign w:val="bottom"/>
            <w:gridSpan w:val="29"/>
          </w:tcPr>
          <w:p>
            <w:pPr>
              <w:spacing w:after="0"/>
              <w:rPr>
                <w:rFonts w:ascii="Arial" w:cs="Arial" w:eastAsia="Arial" w:hAnsi="Arial"/>
                <w:sz w:val="18"/>
                <w:szCs w:val="18"/>
                <w:color w:val="0000FF"/>
                <w:w w:val="93"/>
              </w:rPr>
            </w:pPr>
            <w:hyperlink r:id="rId58">
              <w:r>
                <w:rPr>
                  <w:rFonts w:ascii="Arial" w:cs="Arial" w:eastAsia="Arial" w:hAnsi="Arial"/>
                  <w:sz w:val="18"/>
                  <w:szCs w:val="18"/>
                  <w:color w:val="0000FF"/>
                  <w:w w:val="93"/>
                </w:rPr>
                <w:t>Second Supplemental Indenture dated as of May 14, 2009 (filed as Exhibit 4 to the Registrant’s Form 8-K filed on May 14,</w:t>
              </w:r>
            </w:hyperlink>
          </w:p>
        </w:tc>
      </w:tr>
      <w:tr>
        <w:trPr>
          <w:trHeight w:val="196"/>
        </w:trPr>
        <w:tc>
          <w:tcPr>
            <w:tcW w:w="23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58">
              <w:r>
                <w:rPr>
                  <w:rFonts w:ascii="Arial" w:cs="Arial" w:eastAsia="Arial" w:hAnsi="Arial"/>
                  <w:sz w:val="18"/>
                  <w:szCs w:val="18"/>
                  <w:color w:val="0000FF"/>
                  <w:w w:val="86"/>
                </w:rPr>
                <w:t>2009).</w:t>
              </w:r>
            </w:hyperlink>
          </w:p>
        </w:tc>
        <w:tc>
          <w:tcPr>
            <w:tcW w:w="28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60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2320" w:type="dxa"/>
            <w:vAlign w:val="bottom"/>
          </w:tcPr>
          <w:p>
            <w:pPr>
              <w:spacing w:after="0"/>
              <w:rPr>
                <w:sz w:val="21"/>
                <w:szCs w:val="21"/>
                <w:color w:val="auto"/>
              </w:rPr>
            </w:pPr>
          </w:p>
        </w:tc>
        <w:tc>
          <w:tcPr>
            <w:tcW w:w="9100" w:type="dxa"/>
            <w:vAlign w:val="bottom"/>
            <w:gridSpan w:val="29"/>
          </w:tcPr>
          <w:p>
            <w:pPr>
              <w:spacing w:after="0"/>
              <w:rPr>
                <w:rFonts w:ascii="Arial" w:cs="Arial" w:eastAsia="Arial" w:hAnsi="Arial"/>
                <w:sz w:val="18"/>
                <w:szCs w:val="18"/>
                <w:color w:val="0000FF"/>
                <w:w w:val="93"/>
              </w:rPr>
            </w:pPr>
            <w:hyperlink r:id="rId59">
              <w:r>
                <w:rPr>
                  <w:rFonts w:ascii="Arial" w:cs="Arial" w:eastAsia="Arial" w:hAnsi="Arial"/>
                  <w:sz w:val="18"/>
                  <w:szCs w:val="18"/>
                  <w:color w:val="0000FF"/>
                  <w:w w:val="93"/>
                </w:rPr>
                <w:t>Third Supplemental Indenture dated as of July 16, 2010 (filed as Exhibit 4 to Registrant’s Form 8-K filed on July 15, 2010).</w:t>
              </w:r>
            </w:hyperlink>
          </w:p>
        </w:tc>
      </w:tr>
      <w:tr>
        <w:trPr>
          <w:trHeight w:val="250"/>
        </w:trPr>
        <w:tc>
          <w:tcPr>
            <w:tcW w:w="2320" w:type="dxa"/>
            <w:vAlign w:val="bottom"/>
          </w:tcPr>
          <w:p>
            <w:pPr>
              <w:spacing w:after="0"/>
              <w:rPr>
                <w:sz w:val="21"/>
                <w:szCs w:val="21"/>
                <w:color w:val="auto"/>
              </w:rPr>
            </w:pPr>
          </w:p>
        </w:tc>
        <w:tc>
          <w:tcPr>
            <w:tcW w:w="8620" w:type="dxa"/>
            <w:vAlign w:val="bottom"/>
            <w:tcBorders>
              <w:top w:val="single" w:sz="8" w:color="0000FF"/>
              <w:bottom w:val="single" w:sz="8" w:color="0000FF"/>
            </w:tcBorders>
            <w:gridSpan w:val="17"/>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Fourth Supplemental Indenture dated as of November 19, 2013 (filed as Exhibit 4 to the Registrant’s Form 8-K filed on</w:t>
              </w:r>
            </w:hyperlink>
          </w:p>
        </w:tc>
        <w:tc>
          <w:tcPr>
            <w:tcW w:w="300" w:type="dxa"/>
            <w:vAlign w:val="bottom"/>
            <w:tcBorders>
              <w:top w:val="single" w:sz="8" w:color="0000FF"/>
            </w:tcBorders>
            <w:gridSpan w:val="7"/>
          </w:tcPr>
          <w:p>
            <w:pPr>
              <w:spacing w:after="0"/>
              <w:rPr>
                <w:sz w:val="21"/>
                <w:szCs w:val="21"/>
                <w:color w:val="auto"/>
              </w:rPr>
            </w:pPr>
          </w:p>
        </w:tc>
        <w:tc>
          <w:tcPr>
            <w:tcW w:w="180" w:type="dxa"/>
            <w:vAlign w:val="bottom"/>
            <w:gridSpan w:val="5"/>
          </w:tcPr>
          <w:p>
            <w:pPr>
              <w:spacing w:after="0"/>
              <w:rPr>
                <w:sz w:val="21"/>
                <w:szCs w:val="21"/>
                <w:color w:val="auto"/>
              </w:rPr>
            </w:pPr>
          </w:p>
        </w:tc>
      </w:tr>
      <w:tr>
        <w:trPr>
          <w:trHeight w:val="196"/>
        </w:trPr>
        <w:tc>
          <w:tcPr>
            <w:tcW w:w="2320" w:type="dxa"/>
            <w:vAlign w:val="bottom"/>
          </w:tcPr>
          <w:p>
            <w:pPr>
              <w:spacing w:after="0"/>
              <w:rPr>
                <w:sz w:val="17"/>
                <w:szCs w:val="17"/>
                <w:color w:val="auto"/>
              </w:rPr>
            </w:pPr>
          </w:p>
        </w:tc>
        <w:tc>
          <w:tcPr>
            <w:tcW w:w="158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November 18, 2013).</w:t>
              </w:r>
            </w:hyperlink>
          </w:p>
        </w:tc>
        <w:tc>
          <w:tcPr>
            <w:tcW w:w="7520" w:type="dxa"/>
            <w:vAlign w:val="bottom"/>
            <w:gridSpan w:val="23"/>
          </w:tcPr>
          <w:p>
            <w:pPr>
              <w:spacing w:after="0"/>
              <w:rPr>
                <w:sz w:val="17"/>
                <w:szCs w:val="17"/>
                <w:color w:val="auto"/>
              </w:rPr>
            </w:pPr>
          </w:p>
        </w:tc>
      </w:tr>
      <w:tr>
        <w:trPr>
          <w:trHeight w:val="250"/>
        </w:trPr>
        <w:tc>
          <w:tcPr>
            <w:tcW w:w="2320" w:type="dxa"/>
            <w:vAlign w:val="bottom"/>
          </w:tcPr>
          <w:p>
            <w:pPr>
              <w:spacing w:after="0"/>
              <w:rPr>
                <w:sz w:val="21"/>
                <w:szCs w:val="21"/>
                <w:color w:val="auto"/>
              </w:rPr>
            </w:pPr>
          </w:p>
        </w:tc>
        <w:tc>
          <w:tcPr>
            <w:tcW w:w="9100" w:type="dxa"/>
            <w:vAlign w:val="bottom"/>
            <w:gridSpan w:val="29"/>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Fifth Supplemental Indenture dated as of January 13, 2016 (filed as Exhibit 4.1 to the Registrant’s Form 8-K filed on January</w:t>
              </w:r>
            </w:hyperlink>
          </w:p>
        </w:tc>
      </w:tr>
      <w:tr>
        <w:trPr>
          <w:trHeight w:val="196"/>
        </w:trPr>
        <w:tc>
          <w:tcPr>
            <w:tcW w:w="232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61">
              <w:r>
                <w:rPr>
                  <w:rFonts w:ascii="Arial" w:cs="Arial" w:eastAsia="Arial" w:hAnsi="Arial"/>
                  <w:sz w:val="18"/>
                  <w:szCs w:val="18"/>
                  <w:color w:val="0000FF"/>
                  <w:w w:val="88"/>
                </w:rPr>
                <w:t>13, 2016).</w:t>
              </w:r>
            </w:hyperlink>
          </w:p>
        </w:tc>
        <w:tc>
          <w:tcPr>
            <w:tcW w:w="5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60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2320" w:type="dxa"/>
            <w:vAlign w:val="bottom"/>
          </w:tcPr>
          <w:p>
            <w:pPr>
              <w:spacing w:after="0"/>
              <w:rPr>
                <w:sz w:val="21"/>
                <w:szCs w:val="21"/>
                <w:color w:val="auto"/>
              </w:rPr>
            </w:pPr>
          </w:p>
        </w:tc>
        <w:tc>
          <w:tcPr>
            <w:tcW w:w="9100" w:type="dxa"/>
            <w:vAlign w:val="bottom"/>
            <w:gridSpan w:val="29"/>
          </w:tcPr>
          <w:p>
            <w:pPr>
              <w:spacing w:after="0"/>
              <w:rPr>
                <w:rFonts w:ascii="Arial" w:cs="Arial" w:eastAsia="Arial" w:hAnsi="Arial"/>
                <w:sz w:val="18"/>
                <w:szCs w:val="18"/>
                <w:color w:val="0000FF"/>
                <w:w w:val="92"/>
              </w:rPr>
            </w:pPr>
            <w:hyperlink r:id="rId62">
              <w:r>
                <w:rPr>
                  <w:rFonts w:ascii="Arial" w:cs="Arial" w:eastAsia="Arial" w:hAnsi="Arial"/>
                  <w:sz w:val="18"/>
                  <w:szCs w:val="18"/>
                  <w:color w:val="0000FF"/>
                  <w:w w:val="92"/>
                </w:rPr>
                <w:t>Sixth Supplemental Indenture dated as of August 19, 2016 (filed as Exhibit 4.1 to the Registrant’s Form 8-K filed on August</w:t>
              </w:r>
            </w:hyperlink>
          </w:p>
        </w:tc>
      </w:tr>
      <w:tr>
        <w:trPr>
          <w:trHeight w:val="196"/>
        </w:trPr>
        <w:tc>
          <w:tcPr>
            <w:tcW w:w="232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62">
              <w:r>
                <w:rPr>
                  <w:rFonts w:ascii="Arial" w:cs="Arial" w:eastAsia="Arial" w:hAnsi="Arial"/>
                  <w:sz w:val="18"/>
                  <w:szCs w:val="18"/>
                  <w:color w:val="0000FF"/>
                  <w:w w:val="88"/>
                </w:rPr>
                <w:t>19, 2016).</w:t>
              </w:r>
            </w:hyperlink>
          </w:p>
        </w:tc>
        <w:tc>
          <w:tcPr>
            <w:tcW w:w="5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60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2320" w:type="dxa"/>
            <w:vAlign w:val="bottom"/>
          </w:tcPr>
          <w:p>
            <w:pPr>
              <w:spacing w:after="0"/>
              <w:rPr>
                <w:sz w:val="21"/>
                <w:szCs w:val="21"/>
                <w:color w:val="auto"/>
              </w:rPr>
            </w:pPr>
          </w:p>
        </w:tc>
        <w:tc>
          <w:tcPr>
            <w:tcW w:w="9100" w:type="dxa"/>
            <w:vAlign w:val="bottom"/>
            <w:gridSpan w:val="29"/>
          </w:tcPr>
          <w:p>
            <w:pPr>
              <w:spacing w:after="0"/>
              <w:rPr>
                <w:rFonts w:ascii="Arial" w:cs="Arial" w:eastAsia="Arial" w:hAnsi="Arial"/>
                <w:sz w:val="18"/>
                <w:szCs w:val="18"/>
                <w:color w:val="0000FF"/>
                <w:w w:val="96"/>
              </w:rPr>
            </w:pPr>
            <w:hyperlink r:id="rId63">
              <w:r>
                <w:rPr>
                  <w:rFonts w:ascii="Arial" w:cs="Arial" w:eastAsia="Arial" w:hAnsi="Arial"/>
                  <w:sz w:val="18"/>
                  <w:szCs w:val="18"/>
                  <w:color w:val="0000FF"/>
                  <w:w w:val="96"/>
                </w:rPr>
                <w:t>Seventh Supplemental Indenture dated as of August 17, 2018 (filed as Exhibit 4.2 to the Registrant’s Form 8-K filed on</w:t>
              </w:r>
            </w:hyperlink>
          </w:p>
        </w:tc>
      </w:tr>
      <w:tr>
        <w:trPr>
          <w:trHeight w:val="196"/>
        </w:trPr>
        <w:tc>
          <w:tcPr>
            <w:tcW w:w="2320" w:type="dxa"/>
            <w:vAlign w:val="bottom"/>
          </w:tcPr>
          <w:p>
            <w:pPr>
              <w:spacing w:after="0"/>
              <w:rPr>
                <w:sz w:val="17"/>
                <w:szCs w:val="17"/>
                <w:color w:val="auto"/>
              </w:rPr>
            </w:pPr>
          </w:p>
        </w:tc>
        <w:tc>
          <w:tcPr>
            <w:tcW w:w="13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August 17, 2018).</w:t>
              </w:r>
            </w:hyperlink>
          </w:p>
        </w:tc>
        <w:tc>
          <w:tcPr>
            <w:tcW w:w="7300" w:type="dxa"/>
            <w:vAlign w:val="bottom"/>
            <w:tcBorders>
              <w:top w:val="single" w:sz="8" w:color="0000FF"/>
            </w:tcBorders>
            <w:gridSpan w:val="12"/>
          </w:tcPr>
          <w:p>
            <w:pPr>
              <w:spacing w:after="0"/>
              <w:rPr>
                <w:sz w:val="17"/>
                <w:szCs w:val="17"/>
                <w:color w:val="auto"/>
              </w:rPr>
            </w:pPr>
          </w:p>
        </w:tc>
        <w:tc>
          <w:tcPr>
            <w:tcW w:w="500" w:type="dxa"/>
            <w:vAlign w:val="bottom"/>
            <w:gridSpan w:val="13"/>
          </w:tcPr>
          <w:p>
            <w:pPr>
              <w:spacing w:after="0"/>
              <w:rPr>
                <w:sz w:val="17"/>
                <w:szCs w:val="17"/>
                <w:color w:val="auto"/>
              </w:rPr>
            </w:pPr>
          </w:p>
        </w:tc>
      </w:tr>
      <w:tr>
        <w:trPr>
          <w:trHeight w:val="250"/>
        </w:trPr>
        <w:tc>
          <w:tcPr>
            <w:tcW w:w="2320" w:type="dxa"/>
            <w:vAlign w:val="bottom"/>
          </w:tcPr>
          <w:p>
            <w:pPr>
              <w:spacing w:after="0"/>
              <w:rPr>
                <w:sz w:val="21"/>
                <w:szCs w:val="21"/>
                <w:color w:val="auto"/>
              </w:rPr>
            </w:pPr>
          </w:p>
        </w:tc>
        <w:tc>
          <w:tcPr>
            <w:tcW w:w="8480" w:type="dxa"/>
            <w:vAlign w:val="bottom"/>
            <w:tcBorders>
              <w:bottom w:val="single" w:sz="8" w:color="0000FF"/>
            </w:tcBorders>
            <w:gridSpan w:val="15"/>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Eighth Supplemental Indenture dated as of October 3, 2019 (filed as Exhibit 4.1 to the Registrant’s Form 8-K filed on</w:t>
              </w:r>
            </w:hyperlink>
          </w:p>
        </w:tc>
        <w:tc>
          <w:tcPr>
            <w:tcW w:w="620" w:type="dxa"/>
            <w:vAlign w:val="bottom"/>
            <w:gridSpan w:val="14"/>
          </w:tcPr>
          <w:p>
            <w:pPr>
              <w:spacing w:after="0"/>
              <w:rPr>
                <w:sz w:val="21"/>
                <w:szCs w:val="21"/>
                <w:color w:val="auto"/>
              </w:rPr>
            </w:pPr>
          </w:p>
        </w:tc>
      </w:tr>
      <w:tr>
        <w:trPr>
          <w:trHeight w:val="196"/>
        </w:trPr>
        <w:tc>
          <w:tcPr>
            <w:tcW w:w="2320" w:type="dxa"/>
            <w:vAlign w:val="bottom"/>
          </w:tcPr>
          <w:p>
            <w:pPr>
              <w:spacing w:after="0"/>
              <w:rPr>
                <w:sz w:val="17"/>
                <w:szCs w:val="17"/>
                <w:color w:val="auto"/>
              </w:rPr>
            </w:pPr>
          </w:p>
        </w:tc>
        <w:tc>
          <w:tcPr>
            <w:tcW w:w="9100" w:type="dxa"/>
            <w:vAlign w:val="bottom"/>
            <w:gridSpan w:val="29"/>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October 4, 2019).</w:t>
              </w:r>
            </w:hyperlink>
          </w:p>
        </w:tc>
      </w:tr>
      <w:tr>
        <w:trPr>
          <w:trHeight w:val="20"/>
        </w:trPr>
        <w:tc>
          <w:tcPr>
            <w:tcW w:w="232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4.2*</w:t>
            </w:r>
          </w:p>
        </w:tc>
        <w:tc>
          <w:tcPr>
            <w:tcW w:w="8960" w:type="dxa"/>
            <w:vAlign w:val="bottom"/>
            <w:tcBorders>
              <w:bottom w:val="single" w:sz="8" w:color="0000FF"/>
            </w:tcBorders>
            <w:gridSpan w:val="26"/>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Restated and Amended Indenture of Mortgage and Deed of Trust of Black Hills Corporation (now called Black Hills Power,</w:t>
              </w:r>
            </w:hyperlink>
          </w:p>
        </w:tc>
        <w:tc>
          <w:tcPr>
            <w:tcW w:w="140" w:type="dxa"/>
            <w:vAlign w:val="bottom"/>
            <w:gridSpan w:val="3"/>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838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Inc.) dated as of September 1, 1999 (filed as Exhibit 4.19 to the Registrant’s Post-Effective Amendment No. 1 to the</w:t>
              </w:r>
            </w:hyperlink>
          </w:p>
        </w:tc>
        <w:tc>
          <w:tcPr>
            <w:tcW w:w="720" w:type="dxa"/>
            <w:vAlign w:val="bottom"/>
            <w:gridSpan w:val="15"/>
          </w:tcPr>
          <w:p>
            <w:pPr>
              <w:spacing w:after="0"/>
              <w:rPr>
                <w:sz w:val="17"/>
                <w:szCs w:val="17"/>
                <w:color w:val="auto"/>
              </w:rPr>
            </w:pPr>
          </w:p>
        </w:tc>
      </w:tr>
      <w:tr>
        <w:trPr>
          <w:trHeight w:val="196"/>
        </w:trPr>
        <w:tc>
          <w:tcPr>
            <w:tcW w:w="2320" w:type="dxa"/>
            <w:vAlign w:val="bottom"/>
          </w:tcPr>
          <w:p>
            <w:pPr>
              <w:spacing w:after="0"/>
              <w:rPr>
                <w:sz w:val="17"/>
                <w:szCs w:val="17"/>
                <w:color w:val="auto"/>
              </w:rPr>
            </w:pPr>
          </w:p>
        </w:tc>
        <w:tc>
          <w:tcPr>
            <w:tcW w:w="49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Registrant’s Registration Statement on Form S-3 (No. 333-150669)).</w:t>
              </w:r>
            </w:hyperlink>
          </w:p>
        </w:tc>
        <w:tc>
          <w:tcPr>
            <w:tcW w:w="4140" w:type="dxa"/>
            <w:vAlign w:val="bottom"/>
            <w:gridSpan w:val="19"/>
          </w:tcPr>
          <w:p>
            <w:pPr>
              <w:spacing w:after="0"/>
              <w:rPr>
                <w:sz w:val="17"/>
                <w:szCs w:val="17"/>
                <w:color w:val="auto"/>
              </w:rPr>
            </w:pPr>
          </w:p>
        </w:tc>
      </w:tr>
      <w:tr>
        <w:trPr>
          <w:trHeight w:val="250"/>
        </w:trPr>
        <w:tc>
          <w:tcPr>
            <w:tcW w:w="2320" w:type="dxa"/>
            <w:vAlign w:val="bottom"/>
          </w:tcPr>
          <w:p>
            <w:pPr>
              <w:spacing w:after="0"/>
              <w:rPr>
                <w:sz w:val="21"/>
                <w:szCs w:val="21"/>
                <w:color w:val="auto"/>
              </w:rPr>
            </w:pPr>
          </w:p>
        </w:tc>
        <w:tc>
          <w:tcPr>
            <w:tcW w:w="8660" w:type="dxa"/>
            <w:vAlign w:val="bottom"/>
            <w:tcBorders>
              <w:bottom w:val="single" w:sz="8" w:color="0000FF"/>
            </w:tcBorders>
            <w:gridSpan w:val="18"/>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First Supplemental Indenture, dated as of August 13, 2002, between Black Hills Power, Inc. and The Bank of New York</w:t>
              </w:r>
            </w:hyperlink>
          </w:p>
        </w:tc>
        <w:tc>
          <w:tcPr>
            <w:tcW w:w="440" w:type="dxa"/>
            <w:vAlign w:val="bottom"/>
            <w:gridSpan w:val="11"/>
          </w:tcPr>
          <w:p>
            <w:pPr>
              <w:spacing w:after="0"/>
              <w:rPr>
                <w:sz w:val="21"/>
                <w:szCs w:val="21"/>
                <w:color w:val="auto"/>
              </w:rPr>
            </w:pPr>
          </w:p>
        </w:tc>
      </w:tr>
      <w:tr>
        <w:trPr>
          <w:trHeight w:val="196"/>
        </w:trPr>
        <w:tc>
          <w:tcPr>
            <w:tcW w:w="2320" w:type="dxa"/>
            <w:vAlign w:val="bottom"/>
          </w:tcPr>
          <w:p>
            <w:pPr>
              <w:spacing w:after="0"/>
              <w:rPr>
                <w:sz w:val="17"/>
                <w:szCs w:val="17"/>
                <w:color w:val="auto"/>
              </w:rPr>
            </w:pPr>
          </w:p>
        </w:tc>
        <w:tc>
          <w:tcPr>
            <w:tcW w:w="826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Mellon (as successor to JPMorgan Chase Bank), as Trustee (filed as Exhibit 4.20 to the Registrant’s Post-Effective</w:t>
              </w:r>
            </w:hyperlink>
          </w:p>
        </w:tc>
        <w:tc>
          <w:tcPr>
            <w:tcW w:w="840" w:type="dxa"/>
            <w:vAlign w:val="bottom"/>
            <w:gridSpan w:val="16"/>
          </w:tcPr>
          <w:p>
            <w:pPr>
              <w:spacing w:after="0"/>
              <w:rPr>
                <w:sz w:val="17"/>
                <w:szCs w:val="17"/>
                <w:color w:val="auto"/>
              </w:rPr>
            </w:pPr>
          </w:p>
        </w:tc>
      </w:tr>
      <w:tr>
        <w:trPr>
          <w:trHeight w:val="196"/>
        </w:trPr>
        <w:tc>
          <w:tcPr>
            <w:tcW w:w="2320" w:type="dxa"/>
            <w:vAlign w:val="bottom"/>
          </w:tcPr>
          <w:p>
            <w:pPr>
              <w:spacing w:after="0"/>
              <w:rPr>
                <w:sz w:val="17"/>
                <w:szCs w:val="17"/>
                <w:color w:val="auto"/>
              </w:rPr>
            </w:pPr>
          </w:p>
        </w:tc>
        <w:tc>
          <w:tcPr>
            <w:tcW w:w="9100" w:type="dxa"/>
            <w:vAlign w:val="bottom"/>
            <w:gridSpan w:val="29"/>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Amendment No. 1 to the Registrant’s Registration Statement on Form S</w:t>
              </w:r>
              <w:r>
                <w:rPr>
                  <w:rFonts w:ascii="MS PGothic" w:cs="MS PGothic" w:eastAsia="MS PGothic" w:hAnsi="MS PGothic"/>
                  <w:sz w:val="18"/>
                  <w:szCs w:val="18"/>
                  <w:color w:val="0000FF"/>
                </w:rPr>
                <w:t>‑</w:t>
              </w:r>
              <w:r>
                <w:rPr>
                  <w:rFonts w:ascii="Arial" w:cs="Arial" w:eastAsia="Arial" w:hAnsi="Arial"/>
                  <w:sz w:val="18"/>
                  <w:szCs w:val="18"/>
                  <w:color w:val="0000FF"/>
                </w:rPr>
                <w:t>3 (No. 333</w:t>
              </w:r>
              <w:r>
                <w:rPr>
                  <w:rFonts w:ascii="MS PGothic" w:cs="MS PGothic" w:eastAsia="MS PGothic" w:hAnsi="MS PGothic"/>
                  <w:sz w:val="18"/>
                  <w:szCs w:val="18"/>
                  <w:color w:val="0000FF"/>
                </w:rPr>
                <w:t>‑</w:t>
              </w:r>
              <w:r>
                <w:rPr>
                  <w:rFonts w:ascii="Arial" w:cs="Arial" w:eastAsia="Arial" w:hAnsi="Arial"/>
                  <w:sz w:val="18"/>
                  <w:szCs w:val="18"/>
                  <w:color w:val="0000FF"/>
                </w:rPr>
                <w:t>150669)).</w:t>
              </w:r>
            </w:hyperlink>
          </w:p>
        </w:tc>
      </w:tr>
      <w:tr>
        <w:trPr>
          <w:trHeight w:val="20"/>
        </w:trPr>
        <w:tc>
          <w:tcPr>
            <w:tcW w:w="2320" w:type="dxa"/>
            <w:vAlign w:val="bottom"/>
          </w:tcPr>
          <w:p>
            <w:pPr>
              <w:spacing w:after="0" w:line="20" w:lineRule="exact"/>
              <w:rPr>
                <w:sz w:val="1"/>
                <w:szCs w:val="1"/>
                <w:color w:val="auto"/>
              </w:rPr>
            </w:pPr>
          </w:p>
        </w:tc>
        <w:tc>
          <w:tcPr>
            <w:tcW w:w="2360" w:type="dxa"/>
            <w:vAlign w:val="bottom"/>
            <w:gridSpan w:val="9"/>
            <w:shd w:val="clear" w:color="auto" w:fill="0000FF"/>
          </w:tcPr>
          <w:p>
            <w:pPr>
              <w:spacing w:after="0" w:line="20" w:lineRule="exact"/>
              <w:rPr>
                <w:sz w:val="1"/>
                <w:szCs w:val="1"/>
                <w:color w:val="auto"/>
              </w:rPr>
            </w:pPr>
          </w:p>
        </w:tc>
        <w:tc>
          <w:tcPr>
            <w:tcW w:w="37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250"/>
        </w:trPr>
        <w:tc>
          <w:tcPr>
            <w:tcW w:w="2320" w:type="dxa"/>
            <w:vAlign w:val="bottom"/>
          </w:tcPr>
          <w:p>
            <w:pPr>
              <w:spacing w:after="0"/>
              <w:rPr>
                <w:sz w:val="21"/>
                <w:szCs w:val="21"/>
                <w:color w:val="auto"/>
              </w:rPr>
            </w:pPr>
          </w:p>
        </w:tc>
        <w:tc>
          <w:tcPr>
            <w:tcW w:w="9100" w:type="dxa"/>
            <w:vAlign w:val="bottom"/>
            <w:gridSpan w:val="29"/>
          </w:tcPr>
          <w:p>
            <w:pPr>
              <w:spacing w:after="0"/>
              <w:rPr>
                <w:rFonts w:ascii="Arial" w:cs="Arial" w:eastAsia="Arial" w:hAnsi="Arial"/>
                <w:sz w:val="18"/>
                <w:szCs w:val="18"/>
                <w:color w:val="0000FF"/>
                <w:w w:val="92"/>
              </w:rPr>
            </w:pPr>
            <w:hyperlink r:id="rId67">
              <w:r>
                <w:rPr>
                  <w:rFonts w:ascii="Arial" w:cs="Arial" w:eastAsia="Arial" w:hAnsi="Arial"/>
                  <w:sz w:val="18"/>
                  <w:szCs w:val="18"/>
                  <w:color w:val="0000FF"/>
                  <w:w w:val="92"/>
                </w:rPr>
                <w:t>Second Supplemental Indenture, dated as of October 27, 2009, between Black Hills Power, Inc. and The Bank of New York</w:t>
              </w:r>
            </w:hyperlink>
          </w:p>
        </w:tc>
      </w:tr>
      <w:tr>
        <w:trPr>
          <w:trHeight w:val="20"/>
        </w:trPr>
        <w:tc>
          <w:tcPr>
            <w:tcW w:w="2320" w:type="dxa"/>
            <w:vAlign w:val="bottom"/>
          </w:tcPr>
          <w:p>
            <w:pPr>
              <w:spacing w:after="0" w:line="20" w:lineRule="exact"/>
              <w:rPr>
                <w:sz w:val="1"/>
                <w:szCs w:val="1"/>
                <w:color w:val="auto"/>
              </w:rPr>
            </w:pPr>
          </w:p>
        </w:tc>
        <w:tc>
          <w:tcPr>
            <w:tcW w:w="2360" w:type="dxa"/>
            <w:vAlign w:val="bottom"/>
            <w:gridSpan w:val="9"/>
            <w:shd w:val="clear" w:color="auto" w:fill="0000FF"/>
          </w:tcPr>
          <w:p>
            <w:pPr>
              <w:spacing w:after="0" w:line="20" w:lineRule="exact"/>
              <w:rPr>
                <w:sz w:val="1"/>
                <w:szCs w:val="1"/>
                <w:color w:val="auto"/>
              </w:rPr>
            </w:pPr>
          </w:p>
        </w:tc>
        <w:tc>
          <w:tcPr>
            <w:tcW w:w="3760" w:type="dxa"/>
            <w:vAlign w:val="bottom"/>
            <w:gridSpan w:val="2"/>
            <w:shd w:val="clear" w:color="auto" w:fill="0000FF"/>
          </w:tcPr>
          <w:p>
            <w:pPr>
              <w:spacing w:after="0" w:line="20" w:lineRule="exact"/>
              <w:rPr>
                <w:sz w:val="1"/>
                <w:szCs w:val="1"/>
                <w:color w:val="auto"/>
              </w:rPr>
            </w:pPr>
          </w:p>
        </w:tc>
        <w:tc>
          <w:tcPr>
            <w:tcW w:w="2560" w:type="dxa"/>
            <w:vAlign w:val="bottom"/>
            <w:gridSpan w:val="8"/>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96"/>
        </w:trPr>
        <w:tc>
          <w:tcPr>
            <w:tcW w:w="2320" w:type="dxa"/>
            <w:vAlign w:val="bottom"/>
          </w:tcPr>
          <w:p>
            <w:pPr>
              <w:spacing w:after="0"/>
              <w:rPr>
                <w:sz w:val="17"/>
                <w:szCs w:val="17"/>
                <w:color w:val="auto"/>
              </w:rPr>
            </w:pPr>
          </w:p>
        </w:tc>
        <w:tc>
          <w:tcPr>
            <w:tcW w:w="894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Mellon (filed as Exhibit 4.21 to the Registrant’s Post-Effective Amendment No. 2 to the Registrant’s Registration Statement</w:t>
              </w:r>
            </w:hyperlink>
          </w:p>
        </w:tc>
        <w:tc>
          <w:tcPr>
            <w:tcW w:w="160" w:type="dxa"/>
            <w:vAlign w:val="bottom"/>
            <w:gridSpan w:val="4"/>
          </w:tcPr>
          <w:p>
            <w:pPr>
              <w:spacing w:after="0"/>
              <w:rPr>
                <w:sz w:val="17"/>
                <w:szCs w:val="17"/>
                <w:color w:val="auto"/>
              </w:rPr>
            </w:pPr>
          </w:p>
        </w:tc>
      </w:tr>
      <w:tr>
        <w:trPr>
          <w:trHeight w:val="196"/>
        </w:trPr>
        <w:tc>
          <w:tcPr>
            <w:tcW w:w="2320" w:type="dxa"/>
            <w:vAlign w:val="bottom"/>
          </w:tcPr>
          <w:p>
            <w:pPr>
              <w:spacing w:after="0"/>
              <w:rPr>
                <w:sz w:val="17"/>
                <w:szCs w:val="17"/>
                <w:color w:val="auto"/>
              </w:rPr>
            </w:pPr>
          </w:p>
        </w:tc>
        <w:tc>
          <w:tcPr>
            <w:tcW w:w="236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on Form S-3 (No. 333-150669)).</w:t>
              </w:r>
            </w:hyperlink>
          </w:p>
        </w:tc>
        <w:tc>
          <w:tcPr>
            <w:tcW w:w="6740" w:type="dxa"/>
            <w:vAlign w:val="bottom"/>
            <w:gridSpan w:val="20"/>
          </w:tcPr>
          <w:p>
            <w:pPr>
              <w:spacing w:after="0"/>
              <w:rPr>
                <w:sz w:val="17"/>
                <w:szCs w:val="17"/>
                <w:color w:val="auto"/>
              </w:rPr>
            </w:pPr>
          </w:p>
        </w:tc>
      </w:tr>
      <w:tr>
        <w:trPr>
          <w:trHeight w:val="250"/>
        </w:trPr>
        <w:tc>
          <w:tcPr>
            <w:tcW w:w="2320" w:type="dxa"/>
            <w:vAlign w:val="bottom"/>
          </w:tcPr>
          <w:p>
            <w:pPr>
              <w:spacing w:after="0"/>
              <w:rPr>
                <w:sz w:val="21"/>
                <w:szCs w:val="21"/>
                <w:color w:val="auto"/>
              </w:rPr>
            </w:pPr>
          </w:p>
        </w:tc>
        <w:tc>
          <w:tcPr>
            <w:tcW w:w="9100" w:type="dxa"/>
            <w:vAlign w:val="bottom"/>
            <w:gridSpan w:val="29"/>
          </w:tcPr>
          <w:p>
            <w:pPr>
              <w:spacing w:after="0"/>
              <w:rPr>
                <w:rFonts w:ascii="Arial" w:cs="Arial" w:eastAsia="Arial" w:hAnsi="Arial"/>
                <w:sz w:val="18"/>
                <w:szCs w:val="18"/>
                <w:color w:val="0000FF"/>
                <w:w w:val="95"/>
              </w:rPr>
            </w:pPr>
            <w:hyperlink r:id="rId68">
              <w:r>
                <w:rPr>
                  <w:rFonts w:ascii="Arial" w:cs="Arial" w:eastAsia="Arial" w:hAnsi="Arial"/>
                  <w:sz w:val="18"/>
                  <w:szCs w:val="18"/>
                  <w:color w:val="0000FF"/>
                  <w:w w:val="95"/>
                </w:rPr>
                <w:t>Third Supplemental Indenture, dated as of October 1, 2014, between Black Hills Power, Inc. and The Bank of New York</w:t>
              </w:r>
            </w:hyperlink>
          </w:p>
        </w:tc>
      </w:tr>
      <w:tr>
        <w:trPr>
          <w:trHeight w:val="196"/>
        </w:trPr>
        <w:tc>
          <w:tcPr>
            <w:tcW w:w="2320" w:type="dxa"/>
            <w:vAlign w:val="bottom"/>
          </w:tcPr>
          <w:p>
            <w:pPr>
              <w:spacing w:after="0"/>
              <w:rPr>
                <w:sz w:val="17"/>
                <w:szCs w:val="17"/>
                <w:color w:val="auto"/>
              </w:rPr>
            </w:pPr>
          </w:p>
        </w:tc>
        <w:tc>
          <w:tcPr>
            <w:tcW w:w="612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Mellon (filed as Exhibit 10.1 to the Registrant’s Form 8-K filed on October 2, 2014).</w:t>
              </w:r>
            </w:hyperlink>
          </w:p>
        </w:tc>
        <w:tc>
          <w:tcPr>
            <w:tcW w:w="2560" w:type="dxa"/>
            <w:vAlign w:val="bottom"/>
            <w:tcBorders>
              <w:top w:val="single" w:sz="8" w:color="0000FF"/>
            </w:tcBorders>
            <w:gridSpan w:val="8"/>
          </w:tcPr>
          <w:p>
            <w:pPr>
              <w:spacing w:after="0"/>
              <w:rPr>
                <w:sz w:val="17"/>
                <w:szCs w:val="17"/>
                <w:color w:val="auto"/>
              </w:rPr>
            </w:pPr>
          </w:p>
        </w:tc>
        <w:tc>
          <w:tcPr>
            <w:tcW w:w="420" w:type="dxa"/>
            <w:vAlign w:val="bottom"/>
            <w:gridSpan w:val="10"/>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6" w:right="2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2320" w:type="dxa"/>
            <w:vAlign w:val="bottom"/>
          </w:tcPr>
          <w:p>
            <w:pPr>
              <w:ind w:left="40"/>
              <w:spacing w:after="0"/>
              <w:rPr>
                <w:sz w:val="20"/>
                <w:szCs w:val="20"/>
                <w:color w:val="auto"/>
              </w:rPr>
            </w:pPr>
            <w:r>
              <w:rPr>
                <w:rFonts w:ascii="Arial" w:cs="Arial" w:eastAsia="Arial" w:hAnsi="Arial"/>
                <w:sz w:val="18"/>
                <w:szCs w:val="18"/>
                <w:color w:val="auto"/>
              </w:rPr>
              <w:t>Exhibit 4.3*</w:t>
            </w:r>
          </w:p>
        </w:tc>
        <w:tc>
          <w:tcPr>
            <w:tcW w:w="8980" w:type="dxa"/>
            <w:vAlign w:val="bottom"/>
            <w:gridSpan w:val="17"/>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Restated Indenture of Mortgage, Deed of Trust, Security Agreement and Financing Statement, amended and restated as of</w:t>
              </w:r>
            </w:hyperlink>
          </w:p>
        </w:tc>
      </w:tr>
      <w:tr>
        <w:trPr>
          <w:trHeight w:val="20"/>
        </w:trPr>
        <w:tc>
          <w:tcPr>
            <w:tcW w:w="23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320" w:type="dxa"/>
            <w:vAlign w:val="bottom"/>
          </w:tcPr>
          <w:p>
            <w:pPr>
              <w:spacing w:after="0"/>
              <w:rPr>
                <w:sz w:val="17"/>
                <w:szCs w:val="17"/>
                <w:color w:val="auto"/>
              </w:rPr>
            </w:pPr>
          </w:p>
        </w:tc>
        <w:tc>
          <w:tcPr>
            <w:tcW w:w="8980" w:type="dxa"/>
            <w:vAlign w:val="bottom"/>
            <w:gridSpan w:val="17"/>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November 20, 2007, between Cheyenne Light, Fuel and Power Company and Wells Fargo Bank, National Association (filed</w:t>
              </w:r>
            </w:hyperlink>
          </w:p>
        </w:tc>
      </w:tr>
      <w:tr>
        <w:trPr>
          <w:trHeight w:val="196"/>
        </w:trPr>
        <w:tc>
          <w:tcPr>
            <w:tcW w:w="2320" w:type="dxa"/>
            <w:vAlign w:val="bottom"/>
          </w:tcPr>
          <w:p>
            <w:pPr>
              <w:spacing w:after="0"/>
              <w:rPr>
                <w:sz w:val="17"/>
                <w:szCs w:val="17"/>
                <w:color w:val="auto"/>
              </w:rPr>
            </w:pPr>
          </w:p>
        </w:tc>
        <w:tc>
          <w:tcPr>
            <w:tcW w:w="51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as Exhibit 10.2 to the Registrant’s Form 8-K filed on October 2, 2014).</w:t>
              </w:r>
            </w:hyperlink>
          </w:p>
        </w:tc>
        <w:tc>
          <w:tcPr>
            <w:tcW w:w="3840" w:type="dxa"/>
            <w:vAlign w:val="bottom"/>
            <w:tcBorders>
              <w:top w:val="single" w:sz="8" w:color="0000FF"/>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320" w:type="dxa"/>
            <w:vAlign w:val="bottom"/>
          </w:tcPr>
          <w:p>
            <w:pPr>
              <w:spacing w:after="0"/>
              <w:rPr>
                <w:sz w:val="21"/>
                <w:szCs w:val="21"/>
                <w:color w:val="auto"/>
              </w:rPr>
            </w:pPr>
          </w:p>
        </w:tc>
        <w:tc>
          <w:tcPr>
            <w:tcW w:w="8980" w:type="dxa"/>
            <w:vAlign w:val="bottom"/>
            <w:tcBorders>
              <w:bottom w:val="single" w:sz="8" w:color="0000FF"/>
            </w:tcBorders>
            <w:gridSpan w:val="17"/>
          </w:tcPr>
          <w:p>
            <w:pPr>
              <w:spacing w:after="0"/>
              <w:rPr>
                <w:rFonts w:ascii="Arial" w:cs="Arial" w:eastAsia="Arial" w:hAnsi="Arial"/>
                <w:sz w:val="18"/>
                <w:szCs w:val="18"/>
                <w:color w:val="0000FF"/>
                <w:w w:val="89"/>
              </w:rPr>
            </w:pPr>
            <w:hyperlink r:id="rId70">
              <w:r>
                <w:rPr>
                  <w:rFonts w:ascii="Arial" w:cs="Arial" w:eastAsia="Arial" w:hAnsi="Arial"/>
                  <w:sz w:val="18"/>
                  <w:szCs w:val="18"/>
                  <w:color w:val="0000FF"/>
                  <w:w w:val="89"/>
                </w:rPr>
                <w:t>First Supplemental Indenture, dated as of September 3, 2009, between Cheyenne Light, Fuel and Power Company and Wells</w:t>
              </w:r>
            </w:hyperlink>
          </w:p>
        </w:tc>
      </w:tr>
      <w:tr>
        <w:trPr>
          <w:trHeight w:val="196"/>
        </w:trPr>
        <w:tc>
          <w:tcPr>
            <w:tcW w:w="2320" w:type="dxa"/>
            <w:vAlign w:val="bottom"/>
          </w:tcPr>
          <w:p>
            <w:pPr>
              <w:spacing w:after="0"/>
              <w:rPr>
                <w:sz w:val="17"/>
                <w:szCs w:val="17"/>
                <w:color w:val="auto"/>
              </w:rPr>
            </w:pPr>
          </w:p>
        </w:tc>
        <w:tc>
          <w:tcPr>
            <w:tcW w:w="804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Fargo Bank, National Association (filed as Exhibit 10.3 to the Registrant’s Form 8-K filed on October 2, 2014).</w:t>
              </w:r>
            </w:hyperlink>
          </w:p>
        </w:tc>
        <w:tc>
          <w:tcPr>
            <w:tcW w:w="940" w:type="dxa"/>
            <w:vAlign w:val="bottom"/>
            <w:gridSpan w:val="10"/>
          </w:tcPr>
          <w:p>
            <w:pPr>
              <w:spacing w:after="0"/>
              <w:rPr>
                <w:sz w:val="17"/>
                <w:szCs w:val="17"/>
                <w:color w:val="auto"/>
              </w:rPr>
            </w:pPr>
          </w:p>
        </w:tc>
      </w:tr>
      <w:tr>
        <w:trPr>
          <w:trHeight w:val="250"/>
        </w:trPr>
        <w:tc>
          <w:tcPr>
            <w:tcW w:w="2320" w:type="dxa"/>
            <w:vAlign w:val="bottom"/>
          </w:tcPr>
          <w:p>
            <w:pPr>
              <w:spacing w:after="0"/>
              <w:rPr>
                <w:sz w:val="21"/>
                <w:szCs w:val="21"/>
                <w:color w:val="auto"/>
              </w:rPr>
            </w:pPr>
          </w:p>
        </w:tc>
        <w:tc>
          <w:tcPr>
            <w:tcW w:w="8980" w:type="dxa"/>
            <w:vAlign w:val="bottom"/>
            <w:tcBorders>
              <w:bottom w:val="single" w:sz="8" w:color="0000FF"/>
            </w:tcBorders>
            <w:gridSpan w:val="17"/>
          </w:tcPr>
          <w:p>
            <w:pPr>
              <w:spacing w:after="0"/>
              <w:rPr>
                <w:rFonts w:ascii="Arial" w:cs="Arial" w:eastAsia="Arial" w:hAnsi="Arial"/>
                <w:sz w:val="18"/>
                <w:szCs w:val="18"/>
                <w:color w:val="0000FF"/>
                <w:w w:val="89"/>
              </w:rPr>
            </w:pPr>
            <w:hyperlink r:id="rId71">
              <w:r>
                <w:rPr>
                  <w:rFonts w:ascii="Arial" w:cs="Arial" w:eastAsia="Arial" w:hAnsi="Arial"/>
                  <w:sz w:val="18"/>
                  <w:szCs w:val="18"/>
                  <w:color w:val="0000FF"/>
                  <w:w w:val="89"/>
                </w:rPr>
                <w:t>Second Supplemental Indenture, dated as of October 1, 2014, between Cheyenne Light, Fuel and Power Company and Wells</w:t>
              </w:r>
            </w:hyperlink>
          </w:p>
        </w:tc>
      </w:tr>
      <w:tr>
        <w:trPr>
          <w:trHeight w:val="196"/>
        </w:trPr>
        <w:tc>
          <w:tcPr>
            <w:tcW w:w="2320" w:type="dxa"/>
            <w:vAlign w:val="bottom"/>
          </w:tcPr>
          <w:p>
            <w:pPr>
              <w:spacing w:after="0"/>
              <w:rPr>
                <w:sz w:val="17"/>
                <w:szCs w:val="17"/>
                <w:color w:val="auto"/>
              </w:rPr>
            </w:pPr>
          </w:p>
        </w:tc>
        <w:tc>
          <w:tcPr>
            <w:tcW w:w="804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71">
              <w:r>
                <w:rPr>
                  <w:rFonts w:ascii="Arial" w:cs="Arial" w:eastAsia="Arial" w:hAnsi="Arial"/>
                  <w:sz w:val="18"/>
                  <w:szCs w:val="18"/>
                  <w:color w:val="0000FF"/>
                  <w:w w:val="92"/>
                </w:rPr>
                <w:t>Fargo Bank, National Association (filed as Exhibit 10.4 to the Registrant’s Form 8-K filed on October 2, 2014).</w:t>
              </w:r>
            </w:hyperlink>
          </w:p>
        </w:tc>
        <w:tc>
          <w:tcPr>
            <w:tcW w:w="940" w:type="dxa"/>
            <w:vAlign w:val="bottom"/>
            <w:gridSpan w:val="10"/>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4.4*</w:t>
            </w:r>
          </w:p>
        </w:tc>
        <w:tc>
          <w:tcPr>
            <w:tcW w:w="8980" w:type="dxa"/>
            <w:vAlign w:val="bottom"/>
            <w:gridSpan w:val="17"/>
          </w:tcPr>
          <w:p>
            <w:pPr>
              <w:spacing w:after="0"/>
              <w:rPr>
                <w:rFonts w:ascii="Arial" w:cs="Arial" w:eastAsia="Arial" w:hAnsi="Arial"/>
                <w:sz w:val="18"/>
                <w:szCs w:val="18"/>
                <w:color w:val="0000FF"/>
                <w:w w:val="91"/>
              </w:rPr>
            </w:pPr>
            <w:hyperlink r:id="rId72">
              <w:r>
                <w:rPr>
                  <w:rFonts w:ascii="Arial" w:cs="Arial" w:eastAsia="Arial" w:hAnsi="Arial"/>
                  <w:sz w:val="18"/>
                  <w:szCs w:val="18"/>
                  <w:color w:val="0000FF"/>
                  <w:w w:val="91"/>
                </w:rPr>
                <w:t xml:space="preserve">Form of Stock Certificate for Common Stock, Par Value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1.00 Per Share (filed as Exhibit 4.2 to the Registrant’s Form 10-K</w:t>
              </w:r>
            </w:hyperlink>
          </w:p>
        </w:tc>
      </w:tr>
      <w:tr>
        <w:trPr>
          <w:trHeight w:val="196"/>
        </w:trPr>
        <w:tc>
          <w:tcPr>
            <w:tcW w:w="2320" w:type="dxa"/>
            <w:vAlign w:val="bottom"/>
          </w:tcPr>
          <w:p>
            <w:pPr>
              <w:spacing w:after="0"/>
              <w:rPr>
                <w:sz w:val="17"/>
                <w:szCs w:val="17"/>
                <w:color w:val="auto"/>
              </w:rPr>
            </w:pPr>
          </w:p>
        </w:tc>
        <w:tc>
          <w:tcPr>
            <w:tcW w:w="7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for 2000).</w:t>
              </w:r>
            </w:hyperlink>
          </w:p>
        </w:tc>
        <w:tc>
          <w:tcPr>
            <w:tcW w:w="8200" w:type="dxa"/>
            <w:vAlign w:val="bottom"/>
            <w:tcBorders>
              <w:top w:val="single" w:sz="8" w:color="0000FF"/>
            </w:tcBorders>
            <w:gridSpan w:val="13"/>
          </w:tcPr>
          <w:p>
            <w:pPr>
              <w:spacing w:after="0"/>
              <w:rPr>
                <w:sz w:val="17"/>
                <w:szCs w:val="17"/>
                <w:color w:val="auto"/>
              </w:rPr>
            </w:pPr>
          </w:p>
        </w:tc>
        <w:tc>
          <w:tcPr>
            <w:tcW w:w="60" w:type="dxa"/>
            <w:vAlign w:val="bottom"/>
            <w:gridSpan w:val="3"/>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10.1</w:t>
            </w:r>
          </w:p>
        </w:tc>
        <w:tc>
          <w:tcPr>
            <w:tcW w:w="8980" w:type="dxa"/>
            <w:vAlign w:val="bottom"/>
            <w:gridSpan w:val="17"/>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First Amendment dated as of June 17, 2019 to Amended and Restated Credit Agreement dated as of July 30, 2018, among</w:t>
              </w:r>
            </w:hyperlink>
          </w:p>
        </w:tc>
      </w:tr>
      <w:tr>
        <w:trPr>
          <w:trHeight w:val="20"/>
        </w:trPr>
        <w:tc>
          <w:tcPr>
            <w:tcW w:w="23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2320" w:type="dxa"/>
            <w:vAlign w:val="bottom"/>
          </w:tcPr>
          <w:p>
            <w:pPr>
              <w:spacing w:after="0"/>
              <w:rPr>
                <w:sz w:val="17"/>
                <w:szCs w:val="17"/>
                <w:color w:val="auto"/>
              </w:rPr>
            </w:pPr>
          </w:p>
        </w:tc>
        <w:tc>
          <w:tcPr>
            <w:tcW w:w="8980" w:type="dxa"/>
            <w:vAlign w:val="bottom"/>
            <w:gridSpan w:val="17"/>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Black Hills Corporation, as Borrower, the financial institutions party thereto, as Banks, and JPMorgan Chase Bank, N.A., as</w:t>
              </w:r>
            </w:hyperlink>
          </w:p>
        </w:tc>
      </w:tr>
      <w:tr>
        <w:trPr>
          <w:trHeight w:val="196"/>
        </w:trPr>
        <w:tc>
          <w:tcPr>
            <w:tcW w:w="2320" w:type="dxa"/>
            <w:vAlign w:val="bottom"/>
          </w:tcPr>
          <w:p>
            <w:pPr>
              <w:spacing w:after="0"/>
              <w:rPr>
                <w:sz w:val="17"/>
                <w:szCs w:val="17"/>
                <w:color w:val="auto"/>
              </w:rPr>
            </w:pPr>
          </w:p>
        </w:tc>
        <w:tc>
          <w:tcPr>
            <w:tcW w:w="894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Administrative Agent (filed as Exhibit 10.1 to the Registrant’s Form 8–K filed on June 17, 2019).</w:t>
              </w:r>
            </w:hyperlink>
          </w:p>
        </w:tc>
        <w:tc>
          <w:tcPr>
            <w:tcW w:w="40" w:type="dxa"/>
            <w:vAlign w:val="bottom"/>
            <w:gridSpan w:val="2"/>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31.1</w:t>
            </w:r>
          </w:p>
        </w:tc>
        <w:tc>
          <w:tcPr>
            <w:tcW w:w="86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1"/>
              </w:rPr>
              <w:t>Certification of Chief Executive Officer pursuant to Rule 13a - 14(a) of the Securities Exchange Act of 1934, as adopted</w:t>
            </w:r>
          </w:p>
        </w:tc>
        <w:tc>
          <w:tcPr>
            <w:tcW w:w="300" w:type="dxa"/>
            <w:vAlign w:val="bottom"/>
            <w:gridSpan w:val="6"/>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440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pursuant to Section 302 of the Sarbanes - Oxley Act of 2002.</w:t>
            </w:r>
          </w:p>
        </w:tc>
        <w:tc>
          <w:tcPr>
            <w:tcW w:w="4580" w:type="dxa"/>
            <w:vAlign w:val="bottom"/>
            <w:gridSpan w:val="13"/>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31.2</w:t>
            </w:r>
          </w:p>
        </w:tc>
        <w:tc>
          <w:tcPr>
            <w:tcW w:w="8980" w:type="dxa"/>
            <w:vAlign w:val="bottom"/>
            <w:gridSpan w:val="17"/>
          </w:tcPr>
          <w:p>
            <w:pPr>
              <w:spacing w:after="0"/>
              <w:rPr>
                <w:sz w:val="20"/>
                <w:szCs w:val="20"/>
                <w:color w:val="auto"/>
              </w:rPr>
            </w:pPr>
            <w:r>
              <w:rPr>
                <w:rFonts w:ascii="Arial" w:cs="Arial" w:eastAsia="Arial" w:hAnsi="Arial"/>
                <w:sz w:val="18"/>
                <w:szCs w:val="18"/>
                <w:color w:val="0000FF"/>
                <w:w w:val="95"/>
              </w:rPr>
              <w:t>Certification of Chief Financial Officer pursuant to Rule 13a - 14(a) of the Securities Exchange Act of 1934, as adopted</w:t>
            </w:r>
          </w:p>
        </w:tc>
      </w:tr>
      <w:tr>
        <w:trPr>
          <w:trHeight w:val="196"/>
        </w:trPr>
        <w:tc>
          <w:tcPr>
            <w:tcW w:w="2320" w:type="dxa"/>
            <w:vAlign w:val="bottom"/>
          </w:tcPr>
          <w:p>
            <w:pPr>
              <w:spacing w:after="0"/>
              <w:rPr>
                <w:sz w:val="17"/>
                <w:szCs w:val="17"/>
                <w:color w:val="auto"/>
              </w:rPr>
            </w:pPr>
          </w:p>
        </w:tc>
        <w:tc>
          <w:tcPr>
            <w:tcW w:w="4400" w:type="dxa"/>
            <w:vAlign w:val="bottom"/>
            <w:tcBorders>
              <w:top w:val="single" w:sz="8" w:color="0000FF"/>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pursuant to Section 302 of the Sarbanes - Oxley Act of 2002.</w:t>
            </w:r>
          </w:p>
        </w:tc>
        <w:tc>
          <w:tcPr>
            <w:tcW w:w="4220" w:type="dxa"/>
            <w:vAlign w:val="bottom"/>
            <w:tcBorders>
              <w:top w:val="single" w:sz="8" w:color="0000FF"/>
            </w:tcBorders>
            <w:gridSpan w:val="6"/>
          </w:tcPr>
          <w:p>
            <w:pPr>
              <w:spacing w:after="0"/>
              <w:rPr>
                <w:sz w:val="17"/>
                <w:szCs w:val="17"/>
                <w:color w:val="auto"/>
              </w:rPr>
            </w:pPr>
          </w:p>
        </w:tc>
        <w:tc>
          <w:tcPr>
            <w:tcW w:w="360" w:type="dxa"/>
            <w:vAlign w:val="bottom"/>
            <w:gridSpan w:val="7"/>
          </w:tcPr>
          <w:p>
            <w:pPr>
              <w:spacing w:after="0"/>
              <w:rPr>
                <w:sz w:val="17"/>
                <w:szCs w:val="17"/>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32.1</w:t>
            </w:r>
          </w:p>
        </w:tc>
        <w:tc>
          <w:tcPr>
            <w:tcW w:w="85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Certification of Chief Executive Officer pursuant to 18 U.S.C. Section 1350, as adopted pursuant to Section 906 of the</w:t>
            </w:r>
          </w:p>
        </w:tc>
        <w:tc>
          <w:tcPr>
            <w:tcW w:w="440" w:type="dxa"/>
            <w:vAlign w:val="bottom"/>
            <w:gridSpan w:val="8"/>
          </w:tcPr>
          <w:p>
            <w:pPr>
              <w:spacing w:after="0"/>
              <w:rPr>
                <w:sz w:val="24"/>
                <w:szCs w:val="24"/>
                <w:color w:val="auto"/>
              </w:rPr>
            </w:pPr>
          </w:p>
        </w:tc>
      </w:tr>
      <w:tr>
        <w:trPr>
          <w:trHeight w:val="196"/>
        </w:trPr>
        <w:tc>
          <w:tcPr>
            <w:tcW w:w="2320" w:type="dxa"/>
            <w:vAlign w:val="bottom"/>
          </w:tcPr>
          <w:p>
            <w:pPr>
              <w:spacing w:after="0"/>
              <w:rPr>
                <w:sz w:val="17"/>
                <w:szCs w:val="17"/>
                <w:color w:val="auto"/>
              </w:rPr>
            </w:pPr>
          </w:p>
        </w:tc>
        <w:tc>
          <w:tcPr>
            <w:tcW w:w="8980" w:type="dxa"/>
            <w:vAlign w:val="bottom"/>
            <w:gridSpan w:val="17"/>
          </w:tcPr>
          <w:p>
            <w:pPr>
              <w:spacing w:after="0" w:line="196" w:lineRule="exact"/>
              <w:rPr>
                <w:sz w:val="20"/>
                <w:szCs w:val="20"/>
                <w:color w:val="auto"/>
              </w:rPr>
            </w:pPr>
            <w:r>
              <w:rPr>
                <w:rFonts w:ascii="Arial" w:cs="Arial" w:eastAsia="Arial" w:hAnsi="Arial"/>
                <w:sz w:val="18"/>
                <w:szCs w:val="18"/>
                <w:color w:val="0000FF"/>
              </w:rPr>
              <w:t>Sarbanes - Oxley Act of 2002.</w:t>
            </w:r>
          </w:p>
        </w:tc>
      </w:tr>
      <w:tr>
        <w:trPr>
          <w:trHeight w:val="20"/>
        </w:trPr>
        <w:tc>
          <w:tcPr>
            <w:tcW w:w="23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32.2</w:t>
            </w:r>
          </w:p>
        </w:tc>
        <w:tc>
          <w:tcPr>
            <w:tcW w:w="8980" w:type="dxa"/>
            <w:vAlign w:val="bottom"/>
            <w:gridSpan w:val="17"/>
          </w:tcPr>
          <w:p>
            <w:pPr>
              <w:spacing w:after="0"/>
              <w:rPr>
                <w:sz w:val="20"/>
                <w:szCs w:val="20"/>
                <w:color w:val="auto"/>
              </w:rPr>
            </w:pPr>
            <w:r>
              <w:rPr>
                <w:rFonts w:ascii="Arial" w:cs="Arial" w:eastAsia="Arial" w:hAnsi="Arial"/>
                <w:sz w:val="18"/>
                <w:szCs w:val="18"/>
                <w:color w:val="0000FF"/>
                <w:w w:val="96"/>
              </w:rPr>
              <w:t>Certification of Chief Financial Officer pursuant to 18 U.S.C. Section 1350, as adopted pursuant to Section 906 of the</w:t>
            </w:r>
          </w:p>
        </w:tc>
      </w:tr>
      <w:tr>
        <w:trPr>
          <w:trHeight w:val="196"/>
        </w:trPr>
        <w:tc>
          <w:tcPr>
            <w:tcW w:w="2320" w:type="dxa"/>
            <w:vAlign w:val="bottom"/>
          </w:tcPr>
          <w:p>
            <w:pPr>
              <w:spacing w:after="0"/>
              <w:rPr>
                <w:sz w:val="17"/>
                <w:szCs w:val="17"/>
                <w:color w:val="auto"/>
              </w:rPr>
            </w:pPr>
          </w:p>
        </w:tc>
        <w:tc>
          <w:tcPr>
            <w:tcW w:w="8480" w:type="dxa"/>
            <w:vAlign w:val="bottom"/>
            <w:tcBorders>
              <w:top w:val="single" w:sz="8" w:color="0000FF"/>
            </w:tcBorders>
            <w:gridSpan w:val="8"/>
          </w:tcPr>
          <w:p>
            <w:pPr>
              <w:spacing w:after="0" w:line="196" w:lineRule="exact"/>
              <w:rPr>
                <w:sz w:val="20"/>
                <w:szCs w:val="20"/>
                <w:color w:val="auto"/>
              </w:rPr>
            </w:pPr>
            <w:r>
              <w:rPr>
                <w:rFonts w:ascii="Arial" w:cs="Arial" w:eastAsia="Arial" w:hAnsi="Arial"/>
                <w:sz w:val="18"/>
                <w:szCs w:val="18"/>
                <w:color w:val="0000FF"/>
              </w:rPr>
              <w:t>Sarbanes - Oxley Act of 2002.</w:t>
            </w:r>
          </w:p>
        </w:tc>
        <w:tc>
          <w:tcPr>
            <w:tcW w:w="500" w:type="dxa"/>
            <w:vAlign w:val="bottom"/>
            <w:gridSpan w:val="9"/>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gridSpan w:val="14"/>
          </w:tcPr>
          <w:p>
            <w:pPr>
              <w:spacing w:after="0" w:line="20" w:lineRule="exact"/>
              <w:rPr>
                <w:sz w:val="1"/>
                <w:szCs w:val="1"/>
                <w:color w:val="auto"/>
              </w:rPr>
            </w:pPr>
          </w:p>
        </w:tc>
      </w:tr>
      <w:tr>
        <w:trPr>
          <w:trHeight w:val="480"/>
        </w:trPr>
        <w:tc>
          <w:tcPr>
            <w:tcW w:w="2320" w:type="dxa"/>
            <w:vAlign w:val="bottom"/>
          </w:tcPr>
          <w:p>
            <w:pPr>
              <w:ind w:left="40"/>
              <w:spacing w:after="0"/>
              <w:rPr>
                <w:sz w:val="20"/>
                <w:szCs w:val="20"/>
                <w:color w:val="auto"/>
              </w:rPr>
            </w:pPr>
            <w:r>
              <w:rPr>
                <w:rFonts w:ascii="Arial" w:cs="Arial" w:eastAsia="Arial" w:hAnsi="Arial"/>
                <w:sz w:val="18"/>
                <w:szCs w:val="18"/>
                <w:color w:val="auto"/>
              </w:rPr>
              <w:t>Exhibit 95</w:t>
            </w:r>
          </w:p>
        </w:tc>
        <w:tc>
          <w:tcPr>
            <w:tcW w:w="8980" w:type="dxa"/>
            <w:vAlign w:val="bottom"/>
            <w:gridSpan w:val="17"/>
          </w:tcPr>
          <w:p>
            <w:pPr>
              <w:spacing w:after="0"/>
              <w:rPr>
                <w:sz w:val="20"/>
                <w:szCs w:val="20"/>
                <w:color w:val="auto"/>
              </w:rPr>
            </w:pPr>
            <w:r>
              <w:rPr>
                <w:rFonts w:ascii="Arial" w:cs="Arial" w:eastAsia="Arial" w:hAnsi="Arial"/>
                <w:sz w:val="18"/>
                <w:szCs w:val="18"/>
                <w:color w:val="0000FF"/>
              </w:rPr>
              <w:t>Mine Safety and Health Administration Safety Data.</w:t>
            </w:r>
          </w:p>
        </w:tc>
      </w:tr>
      <w:tr>
        <w:trPr>
          <w:trHeight w:val="20"/>
        </w:trPr>
        <w:tc>
          <w:tcPr>
            <w:tcW w:w="2320" w:type="dxa"/>
            <w:vAlign w:val="bottom"/>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5200" w:type="dxa"/>
            <w:vAlign w:val="bottom"/>
            <w:gridSpan w:val="14"/>
          </w:tcPr>
          <w:p>
            <w:pPr>
              <w:spacing w:after="0" w:line="20" w:lineRule="exact"/>
              <w:rPr>
                <w:sz w:val="1"/>
                <w:szCs w:val="1"/>
                <w:color w:val="auto"/>
              </w:rPr>
            </w:pPr>
          </w:p>
        </w:tc>
      </w:tr>
      <w:tr>
        <w:trPr>
          <w:trHeight w:val="506"/>
        </w:trPr>
        <w:tc>
          <w:tcPr>
            <w:tcW w:w="2320" w:type="dxa"/>
            <w:vAlign w:val="bottom"/>
          </w:tcPr>
          <w:p>
            <w:pPr>
              <w:spacing w:after="0"/>
              <w:rPr>
                <w:sz w:val="24"/>
                <w:szCs w:val="24"/>
                <w:color w:val="auto"/>
              </w:rPr>
            </w:pPr>
          </w:p>
        </w:tc>
        <w:tc>
          <w:tcPr>
            <w:tcW w:w="8980" w:type="dxa"/>
            <w:vAlign w:val="bottom"/>
            <w:gridSpan w:val="17"/>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w:t>
            </w:r>
          </w:p>
        </w:tc>
      </w:tr>
      <w:tr>
        <w:trPr>
          <w:trHeight w:val="230"/>
        </w:trPr>
        <w:tc>
          <w:tcPr>
            <w:tcW w:w="2320" w:type="dxa"/>
            <w:vAlign w:val="bottom"/>
          </w:tcPr>
          <w:p>
            <w:pPr>
              <w:ind w:left="40"/>
              <w:spacing w:after="0"/>
              <w:rPr>
                <w:sz w:val="20"/>
                <w:szCs w:val="20"/>
                <w:color w:val="auto"/>
              </w:rPr>
            </w:pPr>
            <w:r>
              <w:rPr>
                <w:rFonts w:ascii="Arial" w:cs="Arial" w:eastAsia="Arial" w:hAnsi="Arial"/>
                <w:sz w:val="18"/>
                <w:szCs w:val="18"/>
                <w:color w:val="auto"/>
              </w:rPr>
              <w:t>101.INS</w:t>
            </w:r>
          </w:p>
        </w:tc>
        <w:tc>
          <w:tcPr>
            <w:tcW w:w="8980" w:type="dxa"/>
            <w:vAlign w:val="bottom"/>
            <w:gridSpan w:val="1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101.SCH</w:t>
            </w:r>
          </w:p>
        </w:tc>
        <w:tc>
          <w:tcPr>
            <w:tcW w:w="898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101.CAL</w:t>
            </w:r>
          </w:p>
        </w:tc>
        <w:tc>
          <w:tcPr>
            <w:tcW w:w="898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101.DEF</w:t>
            </w:r>
          </w:p>
        </w:tc>
        <w:tc>
          <w:tcPr>
            <w:tcW w:w="898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101.LAB</w:t>
            </w:r>
          </w:p>
        </w:tc>
        <w:tc>
          <w:tcPr>
            <w:tcW w:w="898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2320" w:type="dxa"/>
            <w:vAlign w:val="bottom"/>
          </w:tcPr>
          <w:p>
            <w:pPr>
              <w:ind w:left="40"/>
              <w:spacing w:after="0"/>
              <w:rPr>
                <w:sz w:val="20"/>
                <w:szCs w:val="20"/>
                <w:color w:val="auto"/>
              </w:rPr>
            </w:pPr>
            <w:r>
              <w:rPr>
                <w:rFonts w:ascii="Arial" w:cs="Arial" w:eastAsia="Arial" w:hAnsi="Arial"/>
                <w:sz w:val="18"/>
                <w:szCs w:val="18"/>
                <w:color w:val="auto"/>
              </w:rPr>
              <w:t>101.PRE</w:t>
            </w:r>
          </w:p>
        </w:tc>
        <w:tc>
          <w:tcPr>
            <w:tcW w:w="898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00"/>
        </w:trPr>
        <w:tc>
          <w:tcPr>
            <w:tcW w:w="2320" w:type="dxa"/>
            <w:vAlign w:val="bottom"/>
          </w:tcPr>
          <w:p>
            <w:pPr>
              <w:ind w:left="40"/>
              <w:spacing w:after="0"/>
              <w:rPr>
                <w:sz w:val="20"/>
                <w:szCs w:val="20"/>
                <w:color w:val="auto"/>
              </w:rPr>
            </w:pPr>
            <w:r>
              <w:rPr>
                <w:rFonts w:ascii="Arial" w:cs="Arial" w:eastAsia="Arial" w:hAnsi="Arial"/>
                <w:sz w:val="18"/>
                <w:szCs w:val="18"/>
                <w:color w:val="auto"/>
              </w:rPr>
              <w:t>104</w:t>
            </w:r>
          </w:p>
        </w:tc>
        <w:tc>
          <w:tcPr>
            <w:tcW w:w="8980" w:type="dxa"/>
            <w:vAlign w:val="bottom"/>
            <w:gridSpan w:val="1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243"/>
        </w:trPr>
        <w:tc>
          <w:tcPr>
            <w:tcW w:w="2320" w:type="dxa"/>
            <w:vAlign w:val="bottom"/>
          </w:tcPr>
          <w:p>
            <w:pPr>
              <w:spacing w:after="0"/>
              <w:rPr>
                <w:sz w:val="20"/>
                <w:szCs w:val="20"/>
                <w:color w:val="auto"/>
              </w:rPr>
            </w:pPr>
            <w:r>
              <w:rPr>
                <w:rFonts w:ascii="Arial" w:cs="Arial" w:eastAsia="Arial" w:hAnsi="Arial"/>
                <w:sz w:val="18"/>
                <w:szCs w:val="18"/>
                <w:color w:val="auto"/>
              </w:rPr>
              <w:t>__________</w:t>
            </w:r>
          </w:p>
        </w:tc>
        <w:tc>
          <w:tcPr>
            <w:tcW w:w="7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Previously filed as part of the filing indicated and incorporated by reference herein.</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60</w:t>
      </w:r>
    </w:p>
    <w:p>
      <w:pPr>
        <w:sectPr>
          <w:pgSz w:w="11900" w:h="16838" w:orient="portrait"/>
          <w:cols w:equalWidth="0" w:num="1">
            <w:col w:w="11300"/>
          </w:cols>
          <w:pgMar w:left="240" w:top="743" w:right="35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BLACK HILLS CORPORATION</w:t>
      </w:r>
    </w:p>
    <w:p>
      <w:pPr>
        <w:spacing w:after="0" w:line="17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Linden R. Evans, President and</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Richard W. Kinzley, Senior Vice President and</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Financial Officer</w:t>
      </w:r>
    </w:p>
    <w:p>
      <w:pPr>
        <w:spacing w:after="0" w:line="29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5,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240" w:top="126" w:right="65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Linden R. Evans, certify that:</w:t>
      </w:r>
    </w:p>
    <w:p>
      <w:pPr>
        <w:spacing w:after="0" w:line="387" w:lineRule="exact"/>
        <w:rPr>
          <w:sz w:val="20"/>
          <w:szCs w:val="20"/>
          <w:color w:val="auto"/>
        </w:rPr>
      </w:pPr>
    </w:p>
    <w:p>
      <w:pPr>
        <w:ind w:left="840" w:hanging="805"/>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 Hills Corporation;</w:t>
      </w:r>
    </w:p>
    <w:p>
      <w:pPr>
        <w:spacing w:after="0" w:line="292"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ind w:left="1640" w:right="180" w:hanging="795"/>
        <w:spacing w:after="0" w:line="286" w:lineRule="auto"/>
        <w:tabs>
          <w:tab w:leader="none" w:pos="16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7"/>
          <w:szCs w:val="17"/>
          <w:color w:val="auto"/>
        </w:rPr>
      </w:pPr>
    </w:p>
    <w:p>
      <w:pPr>
        <w:ind w:left="1640" w:right="240" w:hanging="795"/>
        <w:spacing w:after="0" w:line="264" w:lineRule="auto"/>
        <w:tabs>
          <w:tab w:leader="none" w:pos="16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jc w:val="both"/>
        <w:ind w:left="1640" w:right="40" w:hanging="795"/>
        <w:spacing w:after="0" w:line="342" w:lineRule="auto"/>
        <w:tabs>
          <w:tab w:leader="none" w:pos="16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640" w:right="40" w:hanging="795"/>
        <w:spacing w:after="0" w:line="264" w:lineRule="auto"/>
        <w:tabs>
          <w:tab w:leader="none" w:pos="16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8"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40" w:right="300" w:hanging="795"/>
        <w:spacing w:after="0" w:line="342" w:lineRule="auto"/>
        <w:tabs>
          <w:tab w:leader="none" w:pos="16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40" w:right="580" w:hanging="795"/>
        <w:spacing w:after="0" w:line="277" w:lineRule="auto"/>
        <w:tabs>
          <w:tab w:leader="none" w:pos="16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2019</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Linden R. Evans</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Richard W. Kinzley, certify that:</w:t>
      </w:r>
    </w:p>
    <w:p>
      <w:pPr>
        <w:spacing w:after="0" w:line="387" w:lineRule="exact"/>
        <w:rPr>
          <w:sz w:val="20"/>
          <w:szCs w:val="20"/>
          <w:color w:val="auto"/>
        </w:rPr>
      </w:pPr>
    </w:p>
    <w:p>
      <w:pPr>
        <w:ind w:left="840" w:hanging="805"/>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 Hills Corporation;</w:t>
      </w:r>
    </w:p>
    <w:p>
      <w:pPr>
        <w:spacing w:after="0" w:line="292"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ind w:left="1640" w:right="180" w:hanging="795"/>
        <w:spacing w:after="0" w:line="286" w:lineRule="auto"/>
        <w:tabs>
          <w:tab w:leader="none" w:pos="16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7"/>
          <w:szCs w:val="17"/>
          <w:color w:val="auto"/>
        </w:rPr>
      </w:pPr>
    </w:p>
    <w:p>
      <w:pPr>
        <w:ind w:left="1640" w:right="240" w:hanging="795"/>
        <w:spacing w:after="0" w:line="264" w:lineRule="auto"/>
        <w:tabs>
          <w:tab w:leader="none" w:pos="16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jc w:val="both"/>
        <w:ind w:left="1640" w:right="40" w:hanging="795"/>
        <w:spacing w:after="0" w:line="342" w:lineRule="auto"/>
        <w:tabs>
          <w:tab w:leader="none" w:pos="16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640" w:right="40" w:hanging="795"/>
        <w:spacing w:after="0" w:line="264" w:lineRule="auto"/>
        <w:tabs>
          <w:tab w:leader="none" w:pos="16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8"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40" w:right="300" w:hanging="795"/>
        <w:spacing w:after="0" w:line="342" w:lineRule="auto"/>
        <w:tabs>
          <w:tab w:leader="none" w:pos="16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40" w:right="580" w:hanging="795"/>
        <w:spacing w:after="0" w:line="277" w:lineRule="auto"/>
        <w:tabs>
          <w:tab w:leader="none" w:pos="16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2019</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Black Hills Corporation (the “Company”) on Form 10-Q for the period ended September 30, 2019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289" w:lineRule="exact"/>
        <w:rPr>
          <w:sz w:val="20"/>
          <w:szCs w:val="20"/>
          <w:color w:val="auto"/>
        </w:rPr>
      </w:pPr>
    </w:p>
    <w:p>
      <w:pPr>
        <w:ind w:left="1640" w:hanging="795"/>
        <w:spacing w:after="0"/>
        <w:tabs>
          <w:tab w:leader="none" w:pos="1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40" w:right="120" w:hanging="795"/>
        <w:spacing w:after="0" w:line="277" w:lineRule="auto"/>
        <w:tabs>
          <w:tab w:leader="none" w:pos="1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2019</w:t>
      </w:r>
    </w:p>
    <w:p>
      <w:pPr>
        <w:spacing w:after="0" w:line="38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Linden R. Evans</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Quarterly Report of Black Hills Corporation (the “Company”) on Form 10-Q for the period ended September 30, 2019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274" w:lineRule="exact"/>
        <w:rPr>
          <w:sz w:val="20"/>
          <w:szCs w:val="20"/>
          <w:color w:val="auto"/>
        </w:rPr>
      </w:pPr>
    </w:p>
    <w:p>
      <w:pPr>
        <w:ind w:left="1640" w:hanging="795"/>
        <w:spacing w:after="0"/>
        <w:tabs>
          <w:tab w:leader="none" w:pos="1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40" w:right="120" w:hanging="795"/>
        <w:spacing w:after="0" w:line="277" w:lineRule="auto"/>
        <w:tabs>
          <w:tab w:leader="none" w:pos="1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2019</w:t>
      </w:r>
    </w:p>
    <w:p>
      <w:pPr>
        <w:spacing w:after="0" w:line="38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31750</wp:posOffset>
            </wp:positionV>
            <wp:extent cx="29673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95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and Health Administration Safety Data</w:t>
      </w:r>
    </w:p>
    <w:p>
      <w:pPr>
        <w:spacing w:after="0" w:line="18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September 30, 2019.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89" w:lineRule="exact"/>
        <w:rPr>
          <w:sz w:val="20"/>
          <w:szCs w:val="20"/>
          <w:color w:val="auto"/>
        </w:rPr>
      </w:pPr>
    </w:p>
    <w:p>
      <w:pPr>
        <w:ind w:left="660" w:right="14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Total number of orders issued under section 104(b) of the Mine Act;</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Total number of citations and orders for unwarrantable failure of the mine operator to comply with mandatory health and safety standards under section 104(d) of the Mine 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Total number of imminent danger orders issued under section 107(a) of the Mine Act;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Total dollar value of proposed assessments from MSHA under the Mine Act.</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table below sets forth the total number of citations and/or orders issued by MSHA to WRDC under the indicated provisions of the Mine Act, together with the total dollar value of proposed MSHA assessments received during the three months ended September 30, 2019 and legal actions pending before the Federal Mine Safety and Health Review Commission, together with the Administrative Law Judges thereof, for WRDC, our only mining complex. All citations were abated within 24 hours of issue.</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Mine Act Section</w:t>
            </w:r>
          </w:p>
        </w:tc>
        <w:tc>
          <w:tcPr>
            <w:tcW w:w="6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9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Legal</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104 S&amp;S</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Mine Act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200" w:type="dxa"/>
            <w:vAlign w:val="bottom"/>
          </w:tcPr>
          <w:p>
            <w:pPr>
              <w:spacing w:after="0"/>
              <w:rPr>
                <w:sz w:val="12"/>
                <w:szCs w:val="12"/>
                <w:color w:val="auto"/>
              </w:rPr>
            </w:pPr>
          </w:p>
        </w:tc>
        <w:tc>
          <w:tcPr>
            <w:tcW w:w="10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6"/>
              </w:rPr>
              <w:t>Total Dollar</w:t>
            </w:r>
          </w:p>
        </w:tc>
        <w:tc>
          <w:tcPr>
            <w:tcW w:w="880" w:type="dxa"/>
            <w:vAlign w:val="bottom"/>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Received Notice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Citations issued</w:t>
            </w:r>
          </w:p>
        </w:tc>
        <w:tc>
          <w:tcPr>
            <w:tcW w:w="68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104(d)</w:t>
            </w:r>
          </w:p>
        </w:tc>
        <w:tc>
          <w:tcPr>
            <w:tcW w:w="98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107(a)</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240" w:type="dxa"/>
            <w:vAlign w:val="bottom"/>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Pending as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0" w:type="dxa"/>
            <w:vAlign w:val="bottom"/>
          </w:tcPr>
          <w:p>
            <w:pPr>
              <w:spacing w:after="0"/>
              <w:rPr>
                <w:sz w:val="1"/>
                <w:szCs w:val="1"/>
                <w:color w:val="auto"/>
              </w:rPr>
            </w:pPr>
          </w:p>
        </w:tc>
      </w:tr>
      <w:tr>
        <w:trPr>
          <w:trHeight w:val="149"/>
        </w:trPr>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MSHA</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during three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Section</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Citations</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Imminent</w:t>
            </w:r>
          </w:p>
        </w:tc>
        <w:tc>
          <w:tcPr>
            <w:tcW w:w="200" w:type="dxa"/>
            <w:vAlign w:val="bottom"/>
          </w:tcPr>
          <w:p>
            <w:pPr>
              <w:spacing w:after="0"/>
              <w:rPr>
                <w:sz w:val="12"/>
                <w:szCs w:val="12"/>
                <w:color w:val="auto"/>
              </w:rPr>
            </w:pPr>
          </w:p>
        </w:tc>
        <w:tc>
          <w:tcPr>
            <w:tcW w:w="10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Value of</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Mining</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Potential to Have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Last Day</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Initiated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Resolved</w:t>
            </w:r>
          </w:p>
        </w:tc>
        <w:tc>
          <w:tcPr>
            <w:tcW w:w="0" w:type="dxa"/>
            <w:vAlign w:val="bottom"/>
          </w:tcPr>
          <w:p>
            <w:pPr>
              <w:spacing w:after="0"/>
              <w:rPr>
                <w:sz w:val="1"/>
                <w:szCs w:val="1"/>
                <w:color w:val="auto"/>
              </w:rPr>
            </w:pPr>
          </w:p>
        </w:tc>
      </w:tr>
      <w:tr>
        <w:trPr>
          <w:trHeight w:val="186"/>
        </w:trPr>
        <w:tc>
          <w:tcPr>
            <w:tcW w:w="122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months ended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104(b)</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and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110(b)(2)</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Danger</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Proposed MSHA</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Related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Pattern Under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65"/>
        </w:trPr>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Orders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Orders (#)</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Violations (#)</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Orders (#)</w:t>
            </w:r>
          </w:p>
        </w:tc>
        <w:tc>
          <w:tcPr>
            <w:tcW w:w="200" w:type="dxa"/>
            <w:vAlign w:val="bottom"/>
          </w:tcPr>
          <w:p>
            <w:pPr>
              <w:spacing w:after="0"/>
              <w:rPr>
                <w:sz w:val="14"/>
                <w:szCs w:val="14"/>
                <w:color w:val="auto"/>
              </w:rPr>
            </w:pPr>
          </w:p>
        </w:tc>
        <w:tc>
          <w:tcPr>
            <w:tcW w:w="10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4"/>
              </w:rPr>
              <w:t>Assessments</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Fatalities (#)</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Section 104(e)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Period (#)</w:t>
            </w:r>
          </w:p>
        </w:tc>
        <w:tc>
          <w:tcPr>
            <w:tcW w:w="0" w:type="dxa"/>
            <w:vAlign w:val="bottom"/>
          </w:tcPr>
          <w:p>
            <w:pPr>
              <w:spacing w:after="0"/>
              <w:rPr>
                <w:sz w:val="1"/>
                <w:szCs w:val="1"/>
                <w:color w:val="auto"/>
              </w:rPr>
            </w:pPr>
          </w:p>
        </w:tc>
      </w:tr>
      <w:tr>
        <w:trPr>
          <w:trHeight w:val="192"/>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(yes/no)</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7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220" w:type="dxa"/>
            <w:vAlign w:val="bottom"/>
          </w:tcPr>
          <w:p>
            <w:pPr>
              <w:ind w:left="20"/>
              <w:spacing w:after="0" w:line="157" w:lineRule="exact"/>
              <w:rPr>
                <w:sz w:val="20"/>
                <w:szCs w:val="20"/>
                <w:color w:val="auto"/>
              </w:rPr>
            </w:pPr>
            <w:r>
              <w:rPr>
                <w:rFonts w:ascii="Arial" w:cs="Arial" w:eastAsia="Arial" w:hAnsi="Arial"/>
                <w:sz w:val="14"/>
                <w:szCs w:val="14"/>
                <w:color w:val="auto"/>
              </w:rPr>
              <w:t>Wyodak Coal Mine</w:t>
            </w: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20" w:type="dxa"/>
            <w:vAlign w:val="bottom"/>
          </w:tcPr>
          <w:p>
            <w:pPr>
              <w:ind w:left="20"/>
              <w:spacing w:after="0"/>
              <w:rPr>
                <w:sz w:val="20"/>
                <w:szCs w:val="20"/>
                <w:color w:val="auto"/>
              </w:rPr>
            </w:pPr>
            <w:r>
              <w:rPr>
                <w:rFonts w:ascii="Arial" w:cs="Arial" w:eastAsia="Arial" w:hAnsi="Arial"/>
                <w:sz w:val="14"/>
                <w:szCs w:val="14"/>
                <w:color w:val="auto"/>
              </w:rPr>
              <w:t>- 4800083</w:t>
            </w:r>
          </w:p>
        </w:tc>
        <w:tc>
          <w:tcPr>
            <w:tcW w:w="12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8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Pr>
          <w:p>
            <w:pPr>
              <w:ind w:left="540"/>
              <w:spacing w:after="0"/>
              <w:rPr>
                <w:sz w:val="20"/>
                <w:szCs w:val="20"/>
                <w:color w:val="auto"/>
              </w:rPr>
            </w:pPr>
            <w:r>
              <w:rPr>
                <w:rFonts w:ascii="Arial" w:cs="Arial" w:eastAsia="Arial" w:hAnsi="Arial"/>
                <w:sz w:val="14"/>
                <w:szCs w:val="14"/>
                <w:color w:val="auto"/>
              </w:rPr>
              <w:t>—</w:t>
            </w:r>
          </w:p>
        </w:tc>
        <w:tc>
          <w:tcPr>
            <w:tcW w:w="760" w:type="dxa"/>
            <w:vAlign w:val="bottom"/>
          </w:tcPr>
          <w:p>
            <w:pPr>
              <w:ind w:left="500"/>
              <w:spacing w:after="0"/>
              <w:rPr>
                <w:sz w:val="20"/>
                <w:szCs w:val="20"/>
                <w:color w:val="auto"/>
              </w:rPr>
            </w:pPr>
            <w:r>
              <w:rPr>
                <w:rFonts w:ascii="Arial" w:cs="Arial" w:eastAsia="Arial" w:hAnsi="Arial"/>
                <w:sz w:val="14"/>
                <w:szCs w:val="14"/>
                <w:color w:val="auto"/>
              </w:rPr>
              <w:t>—</w:t>
            </w:r>
          </w:p>
        </w:tc>
        <w:tc>
          <w:tcPr>
            <w:tcW w:w="760" w:type="dxa"/>
            <w:vAlign w:val="bottom"/>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21" w:lineRule="exact"/>
        <w:rPr>
          <w:sz w:val="20"/>
          <w:szCs w:val="20"/>
          <w:color w:val="auto"/>
        </w:rPr>
      </w:pPr>
    </w:p>
    <w:p>
      <w:pPr>
        <w:ind w:left="340" w:right="180" w:hanging="332"/>
        <w:spacing w:after="0" w:line="254"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lowerLetter"/>
      <w:start w:val="1"/>
    </w:lvl>
  </w:abstractNum>
  <w:abstractNum w:abstractNumId="3">
    <w:nsid w:val="54E49EB4"/>
    <w:multiLevelType w:val="hybridMultilevel"/>
    <w:lvl w:ilvl="0">
      <w:lvlJc w:val="left"/>
      <w:lvlText w:val="(%1)"/>
      <w:numFmt w:val="lowerLetter"/>
      <w:start w:val="1"/>
    </w:lvl>
  </w:abstractNum>
  <w:abstractNum w:abstractNumId="4">
    <w:nsid w:val="71F32454"/>
    <w:multiLevelType w:val="hybridMultilevel"/>
    <w:lvl w:ilvl="0">
      <w:lvlJc w:val="left"/>
      <w:lvlText w:val="(%1)"/>
      <w:numFmt w:val="lowerLetter"/>
      <w:start w:val="1"/>
    </w:lvl>
  </w:abstractNum>
  <w:abstractNum w:abstractNumId="5">
    <w:nsid w:val="2CA88611"/>
    <w:multiLevelType w:val="hybridMultilevel"/>
    <w:lvl w:ilvl="0">
      <w:lvlJc w:val="left"/>
      <w:lvlText w:val="(%1)"/>
      <w:numFmt w:val="lowerLetter"/>
      <w:start w:val="2"/>
    </w:lvl>
  </w:abstractNum>
  <w:abstractNum w:abstractNumId="6">
    <w:nsid w:val="836C40E"/>
    <w:multiLevelType w:val="hybridMultilevel"/>
    <w:lvl w:ilvl="0">
      <w:lvlJc w:val="left"/>
      <w:lvlText w:val="(%1)"/>
      <w:numFmt w:val="lowerLetter"/>
      <w:start w:val="1"/>
    </w:lvl>
  </w:abstractNum>
  <w:abstractNum w:abstractNumId="7">
    <w:nsid w:val="2901D82"/>
    <w:multiLevelType w:val="hybridMultilevel"/>
    <w:lvl w:ilvl="0">
      <w:lvlJc w:val="left"/>
      <w:lvlText w:val="(%1)"/>
      <w:numFmt w:val="lowerLetter"/>
      <w:start w:val="1"/>
    </w:lvl>
  </w:abstractNum>
  <w:abstractNum w:abstractNumId="8">
    <w:nsid w:val="3A95F874"/>
    <w:multiLevelType w:val="hybridMultilevel"/>
    <w:lvl w:ilvl="0">
      <w:lvlJc w:val="left"/>
      <w:lvlText w:val="(%1)"/>
      <w:numFmt w:val="lowerLetter"/>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1)"/>
      <w:numFmt w:val="lowerLetter"/>
      <w:start w:val="1"/>
    </w:lvl>
  </w:abstractNum>
  <w:abstractNum w:abstractNumId="11">
    <w:nsid w:val="7C3DBD3D"/>
    <w:multiLevelType w:val="hybridMultilevel"/>
    <w:lvl w:ilvl="0">
      <w:lvlJc w:val="left"/>
      <w:lvlText w:val="(%1)"/>
      <w:numFmt w:val="decimal"/>
      <w:start w:val="11"/>
    </w:lvl>
  </w:abstractNum>
  <w:abstractNum w:abstractNumId="12">
    <w:nsid w:val="737B8DDC"/>
    <w:multiLevelType w:val="hybridMultilevel"/>
    <w:lvl w:ilvl="0">
      <w:lvlJc w:val="left"/>
      <w:lvlText w:val="(%1)"/>
      <w:numFmt w:val="lowerLetter"/>
      <w:start w:val="1"/>
    </w:lvl>
  </w:abstractNum>
  <w:abstractNum w:abstractNumId="13">
    <w:nsid w:val="6CEAF087"/>
    <w:multiLevelType w:val="hybridMultilevel"/>
    <w:lvl w:ilvl="0">
      <w:lvlJc w:val="left"/>
      <w:lvlText w:val="(%1)"/>
      <w:numFmt w:val="decimal"/>
      <w:start w:val="13"/>
    </w:lvl>
  </w:abstractNum>
  <w:abstractNum w:abstractNumId="14">
    <w:nsid w:val="22221A70"/>
    <w:multiLevelType w:val="hybridMultilevel"/>
    <w:lvl w:ilvl="0">
      <w:lvlJc w:val="left"/>
      <w:lvlText w:val="(%1)"/>
      <w:numFmt w:val="decimal"/>
      <w:start w:val="15"/>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decimal"/>
      <w:start w:val="20"/>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decimal"/>
      <w:start w:val="2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lowerLetter"/>
      <w:start w:val="1"/>
    </w:lvl>
  </w:abstractNum>
  <w:abstractNum w:abstractNumId="22">
    <w:nsid w:val="3804823E"/>
    <w:multiLevelType w:val="hybridMultilevel"/>
    <w:lvl w:ilvl="0">
      <w:lvlJc w:val="left"/>
      <w:lvlText w:val="•"/>
      <w:numFmt w:val="bullet"/>
      <w:start w:val="1"/>
    </w:lvl>
    <w:lvl w:ilvl="1">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lvl w:ilvl="1">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Letter"/>
      <w:start w:val="1"/>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
      <w:numFmt w:val="bullet"/>
      <w:start w:val="1"/>
    </w:lvl>
    <w:lvl w:ilvl="1">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decimal"/>
      <w:start w:val="1"/>
    </w:lvl>
    <w:lvl w:ilvl="1">
      <w:lvlJc w:val="left"/>
      <w:lvlText w:val="%2)"/>
      <w:numFmt w:val="lowerLetter"/>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png"/><Relationship Id="rId54" Type="http://schemas.openxmlformats.org/officeDocument/2006/relationships/hyperlink" Target="http://www.sec.gov/Archives/edgar/data/1130464/000113046418000007/bhcamendedarticles.htm" TargetMode="External"/><Relationship Id="rId55" Type="http://schemas.openxmlformats.org/officeDocument/2006/relationships/hyperlink" Target="http://www.sec.gov/Archives/edgar/data/1130464/000113046417000016/bkhexh3-amdrestatedbylawso.htm" TargetMode="External"/><Relationship Id="rId56" Type="http://schemas.openxmlformats.org/officeDocument/2006/relationships/hyperlink" Target="http://www.sec.gov/Archives/edgar/data/1130464/000113046403000214/ex4-1_10q603.htm" TargetMode="External"/><Relationship Id="rId57" Type="http://schemas.openxmlformats.org/officeDocument/2006/relationships/hyperlink" Target="http://www.sec.gov/Archives/edgar/data/1130464/000113046403000214/ex4-2_10q603.htm" TargetMode="External"/><Relationship Id="rId58" Type="http://schemas.openxmlformats.org/officeDocument/2006/relationships/hyperlink" Target="http://www.sec.gov/Archives/edgar/data/1130464/000110465909032244/a09-13238_3ex4.htm" TargetMode="External"/><Relationship Id="rId59" Type="http://schemas.openxmlformats.org/officeDocument/2006/relationships/hyperlink" Target="http://www.sec.gov/Archives/edgar/data/1130464/000110465910038202/a10-11184_5ex4.htm" TargetMode="External"/><Relationship Id="rId60" Type="http://schemas.openxmlformats.org/officeDocument/2006/relationships/hyperlink" Target="http://www.sec.gov/Archives/edgar/data/1130464/000110465913085420/a13-24110_4ex4.htm" TargetMode="External"/><Relationship Id="rId61" Type="http://schemas.openxmlformats.org/officeDocument/2006/relationships/hyperlink" Target="http://www.sec.gov/Archives/edgar/data/1130464/000110465916089656/a16-1059_4ex4d1.htm" TargetMode="External"/><Relationship Id="rId62" Type="http://schemas.openxmlformats.org/officeDocument/2006/relationships/hyperlink" Target="http://www.sec.gov/Archives/edgar/data/1130464/000110465916140657/a16-17027_1ex4d1.htm" TargetMode="External"/><Relationship Id="rId63" Type="http://schemas.openxmlformats.org/officeDocument/2006/relationships/hyperlink" Target="http://www.sec.gov/Archives/edgar/data/1130464/000110465918052602/a18-18564_4ex4d2.htm" TargetMode="External"/><Relationship Id="rId64" Type="http://schemas.openxmlformats.org/officeDocument/2006/relationships/hyperlink" Target="http://www.sec.gov/Archives/edgar/data/1130464/000141057819001533/tv530573_ex4-1.htm" TargetMode="External"/><Relationship Id="rId65" Type="http://schemas.openxmlformats.org/officeDocument/2006/relationships/hyperlink" Target="http://www.sec.gov/Archives/edgar/data/12400/000104746909009108/a2195001zex-4_19.htm" TargetMode="External"/><Relationship Id="rId66" Type="http://schemas.openxmlformats.org/officeDocument/2006/relationships/hyperlink" Target="http://www.sec.gov/Archives/edgar/data/12400/000093066102002633/dex42.txt" TargetMode="External"/><Relationship Id="rId67" Type="http://schemas.openxmlformats.org/officeDocument/2006/relationships/hyperlink" Target="http://www.sec.gov/Archives/edgar/data/12400/000110465909060487/a09-31821_7ex4d21.htm" TargetMode="External"/><Relationship Id="rId68" Type="http://schemas.openxmlformats.org/officeDocument/2006/relationships/hyperlink" Target="http://www.sec.gov/Archives/edgar/data/12400/000113046414000164/ex_10-1thirdsuppindentureb.htm" TargetMode="External"/><Relationship Id="rId69" Type="http://schemas.openxmlformats.org/officeDocument/2006/relationships/hyperlink" Target="http://www.sec.gov/Archives/edgar/data/12400/000113046414000164/ex_10-2restatedindenture.htm" TargetMode="External"/><Relationship Id="rId70" Type="http://schemas.openxmlformats.org/officeDocument/2006/relationships/hyperlink" Target="http://www.sec.gov/Archives/edgar/data/12400/000113046414000164/ex_10-3clfpfirstsupplement.htm" TargetMode="External"/><Relationship Id="rId71" Type="http://schemas.openxmlformats.org/officeDocument/2006/relationships/hyperlink" Target="http://www.sec.gov/Archives/edgar/data/12400/000113046414000164/ex_10-4clfpsupplementalind.htm" TargetMode="External"/><Relationship Id="rId72" Type="http://schemas.openxmlformats.org/officeDocument/2006/relationships/hyperlink" Target="http://www.sec.gov/Archives/edgar/data/1130464/000001240001000024/0000012400-01-000024-0002.txt" TargetMode="External"/><Relationship Id="rId73" Type="http://schemas.openxmlformats.org/officeDocument/2006/relationships/hyperlink" Target="http://www.sec.gov/Archives/edgar/data/1130464/000113046419000025/exhibit101amendmentno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2020-01-09T07:01:45Z</dcterms:created>
  <dcterms:modified xsi:type="dcterms:W3CDTF">2020-01-09T07:01:45Z</dcterms:modified>
</cp:coreProperties>
</file>