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52" w:lineRule="exact"/>
        <w:rPr>
          <w:sz w:val="24"/>
          <w:szCs w:val="24"/>
          <w:color w:val="auto"/>
        </w:rPr>
      </w:pPr>
    </w:p>
    <w:p>
      <w:pPr>
        <w:jc w:val="center"/>
        <w:ind w:left="3780" w:right="1180" w:hanging="2599"/>
        <w:spacing w:after="0" w:line="282" w:lineRule="auto"/>
        <w:tabs>
          <w:tab w:leader="none" w:pos="13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2020</w:t>
      </w:r>
    </w:p>
    <w:p>
      <w:pPr>
        <w:spacing w:after="0" w:line="162" w:lineRule="exact"/>
        <w:rPr>
          <w:sz w:val="24"/>
          <w:szCs w:val="24"/>
          <w:color w:val="auto"/>
        </w:rPr>
      </w:pPr>
    </w:p>
    <w:p>
      <w:pPr>
        <w:jc w:val="center"/>
        <w:ind w:left="3500" w:right="1160" w:hanging="2326"/>
        <w:spacing w:after="0" w:line="282" w:lineRule="auto"/>
        <w:tabs>
          <w:tab w:leader="none" w:pos="138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001-31303</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South Dakota IRS Identification Number 46-0458824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7001 Mount Rushmore Road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Rapid City, South Dakota 57702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(605) 721-1700</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4"/>
          <w:szCs w:val="24"/>
          <w:color w:val="auto"/>
        </w:rPr>
      </w:pPr>
    </w:p>
    <w:p>
      <w:pPr>
        <w:ind w:right="240"/>
        <w:spacing w:after="0" w:line="2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0"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400" w:type="dxa"/>
        <w:tblCellMar>
          <w:top w:w="0" w:type="dxa"/>
          <w:left w:w="0" w:type="dxa"/>
          <w:bottom w:w="0" w:type="dxa"/>
          <w:right w:w="0" w:type="dxa"/>
        </w:tblCellMar>
      </w:tblPr>
      <w:tr>
        <w:trPr>
          <w:trHeight w:val="33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920" w:type="dxa"/>
            <w:vAlign w:val="bottom"/>
          </w:tcPr>
          <w:p>
            <w:pPr>
              <w:ind w:left="500"/>
              <w:spacing w:after="0"/>
              <w:rPr>
                <w:sz w:val="20"/>
                <w:szCs w:val="20"/>
                <w:color w:val="auto"/>
              </w:rPr>
            </w:pPr>
            <w:r>
              <w:rPr>
                <w:rFonts w:ascii="Arial" w:cs="Arial" w:eastAsia="Arial" w:hAnsi="Arial"/>
                <w:sz w:val="18"/>
                <w:szCs w:val="18"/>
                <w:color w:val="auto"/>
              </w:rPr>
              <w:t>x</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92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8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800" w:right="820" w:firstLine="575"/>
        <w:spacing w:after="0" w:line="292" w:lineRule="auto"/>
        <w:rPr>
          <w:sz w:val="20"/>
          <w:szCs w:val="20"/>
          <w:color w:val="auto"/>
        </w:rPr>
      </w:pPr>
      <w:r>
        <w:rPr>
          <w:rFonts w:ascii="Times New Roman" w:cs="Times New Roman" w:eastAsia="Times New Roman" w:hAnsi="Times New Roman"/>
          <w:sz w:val="18"/>
          <w:szCs w:val="18"/>
          <w:color w:val="auto"/>
        </w:rPr>
        <w:t>Title of each class Trading Symbol(s) Name of each exchange on which registered Common stock of $1.00 par value BKH New York Stock Exchange</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rPr>
              <w:t>Class</w:t>
            </w:r>
          </w:p>
        </w:tc>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Outstanding at October 31, 2020</w:t>
            </w:r>
          </w:p>
        </w:tc>
      </w:tr>
      <w:tr>
        <w:trPr>
          <w:trHeight w:val="234"/>
        </w:trPr>
        <w:tc>
          <w:tcPr>
            <w:tcW w:w="568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55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62,746,692 shares</w:t>
            </w:r>
          </w:p>
        </w:tc>
      </w:tr>
      <w:tr>
        <w:trPr>
          <w:trHeight w:val="1019"/>
        </w:trPr>
        <w:tc>
          <w:tcPr>
            <w:tcW w:w="56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87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680" w:type="dxa"/>
            <w:vAlign w:val="bottom"/>
            <w:gridSpan w:val="2"/>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Glossary of Terms and Abbreviations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387"/>
        </w:trPr>
        <w:tc>
          <w:tcPr>
            <w:tcW w:w="9680" w:type="dxa"/>
            <w:vAlign w:val="bottom"/>
            <w:gridSpan w:val="2"/>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PART I. FINANCIAL INFORMATION</w:t>
              </w:r>
            </w:hyperlink>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720" w:type="dxa"/>
            <w:vAlign w:val="bottom"/>
          </w:tcPr>
          <w:p>
            <w:pPr>
              <w:ind w:left="46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Financial Statements - unaudited</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58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Condensed Consolidated Statements of Income</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58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Condensed Consolidated Statements of Comprehensive Income</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8</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58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Condensed Consolidated Balance Sheets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9</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58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Condensed Consolidated Statements of Cash Flows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0">
              <w:r>
                <w:rPr>
                  <w:rFonts w:ascii="Times New Roman" w:cs="Times New Roman" w:eastAsia="Times New Roman" w:hAnsi="Times New Roman"/>
                  <w:sz w:val="18"/>
                  <w:szCs w:val="18"/>
                  <w:u w:val="single" w:color="auto"/>
                  <w:color w:val="0000FF"/>
                  <w:w w:val="99"/>
                </w:rPr>
                <w:t>11</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580"/>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Condensed Consolidated Statements of Equity</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1">
              <w:r>
                <w:rPr>
                  <w:rFonts w:ascii="Times New Roman" w:cs="Times New Roman" w:eastAsia="Times New Roman" w:hAnsi="Times New Roman"/>
                  <w:sz w:val="18"/>
                  <w:szCs w:val="18"/>
                  <w:u w:val="single" w:color="auto"/>
                  <w:color w:val="0000FF"/>
                  <w:w w:val="99"/>
                </w:rPr>
                <w:t>12</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580"/>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Notes to Condensed Consolidated Financial Statements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4">
              <w:r>
                <w:rPr>
                  <w:rFonts w:ascii="Times New Roman" w:cs="Times New Roman" w:eastAsia="Times New Roman" w:hAnsi="Times New Roman"/>
                  <w:sz w:val="18"/>
                  <w:szCs w:val="18"/>
                  <w:u w:val="single" w:color="auto"/>
                  <w:color w:val="0000FF"/>
                  <w:w w:val="99"/>
                </w:rPr>
                <w:t>14</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Note 1. Management’s Statement</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4">
              <w:r>
                <w:rPr>
                  <w:rFonts w:ascii="Times New Roman" w:cs="Times New Roman" w:eastAsia="Times New Roman" w:hAnsi="Times New Roman"/>
                  <w:sz w:val="18"/>
                  <w:szCs w:val="18"/>
                  <w:u w:val="single" w:color="auto"/>
                  <w:color w:val="0000FF"/>
                  <w:w w:val="99"/>
                </w:rPr>
                <w:t>14</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Note 2. Revenue</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6">
              <w:r>
                <w:rPr>
                  <w:rFonts w:ascii="Times New Roman" w:cs="Times New Roman" w:eastAsia="Times New Roman" w:hAnsi="Times New Roman"/>
                  <w:sz w:val="18"/>
                  <w:szCs w:val="18"/>
                  <w:u w:val="single" w:color="auto"/>
                  <w:color w:val="0000FF"/>
                  <w:w w:val="99"/>
                </w:rPr>
                <w:t>16</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Note 3. Business Segment Information</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8">
              <w:r>
                <w:rPr>
                  <w:rFonts w:ascii="Times New Roman" w:cs="Times New Roman" w:eastAsia="Times New Roman" w:hAnsi="Times New Roman"/>
                  <w:sz w:val="18"/>
                  <w:szCs w:val="18"/>
                  <w:u w:val="single" w:color="auto"/>
                  <w:color w:val="0000FF"/>
                  <w:w w:val="99"/>
                </w:rPr>
                <w:t>18</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Note 4. Selected Balance Sheet Information</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0">
              <w:r>
                <w:rPr>
                  <w:rFonts w:ascii="Times New Roman" w:cs="Times New Roman" w:eastAsia="Times New Roman" w:hAnsi="Times New Roman"/>
                  <w:sz w:val="18"/>
                  <w:szCs w:val="18"/>
                  <w:u w:val="single" w:color="auto"/>
                  <w:color w:val="0000FF"/>
                  <w:w w:val="99"/>
                </w:rPr>
                <w:t>20</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Note 5. Regulatory Matters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1">
              <w:r>
                <w:rPr>
                  <w:rFonts w:ascii="Times New Roman" w:cs="Times New Roman" w:eastAsia="Times New Roman" w:hAnsi="Times New Roman"/>
                  <w:sz w:val="18"/>
                  <w:szCs w:val="18"/>
                  <w:u w:val="single" w:color="auto"/>
                  <w:color w:val="0000FF"/>
                  <w:w w:val="99"/>
                </w:rPr>
                <w:t>22</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Note 6. Earnings Per Share</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3">
              <w:r>
                <w:rPr>
                  <w:rFonts w:ascii="Times New Roman" w:cs="Times New Roman" w:eastAsia="Times New Roman" w:hAnsi="Times New Roman"/>
                  <w:sz w:val="18"/>
                  <w:szCs w:val="18"/>
                  <w:u w:val="single" w:color="auto"/>
                  <w:color w:val="0000FF"/>
                  <w:w w:val="99"/>
                </w:rPr>
                <w:t>24</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Note 7. Notes Payable, Current Maturities and Debt</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4">
              <w:r>
                <w:rPr>
                  <w:rFonts w:ascii="Times New Roman" w:cs="Times New Roman" w:eastAsia="Times New Roman" w:hAnsi="Times New Roman"/>
                  <w:sz w:val="18"/>
                  <w:szCs w:val="18"/>
                  <w:u w:val="single" w:color="auto"/>
                  <w:color w:val="0000FF"/>
                  <w:w w:val="99"/>
                </w:rPr>
                <w:t>24</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Note 8. Equity</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5">
              <w:r>
                <w:rPr>
                  <w:rFonts w:ascii="Times New Roman" w:cs="Times New Roman" w:eastAsia="Times New Roman" w:hAnsi="Times New Roman"/>
                  <w:sz w:val="18"/>
                  <w:szCs w:val="18"/>
                  <w:u w:val="single" w:color="auto"/>
                  <w:color w:val="0000FF"/>
                  <w:w w:val="99"/>
                </w:rPr>
                <w:t>25</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Note 9. Risk Management and Derivatives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5">
              <w:r>
                <w:rPr>
                  <w:rFonts w:ascii="Times New Roman" w:cs="Times New Roman" w:eastAsia="Times New Roman" w:hAnsi="Times New Roman"/>
                  <w:sz w:val="18"/>
                  <w:szCs w:val="18"/>
                  <w:u w:val="single" w:color="auto"/>
                  <w:color w:val="0000FF"/>
                  <w:w w:val="99"/>
                </w:rPr>
                <w:t>26</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Note 10. Fair Value Measurements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9">
              <w:r>
                <w:rPr>
                  <w:rFonts w:ascii="Times New Roman" w:cs="Times New Roman" w:eastAsia="Times New Roman" w:hAnsi="Times New Roman"/>
                  <w:sz w:val="18"/>
                  <w:szCs w:val="18"/>
                  <w:u w:val="single" w:color="auto"/>
                  <w:color w:val="0000FF"/>
                  <w:w w:val="99"/>
                </w:rPr>
                <w:t>29</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Note 11. Other Comprehensive Income (Loss)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1">
              <w:r>
                <w:rPr>
                  <w:rFonts w:ascii="Times New Roman" w:cs="Times New Roman" w:eastAsia="Times New Roman" w:hAnsi="Times New Roman"/>
                  <w:sz w:val="18"/>
                  <w:szCs w:val="18"/>
                  <w:u w:val="single" w:color="auto"/>
                  <w:color w:val="0000FF"/>
                  <w:w w:val="99"/>
                </w:rPr>
                <w:t>32</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Note 12. Employee Benefit Plans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2">
              <w:r>
                <w:rPr>
                  <w:rFonts w:ascii="Times New Roman" w:cs="Times New Roman" w:eastAsia="Times New Roman" w:hAnsi="Times New Roman"/>
                  <w:sz w:val="18"/>
                  <w:szCs w:val="18"/>
                  <w:u w:val="single" w:color="auto"/>
                  <w:color w:val="0000FF"/>
                  <w:w w:val="99"/>
                </w:rPr>
                <w:t>33</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Note 13. Commitments and Contingencies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4">
              <w:r>
                <w:rPr>
                  <w:rFonts w:ascii="Times New Roman" w:cs="Times New Roman" w:eastAsia="Times New Roman" w:hAnsi="Times New Roman"/>
                  <w:sz w:val="18"/>
                  <w:szCs w:val="18"/>
                  <w:u w:val="single" w:color="auto"/>
                  <w:color w:val="0000FF"/>
                  <w:w w:val="99"/>
                </w:rPr>
                <w:t>35</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Note 14. Income Taxes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5">
              <w:r>
                <w:rPr>
                  <w:rFonts w:ascii="Times New Roman" w:cs="Times New Roman" w:eastAsia="Times New Roman" w:hAnsi="Times New Roman"/>
                  <w:sz w:val="18"/>
                  <w:szCs w:val="18"/>
                  <w:u w:val="single" w:color="auto"/>
                  <w:color w:val="0000FF"/>
                  <w:w w:val="99"/>
                </w:rPr>
                <w:t>35</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Note 15. Investments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6">
              <w:r>
                <w:rPr>
                  <w:rFonts w:ascii="Times New Roman" w:cs="Times New Roman" w:eastAsia="Times New Roman" w:hAnsi="Times New Roman"/>
                  <w:sz w:val="18"/>
                  <w:szCs w:val="18"/>
                  <w:u w:val="single" w:color="auto"/>
                  <w:color w:val="0000FF"/>
                  <w:w w:val="99"/>
                </w:rPr>
                <w:t>36</w:t>
              </w:r>
            </w:hyperlink>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720" w:type="dxa"/>
            <w:vAlign w:val="bottom"/>
          </w:tcPr>
          <w:p>
            <w:pPr>
              <w:ind w:left="66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Note 16. Subsequent Events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6">
              <w:r>
                <w:rPr>
                  <w:rFonts w:ascii="Times New Roman" w:cs="Times New Roman" w:eastAsia="Times New Roman" w:hAnsi="Times New Roman"/>
                  <w:sz w:val="18"/>
                  <w:szCs w:val="18"/>
                  <w:u w:val="single" w:color="auto"/>
                  <w:color w:val="0000FF"/>
                  <w:w w:val="99"/>
                </w:rPr>
                <w:t>36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 w:name="page3"/>
    <w:bookmarkEnd w:id="2"/>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8600" w:type="dxa"/>
            <w:vAlign w:val="bottom"/>
            <w:gridSpan w:val="4"/>
          </w:tcPr>
          <w:p>
            <w:pPr>
              <w:ind w:left="3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500" w:type="dxa"/>
            <w:vAlign w:val="bottom"/>
            <w:tcBorders>
              <w:top w:val="single" w:sz="8" w:color="auto"/>
            </w:tcBorders>
          </w:tcPr>
          <w:p>
            <w:pPr>
              <w:jc w:val="center"/>
              <w:spacing w:after="0"/>
              <w:rPr>
                <w:rFonts w:ascii="Times New Roman" w:cs="Times New Roman" w:eastAsia="Times New Roman" w:hAnsi="Times New Roman"/>
                <w:sz w:val="18"/>
                <w:szCs w:val="18"/>
                <w:u w:val="single" w:color="auto"/>
                <w:color w:val="0000FF"/>
                <w:w w:val="99"/>
              </w:rPr>
            </w:pPr>
            <w:hyperlink w:anchor="page36">
              <w:r>
                <w:rPr>
                  <w:rFonts w:ascii="Times New Roman" w:cs="Times New Roman" w:eastAsia="Times New Roman" w:hAnsi="Times New Roman"/>
                  <w:sz w:val="18"/>
                  <w:szCs w:val="18"/>
                  <w:u w:val="single" w:color="auto"/>
                  <w:color w:val="0000FF"/>
                  <w:w w:val="99"/>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gridSpan w:val="4"/>
          </w:tcPr>
          <w:p>
            <w:pPr>
              <w:ind w:left="46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Executive Summary</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8600" w:type="dxa"/>
            <w:vAlign w:val="bottom"/>
            <w:gridSpan w:val="4"/>
          </w:tcPr>
          <w:p>
            <w:pPr>
              <w:ind w:left="44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Results of Operations - Consolidated Summary and Overview</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0">
              <w:r>
                <w:rPr>
                  <w:rFonts w:ascii="Times New Roman" w:cs="Times New Roman" w:eastAsia="Times New Roman" w:hAnsi="Times New Roman"/>
                  <w:sz w:val="18"/>
                  <w:szCs w:val="18"/>
                  <w:u w:val="single" w:color="auto"/>
                  <w:color w:val="0000FF"/>
                  <w:w w:val="99"/>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Non-GAAP Financial Measure</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2">
              <w:r>
                <w:rPr>
                  <w:rFonts w:ascii="Times New Roman" w:cs="Times New Roman" w:eastAsia="Times New Roman" w:hAnsi="Times New Roman"/>
                  <w:sz w:val="18"/>
                  <w:szCs w:val="18"/>
                  <w:u w:val="single" w:color="auto"/>
                  <w:color w:val="0000FF"/>
                  <w:w w:val="99"/>
                </w:rPr>
                <w:t>42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Electric Utilities Segment</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2">
              <w:r>
                <w:rPr>
                  <w:rFonts w:ascii="Times New Roman" w:cs="Times New Roman" w:eastAsia="Times New Roman" w:hAnsi="Times New Roman"/>
                  <w:sz w:val="18"/>
                  <w:szCs w:val="18"/>
                  <w:u w:val="single" w:color="auto"/>
                  <w:color w:val="0000FF"/>
                  <w:w w:val="99"/>
                </w:rPr>
                <w:t>43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Gas Utilities Segment</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7">
              <w:r>
                <w:rPr>
                  <w:rFonts w:ascii="Times New Roman" w:cs="Times New Roman" w:eastAsia="Times New Roman" w:hAnsi="Times New Roman"/>
                  <w:sz w:val="18"/>
                  <w:szCs w:val="18"/>
                  <w:u w:val="single" w:color="auto"/>
                  <w:color w:val="0000FF"/>
                  <w:w w:val="99"/>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Regulatory Matters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0">
              <w:r>
                <w:rPr>
                  <w:rFonts w:ascii="Times New Roman" w:cs="Times New Roman" w:eastAsia="Times New Roman" w:hAnsi="Times New Roman"/>
                  <w:sz w:val="18"/>
                  <w:szCs w:val="18"/>
                  <w:u w:val="single" w:color="auto"/>
                  <w:color w:val="0000FF"/>
                  <w:w w:val="99"/>
                </w:rPr>
                <w:t>50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Power Generation Segment</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0">
              <w:r>
                <w:rPr>
                  <w:rFonts w:ascii="Times New Roman" w:cs="Times New Roman" w:eastAsia="Times New Roman" w:hAnsi="Times New Roman"/>
                  <w:sz w:val="18"/>
                  <w:szCs w:val="18"/>
                  <w:u w:val="single" w:color="auto"/>
                  <w:color w:val="0000FF"/>
                  <w:w w:val="99"/>
                </w:rPr>
                <w:t>50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Mining Segment</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Corporate and Other</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940" w:type="dxa"/>
            <w:vAlign w:val="bottom"/>
            <w:gridSpan w:val="3"/>
          </w:tcPr>
          <w:p>
            <w:pPr>
              <w:spacing w:after="0" w:line="194"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Consolidated Interest Expense, Impairment of Investment, Other Income (Expense) and Income Tax</w:t>
              </w:r>
            </w:hyperlink>
          </w:p>
        </w:tc>
        <w:tc>
          <w:tcPr>
            <w:tcW w:w="1500" w:type="dxa"/>
            <w:vAlign w:val="bottom"/>
            <w:vMerge w:val="restart"/>
          </w:tcPr>
          <w:p>
            <w:pPr>
              <w:jc w:val="center"/>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53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w:anchor="page52">
              <w:r>
                <w:rPr>
                  <w:rFonts w:ascii="Times New Roman" w:cs="Times New Roman" w:eastAsia="Times New Roman" w:hAnsi="Times New Roman"/>
                  <w:sz w:val="18"/>
                  <w:szCs w:val="18"/>
                  <w:color w:val="0000FF"/>
                  <w:w w:val="98"/>
                </w:rPr>
                <w:t>(Expense)</w:t>
              </w:r>
            </w:hyperlink>
          </w:p>
        </w:tc>
        <w:tc>
          <w:tcPr>
            <w:tcW w:w="648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8600" w:type="dxa"/>
            <w:vAlign w:val="bottom"/>
            <w:gridSpan w:val="4"/>
          </w:tcPr>
          <w:p>
            <w:pPr>
              <w:ind w:left="46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Critical Accounting Policies Involving Significant Accounting Estimates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gridSpan w:val="4"/>
          </w:tcPr>
          <w:p>
            <w:pPr>
              <w:ind w:left="46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Liquidity and Capital Resources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Cash Flow Activities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Dividends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Financing Transactions, Short-Term Liquidity and Credit Ratings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Capital Requirements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Contractual Obligations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940" w:type="dxa"/>
            <w:vAlign w:val="bottom"/>
            <w:gridSpan w:val="3"/>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Off-Balance Sheet Commitments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8600" w:type="dxa"/>
            <w:vAlign w:val="bottom"/>
            <w:gridSpan w:val="4"/>
          </w:tcPr>
          <w:p>
            <w:pPr>
              <w:ind w:left="46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New Accounting Pronouncements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8600" w:type="dxa"/>
            <w:vAlign w:val="bottom"/>
            <w:gridSpan w:val="4"/>
          </w:tcPr>
          <w:p>
            <w:pPr>
              <w:ind w:left="46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Forward-Looking Information</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600" w:type="dxa"/>
            <w:vAlign w:val="bottom"/>
            <w:gridSpan w:val="4"/>
          </w:tcPr>
          <w:p>
            <w:pPr>
              <w:ind w:left="3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Quantitative and Qualitative Disclosures About Market Risk</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9">
              <w:r>
                <w:rPr>
                  <w:rFonts w:ascii="Times New Roman" w:cs="Times New Roman" w:eastAsia="Times New Roman" w:hAnsi="Times New Roman"/>
                  <w:sz w:val="18"/>
                  <w:szCs w:val="18"/>
                  <w:u w:val="single" w:color="auto"/>
                  <w:color w:val="0000FF"/>
                  <w:w w:val="99"/>
                </w:rPr>
                <w:t>59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600" w:type="dxa"/>
            <w:vAlign w:val="bottom"/>
            <w:gridSpan w:val="4"/>
          </w:tcPr>
          <w:p>
            <w:pPr>
              <w:ind w:left="3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Controls and Procedures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9">
              <w:r>
                <w:rPr>
                  <w:rFonts w:ascii="Times New Roman" w:cs="Times New Roman" w:eastAsia="Times New Roman" w:hAnsi="Times New Roman"/>
                  <w:sz w:val="18"/>
                  <w:szCs w:val="18"/>
                  <w:u w:val="single" w:color="auto"/>
                  <w:color w:val="0000FF"/>
                  <w:w w:val="99"/>
                </w:rPr>
                <w:t>60</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9720" w:type="dxa"/>
            <w:vAlign w:val="bottom"/>
            <w:gridSpan w:val="5"/>
          </w:tcPr>
          <w:p>
            <w:pPr>
              <w:ind w:left="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PART II. OTHER INFORMATION</w:t>
              </w:r>
            </w:hyperlink>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8600" w:type="dxa"/>
            <w:vAlign w:val="bottom"/>
            <w:gridSpan w:val="4"/>
          </w:tcPr>
          <w:p>
            <w:pPr>
              <w:ind w:left="34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Legal Proceedings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0">
              <w:r>
                <w:rPr>
                  <w:rFonts w:ascii="Times New Roman" w:cs="Times New Roman" w:eastAsia="Times New Roman" w:hAnsi="Times New Roman"/>
                  <w:sz w:val="18"/>
                  <w:szCs w:val="18"/>
                  <w:u w:val="single" w:color="auto"/>
                  <w:color w:val="0000FF"/>
                  <w:w w:val="99"/>
                </w:rPr>
                <w:t>60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8600" w:type="dxa"/>
            <w:vAlign w:val="bottom"/>
            <w:gridSpan w:val="4"/>
          </w:tcPr>
          <w:p>
            <w:pPr>
              <w:ind w:left="34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Risk Factors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0">
              <w:r>
                <w:rPr>
                  <w:rFonts w:ascii="Times New Roman" w:cs="Times New Roman" w:eastAsia="Times New Roman" w:hAnsi="Times New Roman"/>
                  <w:sz w:val="18"/>
                  <w:szCs w:val="18"/>
                  <w:u w:val="single" w:color="auto"/>
                  <w:color w:val="0000FF"/>
                  <w:w w:val="99"/>
                </w:rPr>
                <w:t>60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600" w:type="dxa"/>
            <w:vAlign w:val="bottom"/>
            <w:gridSpan w:val="4"/>
          </w:tcPr>
          <w:p>
            <w:pPr>
              <w:ind w:left="34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Mine Safety Disclosures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1">
              <w:r>
                <w:rPr>
                  <w:rFonts w:ascii="Times New Roman" w:cs="Times New Roman" w:eastAsia="Times New Roman" w:hAnsi="Times New Roman"/>
                  <w:sz w:val="18"/>
                  <w:szCs w:val="18"/>
                  <w:u w:val="single" w:color="auto"/>
                  <w:color w:val="0000FF"/>
                  <w:w w:val="99"/>
                </w:rPr>
                <w:t>61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8600" w:type="dxa"/>
            <w:vAlign w:val="bottom"/>
            <w:gridSpan w:val="4"/>
          </w:tcPr>
          <w:p>
            <w:pPr>
              <w:ind w:left="34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Exhibits</w:t>
              </w:r>
            </w:hyperlink>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1">
              <w:r>
                <w:rPr>
                  <w:rFonts w:ascii="Times New Roman" w:cs="Times New Roman" w:eastAsia="Times New Roman" w:hAnsi="Times New Roman"/>
                  <w:sz w:val="18"/>
                  <w:szCs w:val="18"/>
                  <w:u w:val="single" w:color="auto"/>
                  <w:color w:val="0000FF"/>
                  <w:w w:val="99"/>
                </w:rPr>
                <w:t>61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20" w:type="dxa"/>
            <w:vAlign w:val="bottom"/>
          </w:tcPr>
          <w:p>
            <w:pPr>
              <w:ind w:left="4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Signatures</w:t>
              </w:r>
            </w:hyperlink>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2">
              <w:r>
                <w:rPr>
                  <w:rFonts w:ascii="Times New Roman" w:cs="Times New Roman" w:eastAsia="Times New Roman" w:hAnsi="Times New Roman"/>
                  <w:sz w:val="18"/>
                  <w:szCs w:val="18"/>
                  <w:u w:val="single" w:color="auto"/>
                  <w:color w:val="0000FF"/>
                  <w:w w:val="99"/>
                </w:rPr>
                <w:t>63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1120" w:type="dxa"/>
            <w:vAlign w:val="bottom"/>
          </w:tcPr>
          <w:p>
            <w:pPr>
              <w:spacing w:after="0"/>
              <w:rPr>
                <w:sz w:val="24"/>
                <w:szCs w:val="24"/>
                <w:color w:val="auto"/>
              </w:rPr>
            </w:pPr>
          </w:p>
        </w:tc>
        <w:tc>
          <w:tcPr>
            <w:tcW w:w="7880" w:type="dxa"/>
            <w:vAlign w:val="bottom"/>
            <w:gridSpan w:val="3"/>
          </w:tcPr>
          <w:p>
            <w:pPr>
              <w:ind w:left="446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 AND ABBREVIATIONS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and abbreviations appear in the text of this report and have the definitions described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AFUDC</w:t>
            </w: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176"/>
        </w:trPr>
        <w:tc>
          <w:tcPr>
            <w:tcW w:w="274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Arkansas Gas</w:t>
            </w: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Black Hills Energy Arkansas, Inc., an indirect, wholly-owned subsidiary of Black Hills Utility Holdings, providing</w:t>
            </w:r>
          </w:p>
        </w:tc>
      </w:tr>
      <w:tr>
        <w:trPr>
          <w:trHeight w:val="229"/>
        </w:trPr>
        <w:tc>
          <w:tcPr>
            <w:tcW w:w="2740" w:type="dxa"/>
            <w:vAlign w:val="bottom"/>
            <w:shd w:val="clear" w:color="auto" w:fill="CEFFE7"/>
          </w:tcPr>
          <w:p>
            <w:pPr>
              <w:spacing w:after="0"/>
              <w:rPr>
                <w:sz w:val="19"/>
                <w:szCs w:val="19"/>
                <w:color w:val="auto"/>
              </w:rPr>
            </w:pP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natural gas services to customers in Arkansas (doing business as Black Hills Energy).</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27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Accounting Standards Update issued by the FASB</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At-the-market equity offering program</w:t>
            </w:r>
          </w:p>
        </w:tc>
      </w:tr>
      <w:tr>
        <w:trPr>
          <w:trHeight w:val="229"/>
        </w:trPr>
        <w:tc>
          <w:tcPr>
            <w:tcW w:w="27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Availability</w:t>
            </w: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The availability factor of a power plant is the percentage of the time that it is available to provide energy.</w:t>
            </w: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BHC</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Black Hills Corporation; the Company</w:t>
            </w:r>
          </w:p>
        </w:tc>
      </w:tr>
      <w:tr>
        <w:trPr>
          <w:trHeight w:val="230"/>
        </w:trPr>
        <w:tc>
          <w:tcPr>
            <w:tcW w:w="27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Black Hills Colorado IPP</w:t>
            </w: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Black Hills Colorado IPP, LLC a 50.1% owned subsidiary of Black Hills Electric Generation</w:t>
            </w:r>
          </w:p>
        </w:tc>
      </w:tr>
      <w:tr>
        <w:trPr>
          <w:trHeight w:val="175"/>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Black Hills Electric Generation</w:t>
            </w: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Black Hills Electric Generation, LLC, a direct, wholly-owned subsidiary of Black Hills Non-regulated Holdings,</w:t>
            </w:r>
          </w:p>
        </w:tc>
      </w:tr>
      <w:tr>
        <w:trPr>
          <w:trHeight w:val="230"/>
        </w:trPr>
        <w:tc>
          <w:tcPr>
            <w:tcW w:w="2740" w:type="dxa"/>
            <w:vAlign w:val="bottom"/>
          </w:tcPr>
          <w:p>
            <w:pPr>
              <w:spacing w:after="0"/>
              <w:rPr>
                <w:sz w:val="19"/>
                <w:szCs w:val="19"/>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providing wholesale electric capacity and energy primarily to our affiliate utilities.</w:t>
            </w:r>
          </w:p>
        </w:tc>
      </w:tr>
      <w:tr>
        <w:trPr>
          <w:trHeight w:val="229"/>
        </w:trPr>
        <w:tc>
          <w:tcPr>
            <w:tcW w:w="27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Black Hills Energy</w:t>
            </w: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The name used to conduct the business of our utility companies</w:t>
            </w:r>
          </w:p>
        </w:tc>
      </w:tr>
      <w:tr>
        <w:trPr>
          <w:trHeight w:val="176"/>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Black Hills Energy Services</w:t>
            </w: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Black Hills Energy Services Company, an indirect, wholly-owned subsidiary of Black Hills Utility Holdings,</w:t>
            </w:r>
          </w:p>
        </w:tc>
      </w:tr>
      <w:tr>
        <w:trPr>
          <w:trHeight w:val="229"/>
        </w:trPr>
        <w:tc>
          <w:tcPr>
            <w:tcW w:w="2740" w:type="dxa"/>
            <w:vAlign w:val="bottom"/>
          </w:tcPr>
          <w:p>
            <w:pPr>
              <w:spacing w:after="0"/>
              <w:rPr>
                <w:sz w:val="19"/>
                <w:szCs w:val="19"/>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providing natural gas commodity supply for the Choice Gas Programs (doing business as Black Hills Energy).</w:t>
            </w:r>
          </w:p>
        </w:tc>
      </w:tr>
      <w:tr>
        <w:trPr>
          <w:trHeight w:val="229"/>
        </w:trPr>
        <w:tc>
          <w:tcPr>
            <w:tcW w:w="27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Black Hills Non-regulated Holdings</w:t>
            </w: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Black Hills Non-regulated Holdings, LLC, a direct, wholly-owned subsidiary of Black Hills Corporation</w:t>
            </w:r>
          </w:p>
        </w:tc>
      </w:tr>
      <w:tr>
        <w:trPr>
          <w:trHeight w:val="176"/>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Black Hills Power</w:t>
            </w: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Black Hills Power, Inc., a direct, wholly-owned subsidiary of Black Hills Corporation (doing business as Black</w:t>
            </w:r>
          </w:p>
        </w:tc>
      </w:tr>
      <w:tr>
        <w:trPr>
          <w:trHeight w:val="229"/>
        </w:trPr>
        <w:tc>
          <w:tcPr>
            <w:tcW w:w="2740" w:type="dxa"/>
            <w:vAlign w:val="bottom"/>
          </w:tcPr>
          <w:p>
            <w:pPr>
              <w:spacing w:after="0"/>
              <w:rPr>
                <w:sz w:val="19"/>
                <w:szCs w:val="19"/>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Hills Energy). Also known as South Dakota Electric.</w:t>
            </w:r>
          </w:p>
        </w:tc>
      </w:tr>
      <w:tr>
        <w:trPr>
          <w:trHeight w:val="176"/>
        </w:trPr>
        <w:tc>
          <w:tcPr>
            <w:tcW w:w="274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Black Hills Utility Holdings</w:t>
            </w: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Black Hills Utility Holdings, Inc., a direct, wholly-owned subsidiary of Black Hills Corporation (doing business as</w:t>
            </w:r>
          </w:p>
        </w:tc>
      </w:tr>
      <w:tr>
        <w:trPr>
          <w:trHeight w:val="229"/>
        </w:trPr>
        <w:tc>
          <w:tcPr>
            <w:tcW w:w="2740" w:type="dxa"/>
            <w:vAlign w:val="bottom"/>
            <w:shd w:val="clear" w:color="auto" w:fill="CEFFE7"/>
          </w:tcPr>
          <w:p>
            <w:pPr>
              <w:spacing w:after="0"/>
              <w:rPr>
                <w:sz w:val="19"/>
                <w:szCs w:val="19"/>
                <w:color w:val="auto"/>
              </w:rPr>
            </w:pP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Black Hills Energy)</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Hills Wyoming</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Black Hills Wyoming, LLC, a direct, wholly-owned subsidiary of Black Hills Electric Generation</w:t>
            </w:r>
          </w:p>
        </w:tc>
      </w:tr>
      <w:tr>
        <w:trPr>
          <w:trHeight w:val="175"/>
        </w:trPr>
        <w:tc>
          <w:tcPr>
            <w:tcW w:w="274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CARES Act</w:t>
            </w: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Coronavirus Aid, Relief, and Economic Security Act, signed on March 27, 2020, which is a tax and spending</w:t>
            </w:r>
          </w:p>
        </w:tc>
      </w:tr>
      <w:tr>
        <w:trPr>
          <w:trHeight w:val="230"/>
        </w:trPr>
        <w:tc>
          <w:tcPr>
            <w:tcW w:w="2740" w:type="dxa"/>
            <w:vAlign w:val="bottom"/>
            <w:shd w:val="clear" w:color="auto" w:fill="CEFFE7"/>
          </w:tcPr>
          <w:p>
            <w:pPr>
              <w:spacing w:after="0"/>
              <w:rPr>
                <w:sz w:val="19"/>
                <w:szCs w:val="19"/>
                <w:color w:val="auto"/>
              </w:rPr>
            </w:pP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package intended to provide additional economic relief and address the impact of the COVID-19 pandemic.</w:t>
            </w:r>
          </w:p>
        </w:tc>
      </w:tr>
      <w:tr>
        <w:trPr>
          <w:trHeight w:val="175"/>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Cheyenne Light</w:t>
            </w: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Cheyenne Light, Fuel and Power Company, a direct, wholly-owned subsidiary of Black Hills Corporation,</w:t>
            </w:r>
          </w:p>
        </w:tc>
      </w:tr>
      <w:tr>
        <w:trPr>
          <w:trHeight w:val="176"/>
        </w:trPr>
        <w:tc>
          <w:tcPr>
            <w:tcW w:w="2740" w:type="dxa"/>
            <w:vAlign w:val="bottom"/>
          </w:tcPr>
          <w:p>
            <w:pPr>
              <w:spacing w:after="0"/>
              <w:rPr>
                <w:sz w:val="15"/>
                <w:szCs w:val="15"/>
                <w:color w:val="auto"/>
              </w:rPr>
            </w:pP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providing electric service in the Cheyenne, Wyoming area (doing business as Black Hills Energy). Also known as</w:t>
            </w:r>
          </w:p>
        </w:tc>
      </w:tr>
      <w:tr>
        <w:trPr>
          <w:trHeight w:val="229"/>
        </w:trPr>
        <w:tc>
          <w:tcPr>
            <w:tcW w:w="2740" w:type="dxa"/>
            <w:vAlign w:val="bottom"/>
          </w:tcPr>
          <w:p>
            <w:pPr>
              <w:spacing w:after="0"/>
              <w:rPr>
                <w:sz w:val="19"/>
                <w:szCs w:val="19"/>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Wyoming Electric.</w:t>
            </w:r>
          </w:p>
        </w:tc>
      </w:tr>
      <w:tr>
        <w:trPr>
          <w:trHeight w:val="175"/>
        </w:trPr>
        <w:tc>
          <w:tcPr>
            <w:tcW w:w="274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Choice Gas Program</w:t>
            </w: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Regulator-approved programs in Wyoming and Nebraska that allow certain utility customers to select their natural</w:t>
            </w:r>
          </w:p>
        </w:tc>
      </w:tr>
      <w:tr>
        <w:trPr>
          <w:trHeight w:val="176"/>
        </w:trPr>
        <w:tc>
          <w:tcPr>
            <w:tcW w:w="2740" w:type="dxa"/>
            <w:vAlign w:val="bottom"/>
            <w:shd w:val="clear" w:color="auto" w:fill="CEFFE7"/>
          </w:tcPr>
          <w:p>
            <w:pPr>
              <w:spacing w:after="0"/>
              <w:rPr>
                <w:sz w:val="15"/>
                <w:szCs w:val="15"/>
                <w:color w:val="auto"/>
              </w:rPr>
            </w:pP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gas commodity supplier, providing for the unbundling of the commodity service from the distribution delivery</w:t>
            </w:r>
          </w:p>
        </w:tc>
      </w:tr>
      <w:tr>
        <w:trPr>
          <w:trHeight w:val="229"/>
        </w:trPr>
        <w:tc>
          <w:tcPr>
            <w:tcW w:w="2740" w:type="dxa"/>
            <w:vAlign w:val="bottom"/>
            <w:shd w:val="clear" w:color="auto" w:fill="CEFFE7"/>
          </w:tcPr>
          <w:p>
            <w:pPr>
              <w:spacing w:after="0"/>
              <w:rPr>
                <w:sz w:val="19"/>
                <w:szCs w:val="19"/>
                <w:color w:val="auto"/>
              </w:rPr>
            </w:pP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service.</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City of Colorado Springs</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Colorado Springs, Colorado</w:t>
            </w:r>
          </w:p>
        </w:tc>
      </w:tr>
      <w:tr>
        <w:trPr>
          <w:trHeight w:val="230"/>
        </w:trPr>
        <w:tc>
          <w:tcPr>
            <w:tcW w:w="27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City of Gillette</w:t>
            </w: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Gillette, Wyoming</w:t>
            </w:r>
          </w:p>
        </w:tc>
      </w:tr>
      <w:tr>
        <w:trPr>
          <w:trHeight w:val="175"/>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Colorado Electric</w:t>
            </w: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Black Hills Colorado Electric, LLC, a direct, wholly-owned subsidiary of Black Hills</w:t>
            </w:r>
          </w:p>
        </w:tc>
      </w:tr>
      <w:tr>
        <w:trPr>
          <w:trHeight w:val="230"/>
        </w:trPr>
        <w:tc>
          <w:tcPr>
            <w:tcW w:w="2740" w:type="dxa"/>
            <w:vAlign w:val="bottom"/>
          </w:tcPr>
          <w:p>
            <w:pPr>
              <w:spacing w:after="0"/>
              <w:rPr>
                <w:sz w:val="19"/>
                <w:szCs w:val="19"/>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Utility Holdings, providing electric service to customers in Colorado (doing business as Black Hills Energy).</w:t>
            </w:r>
          </w:p>
        </w:tc>
      </w:tr>
      <w:tr>
        <w:trPr>
          <w:trHeight w:val="175"/>
        </w:trPr>
        <w:tc>
          <w:tcPr>
            <w:tcW w:w="274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Colorado Gas</w:t>
            </w: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Black Hills Colorado Gas, Inc., an indirect, wholly-owned subsidiary of Black Hills Utility Holdings, providing</w:t>
            </w:r>
          </w:p>
        </w:tc>
      </w:tr>
      <w:tr>
        <w:trPr>
          <w:trHeight w:val="230"/>
        </w:trPr>
        <w:tc>
          <w:tcPr>
            <w:tcW w:w="2740" w:type="dxa"/>
            <w:vAlign w:val="bottom"/>
            <w:shd w:val="clear" w:color="auto" w:fill="CEFFE7"/>
          </w:tcPr>
          <w:p>
            <w:pPr>
              <w:spacing w:after="0"/>
              <w:rPr>
                <w:sz w:val="19"/>
                <w:szCs w:val="19"/>
                <w:color w:val="auto"/>
              </w:rPr>
            </w:pP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natural gas services to customers in Colorado (doing business as Black Hills Energy).</w:t>
            </w:r>
          </w:p>
        </w:tc>
      </w:tr>
      <w:tr>
        <w:trPr>
          <w:trHeight w:val="175"/>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Indebtedness to</w:t>
            </w: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Any indebtedness outstanding at such time, divided by capital at such time. Capital being consolidated net worth</w:t>
            </w:r>
          </w:p>
        </w:tc>
      </w:tr>
      <w:tr>
        <w:trPr>
          <w:trHeight w:val="175"/>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Capitalization Ratio</w:t>
            </w: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(excluding noncontrolling interest) plus consolidated indebtedness (including letters of credit and certain guarantees</w:t>
            </w:r>
          </w:p>
        </w:tc>
      </w:tr>
      <w:tr>
        <w:trPr>
          <w:trHeight w:val="230"/>
        </w:trPr>
        <w:tc>
          <w:tcPr>
            <w:tcW w:w="2740" w:type="dxa"/>
            <w:vAlign w:val="bottom"/>
          </w:tcPr>
          <w:p>
            <w:pPr>
              <w:spacing w:after="0"/>
              <w:rPr>
                <w:sz w:val="19"/>
                <w:szCs w:val="19"/>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as defined within the current Revolving Credit Facility.</w:t>
            </w:r>
          </w:p>
        </w:tc>
      </w:tr>
      <w:tr>
        <w:trPr>
          <w:trHeight w:val="175"/>
        </w:trPr>
        <w:tc>
          <w:tcPr>
            <w:tcW w:w="274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Cooling Degree Day (CDD)</w:t>
            </w: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A cooling degree day is equivalent to each degree that the average of the high and low temperatures for a day is</w:t>
            </w:r>
          </w:p>
        </w:tc>
      </w:tr>
      <w:tr>
        <w:trPr>
          <w:trHeight w:val="175"/>
        </w:trPr>
        <w:tc>
          <w:tcPr>
            <w:tcW w:w="2740" w:type="dxa"/>
            <w:vAlign w:val="bottom"/>
            <w:shd w:val="clear" w:color="auto" w:fill="CEFFE7"/>
          </w:tcPr>
          <w:p>
            <w:pPr>
              <w:spacing w:after="0"/>
              <w:rPr>
                <w:sz w:val="15"/>
                <w:szCs w:val="15"/>
                <w:color w:val="auto"/>
              </w:rPr>
            </w:pP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above 65 degrees. The warmer the climate, the greater the number of cooling degree days. Cooling degree days are</w:t>
            </w:r>
          </w:p>
        </w:tc>
      </w:tr>
      <w:tr>
        <w:trPr>
          <w:trHeight w:val="175"/>
        </w:trPr>
        <w:tc>
          <w:tcPr>
            <w:tcW w:w="2740" w:type="dxa"/>
            <w:vAlign w:val="bottom"/>
            <w:shd w:val="clear" w:color="auto" w:fill="CEFFE7"/>
          </w:tcPr>
          <w:p>
            <w:pPr>
              <w:spacing w:after="0"/>
              <w:rPr>
                <w:sz w:val="15"/>
                <w:szCs w:val="15"/>
                <w:color w:val="auto"/>
              </w:rPr>
            </w:pP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used in the utility industry to measure the relative warmth and to compare relative temperatures between one</w:t>
            </w:r>
          </w:p>
        </w:tc>
      </w:tr>
      <w:tr>
        <w:trPr>
          <w:trHeight w:val="176"/>
        </w:trPr>
        <w:tc>
          <w:tcPr>
            <w:tcW w:w="2740" w:type="dxa"/>
            <w:vAlign w:val="bottom"/>
            <w:shd w:val="clear" w:color="auto" w:fill="CEFFE7"/>
          </w:tcPr>
          <w:p>
            <w:pPr>
              <w:spacing w:after="0"/>
              <w:rPr>
                <w:sz w:val="15"/>
                <w:szCs w:val="15"/>
                <w:color w:val="auto"/>
              </w:rPr>
            </w:pPr>
          </w:p>
        </w:tc>
        <w:tc>
          <w:tcPr>
            <w:tcW w:w="8500" w:type="dxa"/>
            <w:vAlign w:val="bottom"/>
            <w:shd w:val="clear" w:color="auto" w:fill="CEFFE7"/>
          </w:tcPr>
          <w:p>
            <w:pPr>
              <w:ind w:left="120"/>
              <w:spacing w:after="0" w:line="176" w:lineRule="exact"/>
              <w:rPr>
                <w:sz w:val="20"/>
                <w:szCs w:val="20"/>
                <w:color w:val="auto"/>
              </w:rPr>
            </w:pPr>
            <w:r>
              <w:rPr>
                <w:rFonts w:ascii="Times New Roman" w:cs="Times New Roman" w:eastAsia="Times New Roman" w:hAnsi="Times New Roman"/>
                <w:sz w:val="18"/>
                <w:szCs w:val="18"/>
                <w:color w:val="auto"/>
              </w:rPr>
              <w:t>geographic area and another. Normal degree days are based on the National Weather Service data for selected</w:t>
            </w:r>
          </w:p>
        </w:tc>
      </w:tr>
      <w:tr>
        <w:trPr>
          <w:trHeight w:val="229"/>
        </w:trPr>
        <w:tc>
          <w:tcPr>
            <w:tcW w:w="2740" w:type="dxa"/>
            <w:vAlign w:val="bottom"/>
            <w:shd w:val="clear" w:color="auto" w:fill="CEFFE7"/>
          </w:tcPr>
          <w:p>
            <w:pPr>
              <w:spacing w:after="0"/>
              <w:rPr>
                <w:sz w:val="19"/>
                <w:szCs w:val="19"/>
                <w:color w:val="auto"/>
              </w:rPr>
            </w:pPr>
          </w:p>
        </w:tc>
        <w:tc>
          <w:tcPr>
            <w:tcW w:w="85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locations.</w:t>
            </w:r>
          </w:p>
        </w:tc>
      </w:tr>
      <w:tr>
        <w:trPr>
          <w:trHeight w:val="175"/>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Corriedale</w:t>
            </w:r>
          </w:p>
        </w:tc>
        <w:tc>
          <w:tcPr>
            <w:tcW w:w="8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Wind project near Cheyenne, Wyoming, that will be a 52.5 MW wind farm jointly owned by South Dakota Electric</w:t>
            </w:r>
          </w:p>
        </w:tc>
      </w:tr>
      <w:tr>
        <w:trPr>
          <w:trHeight w:val="234"/>
        </w:trPr>
        <w:tc>
          <w:tcPr>
            <w:tcW w:w="2740" w:type="dxa"/>
            <w:vAlign w:val="bottom"/>
          </w:tcPr>
          <w:p>
            <w:pPr>
              <w:spacing w:after="0"/>
              <w:rPr>
                <w:sz w:val="20"/>
                <w:szCs w:val="20"/>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Wyoming Electric and will serve as the dedicated wind energy supply to the Renewable Ready program.</w:t>
            </w:r>
          </w:p>
        </w:tc>
      </w:tr>
      <w:tr>
        <w:trPr>
          <w:trHeight w:val="481"/>
        </w:trPr>
        <w:tc>
          <w:tcPr>
            <w:tcW w:w="2740" w:type="dxa"/>
            <w:vAlign w:val="bottom"/>
          </w:tcPr>
          <w:p>
            <w:pPr>
              <w:spacing w:after="0"/>
              <w:rPr>
                <w:sz w:val="24"/>
                <w:szCs w:val="24"/>
                <w:color w:val="auto"/>
              </w:rPr>
            </w:pPr>
          </w:p>
        </w:tc>
        <w:tc>
          <w:tcPr>
            <w:tcW w:w="85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4</w:t>
            </w:r>
          </w:p>
        </w:tc>
      </w:tr>
      <w:tr>
        <w:trPr>
          <w:trHeight w:val="358"/>
        </w:trPr>
        <w:tc>
          <w:tcPr>
            <w:tcW w:w="27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The official name for the 2019 novel coronavirus disease announced on February 11, 2020, by the World Health</w:t>
            </w:r>
          </w:p>
        </w:tc>
      </w:tr>
      <w:tr>
        <w:trPr>
          <w:trHeight w:val="230"/>
        </w:trPr>
        <w:tc>
          <w:tcPr>
            <w:tcW w:w="2460" w:type="dxa"/>
            <w:vAlign w:val="bottom"/>
            <w:shd w:val="clear" w:color="auto" w:fill="CEFFE7"/>
          </w:tcPr>
          <w:p>
            <w:pPr>
              <w:spacing w:after="0"/>
              <w:rPr>
                <w:sz w:val="19"/>
                <w:szCs w:val="19"/>
                <w:color w:val="auto"/>
              </w:rPr>
            </w:pP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Organization, that is causing a global pandemic</w:t>
            </w: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 Program</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 Paper Program</w:t>
            </w:r>
          </w:p>
        </w:tc>
      </w:tr>
      <w:tr>
        <w:trPr>
          <w:trHeight w:val="229"/>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CPUC</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Colorado Public Utilities Commission</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Credit Valuation Adjustment</w:t>
            </w:r>
          </w:p>
        </w:tc>
      </w:tr>
      <w:tr>
        <w:trPr>
          <w:trHeight w:val="229"/>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Dodd-Frank</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Dodd-Frank Wall Street Reform and Consumer Protection Act</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DRSPP</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Dividend Reinvestment and Stock Purchase Plan</w:t>
            </w:r>
          </w:p>
        </w:tc>
      </w:tr>
      <w:tr>
        <w:trPr>
          <w:trHeight w:val="229"/>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Dth</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Dekatherm. A unit of energy equal to 10 therms or approximately one million British thermal units (MMBtu)</w:t>
            </w: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United States Federal Energy Regulatory Commission</w:t>
            </w: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Fitch</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Fitch Ratings Inc.</w:t>
            </w:r>
          </w:p>
        </w:tc>
      </w:tr>
      <w:tr>
        <w:trPr>
          <w:trHeight w:val="230"/>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Heating Degree Day (HDD)</w:t>
            </w: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A heating degree day is equivalent to each degree that the average of the high and the low temperatures for a day is</w:t>
            </w:r>
          </w:p>
        </w:tc>
      </w:tr>
      <w:tr>
        <w:trPr>
          <w:trHeight w:val="176"/>
        </w:trPr>
        <w:tc>
          <w:tcPr>
            <w:tcW w:w="2460" w:type="dxa"/>
            <w:vAlign w:val="bottom"/>
          </w:tcPr>
          <w:p>
            <w:pPr>
              <w:spacing w:after="0"/>
              <w:rPr>
                <w:sz w:val="15"/>
                <w:szCs w:val="15"/>
                <w:color w:val="auto"/>
              </w:rPr>
            </w:pP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below 65 degrees. The colder the climate, the greater the number of heating degree days. Heating degree days are</w:t>
            </w:r>
          </w:p>
        </w:tc>
      </w:tr>
      <w:tr>
        <w:trPr>
          <w:trHeight w:val="175"/>
        </w:trPr>
        <w:tc>
          <w:tcPr>
            <w:tcW w:w="2460" w:type="dxa"/>
            <w:vAlign w:val="bottom"/>
          </w:tcPr>
          <w:p>
            <w:pPr>
              <w:spacing w:after="0"/>
              <w:rPr>
                <w:sz w:val="15"/>
                <w:szCs w:val="15"/>
                <w:color w:val="auto"/>
              </w:rPr>
            </w:pP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used in the utility industry to measure the relative coldness and to compare relative temperatures between one</w:t>
            </w:r>
          </w:p>
        </w:tc>
      </w:tr>
      <w:tr>
        <w:trPr>
          <w:trHeight w:val="176"/>
        </w:trPr>
        <w:tc>
          <w:tcPr>
            <w:tcW w:w="2460" w:type="dxa"/>
            <w:vAlign w:val="bottom"/>
          </w:tcPr>
          <w:p>
            <w:pPr>
              <w:spacing w:after="0"/>
              <w:rPr>
                <w:sz w:val="15"/>
                <w:szCs w:val="15"/>
                <w:color w:val="auto"/>
              </w:rPr>
            </w:pP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geographic area and another. Normal degree days are based on the National Weather Service data for selected</w:t>
            </w:r>
          </w:p>
        </w:tc>
      </w:tr>
      <w:tr>
        <w:trPr>
          <w:trHeight w:val="229"/>
        </w:trPr>
        <w:tc>
          <w:tcPr>
            <w:tcW w:w="246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locations.</w:t>
            </w:r>
          </w:p>
        </w:tc>
      </w:tr>
      <w:tr>
        <w:trPr>
          <w:trHeight w:val="176"/>
        </w:trPr>
        <w:tc>
          <w:tcPr>
            <w:tcW w:w="246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HomeServe</w:t>
            </w:r>
          </w:p>
        </w:tc>
        <w:tc>
          <w:tcPr>
            <w:tcW w:w="8780" w:type="dxa"/>
            <w:vAlign w:val="bottom"/>
            <w:shd w:val="clear" w:color="auto" w:fill="CEFFE7"/>
          </w:tcPr>
          <w:p>
            <w:pPr>
              <w:ind w:left="400"/>
              <w:spacing w:after="0" w:line="176" w:lineRule="exact"/>
              <w:rPr>
                <w:sz w:val="20"/>
                <w:szCs w:val="20"/>
                <w:color w:val="auto"/>
              </w:rPr>
            </w:pPr>
            <w:r>
              <w:rPr>
                <w:rFonts w:ascii="Times New Roman" w:cs="Times New Roman" w:eastAsia="Times New Roman" w:hAnsi="Times New Roman"/>
                <w:sz w:val="18"/>
                <w:szCs w:val="18"/>
                <w:color w:val="auto"/>
              </w:rPr>
              <w:t>Repair service plans offered to electric and natural gas residential customers that cover parts and labor to repair</w:t>
            </w:r>
          </w:p>
        </w:tc>
      </w:tr>
      <w:tr>
        <w:trPr>
          <w:trHeight w:val="229"/>
        </w:trPr>
        <w:tc>
          <w:tcPr>
            <w:tcW w:w="2460" w:type="dxa"/>
            <w:vAlign w:val="bottom"/>
            <w:shd w:val="clear" w:color="auto" w:fill="CEFFE7"/>
          </w:tcPr>
          <w:p>
            <w:pPr>
              <w:spacing w:after="0"/>
              <w:rPr>
                <w:sz w:val="19"/>
                <w:szCs w:val="19"/>
                <w:color w:val="auto"/>
              </w:rPr>
            </w:pP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electrical, gas, heating, cooling, and water systems.</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ICFR</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Internal Controls over Financial Reporting</w:t>
            </w:r>
          </w:p>
        </w:tc>
      </w:tr>
      <w:tr>
        <w:trPr>
          <w:trHeight w:val="175"/>
        </w:trPr>
        <w:tc>
          <w:tcPr>
            <w:tcW w:w="246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Iowa Gas</w:t>
            </w:r>
          </w:p>
        </w:tc>
        <w:tc>
          <w:tcPr>
            <w:tcW w:w="8780" w:type="dxa"/>
            <w:vAlign w:val="bottom"/>
            <w:shd w:val="clear" w:color="auto" w:fill="CEFFE7"/>
          </w:tcPr>
          <w:p>
            <w:pPr>
              <w:ind w:left="400"/>
              <w:spacing w:after="0" w:line="176" w:lineRule="exact"/>
              <w:rPr>
                <w:sz w:val="20"/>
                <w:szCs w:val="20"/>
                <w:color w:val="auto"/>
              </w:rPr>
            </w:pPr>
            <w:r>
              <w:rPr>
                <w:rFonts w:ascii="Times New Roman" w:cs="Times New Roman" w:eastAsia="Times New Roman" w:hAnsi="Times New Roman"/>
                <w:sz w:val="18"/>
                <w:szCs w:val="18"/>
                <w:color w:val="auto"/>
              </w:rPr>
              <w:t>Black Hills Iowa Gas Utility Company, LLC, a direct, wholly-owned subsidiary of Black Hills Utility Holdings,</w:t>
            </w:r>
          </w:p>
        </w:tc>
      </w:tr>
      <w:tr>
        <w:trPr>
          <w:trHeight w:val="230"/>
        </w:trPr>
        <w:tc>
          <w:tcPr>
            <w:tcW w:w="2460" w:type="dxa"/>
            <w:vAlign w:val="bottom"/>
            <w:shd w:val="clear" w:color="auto" w:fill="CEFFE7"/>
          </w:tcPr>
          <w:p>
            <w:pPr>
              <w:spacing w:after="0"/>
              <w:rPr>
                <w:sz w:val="19"/>
                <w:szCs w:val="19"/>
                <w:color w:val="auto"/>
              </w:rPr>
            </w:pP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providing natural gas services to customers in Iowa (doing business as Black Hills Energy).</w:t>
            </w: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IPP</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Independent Power Producer</w:t>
            </w:r>
          </w:p>
        </w:tc>
      </w:tr>
      <w:tr>
        <w:trPr>
          <w:trHeight w:val="229"/>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United States Internal Revenue Service</w:t>
            </w: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Kansas Gas</w:t>
            </w: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Black Hills Kansas Gas Utility Company, LLC, a direct, wholly-owned subsidiary of Black Hills Utility Holdings,</w:t>
            </w:r>
          </w:p>
        </w:tc>
      </w:tr>
      <w:tr>
        <w:trPr>
          <w:trHeight w:val="229"/>
        </w:trPr>
        <w:tc>
          <w:tcPr>
            <w:tcW w:w="246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providing natural gas services to customers in Kansas (doing business as Black Hills Energy).</w:t>
            </w:r>
          </w:p>
        </w:tc>
      </w:tr>
      <w:tr>
        <w:trPr>
          <w:trHeight w:val="230"/>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Moody’s Investors Service, Inc.</w:t>
            </w:r>
          </w:p>
        </w:tc>
      </w:tr>
      <w:tr>
        <w:trPr>
          <w:trHeight w:val="230"/>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MW</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Megawatt</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MWh</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Megawatt-hour</w:t>
            </w:r>
          </w:p>
        </w:tc>
      </w:tr>
      <w:tr>
        <w:trPr>
          <w:trHeight w:val="175"/>
        </w:trPr>
        <w:tc>
          <w:tcPr>
            <w:tcW w:w="246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Nebraska Gas</w:t>
            </w:r>
          </w:p>
        </w:tc>
        <w:tc>
          <w:tcPr>
            <w:tcW w:w="8780" w:type="dxa"/>
            <w:vAlign w:val="bottom"/>
            <w:shd w:val="clear" w:color="auto" w:fill="CEFFE7"/>
          </w:tcPr>
          <w:p>
            <w:pPr>
              <w:ind w:left="400"/>
              <w:spacing w:after="0" w:line="176" w:lineRule="exact"/>
              <w:rPr>
                <w:sz w:val="20"/>
                <w:szCs w:val="20"/>
                <w:color w:val="auto"/>
              </w:rPr>
            </w:pPr>
            <w:r>
              <w:rPr>
                <w:rFonts w:ascii="Times New Roman" w:cs="Times New Roman" w:eastAsia="Times New Roman" w:hAnsi="Times New Roman"/>
                <w:sz w:val="18"/>
                <w:szCs w:val="18"/>
                <w:color w:val="auto"/>
              </w:rPr>
              <w:t>Black Hills Nebraska Gas, LLC, an indirect, wholly-owned subsidiary of Black Hills Utility Holdings, providing</w:t>
            </w:r>
          </w:p>
        </w:tc>
      </w:tr>
      <w:tr>
        <w:trPr>
          <w:trHeight w:val="229"/>
        </w:trPr>
        <w:tc>
          <w:tcPr>
            <w:tcW w:w="2460" w:type="dxa"/>
            <w:vAlign w:val="bottom"/>
            <w:shd w:val="clear" w:color="auto" w:fill="CEFFE7"/>
          </w:tcPr>
          <w:p>
            <w:pPr>
              <w:spacing w:after="0"/>
              <w:rPr>
                <w:sz w:val="19"/>
                <w:szCs w:val="19"/>
                <w:color w:val="auto"/>
              </w:rPr>
            </w:pP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natural gas services to customers in Nebraska (doing business as Black Hills Energy).</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NPSC</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Nebraska Public Service Commission</w:t>
            </w:r>
          </w:p>
        </w:tc>
      </w:tr>
      <w:tr>
        <w:trPr>
          <w:trHeight w:val="230"/>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OCA</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Office of Consumer Advocate</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Office of Consumer Counsel</w:t>
            </w:r>
          </w:p>
        </w:tc>
      </w:tr>
      <w:tr>
        <w:trPr>
          <w:trHeight w:val="229"/>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Other Comprehensive Income</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PPA</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230"/>
        </w:trPr>
        <w:tc>
          <w:tcPr>
            <w:tcW w:w="2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PRPA</w:t>
            </w: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Platte River Power Authority</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PSA</w:t>
            </w: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Power Sales Agreement</w:t>
            </w:r>
          </w:p>
        </w:tc>
      </w:tr>
      <w:tr>
        <w:trPr>
          <w:trHeight w:val="175"/>
        </w:trPr>
        <w:tc>
          <w:tcPr>
            <w:tcW w:w="246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Pueblo Airport Generation</w:t>
            </w:r>
          </w:p>
        </w:tc>
        <w:tc>
          <w:tcPr>
            <w:tcW w:w="8780" w:type="dxa"/>
            <w:vAlign w:val="bottom"/>
            <w:shd w:val="clear" w:color="auto" w:fill="CEFFE7"/>
          </w:tcPr>
          <w:p>
            <w:pPr>
              <w:ind w:left="400"/>
              <w:spacing w:after="0" w:line="176" w:lineRule="exact"/>
              <w:rPr>
                <w:sz w:val="20"/>
                <w:szCs w:val="20"/>
                <w:color w:val="auto"/>
              </w:rPr>
            </w:pPr>
            <w:r>
              <w:rPr>
                <w:rFonts w:ascii="Times New Roman" w:cs="Times New Roman" w:eastAsia="Times New Roman" w:hAnsi="Times New Roman"/>
                <w:sz w:val="18"/>
                <w:szCs w:val="18"/>
                <w:color w:val="auto"/>
              </w:rPr>
              <w:t>420 MW combined cycle gas-fired power generation plants jointly owned by Colorado Electric (220 MW) and</w:t>
            </w:r>
          </w:p>
        </w:tc>
      </w:tr>
      <w:tr>
        <w:trPr>
          <w:trHeight w:val="175"/>
        </w:trPr>
        <w:tc>
          <w:tcPr>
            <w:tcW w:w="2460" w:type="dxa"/>
            <w:vAlign w:val="bottom"/>
            <w:shd w:val="clear" w:color="auto" w:fill="CEFFE7"/>
          </w:tcPr>
          <w:p>
            <w:pPr>
              <w:spacing w:after="0"/>
              <w:rPr>
                <w:sz w:val="15"/>
                <w:szCs w:val="15"/>
                <w:color w:val="auto"/>
              </w:rPr>
            </w:pPr>
          </w:p>
        </w:tc>
        <w:tc>
          <w:tcPr>
            <w:tcW w:w="8780" w:type="dxa"/>
            <w:vAlign w:val="bottom"/>
            <w:shd w:val="clear" w:color="auto" w:fill="CEFFE7"/>
          </w:tcPr>
          <w:p>
            <w:pPr>
              <w:ind w:left="400"/>
              <w:spacing w:after="0" w:line="176" w:lineRule="exact"/>
              <w:rPr>
                <w:sz w:val="20"/>
                <w:szCs w:val="20"/>
                <w:color w:val="auto"/>
              </w:rPr>
            </w:pPr>
            <w:r>
              <w:rPr>
                <w:rFonts w:ascii="Times New Roman" w:cs="Times New Roman" w:eastAsia="Times New Roman" w:hAnsi="Times New Roman"/>
                <w:sz w:val="18"/>
                <w:szCs w:val="18"/>
                <w:color w:val="auto"/>
              </w:rPr>
              <w:t>Black Hills Colorado IPP (200 MW). Black Hills Colorado IPP owns and operates this facility. The plants</w:t>
            </w:r>
          </w:p>
        </w:tc>
      </w:tr>
      <w:tr>
        <w:trPr>
          <w:trHeight w:val="230"/>
        </w:trPr>
        <w:tc>
          <w:tcPr>
            <w:tcW w:w="2460" w:type="dxa"/>
            <w:vAlign w:val="bottom"/>
            <w:shd w:val="clear" w:color="auto" w:fill="CEFFE7"/>
          </w:tcPr>
          <w:p>
            <w:pPr>
              <w:spacing w:after="0"/>
              <w:rPr>
                <w:sz w:val="19"/>
                <w:szCs w:val="19"/>
                <w:color w:val="auto"/>
              </w:rPr>
            </w:pP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commenced operation on January 1, 2012.</w:t>
            </w: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Renewable Advantage</w:t>
            </w: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A 200 MW solar facility project to be constructed in Pueblo County, Colorado. The project aims to lower customer</w:t>
            </w:r>
          </w:p>
        </w:tc>
      </w:tr>
      <w:tr>
        <w:trPr>
          <w:trHeight w:val="175"/>
        </w:trPr>
        <w:tc>
          <w:tcPr>
            <w:tcW w:w="2460" w:type="dxa"/>
            <w:vAlign w:val="bottom"/>
          </w:tcPr>
          <w:p>
            <w:pPr>
              <w:spacing w:after="0"/>
              <w:rPr>
                <w:sz w:val="15"/>
                <w:szCs w:val="15"/>
                <w:color w:val="auto"/>
              </w:rPr>
            </w:pP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energy costs and provide economic and environmental benefits to Colorado Electric’s customers and communities.</w:t>
            </w:r>
          </w:p>
        </w:tc>
      </w:tr>
      <w:tr>
        <w:trPr>
          <w:trHeight w:val="175"/>
        </w:trPr>
        <w:tc>
          <w:tcPr>
            <w:tcW w:w="2460" w:type="dxa"/>
            <w:vAlign w:val="bottom"/>
          </w:tcPr>
          <w:p>
            <w:pPr>
              <w:spacing w:after="0"/>
              <w:rPr>
                <w:sz w:val="15"/>
                <w:szCs w:val="15"/>
                <w:color w:val="auto"/>
              </w:rPr>
            </w:pP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This project, which was approved by the CPUC in September 2020, will be owned by a third-party renewable</w:t>
            </w:r>
          </w:p>
        </w:tc>
      </w:tr>
      <w:tr>
        <w:trPr>
          <w:trHeight w:val="176"/>
        </w:trPr>
        <w:tc>
          <w:tcPr>
            <w:tcW w:w="2460" w:type="dxa"/>
            <w:vAlign w:val="bottom"/>
          </w:tcPr>
          <w:p>
            <w:pPr>
              <w:spacing w:after="0"/>
              <w:rPr>
                <w:sz w:val="15"/>
                <w:szCs w:val="15"/>
                <w:color w:val="auto"/>
              </w:rPr>
            </w:pPr>
          </w:p>
        </w:tc>
        <w:tc>
          <w:tcPr>
            <w:tcW w:w="87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energy developer with Colorado Electric purchasing all of the energy generated at the facility under the terms of a</w:t>
            </w:r>
          </w:p>
        </w:tc>
      </w:tr>
      <w:tr>
        <w:trPr>
          <w:trHeight w:val="229"/>
        </w:trPr>
        <w:tc>
          <w:tcPr>
            <w:tcW w:w="246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15-year PPA. The project is expected to be placed in service in 2023.</w:t>
            </w:r>
          </w:p>
        </w:tc>
      </w:tr>
      <w:tr>
        <w:trPr>
          <w:trHeight w:val="175"/>
        </w:trPr>
        <w:tc>
          <w:tcPr>
            <w:tcW w:w="246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Renewable Ready</w:t>
            </w:r>
          </w:p>
        </w:tc>
        <w:tc>
          <w:tcPr>
            <w:tcW w:w="8780" w:type="dxa"/>
            <w:vAlign w:val="bottom"/>
            <w:shd w:val="clear" w:color="auto" w:fill="CEFFE7"/>
          </w:tcPr>
          <w:p>
            <w:pPr>
              <w:ind w:left="400"/>
              <w:spacing w:after="0" w:line="176" w:lineRule="exact"/>
              <w:rPr>
                <w:sz w:val="20"/>
                <w:szCs w:val="20"/>
                <w:color w:val="auto"/>
              </w:rPr>
            </w:pPr>
            <w:r>
              <w:rPr>
                <w:rFonts w:ascii="Times New Roman" w:cs="Times New Roman" w:eastAsia="Times New Roman" w:hAnsi="Times New Roman"/>
                <w:sz w:val="18"/>
                <w:szCs w:val="18"/>
                <w:color w:val="auto"/>
              </w:rPr>
              <w:t>Voluntary renewable energy subscription program for large commercial, industrial and governmental agency</w:t>
            </w:r>
          </w:p>
        </w:tc>
      </w:tr>
      <w:tr>
        <w:trPr>
          <w:trHeight w:val="230"/>
        </w:trPr>
        <w:tc>
          <w:tcPr>
            <w:tcW w:w="2460" w:type="dxa"/>
            <w:vAlign w:val="bottom"/>
            <w:shd w:val="clear" w:color="auto" w:fill="CEFFE7"/>
          </w:tcPr>
          <w:p>
            <w:pPr>
              <w:spacing w:after="0"/>
              <w:rPr>
                <w:sz w:val="19"/>
                <w:szCs w:val="19"/>
                <w:color w:val="auto"/>
              </w:rPr>
            </w:pPr>
          </w:p>
        </w:tc>
        <w:tc>
          <w:tcPr>
            <w:tcW w:w="8780" w:type="dxa"/>
            <w:vAlign w:val="bottom"/>
            <w:shd w:val="clear" w:color="auto" w:fill="CEFFE7"/>
          </w:tcPr>
          <w:p>
            <w:pPr>
              <w:ind w:left="400"/>
              <w:spacing w:after="0"/>
              <w:rPr>
                <w:sz w:val="20"/>
                <w:szCs w:val="20"/>
                <w:color w:val="auto"/>
              </w:rPr>
            </w:pPr>
            <w:r>
              <w:rPr>
                <w:rFonts w:ascii="Times New Roman" w:cs="Times New Roman" w:eastAsia="Times New Roman" w:hAnsi="Times New Roman"/>
                <w:sz w:val="18"/>
                <w:szCs w:val="18"/>
                <w:color w:val="auto"/>
              </w:rPr>
              <w:t>customers in South Dakota and Wyoming.</w:t>
            </w:r>
          </w:p>
        </w:tc>
      </w:tr>
      <w:tr>
        <w:trPr>
          <w:trHeight w:val="486"/>
        </w:trPr>
        <w:tc>
          <w:tcPr>
            <w:tcW w:w="246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5</w:t>
            </w:r>
          </w:p>
        </w:tc>
      </w:tr>
      <w:tr>
        <w:trPr>
          <w:trHeight w:val="358"/>
        </w:trPr>
        <w:tc>
          <w:tcPr>
            <w:tcW w:w="246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Our $750 million credit facility used to fund working capital needs, letters of credit and other corporate purposes,</w:t>
            </w:r>
          </w:p>
        </w:tc>
      </w:tr>
      <w:tr>
        <w:trPr>
          <w:trHeight w:val="230"/>
        </w:trPr>
        <w:tc>
          <w:tcPr>
            <w:tcW w:w="2480" w:type="dxa"/>
            <w:vAlign w:val="bottom"/>
          </w:tcPr>
          <w:p>
            <w:pPr>
              <w:spacing w:after="0"/>
              <w:rPr>
                <w:sz w:val="19"/>
                <w:szCs w:val="19"/>
                <w:color w:val="auto"/>
              </w:rPr>
            </w:pP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which was amended and restated on July 30, 2018, and now terminates on July 30, 2023.</w:t>
            </w:r>
          </w:p>
        </w:tc>
      </w:tr>
      <w:tr>
        <w:trPr>
          <w:trHeight w:val="229"/>
        </w:trPr>
        <w:tc>
          <w:tcPr>
            <w:tcW w:w="24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SDPUC</w:t>
            </w:r>
          </w:p>
        </w:tc>
        <w:tc>
          <w:tcPr>
            <w:tcW w:w="87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South Dakota Public Utilities Commission</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175"/>
        </w:trPr>
        <w:tc>
          <w:tcPr>
            <w:tcW w:w="248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Service Guard Comfort Plan</w:t>
            </w:r>
          </w:p>
        </w:tc>
        <w:tc>
          <w:tcPr>
            <w:tcW w:w="8760" w:type="dxa"/>
            <w:vAlign w:val="bottom"/>
            <w:shd w:val="clear" w:color="auto" w:fill="CEFFE7"/>
          </w:tcPr>
          <w:p>
            <w:pPr>
              <w:ind w:left="380"/>
              <w:spacing w:after="0" w:line="176" w:lineRule="exact"/>
              <w:rPr>
                <w:sz w:val="20"/>
                <w:szCs w:val="20"/>
                <w:color w:val="auto"/>
              </w:rPr>
            </w:pPr>
            <w:r>
              <w:rPr>
                <w:rFonts w:ascii="Times New Roman" w:cs="Times New Roman" w:eastAsia="Times New Roman" w:hAnsi="Times New Roman"/>
                <w:sz w:val="18"/>
                <w:szCs w:val="18"/>
                <w:color w:val="auto"/>
              </w:rPr>
              <w:t>New plan that consolidated Service Guard and Customer Appliance Protection Plan (CAPP) and provides similar</w:t>
            </w:r>
          </w:p>
        </w:tc>
      </w:tr>
      <w:tr>
        <w:trPr>
          <w:trHeight w:val="229"/>
        </w:trPr>
        <w:tc>
          <w:tcPr>
            <w:tcW w:w="2480" w:type="dxa"/>
            <w:vAlign w:val="bottom"/>
            <w:shd w:val="clear" w:color="auto" w:fill="CEFFE7"/>
          </w:tcPr>
          <w:p>
            <w:pPr>
              <w:spacing w:after="0"/>
              <w:rPr>
                <w:sz w:val="19"/>
                <w:szCs w:val="19"/>
                <w:color w:val="auto"/>
              </w:rPr>
            </w:pPr>
          </w:p>
        </w:tc>
        <w:tc>
          <w:tcPr>
            <w:tcW w:w="87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home appliance repair services through on-going monthly service agreements to residential utility customers.</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Standard and Poor’s, a division of The McGraw-Hill Companies, Inc.</w:t>
            </w:r>
          </w:p>
        </w:tc>
      </w:tr>
      <w:tr>
        <w:trPr>
          <w:trHeight w:val="175"/>
        </w:trPr>
        <w:tc>
          <w:tcPr>
            <w:tcW w:w="248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South Dakota Electric</w:t>
            </w:r>
          </w:p>
        </w:tc>
        <w:tc>
          <w:tcPr>
            <w:tcW w:w="8760" w:type="dxa"/>
            <w:vAlign w:val="bottom"/>
            <w:shd w:val="clear" w:color="auto" w:fill="CEFFE7"/>
          </w:tcPr>
          <w:p>
            <w:pPr>
              <w:ind w:left="380"/>
              <w:spacing w:after="0" w:line="176" w:lineRule="exact"/>
              <w:rPr>
                <w:sz w:val="20"/>
                <w:szCs w:val="20"/>
                <w:color w:val="auto"/>
              </w:rPr>
            </w:pPr>
            <w:r>
              <w:rPr>
                <w:rFonts w:ascii="Times New Roman" w:cs="Times New Roman" w:eastAsia="Times New Roman" w:hAnsi="Times New Roman"/>
                <w:sz w:val="18"/>
                <w:szCs w:val="18"/>
                <w:color w:val="auto"/>
              </w:rPr>
              <w:t>Black Hills Power, Inc., a direct, wholly-owned subsidiary of Black Hills Corporation, providing electric service to</w:t>
            </w:r>
          </w:p>
        </w:tc>
      </w:tr>
      <w:tr>
        <w:trPr>
          <w:trHeight w:val="230"/>
        </w:trPr>
        <w:tc>
          <w:tcPr>
            <w:tcW w:w="2480" w:type="dxa"/>
            <w:vAlign w:val="bottom"/>
            <w:shd w:val="clear" w:color="auto" w:fill="CEFFE7"/>
          </w:tcPr>
          <w:p>
            <w:pPr>
              <w:spacing w:after="0"/>
              <w:rPr>
                <w:sz w:val="19"/>
                <w:szCs w:val="19"/>
                <w:color w:val="auto"/>
              </w:rPr>
            </w:pPr>
          </w:p>
        </w:tc>
        <w:tc>
          <w:tcPr>
            <w:tcW w:w="87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customers in Montana, South Dakota and Wyoming (doing business as Black Hills Energy).</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SSIR</w:t>
            </w: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System Safety and Integrity Rider</w:t>
            </w:r>
          </w:p>
        </w:tc>
      </w:tr>
      <w:tr>
        <w:trPr>
          <w:trHeight w:val="230"/>
        </w:trPr>
        <w:tc>
          <w:tcPr>
            <w:tcW w:w="24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TCJA</w:t>
            </w:r>
          </w:p>
        </w:tc>
        <w:tc>
          <w:tcPr>
            <w:tcW w:w="87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Tax Cuts and Jobs Act</w:t>
            </w:r>
          </w:p>
        </w:tc>
      </w:tr>
      <w:tr>
        <w:trPr>
          <w:trHeight w:val="175"/>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Tech Services</w:t>
            </w:r>
          </w:p>
        </w:tc>
        <w:tc>
          <w:tcPr>
            <w:tcW w:w="87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Non-regulated product lines within Black Hills Corporation that 1) provide electrical system construction services</w:t>
            </w:r>
          </w:p>
        </w:tc>
      </w:tr>
      <w:tr>
        <w:trPr>
          <w:trHeight w:val="176"/>
        </w:trPr>
        <w:tc>
          <w:tcPr>
            <w:tcW w:w="2480" w:type="dxa"/>
            <w:vAlign w:val="bottom"/>
          </w:tcPr>
          <w:p>
            <w:pPr>
              <w:spacing w:after="0"/>
              <w:rPr>
                <w:sz w:val="15"/>
                <w:szCs w:val="15"/>
                <w:color w:val="auto"/>
              </w:rPr>
            </w:pPr>
          </w:p>
        </w:tc>
        <w:tc>
          <w:tcPr>
            <w:tcW w:w="87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to large industrial customers of our electric utilities and 2) serve gas transportation customers throughout its service</w:t>
            </w:r>
          </w:p>
        </w:tc>
      </w:tr>
      <w:tr>
        <w:trPr>
          <w:trHeight w:val="175"/>
        </w:trPr>
        <w:tc>
          <w:tcPr>
            <w:tcW w:w="2480" w:type="dxa"/>
            <w:vAlign w:val="bottom"/>
          </w:tcPr>
          <w:p>
            <w:pPr>
              <w:spacing w:after="0"/>
              <w:rPr>
                <w:sz w:val="15"/>
                <w:szCs w:val="15"/>
                <w:color w:val="auto"/>
              </w:rPr>
            </w:pPr>
          </w:p>
        </w:tc>
        <w:tc>
          <w:tcPr>
            <w:tcW w:w="87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territory by constructing and maintaining customer-owner gas infrastructure facilities, typically through one-time</w:t>
            </w:r>
          </w:p>
        </w:tc>
      </w:tr>
      <w:tr>
        <w:trPr>
          <w:trHeight w:val="230"/>
        </w:trPr>
        <w:tc>
          <w:tcPr>
            <w:tcW w:w="2480" w:type="dxa"/>
            <w:vAlign w:val="bottom"/>
          </w:tcPr>
          <w:p>
            <w:pPr>
              <w:spacing w:after="0"/>
              <w:rPr>
                <w:sz w:val="19"/>
                <w:szCs w:val="19"/>
                <w:color w:val="auto"/>
              </w:rPr>
            </w:pP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contracts.</w:t>
            </w:r>
          </w:p>
        </w:tc>
      </w:tr>
      <w:tr>
        <w:trPr>
          <w:trHeight w:val="229"/>
        </w:trPr>
        <w:tc>
          <w:tcPr>
            <w:tcW w:w="24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87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Black Hills’ Electric and Gas Utilities</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 Capacity Factor</w:t>
            </w: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Measures the amount of electricity a wind turbine produces in a given time period relative to its maximum potential</w:t>
            </w:r>
          </w:p>
        </w:tc>
      </w:tr>
      <w:tr>
        <w:trPr>
          <w:trHeight w:val="230"/>
        </w:trPr>
        <w:tc>
          <w:tcPr>
            <w:tcW w:w="24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WPSC</w:t>
            </w:r>
          </w:p>
        </w:tc>
        <w:tc>
          <w:tcPr>
            <w:tcW w:w="87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Wyoming Public Service Commission</w:t>
            </w:r>
          </w:p>
        </w:tc>
      </w:tr>
      <w:tr>
        <w:trPr>
          <w:trHeight w:val="175"/>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WRDC</w:t>
            </w:r>
          </w:p>
        </w:tc>
        <w:tc>
          <w:tcPr>
            <w:tcW w:w="87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Wyodak Resources Development Corporation, a direct, wholly-owned subsidiary of Black Hills Non-regulated</w:t>
            </w:r>
          </w:p>
        </w:tc>
      </w:tr>
      <w:tr>
        <w:trPr>
          <w:trHeight w:val="230"/>
        </w:trPr>
        <w:tc>
          <w:tcPr>
            <w:tcW w:w="2480" w:type="dxa"/>
            <w:vAlign w:val="bottom"/>
          </w:tcPr>
          <w:p>
            <w:pPr>
              <w:spacing w:after="0"/>
              <w:rPr>
                <w:sz w:val="19"/>
                <w:szCs w:val="19"/>
                <w:color w:val="auto"/>
              </w:rPr>
            </w:pP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Holdings (doing business as Black Hills Energy)</w:t>
            </w:r>
          </w:p>
        </w:tc>
      </w:tr>
      <w:tr>
        <w:trPr>
          <w:trHeight w:val="175"/>
        </w:trPr>
        <w:tc>
          <w:tcPr>
            <w:tcW w:w="248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Wygen I</w:t>
            </w:r>
          </w:p>
        </w:tc>
        <w:tc>
          <w:tcPr>
            <w:tcW w:w="8760" w:type="dxa"/>
            <w:vAlign w:val="bottom"/>
            <w:shd w:val="clear" w:color="auto" w:fill="CEFFE7"/>
          </w:tcPr>
          <w:p>
            <w:pPr>
              <w:ind w:left="380"/>
              <w:spacing w:after="0" w:line="176" w:lineRule="exact"/>
              <w:rPr>
                <w:sz w:val="20"/>
                <w:szCs w:val="20"/>
                <w:color w:val="auto"/>
              </w:rPr>
            </w:pPr>
            <w:r>
              <w:rPr>
                <w:rFonts w:ascii="Times New Roman" w:cs="Times New Roman" w:eastAsia="Times New Roman" w:hAnsi="Times New Roman"/>
                <w:sz w:val="18"/>
                <w:szCs w:val="18"/>
                <w:color w:val="auto"/>
              </w:rPr>
              <w:t>A mine-mouth, coal-fired power plant with a total capacity of 90 MW located at our Gillette, Wyoming energy</w:t>
            </w:r>
          </w:p>
        </w:tc>
      </w:tr>
      <w:tr>
        <w:trPr>
          <w:trHeight w:val="176"/>
        </w:trPr>
        <w:tc>
          <w:tcPr>
            <w:tcW w:w="2480" w:type="dxa"/>
            <w:vAlign w:val="bottom"/>
            <w:shd w:val="clear" w:color="auto" w:fill="CEFFE7"/>
          </w:tcPr>
          <w:p>
            <w:pPr>
              <w:spacing w:after="0"/>
              <w:rPr>
                <w:sz w:val="15"/>
                <w:szCs w:val="15"/>
                <w:color w:val="auto"/>
              </w:rPr>
            </w:pPr>
          </w:p>
        </w:tc>
        <w:tc>
          <w:tcPr>
            <w:tcW w:w="8760" w:type="dxa"/>
            <w:vAlign w:val="bottom"/>
            <w:shd w:val="clear" w:color="auto" w:fill="CEFFE7"/>
          </w:tcPr>
          <w:p>
            <w:pPr>
              <w:ind w:left="380"/>
              <w:spacing w:after="0" w:line="176" w:lineRule="exact"/>
              <w:rPr>
                <w:sz w:val="20"/>
                <w:szCs w:val="20"/>
                <w:color w:val="auto"/>
              </w:rPr>
            </w:pPr>
            <w:r>
              <w:rPr>
                <w:rFonts w:ascii="Times New Roman" w:cs="Times New Roman" w:eastAsia="Times New Roman" w:hAnsi="Times New Roman"/>
                <w:sz w:val="18"/>
                <w:szCs w:val="18"/>
                <w:color w:val="auto"/>
              </w:rPr>
              <w:t>complex. We own 76.5% of the plant and Municipal Energy Agency of Nebraska (MEAN) owns the remaining</w:t>
            </w:r>
          </w:p>
        </w:tc>
      </w:tr>
      <w:tr>
        <w:trPr>
          <w:trHeight w:val="229"/>
        </w:trPr>
        <w:tc>
          <w:tcPr>
            <w:tcW w:w="2480" w:type="dxa"/>
            <w:vAlign w:val="bottom"/>
            <w:shd w:val="clear" w:color="auto" w:fill="CEFFE7"/>
          </w:tcPr>
          <w:p>
            <w:pPr>
              <w:spacing w:after="0"/>
              <w:rPr>
                <w:sz w:val="19"/>
                <w:szCs w:val="19"/>
                <w:color w:val="auto"/>
              </w:rPr>
            </w:pPr>
          </w:p>
        </w:tc>
        <w:tc>
          <w:tcPr>
            <w:tcW w:w="87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23.5%.</w:t>
            </w:r>
          </w:p>
        </w:tc>
      </w:tr>
      <w:tr>
        <w:trPr>
          <w:trHeight w:val="176"/>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Wyodak Plant</w:t>
            </w:r>
          </w:p>
        </w:tc>
        <w:tc>
          <w:tcPr>
            <w:tcW w:w="87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Wyodak, a 362 MW mine-mouth coal-fired plant in Gillette, Wyoming, owned 80% by PacifiCorp and 20% by</w:t>
            </w:r>
          </w:p>
        </w:tc>
      </w:tr>
      <w:tr>
        <w:trPr>
          <w:trHeight w:val="229"/>
        </w:trPr>
        <w:tc>
          <w:tcPr>
            <w:tcW w:w="2480" w:type="dxa"/>
            <w:vAlign w:val="bottom"/>
          </w:tcPr>
          <w:p>
            <w:pPr>
              <w:spacing w:after="0"/>
              <w:rPr>
                <w:sz w:val="19"/>
                <w:szCs w:val="19"/>
                <w:color w:val="auto"/>
              </w:rPr>
            </w:pP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South Dakota Electric. Our WRDC mine supplies all of the fuel for the plant.</w:t>
            </w:r>
          </w:p>
        </w:tc>
      </w:tr>
      <w:tr>
        <w:trPr>
          <w:trHeight w:val="176"/>
        </w:trPr>
        <w:tc>
          <w:tcPr>
            <w:tcW w:w="248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Wyoming Electric</w:t>
            </w:r>
          </w:p>
        </w:tc>
        <w:tc>
          <w:tcPr>
            <w:tcW w:w="8760" w:type="dxa"/>
            <w:vAlign w:val="bottom"/>
            <w:shd w:val="clear" w:color="auto" w:fill="CEFFE7"/>
          </w:tcPr>
          <w:p>
            <w:pPr>
              <w:ind w:left="380"/>
              <w:spacing w:after="0" w:line="176" w:lineRule="exact"/>
              <w:rPr>
                <w:sz w:val="20"/>
                <w:szCs w:val="20"/>
                <w:color w:val="auto"/>
              </w:rPr>
            </w:pPr>
            <w:r>
              <w:rPr>
                <w:rFonts w:ascii="Times New Roman" w:cs="Times New Roman" w:eastAsia="Times New Roman" w:hAnsi="Times New Roman"/>
                <w:sz w:val="18"/>
                <w:szCs w:val="18"/>
                <w:color w:val="auto"/>
              </w:rPr>
              <w:t>Cheyenne Light, Fuel and Power Company, a direct, wholly-owned subsidiary of Black Hills Corporation,</w:t>
            </w:r>
          </w:p>
        </w:tc>
      </w:tr>
      <w:tr>
        <w:trPr>
          <w:trHeight w:val="229"/>
        </w:trPr>
        <w:tc>
          <w:tcPr>
            <w:tcW w:w="2480" w:type="dxa"/>
            <w:vAlign w:val="bottom"/>
            <w:shd w:val="clear" w:color="auto" w:fill="CEFFE7"/>
          </w:tcPr>
          <w:p>
            <w:pPr>
              <w:spacing w:after="0"/>
              <w:rPr>
                <w:sz w:val="19"/>
                <w:szCs w:val="19"/>
                <w:color w:val="auto"/>
              </w:rPr>
            </w:pPr>
          </w:p>
        </w:tc>
        <w:tc>
          <w:tcPr>
            <w:tcW w:w="87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providing electric service to customers in the Cheyenne, Wyoming area (doing business as Black Hills Energy).</w:t>
            </w:r>
          </w:p>
        </w:tc>
      </w:tr>
      <w:tr>
        <w:trPr>
          <w:trHeight w:val="176"/>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Wyoming Gas</w:t>
            </w:r>
          </w:p>
        </w:tc>
        <w:tc>
          <w:tcPr>
            <w:tcW w:w="87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Black Hills Wyoming Gas, LLC, an indirect and wholly-owned subsidiary of Black Hills Utility Holdings,</w:t>
            </w:r>
          </w:p>
        </w:tc>
      </w:tr>
      <w:tr>
        <w:trPr>
          <w:trHeight w:val="234"/>
        </w:trPr>
        <w:tc>
          <w:tcPr>
            <w:tcW w:w="2480" w:type="dxa"/>
            <w:vAlign w:val="bottom"/>
          </w:tcPr>
          <w:p>
            <w:pPr>
              <w:spacing w:after="0"/>
              <w:rPr>
                <w:sz w:val="20"/>
                <w:szCs w:val="20"/>
                <w:color w:val="auto"/>
              </w:rPr>
            </w:pP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providing natural gas services to customers in Wyoming (doing business as Black Hills Energy).</w:t>
            </w:r>
          </w:p>
        </w:tc>
      </w:tr>
      <w:tr>
        <w:trPr>
          <w:trHeight w:val="481"/>
        </w:trPr>
        <w:tc>
          <w:tcPr>
            <w:tcW w:w="2480" w:type="dxa"/>
            <w:vAlign w:val="bottom"/>
          </w:tcPr>
          <w:p>
            <w:pPr>
              <w:spacing w:after="0"/>
              <w:rPr>
                <w:sz w:val="24"/>
                <w:szCs w:val="24"/>
                <w:color w:val="auto"/>
              </w:rPr>
            </w:pPr>
          </w:p>
        </w:tc>
        <w:tc>
          <w:tcPr>
            <w:tcW w:w="876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6</w:t>
            </w:r>
          </w:p>
        </w:tc>
      </w:tr>
      <w:tr>
        <w:trPr>
          <w:trHeight w:val="358"/>
        </w:trPr>
        <w:tc>
          <w:tcPr>
            <w:tcW w:w="248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2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20" w:type="dxa"/>
            <w:vAlign w:val="bottom"/>
          </w:tcPr>
          <w:p>
            <w:pPr>
              <w:spacing w:after="0"/>
              <w:rPr>
                <w:sz w:val="18"/>
                <w:szCs w:val="18"/>
                <w:color w:val="auto"/>
              </w:rPr>
            </w:pPr>
          </w:p>
        </w:tc>
        <w:tc>
          <w:tcPr>
            <w:tcW w:w="24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219"/>
        </w:trPr>
        <w:tc>
          <w:tcPr>
            <w:tcW w:w="6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gridSpan w:val="6"/>
          </w:tcPr>
          <w:p>
            <w:pPr>
              <w:jc w:val="right"/>
              <w:ind w:right="179"/>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346,590</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325,548</w:t>
            </w:r>
          </w:p>
        </w:tc>
        <w:tc>
          <w:tcPr>
            <w:tcW w:w="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1,210,554</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1,257,246</w:t>
            </w: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EFFE7"/>
          </w:tcPr>
          <w:p>
            <w:pPr>
              <w:spacing w:after="0"/>
              <w:rPr>
                <w:sz w:val="18"/>
                <w:szCs w:val="18"/>
                <w:color w:val="auto"/>
              </w:rPr>
            </w:pPr>
          </w:p>
        </w:tc>
        <w:tc>
          <w:tcPr>
            <w:tcW w:w="118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purchased power and cost of natural gas sold</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73,544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331,194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413,486</w:t>
            </w:r>
          </w:p>
        </w:tc>
        <w:tc>
          <w:tcPr>
            <w:tcW w:w="0" w:type="dxa"/>
            <w:vAlign w:val="bottom"/>
          </w:tcPr>
          <w:p>
            <w:pPr>
              <w:spacing w:after="0"/>
              <w:rPr>
                <w:sz w:val="1"/>
                <w:szCs w:val="1"/>
                <w:color w:val="auto"/>
              </w:rPr>
            </w:pPr>
          </w:p>
        </w:tc>
      </w:tr>
      <w:tr>
        <w:trPr>
          <w:trHeight w:val="219"/>
        </w:trPr>
        <w:tc>
          <w:tcPr>
            <w:tcW w:w="6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122,759</w:t>
            </w: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116,583</w:t>
            </w:r>
          </w:p>
        </w:tc>
        <w:tc>
          <w:tcPr>
            <w:tcW w:w="12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365,533</w:t>
            </w: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365,116</w:t>
            </w:r>
          </w:p>
        </w:tc>
        <w:tc>
          <w:tcPr>
            <w:tcW w:w="0" w:type="dxa"/>
            <w:vAlign w:val="bottom"/>
          </w:tcPr>
          <w:p>
            <w:pPr>
              <w:spacing w:after="0"/>
              <w:rPr>
                <w:sz w:val="1"/>
                <w:szCs w:val="1"/>
                <w:color w:val="auto"/>
              </w:rPr>
            </w:pPr>
          </w:p>
        </w:tc>
      </w:tr>
      <w:tr>
        <w:trPr>
          <w:trHeight w:val="24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56,348</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51,884</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169,413</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154,507</w:t>
            </w:r>
          </w:p>
        </w:tc>
        <w:tc>
          <w:tcPr>
            <w:tcW w:w="0" w:type="dxa"/>
            <w:vAlign w:val="bottom"/>
          </w:tcPr>
          <w:p>
            <w:pPr>
              <w:spacing w:after="0"/>
              <w:rPr>
                <w:sz w:val="1"/>
                <w:szCs w:val="1"/>
                <w:color w:val="auto"/>
              </w:rPr>
            </w:pPr>
          </w:p>
        </w:tc>
      </w:tr>
      <w:tr>
        <w:trPr>
          <w:trHeight w:val="219"/>
        </w:trPr>
        <w:tc>
          <w:tcPr>
            <w:tcW w:w="6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Taxes - property and production</w:t>
            </w:r>
          </w:p>
        </w:tc>
        <w:tc>
          <w:tcPr>
            <w:tcW w:w="120" w:type="dxa"/>
            <w:vAlign w:val="bottom"/>
            <w:tcBorders>
              <w:bottom w:val="single" w:sz="8" w:color="auto"/>
            </w:tcBorders>
            <w:shd w:val="clear" w:color="auto" w:fill="CEFFE7"/>
          </w:tcPr>
          <w:p>
            <w:pPr>
              <w:spacing w:after="0"/>
              <w:rPr>
                <w:sz w:val="19"/>
                <w:szCs w:val="19"/>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13,563</w:t>
            </w:r>
          </w:p>
        </w:tc>
        <w:tc>
          <w:tcPr>
            <w:tcW w:w="300" w:type="dxa"/>
            <w:vAlign w:val="bottom"/>
            <w:tcBorders>
              <w:bottom w:val="single" w:sz="8" w:color="auto"/>
            </w:tcBorders>
            <w:shd w:val="clear" w:color="auto" w:fill="CEFFE7"/>
          </w:tcPr>
          <w:p>
            <w:pPr>
              <w:spacing w:after="0"/>
              <w:rPr>
                <w:sz w:val="19"/>
                <w:szCs w:val="19"/>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12,986</w:t>
            </w:r>
          </w:p>
        </w:tc>
        <w:tc>
          <w:tcPr>
            <w:tcW w:w="120" w:type="dxa"/>
            <w:vAlign w:val="bottom"/>
            <w:tcBorders>
              <w:bottom w:val="single" w:sz="8" w:color="auto"/>
            </w:tcBorders>
            <w:shd w:val="clear" w:color="auto" w:fill="CEFFE7"/>
          </w:tcPr>
          <w:p>
            <w:pPr>
              <w:spacing w:after="0"/>
              <w:rPr>
                <w:sz w:val="19"/>
                <w:szCs w:val="19"/>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42,062</w:t>
            </w:r>
          </w:p>
        </w:tc>
        <w:tc>
          <w:tcPr>
            <w:tcW w:w="300" w:type="dxa"/>
            <w:vAlign w:val="bottom"/>
            <w:tcBorders>
              <w:bottom w:val="single" w:sz="8" w:color="auto"/>
            </w:tcBorders>
            <w:shd w:val="clear" w:color="auto" w:fill="CEFFE7"/>
          </w:tcPr>
          <w:p>
            <w:pPr>
              <w:spacing w:after="0"/>
              <w:rPr>
                <w:sz w:val="19"/>
                <w:szCs w:val="19"/>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EFFE7"/>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264,356</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254,997</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908,202</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972,563</w:t>
            </w:r>
          </w:p>
        </w:tc>
        <w:tc>
          <w:tcPr>
            <w:tcW w:w="0" w:type="dxa"/>
            <w:vAlign w:val="bottom"/>
          </w:tcPr>
          <w:p>
            <w:pPr>
              <w:spacing w:after="0"/>
              <w:rPr>
                <w:sz w:val="1"/>
                <w:szCs w:val="1"/>
                <w:color w:val="auto"/>
              </w:rPr>
            </w:pPr>
          </w:p>
        </w:tc>
      </w:tr>
      <w:tr>
        <w:trPr>
          <w:trHeight w:val="131"/>
        </w:trPr>
        <w:tc>
          <w:tcPr>
            <w:tcW w:w="6100" w:type="dxa"/>
            <w:vAlign w:val="bottom"/>
            <w:shd w:val="clear" w:color="auto" w:fill="CEFFE7"/>
          </w:tcPr>
          <w:p>
            <w:pPr>
              <w:spacing w:after="0"/>
              <w:rPr>
                <w:sz w:val="11"/>
                <w:szCs w:val="11"/>
                <w:color w:val="auto"/>
              </w:rPr>
            </w:pPr>
          </w:p>
        </w:tc>
        <w:tc>
          <w:tcPr>
            <w:tcW w:w="120" w:type="dxa"/>
            <w:vAlign w:val="bottom"/>
            <w:shd w:val="clear" w:color="auto" w:fill="CEFFE7"/>
          </w:tcPr>
          <w:p>
            <w:pPr>
              <w:spacing w:after="0"/>
              <w:rPr>
                <w:sz w:val="11"/>
                <w:szCs w:val="11"/>
                <w:color w:val="auto"/>
              </w:rPr>
            </w:pPr>
          </w:p>
        </w:tc>
        <w:tc>
          <w:tcPr>
            <w:tcW w:w="1180" w:type="dxa"/>
            <w:vAlign w:val="bottom"/>
            <w:shd w:val="clear" w:color="auto" w:fill="CEFFE7"/>
          </w:tcPr>
          <w:p>
            <w:pPr>
              <w:spacing w:after="0"/>
              <w:rPr>
                <w:sz w:val="11"/>
                <w:szCs w:val="11"/>
                <w:color w:val="auto"/>
              </w:rPr>
            </w:pPr>
          </w:p>
        </w:tc>
        <w:tc>
          <w:tcPr>
            <w:tcW w:w="300" w:type="dxa"/>
            <w:vAlign w:val="bottom"/>
            <w:shd w:val="clear" w:color="auto" w:fill="CEFFE7"/>
          </w:tcPr>
          <w:p>
            <w:pPr>
              <w:spacing w:after="0"/>
              <w:rPr>
                <w:sz w:val="11"/>
                <w:szCs w:val="11"/>
                <w:color w:val="auto"/>
              </w:rPr>
            </w:pPr>
          </w:p>
        </w:tc>
        <w:tc>
          <w:tcPr>
            <w:tcW w:w="1000" w:type="dxa"/>
            <w:vAlign w:val="bottom"/>
            <w:shd w:val="clear" w:color="auto" w:fill="CEFFE7"/>
          </w:tcPr>
          <w:p>
            <w:pPr>
              <w:spacing w:after="0"/>
              <w:rPr>
                <w:sz w:val="11"/>
                <w:szCs w:val="11"/>
                <w:color w:val="auto"/>
              </w:rPr>
            </w:pPr>
          </w:p>
        </w:tc>
        <w:tc>
          <w:tcPr>
            <w:tcW w:w="120" w:type="dxa"/>
            <w:vAlign w:val="bottom"/>
            <w:shd w:val="clear" w:color="auto" w:fill="CEFFE7"/>
          </w:tcPr>
          <w:p>
            <w:pPr>
              <w:spacing w:after="0"/>
              <w:rPr>
                <w:sz w:val="11"/>
                <w:szCs w:val="11"/>
                <w:color w:val="auto"/>
              </w:rPr>
            </w:pPr>
          </w:p>
        </w:tc>
        <w:tc>
          <w:tcPr>
            <w:tcW w:w="1140" w:type="dxa"/>
            <w:vAlign w:val="bottom"/>
            <w:shd w:val="clear" w:color="auto" w:fill="CEFFE7"/>
          </w:tcPr>
          <w:p>
            <w:pPr>
              <w:spacing w:after="0"/>
              <w:rPr>
                <w:sz w:val="11"/>
                <w:szCs w:val="11"/>
                <w:color w:val="auto"/>
              </w:rPr>
            </w:pPr>
          </w:p>
        </w:tc>
        <w:tc>
          <w:tcPr>
            <w:tcW w:w="300" w:type="dxa"/>
            <w:vAlign w:val="bottom"/>
            <w:shd w:val="clear" w:color="auto" w:fill="CEFFE7"/>
          </w:tcPr>
          <w:p>
            <w:pPr>
              <w:spacing w:after="0"/>
              <w:rPr>
                <w:sz w:val="11"/>
                <w:szCs w:val="11"/>
                <w:color w:val="auto"/>
              </w:rPr>
            </w:pPr>
          </w:p>
        </w:tc>
        <w:tc>
          <w:tcPr>
            <w:tcW w:w="980" w:type="dxa"/>
            <w:vAlign w:val="bottom"/>
            <w:shd w:val="clear" w:color="auto" w:fill="CEFFE7"/>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82,234</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70,551</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302,352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284,683</w:t>
            </w:r>
          </w:p>
        </w:tc>
        <w:tc>
          <w:tcPr>
            <w:tcW w:w="0" w:type="dxa"/>
            <w:vAlign w:val="bottom"/>
          </w:tcPr>
          <w:p>
            <w:pPr>
              <w:spacing w:after="0"/>
              <w:rPr>
                <w:sz w:val="1"/>
                <w:szCs w:val="1"/>
                <w:color w:val="auto"/>
              </w:rPr>
            </w:pPr>
          </w:p>
        </w:tc>
      </w:tr>
      <w:tr>
        <w:trPr>
          <w:trHeight w:val="131"/>
        </w:trPr>
        <w:tc>
          <w:tcPr>
            <w:tcW w:w="6100" w:type="dxa"/>
            <w:vAlign w:val="bottom"/>
            <w:shd w:val="clear" w:color="auto" w:fill="CEFFE7"/>
          </w:tcPr>
          <w:p>
            <w:pPr>
              <w:spacing w:after="0"/>
              <w:rPr>
                <w:sz w:val="11"/>
                <w:szCs w:val="11"/>
                <w:color w:val="auto"/>
              </w:rPr>
            </w:pPr>
          </w:p>
        </w:tc>
        <w:tc>
          <w:tcPr>
            <w:tcW w:w="120" w:type="dxa"/>
            <w:vAlign w:val="bottom"/>
            <w:shd w:val="clear" w:color="auto" w:fill="CEFFE7"/>
          </w:tcPr>
          <w:p>
            <w:pPr>
              <w:spacing w:after="0"/>
              <w:rPr>
                <w:sz w:val="11"/>
                <w:szCs w:val="11"/>
                <w:color w:val="auto"/>
              </w:rPr>
            </w:pPr>
          </w:p>
        </w:tc>
        <w:tc>
          <w:tcPr>
            <w:tcW w:w="1180" w:type="dxa"/>
            <w:vAlign w:val="bottom"/>
            <w:shd w:val="clear" w:color="auto" w:fill="CEFFE7"/>
          </w:tcPr>
          <w:p>
            <w:pPr>
              <w:spacing w:after="0"/>
              <w:rPr>
                <w:sz w:val="11"/>
                <w:szCs w:val="11"/>
                <w:color w:val="auto"/>
              </w:rPr>
            </w:pPr>
          </w:p>
        </w:tc>
        <w:tc>
          <w:tcPr>
            <w:tcW w:w="300" w:type="dxa"/>
            <w:vAlign w:val="bottom"/>
            <w:shd w:val="clear" w:color="auto" w:fill="CEFFE7"/>
          </w:tcPr>
          <w:p>
            <w:pPr>
              <w:spacing w:after="0"/>
              <w:rPr>
                <w:sz w:val="11"/>
                <w:szCs w:val="11"/>
                <w:color w:val="auto"/>
              </w:rPr>
            </w:pPr>
          </w:p>
        </w:tc>
        <w:tc>
          <w:tcPr>
            <w:tcW w:w="1000" w:type="dxa"/>
            <w:vAlign w:val="bottom"/>
            <w:shd w:val="clear" w:color="auto" w:fill="CEFFE7"/>
          </w:tcPr>
          <w:p>
            <w:pPr>
              <w:spacing w:after="0"/>
              <w:rPr>
                <w:sz w:val="11"/>
                <w:szCs w:val="11"/>
                <w:color w:val="auto"/>
              </w:rPr>
            </w:pPr>
          </w:p>
        </w:tc>
        <w:tc>
          <w:tcPr>
            <w:tcW w:w="120" w:type="dxa"/>
            <w:vAlign w:val="bottom"/>
            <w:shd w:val="clear" w:color="auto" w:fill="CEFFE7"/>
          </w:tcPr>
          <w:p>
            <w:pPr>
              <w:spacing w:after="0"/>
              <w:rPr>
                <w:sz w:val="11"/>
                <w:szCs w:val="11"/>
                <w:color w:val="auto"/>
              </w:rPr>
            </w:pPr>
          </w:p>
        </w:tc>
        <w:tc>
          <w:tcPr>
            <w:tcW w:w="1140" w:type="dxa"/>
            <w:vAlign w:val="bottom"/>
            <w:shd w:val="clear" w:color="auto" w:fill="CEFFE7"/>
          </w:tcPr>
          <w:p>
            <w:pPr>
              <w:spacing w:after="0"/>
              <w:rPr>
                <w:sz w:val="11"/>
                <w:szCs w:val="11"/>
                <w:color w:val="auto"/>
              </w:rPr>
            </w:pPr>
          </w:p>
        </w:tc>
        <w:tc>
          <w:tcPr>
            <w:tcW w:w="300" w:type="dxa"/>
            <w:vAlign w:val="bottom"/>
            <w:shd w:val="clear" w:color="auto" w:fill="CEFFE7"/>
          </w:tcPr>
          <w:p>
            <w:pPr>
              <w:spacing w:after="0"/>
              <w:rPr>
                <w:sz w:val="11"/>
                <w:szCs w:val="11"/>
                <w:color w:val="auto"/>
              </w:rPr>
            </w:pPr>
          </w:p>
        </w:tc>
        <w:tc>
          <w:tcPr>
            <w:tcW w:w="980" w:type="dxa"/>
            <w:vAlign w:val="bottom"/>
            <w:shd w:val="clear" w:color="auto" w:fill="CEFFE7"/>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EFFE7"/>
          </w:tcPr>
          <w:p>
            <w:pPr>
              <w:ind w:left="20"/>
              <w:spacing w:after="0" w:line="165" w:lineRule="exact"/>
              <w:rPr>
                <w:sz w:val="20"/>
                <w:szCs w:val="20"/>
                <w:color w:val="auto"/>
              </w:rPr>
            </w:pPr>
            <w:r>
              <w:rPr>
                <w:rFonts w:ascii="Times New Roman" w:cs="Times New Roman" w:eastAsia="Times New Roman" w:hAnsi="Times New Roman"/>
                <w:sz w:val="16"/>
                <w:szCs w:val="16"/>
                <w:color w:val="auto"/>
              </w:rPr>
              <w:t>Interest expense incurred net of amounts capitalized (including amortization of debt issuance</w:t>
            </w:r>
          </w:p>
        </w:tc>
        <w:tc>
          <w:tcPr>
            <w:tcW w:w="120" w:type="dxa"/>
            <w:vAlign w:val="bottom"/>
            <w:shd w:val="clear" w:color="auto" w:fill="CEFFE7"/>
          </w:tcPr>
          <w:p>
            <w:pPr>
              <w:spacing w:after="0"/>
              <w:rPr>
                <w:sz w:val="14"/>
                <w:szCs w:val="14"/>
                <w:color w:val="auto"/>
              </w:rPr>
            </w:pPr>
          </w:p>
        </w:tc>
        <w:tc>
          <w:tcPr>
            <w:tcW w:w="118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(36,521)</w:t>
            </w:r>
          </w:p>
        </w:tc>
        <w:tc>
          <w:tcPr>
            <w:tcW w:w="300" w:type="dxa"/>
            <w:vAlign w:val="bottom"/>
            <w:shd w:val="clear" w:color="auto" w:fill="CEFFE7"/>
          </w:tcPr>
          <w:p>
            <w:pPr>
              <w:spacing w:after="0"/>
              <w:rPr>
                <w:sz w:val="14"/>
                <w:szCs w:val="14"/>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(34,000)</w:t>
            </w:r>
          </w:p>
        </w:tc>
        <w:tc>
          <w:tcPr>
            <w:tcW w:w="120" w:type="dxa"/>
            <w:vAlign w:val="bottom"/>
            <w:shd w:val="clear" w:color="auto" w:fill="CEFFE7"/>
          </w:tcPr>
          <w:p>
            <w:pPr>
              <w:spacing w:after="0"/>
              <w:rPr>
                <w:sz w:val="14"/>
                <w:szCs w:val="14"/>
                <w:color w:val="auto"/>
              </w:rPr>
            </w:pPr>
          </w:p>
        </w:tc>
        <w:tc>
          <w:tcPr>
            <w:tcW w:w="114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(108,067)</w:t>
            </w:r>
          </w:p>
        </w:tc>
        <w:tc>
          <w:tcPr>
            <w:tcW w:w="300" w:type="dxa"/>
            <w:vAlign w:val="bottom"/>
            <w:shd w:val="clear" w:color="auto" w:fill="CEFFE7"/>
          </w:tcPr>
          <w:p>
            <w:pPr>
              <w:spacing w:after="0"/>
              <w:rPr>
                <w:sz w:val="14"/>
                <w:szCs w:val="14"/>
                <w:color w:val="auto"/>
              </w:rPr>
            </w:pPr>
          </w:p>
        </w:tc>
        <w:tc>
          <w:tcPr>
            <w:tcW w:w="98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(103,677)</w:t>
            </w:r>
          </w:p>
        </w:tc>
        <w:tc>
          <w:tcPr>
            <w:tcW w:w="0" w:type="dxa"/>
            <w:vAlign w:val="bottom"/>
          </w:tcPr>
          <w:p>
            <w:pPr>
              <w:spacing w:after="0"/>
              <w:rPr>
                <w:sz w:val="1"/>
                <w:szCs w:val="1"/>
                <w:color w:val="auto"/>
              </w:rPr>
            </w:pPr>
          </w:p>
        </w:tc>
      </w:tr>
      <w:tr>
        <w:trPr>
          <w:trHeight w:val="216"/>
        </w:trPr>
        <w:tc>
          <w:tcPr>
            <w:tcW w:w="6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costs, premiums and discounts)</w:t>
            </w:r>
          </w:p>
        </w:tc>
        <w:tc>
          <w:tcPr>
            <w:tcW w:w="120" w:type="dxa"/>
            <w:vAlign w:val="bottom"/>
            <w:shd w:val="clear" w:color="auto" w:fill="CEFFE7"/>
          </w:tcPr>
          <w:p>
            <w:pPr>
              <w:spacing w:after="0"/>
              <w:rPr>
                <w:sz w:val="18"/>
                <w:szCs w:val="18"/>
                <w:color w:val="auto"/>
              </w:rPr>
            </w:pPr>
          </w:p>
        </w:tc>
        <w:tc>
          <w:tcPr>
            <w:tcW w:w="1180" w:type="dxa"/>
            <w:vAlign w:val="bottom"/>
            <w:vMerge w:val="continue"/>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1000" w:type="dxa"/>
            <w:vAlign w:val="bottom"/>
            <w:vMerge w:val="continue"/>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140" w:type="dxa"/>
            <w:vAlign w:val="bottom"/>
            <w:vMerge w:val="continue"/>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98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19"/>
        </w:trPr>
        <w:tc>
          <w:tcPr>
            <w:tcW w:w="6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Impairment of investment</w:t>
            </w: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12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9"/>
        </w:trPr>
        <w:tc>
          <w:tcPr>
            <w:tcW w:w="6100" w:type="dxa"/>
            <w:vAlign w:val="bottom"/>
            <w:shd w:val="clear" w:color="auto" w:fill="CEFFE7"/>
          </w:tcPr>
          <w:p>
            <w:pPr>
              <w:ind w:left="4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(37,234)</w:t>
            </w:r>
          </w:p>
        </w:tc>
        <w:tc>
          <w:tcPr>
            <w:tcW w:w="30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(52,648)</w:t>
            </w:r>
          </w:p>
        </w:tc>
        <w:tc>
          <w:tcPr>
            <w:tcW w:w="12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(114,601)</w:t>
            </w:r>
          </w:p>
        </w:tc>
        <w:tc>
          <w:tcPr>
            <w:tcW w:w="30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(122,155)</w:t>
            </w: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12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187,751</w:t>
            </w:r>
          </w:p>
        </w:tc>
        <w:tc>
          <w:tcPr>
            <w:tcW w:w="3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162,528</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(22,078)</w:t>
            </w:r>
          </w:p>
        </w:tc>
        <w:tc>
          <w:tcPr>
            <w:tcW w:w="0" w:type="dxa"/>
            <w:vAlign w:val="bottom"/>
          </w:tcPr>
          <w:p>
            <w:pPr>
              <w:spacing w:after="0"/>
              <w:rPr>
                <w:sz w:val="1"/>
                <w:szCs w:val="1"/>
                <w:color w:val="auto"/>
              </w:rPr>
            </w:pPr>
          </w:p>
        </w:tc>
      </w:tr>
      <w:tr>
        <w:trPr>
          <w:trHeight w:val="212"/>
        </w:trPr>
        <w:tc>
          <w:tcPr>
            <w:tcW w:w="61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40,349</w:t>
            </w: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12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162,267</w:t>
            </w:r>
          </w:p>
        </w:tc>
        <w:tc>
          <w:tcPr>
            <w:tcW w:w="3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140,450</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Net income available for common stock</w:t>
            </w:r>
          </w:p>
        </w:tc>
        <w:tc>
          <w:tcPr>
            <w:tcW w:w="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36,283</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11,740</w:t>
            </w:r>
          </w:p>
        </w:tc>
        <w:tc>
          <w:tcPr>
            <w:tcW w:w="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150,423</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130,131</w:t>
            </w:r>
          </w:p>
        </w:tc>
        <w:tc>
          <w:tcPr>
            <w:tcW w:w="0" w:type="dxa"/>
            <w:vAlign w:val="bottom"/>
          </w:tcPr>
          <w:p>
            <w:pPr>
              <w:spacing w:after="0"/>
              <w:rPr>
                <w:sz w:val="1"/>
                <w:szCs w:val="1"/>
                <w:color w:val="auto"/>
              </w:rPr>
            </w:pPr>
          </w:p>
        </w:tc>
      </w:tr>
      <w:tr>
        <w:trPr>
          <w:trHeight w:val="20"/>
        </w:trPr>
        <w:tc>
          <w:tcPr>
            <w:tcW w:w="6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EFFE7"/>
          </w:tcPr>
          <w:p>
            <w:pPr>
              <w:spacing w:after="0"/>
              <w:rPr>
                <w:sz w:val="12"/>
                <w:szCs w:val="12"/>
                <w:color w:val="auto"/>
              </w:rPr>
            </w:pPr>
          </w:p>
        </w:tc>
        <w:tc>
          <w:tcPr>
            <w:tcW w:w="120" w:type="dxa"/>
            <w:vAlign w:val="bottom"/>
            <w:shd w:val="clear" w:color="auto" w:fill="CEFFE7"/>
          </w:tcPr>
          <w:p>
            <w:pPr>
              <w:spacing w:after="0"/>
              <w:rPr>
                <w:sz w:val="12"/>
                <w:szCs w:val="12"/>
                <w:color w:val="auto"/>
              </w:rPr>
            </w:pPr>
          </w:p>
        </w:tc>
        <w:tc>
          <w:tcPr>
            <w:tcW w:w="1180" w:type="dxa"/>
            <w:vAlign w:val="bottom"/>
            <w:shd w:val="clear" w:color="auto" w:fill="CEFFE7"/>
          </w:tcPr>
          <w:p>
            <w:pPr>
              <w:spacing w:after="0"/>
              <w:rPr>
                <w:sz w:val="12"/>
                <w:szCs w:val="12"/>
                <w:color w:val="auto"/>
              </w:rPr>
            </w:pPr>
          </w:p>
        </w:tc>
        <w:tc>
          <w:tcPr>
            <w:tcW w:w="300" w:type="dxa"/>
            <w:vAlign w:val="bottom"/>
            <w:shd w:val="clear" w:color="auto" w:fill="CEFFE7"/>
          </w:tcPr>
          <w:p>
            <w:pPr>
              <w:spacing w:after="0"/>
              <w:rPr>
                <w:sz w:val="12"/>
                <w:szCs w:val="12"/>
                <w:color w:val="auto"/>
              </w:rPr>
            </w:pPr>
          </w:p>
        </w:tc>
        <w:tc>
          <w:tcPr>
            <w:tcW w:w="1000" w:type="dxa"/>
            <w:vAlign w:val="bottom"/>
            <w:shd w:val="clear" w:color="auto" w:fill="CEFFE7"/>
          </w:tcPr>
          <w:p>
            <w:pPr>
              <w:spacing w:after="0"/>
              <w:rPr>
                <w:sz w:val="12"/>
                <w:szCs w:val="12"/>
                <w:color w:val="auto"/>
              </w:rPr>
            </w:pPr>
          </w:p>
        </w:tc>
        <w:tc>
          <w:tcPr>
            <w:tcW w:w="120" w:type="dxa"/>
            <w:vAlign w:val="bottom"/>
            <w:shd w:val="clear" w:color="auto" w:fill="CEFFE7"/>
          </w:tcPr>
          <w:p>
            <w:pPr>
              <w:spacing w:after="0"/>
              <w:rPr>
                <w:sz w:val="12"/>
                <w:szCs w:val="12"/>
                <w:color w:val="auto"/>
              </w:rPr>
            </w:pPr>
          </w:p>
        </w:tc>
        <w:tc>
          <w:tcPr>
            <w:tcW w:w="1140" w:type="dxa"/>
            <w:vAlign w:val="bottom"/>
            <w:shd w:val="clear" w:color="auto" w:fill="CEFFE7"/>
          </w:tcPr>
          <w:p>
            <w:pPr>
              <w:spacing w:after="0"/>
              <w:rPr>
                <w:sz w:val="12"/>
                <w:szCs w:val="12"/>
                <w:color w:val="auto"/>
              </w:rPr>
            </w:pPr>
          </w:p>
        </w:tc>
        <w:tc>
          <w:tcPr>
            <w:tcW w:w="300" w:type="dxa"/>
            <w:vAlign w:val="bottom"/>
            <w:shd w:val="clear" w:color="auto" w:fill="CEFFE7"/>
          </w:tcPr>
          <w:p>
            <w:pPr>
              <w:spacing w:after="0"/>
              <w:rPr>
                <w:sz w:val="12"/>
                <w:szCs w:val="12"/>
                <w:color w:val="auto"/>
              </w:rPr>
            </w:pPr>
          </w:p>
        </w:tc>
        <w:tc>
          <w:tcPr>
            <w:tcW w:w="980" w:type="dxa"/>
            <w:vAlign w:val="bottom"/>
            <w:shd w:val="clear" w:color="auto" w:fill="CEFFE7"/>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6"/>
                <w:szCs w:val="16"/>
                <w:color w:val="auto"/>
              </w:rPr>
              <w:t>Earnings per share of common stock:</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Earnings per share, Basic</w:t>
            </w:r>
          </w:p>
        </w:tc>
        <w:tc>
          <w:tcPr>
            <w:tcW w:w="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2"/>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EFFE7"/>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100" w:type="dxa"/>
            <w:vAlign w:val="bottom"/>
            <w:shd w:val="clear" w:color="auto" w:fill="CEFFE7"/>
          </w:tcPr>
          <w:p>
            <w:pPr>
              <w:spacing w:after="0"/>
              <w:rPr>
                <w:sz w:val="10"/>
                <w:szCs w:val="10"/>
                <w:color w:val="auto"/>
              </w:rPr>
            </w:pPr>
          </w:p>
        </w:tc>
        <w:tc>
          <w:tcPr>
            <w:tcW w:w="120" w:type="dxa"/>
            <w:vAlign w:val="bottom"/>
            <w:shd w:val="clear" w:color="auto" w:fill="CEFFE7"/>
          </w:tcPr>
          <w:p>
            <w:pPr>
              <w:spacing w:after="0"/>
              <w:rPr>
                <w:sz w:val="10"/>
                <w:szCs w:val="10"/>
                <w:color w:val="auto"/>
              </w:rPr>
            </w:pPr>
          </w:p>
        </w:tc>
        <w:tc>
          <w:tcPr>
            <w:tcW w:w="118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1000" w:type="dxa"/>
            <w:vAlign w:val="bottom"/>
            <w:shd w:val="clear" w:color="auto" w:fill="CEFFE7"/>
          </w:tcPr>
          <w:p>
            <w:pPr>
              <w:spacing w:after="0"/>
              <w:rPr>
                <w:sz w:val="10"/>
                <w:szCs w:val="10"/>
                <w:color w:val="auto"/>
              </w:rPr>
            </w:pPr>
          </w:p>
        </w:tc>
        <w:tc>
          <w:tcPr>
            <w:tcW w:w="120" w:type="dxa"/>
            <w:vAlign w:val="bottom"/>
            <w:shd w:val="clear" w:color="auto" w:fill="CEFFE7"/>
          </w:tcPr>
          <w:p>
            <w:pPr>
              <w:spacing w:after="0"/>
              <w:rPr>
                <w:sz w:val="10"/>
                <w:szCs w:val="10"/>
                <w:color w:val="auto"/>
              </w:rPr>
            </w:pPr>
          </w:p>
        </w:tc>
        <w:tc>
          <w:tcPr>
            <w:tcW w:w="114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98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EFFE7"/>
          </w:tcPr>
          <w:p>
            <w:pPr>
              <w:spacing w:after="0"/>
              <w:rPr>
                <w:sz w:val="20"/>
                <w:szCs w:val="20"/>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62,575</w:t>
            </w:r>
          </w:p>
        </w:tc>
        <w:tc>
          <w:tcPr>
            <w:tcW w:w="30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60,976</w:t>
            </w:r>
          </w:p>
        </w:tc>
        <w:tc>
          <w:tcPr>
            <w:tcW w:w="120" w:type="dxa"/>
            <w:vAlign w:val="bottom"/>
            <w:tcBorders>
              <w:bottom w:val="single" w:sz="8" w:color="auto"/>
            </w:tcBorders>
            <w:shd w:val="clear" w:color="auto" w:fill="CEFFE7"/>
          </w:tcPr>
          <w:p>
            <w:pPr>
              <w:spacing w:after="0"/>
              <w:rPr>
                <w:sz w:val="20"/>
                <w:szCs w:val="20"/>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62,310</w:t>
            </w:r>
          </w:p>
        </w:tc>
        <w:tc>
          <w:tcPr>
            <w:tcW w:w="30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60,458</w:t>
            </w:r>
          </w:p>
        </w:tc>
        <w:tc>
          <w:tcPr>
            <w:tcW w:w="0" w:type="dxa"/>
            <w:vAlign w:val="bottom"/>
          </w:tcPr>
          <w:p>
            <w:pPr>
              <w:spacing w:after="0"/>
              <w:rPr>
                <w:sz w:val="1"/>
                <w:szCs w:val="1"/>
                <w:color w:val="auto"/>
              </w:rPr>
            </w:pPr>
          </w:p>
        </w:tc>
      </w:tr>
      <w:tr>
        <w:trPr>
          <w:trHeight w:val="20"/>
        </w:trPr>
        <w:tc>
          <w:tcPr>
            <w:tcW w:w="6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62,630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61,104</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62,362</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60,578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accompanying </w:t>
      </w:r>
      <w:hyperlink w:anchor="page13">
        <w:r>
          <w:rPr>
            <w:rFonts w:ascii="Times New Roman" w:cs="Times New Roman" w:eastAsia="Times New Roman" w:hAnsi="Times New Roman"/>
            <w:sz w:val="14"/>
            <w:szCs w:val="14"/>
            <w:u w:val="single" w:color="auto"/>
            <w:color w:val="0000FF"/>
          </w:rPr>
          <w:t>Notes to Condensed Consolidated Financial Statements</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17"/>
                <w:szCs w:val="17"/>
                <w:color w:val="auto"/>
              </w:rPr>
            </w:pPr>
          </w:p>
        </w:tc>
        <w:tc>
          <w:tcPr>
            <w:tcW w:w="23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3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5"/>
        </w:trPr>
        <w:tc>
          <w:tcPr>
            <w:tcW w:w="60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19"/>
                <w:szCs w:val="19"/>
                <w:color w:val="auto"/>
              </w:rPr>
            </w:pPr>
          </w:p>
        </w:tc>
        <w:tc>
          <w:tcPr>
            <w:tcW w:w="23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8"/>
        </w:trPr>
        <w:tc>
          <w:tcPr>
            <w:tcW w:w="6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162,267</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140,450</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Benefit plan liability adjustments - net gain (net of tax of $0,$0, $(17) and $0,</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60" w:type="dxa"/>
            <w:vAlign w:val="bottom"/>
            <w:shd w:val="clear" w:color="auto" w:fill="CEFFE7"/>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of benefit plan liability - prior service cost (net of</w:t>
            </w:r>
          </w:p>
        </w:tc>
        <w:tc>
          <w:tcPr>
            <w:tcW w:w="280" w:type="dxa"/>
            <w:vAlign w:val="bottom"/>
            <w:shd w:val="clear" w:color="auto" w:fill="CEFFE7"/>
          </w:tcPr>
          <w:p>
            <w:pPr>
              <w:spacing w:after="0"/>
              <w:rPr>
                <w:sz w:val="15"/>
                <w:szCs w:val="15"/>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EFFE7"/>
          </w:tcPr>
          <w:p>
            <w:pPr>
              <w:spacing w:after="0"/>
              <w:rPr>
                <w:sz w:val="15"/>
                <w:szCs w:val="15"/>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EFFE7"/>
          </w:tcPr>
          <w:p>
            <w:pPr>
              <w:spacing w:after="0"/>
              <w:rPr>
                <w:sz w:val="15"/>
                <w:szCs w:val="15"/>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EFFE7"/>
          </w:tcPr>
          <w:p>
            <w:pPr>
              <w:spacing w:after="0"/>
              <w:rPr>
                <w:sz w:val="15"/>
                <w:szCs w:val="15"/>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060" w:type="dxa"/>
            <w:vAlign w:val="bottom"/>
            <w:shd w:val="clear" w:color="auto" w:fill="CEFFE7"/>
          </w:tcPr>
          <w:p>
            <w:pPr>
              <w:ind w:left="360"/>
              <w:spacing w:after="0"/>
              <w:rPr>
                <w:sz w:val="20"/>
                <w:szCs w:val="20"/>
                <w:color w:val="auto"/>
              </w:rPr>
            </w:pPr>
            <w:r>
              <w:rPr>
                <w:rFonts w:ascii="Times New Roman" w:cs="Times New Roman" w:eastAsia="Times New Roman" w:hAnsi="Times New Roman"/>
                <w:sz w:val="18"/>
                <w:szCs w:val="18"/>
                <w:color w:val="auto"/>
              </w:rPr>
              <w:t>tax of $6, $3, $19 and $13, respectively)</w:t>
            </w:r>
          </w:p>
        </w:tc>
        <w:tc>
          <w:tcPr>
            <w:tcW w:w="280" w:type="dxa"/>
            <w:vAlign w:val="bottom"/>
            <w:shd w:val="clear" w:color="auto" w:fill="CEFFE7"/>
          </w:tcPr>
          <w:p>
            <w:pPr>
              <w:spacing w:after="0"/>
              <w:rPr>
                <w:sz w:val="19"/>
                <w:szCs w:val="19"/>
                <w:color w:val="auto"/>
              </w:rPr>
            </w:pPr>
          </w:p>
        </w:tc>
        <w:tc>
          <w:tcPr>
            <w:tcW w:w="1000" w:type="dxa"/>
            <w:vAlign w:val="bottom"/>
            <w:vMerge w:val="continue"/>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vMerge w:val="continue"/>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vMerge w:val="continue"/>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of benefit plan liability - net gain (net of tax of</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$(149), $(92), $(426) and $(197), respectively)</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Derivative instruments designated as cash flow hedges:</w:t>
            </w:r>
          </w:p>
        </w:tc>
        <w:tc>
          <w:tcPr>
            <w:tcW w:w="28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net realized losses on settled/amortized interest rate swaps</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of tax of $(168), $(165), $(508) and $(500), respectively)</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60" w:type="dxa"/>
            <w:vAlign w:val="bottom"/>
            <w:shd w:val="clear" w:color="auto" w:fill="CEFFE7"/>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unrealized gains (losses) on commodity derivatives (net of tax of $(112),</w:t>
            </w:r>
          </w:p>
        </w:tc>
        <w:tc>
          <w:tcPr>
            <w:tcW w:w="280" w:type="dxa"/>
            <w:vAlign w:val="bottom"/>
            <w:shd w:val="clear" w:color="auto" w:fill="CEFFE7"/>
          </w:tcPr>
          <w:p>
            <w:pPr>
              <w:spacing w:after="0"/>
              <w:rPr>
                <w:sz w:val="15"/>
                <w:szCs w:val="15"/>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shd w:val="clear" w:color="auto" w:fill="CEFFE7"/>
          </w:tcPr>
          <w:p>
            <w:pPr>
              <w:spacing w:after="0"/>
              <w:rPr>
                <w:sz w:val="15"/>
                <w:szCs w:val="15"/>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EFFE7"/>
          </w:tcPr>
          <w:p>
            <w:pPr>
              <w:spacing w:after="0"/>
              <w:rPr>
                <w:sz w:val="15"/>
                <w:szCs w:val="15"/>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EFFE7"/>
          </w:tcPr>
          <w:p>
            <w:pPr>
              <w:spacing w:after="0"/>
              <w:rPr>
                <w:sz w:val="15"/>
                <w:szCs w:val="15"/>
                <w:color w:val="auto"/>
              </w:rPr>
            </w:pPr>
          </w:p>
        </w:tc>
        <w:tc>
          <w:tcPr>
            <w:tcW w:w="10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9"/>
        </w:trPr>
        <w:tc>
          <w:tcPr>
            <w:tcW w:w="6060" w:type="dxa"/>
            <w:vAlign w:val="bottom"/>
            <w:shd w:val="clear" w:color="auto" w:fill="CEFFE7"/>
          </w:tcPr>
          <w:p>
            <w:pPr>
              <w:ind w:left="360"/>
              <w:spacing w:after="0"/>
              <w:rPr>
                <w:sz w:val="20"/>
                <w:szCs w:val="20"/>
                <w:color w:val="auto"/>
              </w:rPr>
            </w:pPr>
            <w:r>
              <w:rPr>
                <w:rFonts w:ascii="Times New Roman" w:cs="Times New Roman" w:eastAsia="Times New Roman" w:hAnsi="Times New Roman"/>
                <w:sz w:val="18"/>
                <w:szCs w:val="18"/>
                <w:color w:val="auto"/>
              </w:rPr>
              <w:t>$35, $(44) and $100, respectively)</w:t>
            </w:r>
          </w:p>
        </w:tc>
        <w:tc>
          <w:tcPr>
            <w:tcW w:w="280" w:type="dxa"/>
            <w:vAlign w:val="bottom"/>
            <w:shd w:val="clear" w:color="auto" w:fill="CEFFE7"/>
          </w:tcPr>
          <w:p>
            <w:pPr>
              <w:spacing w:after="0"/>
              <w:rPr>
                <w:sz w:val="19"/>
                <w:szCs w:val="19"/>
                <w:color w:val="auto"/>
              </w:rPr>
            </w:pPr>
          </w:p>
        </w:tc>
        <w:tc>
          <w:tcPr>
            <w:tcW w:w="1000" w:type="dxa"/>
            <w:vAlign w:val="bottom"/>
            <w:vMerge w:val="continue"/>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vMerge w:val="continue"/>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vMerge w:val="continue"/>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0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Reclassification of net realized (gains) losses on settled commodity derivatives</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EFFE7"/>
            </w:tcBorders>
          </w:tcPr>
          <w:p>
            <w:pPr>
              <w:ind w:left="360"/>
              <w:spacing w:after="0"/>
              <w:rPr>
                <w:sz w:val="20"/>
                <w:szCs w:val="20"/>
                <w:color w:val="auto"/>
              </w:rPr>
            </w:pPr>
            <w:r>
              <w:rPr>
                <w:rFonts w:ascii="Times New Roman" w:cs="Times New Roman" w:eastAsia="Times New Roman" w:hAnsi="Times New Roman"/>
                <w:sz w:val="18"/>
                <w:szCs w:val="18"/>
                <w:color w:val="auto"/>
              </w:rPr>
              <w:t>(net of tax of $(41), $(5), $(172), and $142, respectively)</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tcBorders>
              <w:bottom w:val="single" w:sz="8" w:color="auto"/>
            </w:tcBorders>
            <w:shd w:val="clear" w:color="auto" w:fill="CEFFE7"/>
          </w:tcPr>
          <w:p>
            <w:pPr>
              <w:spacing w:after="0"/>
              <w:rPr>
                <w:sz w:val="19"/>
                <w:szCs w:val="19"/>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300" w:type="dxa"/>
            <w:vAlign w:val="bottom"/>
            <w:tcBorders>
              <w:bottom w:val="single" w:sz="8" w:color="auto"/>
            </w:tcBorders>
            <w:shd w:val="clear" w:color="auto" w:fill="CEFFE7"/>
          </w:tcPr>
          <w:p>
            <w:pPr>
              <w:spacing w:after="0"/>
              <w:rPr>
                <w:sz w:val="19"/>
                <w:szCs w:val="19"/>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Borders>
              <w:bottom w:val="single" w:sz="8" w:color="auto"/>
            </w:tcBorders>
            <w:shd w:val="clear" w:color="auto" w:fill="CEFFE7"/>
          </w:tcPr>
          <w:p>
            <w:pPr>
              <w:spacing w:after="0"/>
              <w:rPr>
                <w:sz w:val="19"/>
                <w:szCs w:val="19"/>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300" w:type="dxa"/>
            <w:vAlign w:val="bottom"/>
            <w:tcBorders>
              <w:bottom w:val="single" w:sz="8" w:color="auto"/>
            </w:tcBorders>
            <w:shd w:val="clear" w:color="auto" w:fill="CEFFE7"/>
          </w:tcPr>
          <w:p>
            <w:pPr>
              <w:spacing w:after="0"/>
              <w:rPr>
                <w:sz w:val="19"/>
                <w:szCs w:val="19"/>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41,861</w:t>
            </w: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30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141,671</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Comprehensive income available for common stock</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37,795</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154,156</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131,352</w:t>
            </w:r>
          </w:p>
        </w:tc>
        <w:tc>
          <w:tcPr>
            <w:tcW w:w="0" w:type="dxa"/>
            <w:vAlign w:val="bottom"/>
          </w:tcPr>
          <w:p>
            <w:pPr>
              <w:spacing w:after="0"/>
              <w:rPr>
                <w:sz w:val="1"/>
                <w:szCs w:val="1"/>
                <w:color w:val="auto"/>
              </w:rPr>
            </w:pPr>
          </w:p>
        </w:tc>
      </w:tr>
      <w:tr>
        <w:trPr>
          <w:trHeight w:val="20"/>
        </w:trPr>
        <w:tc>
          <w:tcPr>
            <w:tcW w:w="606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hyperlink w:anchor="page31">
        <w:r>
          <w:rPr>
            <w:rFonts w:ascii="Times New Roman" w:cs="Times New Roman" w:eastAsia="Times New Roman" w:hAnsi="Times New Roman"/>
            <w:sz w:val="16"/>
            <w:szCs w:val="16"/>
            <w:u w:val="single" w:color="auto"/>
            <w:color w:val="0000FF"/>
          </w:rPr>
          <w:t>Note 11</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additional disclosures.</w:t>
      </w:r>
    </w:p>
    <w:p>
      <w:pPr>
        <w:spacing w:after="0" w:line="239" w:lineRule="exact"/>
        <w:rPr>
          <w:sz w:val="20"/>
          <w:szCs w:val="20"/>
          <w:color w:val="auto"/>
        </w:rPr>
      </w:pPr>
    </w:p>
    <w:p>
      <w:pPr>
        <w:jc w:val="cente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accompanying </w:t>
      </w:r>
      <w:hyperlink w:anchor="page13">
        <w:r>
          <w:rPr>
            <w:rFonts w:ascii="Times New Roman" w:cs="Times New Roman" w:eastAsia="Times New Roman" w:hAnsi="Times New Roman"/>
            <w:sz w:val="14"/>
            <w:szCs w:val="14"/>
            <w:u w:val="single" w:color="auto"/>
            <w:color w:val="0000FF"/>
          </w:rPr>
          <w:t>Notes to Condensed Consolidated Financial Statements</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are an integral part of these Condensed Consolidated Financial Statements.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ectPr>
          <w:pgSz w:w="11900" w:h="16838" w:orient="portrait"/>
          <w:cols w:equalWidth="0" w:num="1">
            <w:col w:w="11220"/>
          </w:cols>
          <w:pgMar w:left="320" w:top="124" w:right="359" w:bottom="144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Restricted cash and equivalents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Materials, supplies and fuel</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Derivative assets, current</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tax receivable, net</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Regulatory assets, current</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of</w:t>
            </w:r>
          </w:p>
        </w:tc>
        <w:tc>
          <w:tcPr>
            <w:tcW w:w="1760" w:type="dxa"/>
            <w:vAlign w:val="bottom"/>
          </w:tcPr>
          <w:p>
            <w:pPr>
              <w:spacing w:after="0"/>
              <w:rPr>
                <w:sz w:val="19"/>
                <w:szCs w:val="19"/>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2020</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28"/>
        </w:trPr>
        <w:tc>
          <w:tcPr>
            <w:tcW w:w="180" w:type="dxa"/>
            <w:vAlign w:val="bottom"/>
          </w:tcPr>
          <w:p>
            <w:pPr>
              <w:spacing w:after="0"/>
              <w:rPr>
                <w:sz w:val="19"/>
                <w:szCs w:val="19"/>
                <w:color w:val="auto"/>
              </w:rPr>
            </w:pPr>
          </w:p>
        </w:tc>
        <w:tc>
          <w:tcPr>
            <w:tcW w:w="3860" w:type="dxa"/>
            <w:vAlign w:val="bottom"/>
            <w:gridSpan w:val="3"/>
          </w:tcPr>
          <w:p>
            <w:pPr>
              <w:jc w:val="right"/>
              <w:ind w:right="1430"/>
              <w:spacing w:after="0"/>
              <w:rPr>
                <w:sz w:val="20"/>
                <w:szCs w:val="20"/>
                <w:color w:val="auto"/>
              </w:rPr>
            </w:pPr>
            <w:r>
              <w:rPr>
                <w:rFonts w:ascii="Times New Roman" w:cs="Times New Roman" w:eastAsia="Times New Roman" w:hAnsi="Times New Roman"/>
                <w:sz w:val="18"/>
                <w:szCs w:val="18"/>
                <w:color w:val="auto"/>
              </w:rPr>
              <w:t>(in thousands)</w:t>
            </w:r>
          </w:p>
        </w:tc>
      </w:tr>
      <w:tr>
        <w:trPr>
          <w:trHeight w:val="67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r>
      <w:tr>
        <w:trPr>
          <w:trHeight w:val="230"/>
        </w:trPr>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4,257</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29"/>
        </w:trPr>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160,478</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255,805</w:t>
            </w:r>
          </w:p>
        </w:tc>
      </w:tr>
      <w:tr>
        <w:trPr>
          <w:trHeight w:val="229"/>
        </w:trPr>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126,358</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117,172</w:t>
            </w:r>
          </w:p>
        </w:tc>
      </w:tr>
      <w:tr>
        <w:trPr>
          <w:trHeight w:val="230"/>
        </w:trPr>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20,828</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r>
      <w:tr>
        <w:trPr>
          <w:trHeight w:val="230"/>
        </w:trPr>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49,493</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43,282</w:t>
            </w:r>
          </w:p>
        </w:tc>
      </w:tr>
      <w:tr>
        <w:trPr>
          <w:trHeight w:val="234"/>
        </w:trPr>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33,287</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26,479</w:t>
            </w:r>
          </w:p>
        </w:tc>
      </w:tr>
      <w:tr>
        <w:trPr>
          <w:trHeight w:val="223"/>
        </w:trPr>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403,657</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-1328420</wp:posOffset>
            </wp:positionV>
            <wp:extent cx="710628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-1036955</wp:posOffset>
            </wp:positionV>
            <wp:extent cx="710628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-745490</wp:posOffset>
            </wp:positionV>
            <wp:extent cx="710628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-454025</wp:posOffset>
            </wp:positionV>
            <wp:extent cx="710628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-162560</wp:posOffset>
            </wp:positionV>
            <wp:extent cx="71062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40"/>
          </w:cols>
          <w:pgMar w:left="320" w:top="124" w:right="359" w:bottom="1440" w:gutter="0" w:footer="0" w:header="0"/>
          <w:type w:val="continuous"/>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14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tcBorders>
              <w:bottom w:val="single" w:sz="8" w:color="auto"/>
            </w:tcBorders>
            <w:shd w:val="clear" w:color="auto" w:fill="CEFFE7"/>
          </w:tcPr>
          <w:p>
            <w:pPr>
              <w:spacing w:after="0"/>
              <w:rPr>
                <w:sz w:val="19"/>
                <w:szCs w:val="19"/>
                <w:color w:val="auto"/>
              </w:rPr>
            </w:pPr>
          </w:p>
        </w:tc>
        <w:tc>
          <w:tcPr>
            <w:tcW w:w="142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15,659</w:t>
            </w:r>
          </w:p>
        </w:tc>
        <w:tc>
          <w:tcPr>
            <w:tcW w:w="660" w:type="dxa"/>
            <w:vAlign w:val="bottom"/>
            <w:tcBorders>
              <w:bottom w:val="single" w:sz="8" w:color="auto"/>
            </w:tcBorders>
            <w:shd w:val="clear" w:color="auto" w:fill="CEFFE7"/>
          </w:tcPr>
          <w:p>
            <w:pPr>
              <w:spacing w:after="0"/>
              <w:rPr>
                <w:sz w:val="19"/>
                <w:szCs w:val="19"/>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21,929</w:t>
            </w:r>
          </w:p>
        </w:tc>
      </w:tr>
      <w:tr>
        <w:trPr>
          <w:trHeight w:val="237"/>
        </w:trPr>
        <w:tc>
          <w:tcPr>
            <w:tcW w:w="7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714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0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7,128,387</w:t>
            </w:r>
          </w:p>
        </w:tc>
        <w:tc>
          <w:tcPr>
            <w:tcW w:w="660" w:type="dxa"/>
            <w:vAlign w:val="bottom"/>
            <w:shd w:val="clear" w:color="auto" w:fill="CEFFE7"/>
          </w:tcPr>
          <w:p>
            <w:pPr>
              <w:spacing w:after="0"/>
              <w:rPr>
                <w:sz w:val="19"/>
                <w:szCs w:val="19"/>
                <w:color w:val="auto"/>
              </w:rPr>
            </w:pPr>
          </w:p>
        </w:tc>
        <w:tc>
          <w:tcPr>
            <w:tcW w:w="1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6,784,679</w:t>
            </w:r>
          </w:p>
        </w:tc>
      </w:tr>
      <w:tr>
        <w:trPr>
          <w:trHeight w:val="229"/>
        </w:trPr>
        <w:tc>
          <w:tcPr>
            <w:tcW w:w="7140" w:type="dxa"/>
            <w:vAlign w:val="bottom"/>
            <w:tcBorders>
              <w:bottom w:val="single" w:sz="8" w:color="CEFFE7"/>
            </w:tcBorders>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depletion</w:t>
            </w:r>
          </w:p>
        </w:tc>
        <w:tc>
          <w:tcPr>
            <w:tcW w:w="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(1,276,410)</w:t>
            </w: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(1,281,493)</w:t>
            </w:r>
          </w:p>
        </w:tc>
      </w:tr>
      <w:tr>
        <w:trPr>
          <w:trHeight w:val="223"/>
        </w:trPr>
        <w:tc>
          <w:tcPr>
            <w:tcW w:w="7140" w:type="dxa"/>
            <w:vAlign w:val="bottom"/>
            <w:shd w:val="clear" w:color="auto" w:fill="CEFFE7"/>
          </w:tcPr>
          <w:p>
            <w:pPr>
              <w:ind w:left="5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600" w:type="dxa"/>
            <w:vAlign w:val="bottom"/>
            <w:tcBorders>
              <w:bottom w:val="single" w:sz="8" w:color="auto"/>
            </w:tcBorders>
            <w:shd w:val="clear" w:color="auto" w:fill="CEFFE7"/>
          </w:tcPr>
          <w:p>
            <w:pPr>
              <w:spacing w:after="0"/>
              <w:rPr>
                <w:sz w:val="19"/>
                <w:szCs w:val="19"/>
                <w:color w:val="auto"/>
              </w:rPr>
            </w:pPr>
          </w:p>
        </w:tc>
        <w:tc>
          <w:tcPr>
            <w:tcW w:w="142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5,851,977</w:t>
            </w:r>
          </w:p>
        </w:tc>
        <w:tc>
          <w:tcPr>
            <w:tcW w:w="660" w:type="dxa"/>
            <w:vAlign w:val="bottom"/>
            <w:tcBorders>
              <w:bottom w:val="single" w:sz="8" w:color="auto"/>
            </w:tcBorders>
            <w:shd w:val="clear" w:color="auto" w:fill="CEFFE7"/>
          </w:tcPr>
          <w:p>
            <w:pPr>
              <w:spacing w:after="0"/>
              <w:rPr>
                <w:sz w:val="19"/>
                <w:szCs w:val="19"/>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5,503,186</w:t>
            </w:r>
          </w:p>
        </w:tc>
      </w:tr>
      <w:tr>
        <w:trPr>
          <w:trHeight w:val="236"/>
        </w:trPr>
        <w:tc>
          <w:tcPr>
            <w:tcW w:w="7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714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shd w:val="clear" w:color="auto" w:fill="CEFFE7"/>
          </w:tcPr>
          <w:p>
            <w:pPr>
              <w:spacing w:after="0"/>
              <w:rPr>
                <w:sz w:val="19"/>
                <w:szCs w:val="19"/>
                <w:color w:val="auto"/>
              </w:rPr>
            </w:pPr>
          </w:p>
        </w:tc>
        <w:tc>
          <w:tcPr>
            <w:tcW w:w="1420" w:type="dxa"/>
            <w:vAlign w:val="bottom"/>
            <w:shd w:val="clear" w:color="auto" w:fill="CEFFE7"/>
          </w:tcPr>
          <w:p>
            <w:pPr>
              <w:spacing w:after="0"/>
              <w:rPr>
                <w:sz w:val="19"/>
                <w:szCs w:val="19"/>
                <w:color w:val="auto"/>
              </w:rPr>
            </w:pPr>
          </w:p>
        </w:tc>
        <w:tc>
          <w:tcPr>
            <w:tcW w:w="660" w:type="dxa"/>
            <w:vAlign w:val="bottom"/>
            <w:shd w:val="clear" w:color="auto" w:fill="CEFFE7"/>
          </w:tcPr>
          <w:p>
            <w:pPr>
              <w:spacing w:after="0"/>
              <w:rPr>
                <w:sz w:val="19"/>
                <w:szCs w:val="19"/>
                <w:color w:val="auto"/>
              </w:rPr>
            </w:pPr>
          </w:p>
        </w:tc>
        <w:tc>
          <w:tcPr>
            <w:tcW w:w="1360" w:type="dxa"/>
            <w:vAlign w:val="bottom"/>
            <w:shd w:val="clear" w:color="auto" w:fill="CEFFE7"/>
          </w:tcPr>
          <w:p>
            <w:pPr>
              <w:spacing w:after="0"/>
              <w:rPr>
                <w:sz w:val="19"/>
                <w:szCs w:val="19"/>
                <w:color w:val="auto"/>
              </w:rPr>
            </w:pPr>
          </w:p>
        </w:tc>
      </w:tr>
      <w:tr>
        <w:trPr>
          <w:trHeight w:val="230"/>
        </w:trPr>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1,299,454</w:t>
            </w: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1,299,454</w:t>
            </w:r>
          </w:p>
        </w:tc>
      </w:tr>
      <w:tr>
        <w:trPr>
          <w:trHeight w:val="230"/>
        </w:trPr>
        <w:tc>
          <w:tcPr>
            <w:tcW w:w="7140" w:type="dxa"/>
            <w:vAlign w:val="bottom"/>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60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12,242</w:t>
            </w:r>
          </w:p>
        </w:tc>
        <w:tc>
          <w:tcPr>
            <w:tcW w:w="660" w:type="dxa"/>
            <w:vAlign w:val="bottom"/>
            <w:shd w:val="clear" w:color="auto" w:fill="CEFFE7"/>
          </w:tcPr>
          <w:p>
            <w:pPr>
              <w:spacing w:after="0"/>
              <w:rPr>
                <w:sz w:val="19"/>
                <w:szCs w:val="19"/>
                <w:color w:val="auto"/>
              </w:rPr>
            </w:pPr>
          </w:p>
        </w:tc>
        <w:tc>
          <w:tcPr>
            <w:tcW w:w="1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13,266</w:t>
            </w:r>
          </w:p>
        </w:tc>
      </w:tr>
      <w:tr>
        <w:trPr>
          <w:trHeight w:val="230"/>
        </w:trPr>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assets, non-current</w:t>
            </w:r>
          </w:p>
        </w:tc>
        <w:tc>
          <w:tcPr>
            <w:tcW w:w="60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221,743</w:t>
            </w: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228,062</w:t>
            </w:r>
          </w:p>
        </w:tc>
      </w:tr>
      <w:tr>
        <w:trPr>
          <w:trHeight w:val="230"/>
        </w:trPr>
        <w:tc>
          <w:tcPr>
            <w:tcW w:w="7140" w:type="dxa"/>
            <w:vAlign w:val="bottom"/>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Other assets, non-current</w:t>
            </w:r>
          </w:p>
        </w:tc>
        <w:tc>
          <w:tcPr>
            <w:tcW w:w="600" w:type="dxa"/>
            <w:vAlign w:val="bottom"/>
            <w:tcBorders>
              <w:bottom w:val="single" w:sz="8" w:color="auto"/>
            </w:tcBorders>
            <w:shd w:val="clear" w:color="auto" w:fill="CEFFE7"/>
          </w:tcPr>
          <w:p>
            <w:pPr>
              <w:spacing w:after="0"/>
              <w:rPr>
                <w:sz w:val="19"/>
                <w:szCs w:val="19"/>
                <w:color w:val="auto"/>
              </w:rPr>
            </w:pPr>
          </w:p>
        </w:tc>
        <w:tc>
          <w:tcPr>
            <w:tcW w:w="142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24,318</w:t>
            </w:r>
          </w:p>
        </w:tc>
        <w:tc>
          <w:tcPr>
            <w:tcW w:w="660" w:type="dxa"/>
            <w:vAlign w:val="bottom"/>
            <w:tcBorders>
              <w:bottom w:val="single" w:sz="8" w:color="auto"/>
            </w:tcBorders>
            <w:shd w:val="clear" w:color="auto" w:fill="CEFFE7"/>
          </w:tcPr>
          <w:p>
            <w:pPr>
              <w:spacing w:after="0"/>
              <w:rPr>
                <w:sz w:val="19"/>
                <w:szCs w:val="19"/>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19,376</w:t>
            </w:r>
          </w:p>
        </w:tc>
      </w:tr>
      <w:tr>
        <w:trPr>
          <w:trHeight w:val="223"/>
        </w:trPr>
        <w:tc>
          <w:tcPr>
            <w:tcW w:w="7140" w:type="dxa"/>
            <w:vAlign w:val="bottom"/>
            <w:tcBorders>
              <w:bottom w:val="single" w:sz="8" w:color="CEFFE7"/>
            </w:tcBorders>
          </w:tcPr>
          <w:p>
            <w:pPr>
              <w:ind w:left="520"/>
              <w:spacing w:after="0"/>
              <w:rPr>
                <w:sz w:val="20"/>
                <w:szCs w:val="20"/>
                <w:color w:val="auto"/>
              </w:rPr>
            </w:pPr>
            <w:r>
              <w:rPr>
                <w:rFonts w:ascii="Times New Roman" w:cs="Times New Roman" w:eastAsia="Times New Roman" w:hAnsi="Times New Roman"/>
                <w:sz w:val="18"/>
                <w:szCs w:val="18"/>
                <w:color w:val="auto"/>
              </w:rPr>
              <w:t>Total other assets, non-current</w:t>
            </w:r>
          </w:p>
        </w:tc>
        <w:tc>
          <w:tcPr>
            <w:tcW w:w="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1,557,757</w:t>
            </w: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1,560,158</w:t>
            </w:r>
          </w:p>
        </w:tc>
      </w:tr>
      <w:tr>
        <w:trPr>
          <w:trHeight w:val="236"/>
        </w:trPr>
        <w:tc>
          <w:tcPr>
            <w:tcW w:w="7140" w:type="dxa"/>
            <w:vAlign w:val="bottom"/>
            <w:shd w:val="clear" w:color="auto" w:fill="CEFFE7"/>
          </w:tcPr>
          <w:p>
            <w:pPr>
              <w:spacing w:after="0"/>
              <w:rPr>
                <w:sz w:val="20"/>
                <w:szCs w:val="20"/>
                <w:color w:val="auto"/>
              </w:rPr>
            </w:pPr>
          </w:p>
        </w:tc>
        <w:tc>
          <w:tcPr>
            <w:tcW w:w="600" w:type="dxa"/>
            <w:vAlign w:val="bottom"/>
            <w:shd w:val="clear" w:color="auto" w:fill="CEFFE7"/>
          </w:tcPr>
          <w:p>
            <w:pPr>
              <w:spacing w:after="0"/>
              <w:rPr>
                <w:sz w:val="20"/>
                <w:szCs w:val="20"/>
                <w:color w:val="auto"/>
              </w:rPr>
            </w:pPr>
          </w:p>
        </w:tc>
        <w:tc>
          <w:tcPr>
            <w:tcW w:w="1420" w:type="dxa"/>
            <w:vAlign w:val="bottom"/>
            <w:shd w:val="clear" w:color="auto" w:fill="CEFFE7"/>
          </w:tcPr>
          <w:p>
            <w:pPr>
              <w:spacing w:after="0"/>
              <w:rPr>
                <w:sz w:val="20"/>
                <w:szCs w:val="20"/>
                <w:color w:val="auto"/>
              </w:rPr>
            </w:pPr>
          </w:p>
        </w:tc>
        <w:tc>
          <w:tcPr>
            <w:tcW w:w="660" w:type="dxa"/>
            <w:vAlign w:val="bottom"/>
            <w:shd w:val="clear" w:color="auto" w:fill="CEFFE7"/>
          </w:tcPr>
          <w:p>
            <w:pPr>
              <w:spacing w:after="0"/>
              <w:rPr>
                <w:sz w:val="20"/>
                <w:szCs w:val="20"/>
                <w:color w:val="auto"/>
              </w:rPr>
            </w:pPr>
          </w:p>
        </w:tc>
        <w:tc>
          <w:tcPr>
            <w:tcW w:w="1360" w:type="dxa"/>
            <w:vAlign w:val="bottom"/>
            <w:shd w:val="clear" w:color="auto" w:fill="CEFFE7"/>
          </w:tcPr>
          <w:p>
            <w:pPr>
              <w:spacing w:after="0"/>
              <w:rPr>
                <w:sz w:val="20"/>
                <w:szCs w:val="20"/>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7,829,050</w:t>
            </w:r>
          </w:p>
        </w:tc>
        <w:tc>
          <w:tcPr>
            <w:tcW w:w="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7,558,457</w:t>
            </w:r>
          </w:p>
        </w:tc>
      </w:tr>
      <w:tr>
        <w:trPr>
          <w:trHeight w:val="20"/>
        </w:trPr>
        <w:tc>
          <w:tcPr>
            <w:tcW w:w="7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accompanying </w:t>
      </w:r>
      <w:hyperlink w:anchor="page13">
        <w:r>
          <w:rPr>
            <w:rFonts w:ascii="Times New Roman" w:cs="Times New Roman" w:eastAsia="Times New Roman" w:hAnsi="Times New Roman"/>
            <w:sz w:val="14"/>
            <w:szCs w:val="14"/>
            <w:u w:val="single" w:color="auto"/>
            <w:color w:val="0000FF"/>
          </w:rPr>
          <w:t>Notes to Condensed Consolidated Financial Statements</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are an integral part of these Condensed Consolidated Financial Statements.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9" w:name="page10"/>
    <w:bookmarkEnd w:id="9"/>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9"/>
                <w:szCs w:val="19"/>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of</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2020</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228"/>
        </w:trPr>
        <w:tc>
          <w:tcPr>
            <w:tcW w:w="714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Pr>
          <w:p>
            <w:pPr>
              <w:spacing w:after="0"/>
              <w:rPr>
                <w:sz w:val="19"/>
                <w:szCs w:val="19"/>
                <w:color w:val="auto"/>
              </w:rPr>
            </w:pPr>
          </w:p>
        </w:tc>
        <w:tc>
          <w:tcPr>
            <w:tcW w:w="386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(in thousands, except share amounts)</w:t>
            </w:r>
          </w:p>
        </w:tc>
        <w:tc>
          <w:tcPr>
            <w:tcW w:w="0" w:type="dxa"/>
            <w:vAlign w:val="bottom"/>
          </w:tcPr>
          <w:p>
            <w:pPr>
              <w:spacing w:after="0"/>
              <w:rPr>
                <w:sz w:val="1"/>
                <w:szCs w:val="1"/>
                <w:color w:val="auto"/>
              </w:rPr>
            </w:pPr>
          </w:p>
        </w:tc>
      </w:tr>
      <w:tr>
        <w:trPr>
          <w:trHeight w:val="220"/>
        </w:trPr>
        <w:tc>
          <w:tcPr>
            <w:tcW w:w="7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152,010</w:t>
            </w:r>
          </w:p>
        </w:tc>
        <w:tc>
          <w:tcPr>
            <w:tcW w:w="3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193,523</w:t>
            </w:r>
          </w:p>
        </w:tc>
        <w:tc>
          <w:tcPr>
            <w:tcW w:w="0" w:type="dxa"/>
            <w:vAlign w:val="bottom"/>
          </w:tcPr>
          <w:p>
            <w:pPr>
              <w:spacing w:after="0"/>
              <w:rPr>
                <w:sz w:val="1"/>
                <w:szCs w:val="1"/>
                <w:color w:val="auto"/>
              </w:rPr>
            </w:pPr>
          </w:p>
        </w:tc>
      </w:tr>
      <w:tr>
        <w:trPr>
          <w:trHeight w:val="230"/>
        </w:trPr>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244,010</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226,767</w:t>
            </w:r>
          </w:p>
        </w:tc>
        <w:tc>
          <w:tcPr>
            <w:tcW w:w="0" w:type="dxa"/>
            <w:vAlign w:val="bottom"/>
          </w:tcPr>
          <w:p>
            <w:pPr>
              <w:spacing w:after="0"/>
              <w:rPr>
                <w:sz w:val="1"/>
                <w:szCs w:val="1"/>
                <w:color w:val="auto"/>
              </w:rPr>
            </w:pPr>
          </w:p>
        </w:tc>
      </w:tr>
      <w:tr>
        <w:trPr>
          <w:trHeight w:val="229"/>
        </w:trPr>
        <w:tc>
          <w:tcPr>
            <w:tcW w:w="7140" w:type="dxa"/>
            <w:vAlign w:val="bottom"/>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Derivative liabilities, current</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1,439</w:t>
            </w:r>
          </w:p>
        </w:tc>
        <w:tc>
          <w:tcPr>
            <w:tcW w:w="300" w:type="dxa"/>
            <w:vAlign w:val="bottom"/>
            <w:shd w:val="clear" w:color="auto" w:fill="CEFFE7"/>
          </w:tcPr>
          <w:p>
            <w:pPr>
              <w:spacing w:after="0"/>
              <w:rPr>
                <w:sz w:val="19"/>
                <w:szCs w:val="19"/>
                <w:color w:val="auto"/>
              </w:rPr>
            </w:pPr>
          </w:p>
        </w:tc>
        <w:tc>
          <w:tcPr>
            <w:tcW w:w="1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29"/>
        </w:trPr>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liabilities, current</w:t>
            </w:r>
          </w:p>
        </w:tc>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22,282</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33,507</w:t>
            </w:r>
          </w:p>
        </w:tc>
        <w:tc>
          <w:tcPr>
            <w:tcW w:w="0" w:type="dxa"/>
            <w:vAlign w:val="bottom"/>
          </w:tcPr>
          <w:p>
            <w:pPr>
              <w:spacing w:after="0"/>
              <w:rPr>
                <w:sz w:val="1"/>
                <w:szCs w:val="1"/>
                <w:color w:val="auto"/>
              </w:rPr>
            </w:pPr>
          </w:p>
        </w:tc>
      </w:tr>
      <w:tr>
        <w:trPr>
          <w:trHeight w:val="230"/>
        </w:trPr>
        <w:tc>
          <w:tcPr>
            <w:tcW w:w="7140" w:type="dxa"/>
            <w:vAlign w:val="bottom"/>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84,320</w:t>
            </w:r>
          </w:p>
        </w:tc>
        <w:tc>
          <w:tcPr>
            <w:tcW w:w="300" w:type="dxa"/>
            <w:vAlign w:val="bottom"/>
            <w:shd w:val="clear" w:color="auto" w:fill="CEFFE7"/>
          </w:tcPr>
          <w:p>
            <w:pPr>
              <w:spacing w:after="0"/>
              <w:rPr>
                <w:sz w:val="19"/>
                <w:szCs w:val="19"/>
                <w:color w:val="auto"/>
              </w:rPr>
            </w:pPr>
          </w:p>
        </w:tc>
        <w:tc>
          <w:tcPr>
            <w:tcW w:w="1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349,500</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EFFE7"/>
            </w:tcBorders>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9,871</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0" w:type="dxa"/>
            <w:vAlign w:val="bottom"/>
          </w:tcPr>
          <w:p>
            <w:pPr>
              <w:spacing w:after="0"/>
              <w:rPr>
                <w:sz w:val="1"/>
                <w:szCs w:val="1"/>
                <w:color w:val="auto"/>
              </w:rPr>
            </w:pPr>
          </w:p>
        </w:tc>
      </w:tr>
      <w:tr>
        <w:trPr>
          <w:trHeight w:val="223"/>
        </w:trPr>
        <w:tc>
          <w:tcPr>
            <w:tcW w:w="7140" w:type="dxa"/>
            <w:vAlign w:val="bottom"/>
            <w:shd w:val="clear" w:color="auto" w:fill="CEFFE7"/>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EFFE7"/>
          </w:tcPr>
          <w:p>
            <w:pPr>
              <w:spacing w:after="0"/>
              <w:rPr>
                <w:sz w:val="19"/>
                <w:szCs w:val="19"/>
                <w:color w:val="auto"/>
              </w:rPr>
            </w:pPr>
          </w:p>
        </w:tc>
        <w:tc>
          <w:tcPr>
            <w:tcW w:w="18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513,932</w:t>
            </w:r>
          </w:p>
        </w:tc>
        <w:tc>
          <w:tcPr>
            <w:tcW w:w="300" w:type="dxa"/>
            <w:vAlign w:val="bottom"/>
            <w:tcBorders>
              <w:bottom w:val="single" w:sz="8" w:color="auto"/>
            </w:tcBorders>
            <w:shd w:val="clear" w:color="auto" w:fill="CEFFE7"/>
          </w:tcPr>
          <w:p>
            <w:pPr>
              <w:spacing w:after="0"/>
              <w:rPr>
                <w:sz w:val="19"/>
                <w:szCs w:val="19"/>
                <w:color w:val="auto"/>
              </w:rPr>
            </w:pPr>
          </w:p>
        </w:tc>
        <w:tc>
          <w:tcPr>
            <w:tcW w:w="17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811,294</w:t>
            </w: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80" w:type="dxa"/>
            <w:vAlign w:val="bottom"/>
            <w:tcBorders>
              <w:bottom w:val="single" w:sz="8" w:color="auto"/>
            </w:tcBorders>
            <w:shd w:val="clear" w:color="auto" w:fill="CEFFE7"/>
          </w:tcPr>
          <w:p>
            <w:pPr>
              <w:spacing w:after="0"/>
              <w:rPr>
                <w:sz w:val="19"/>
                <w:szCs w:val="19"/>
                <w:color w:val="auto"/>
              </w:rPr>
            </w:pPr>
          </w:p>
        </w:tc>
        <w:tc>
          <w:tcPr>
            <w:tcW w:w="18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3,526,894</w:t>
            </w:r>
          </w:p>
        </w:tc>
        <w:tc>
          <w:tcPr>
            <w:tcW w:w="300" w:type="dxa"/>
            <w:vAlign w:val="bottom"/>
            <w:tcBorders>
              <w:bottom w:val="single" w:sz="8" w:color="auto"/>
            </w:tcBorders>
            <w:shd w:val="clear" w:color="auto" w:fill="CEFFE7"/>
          </w:tcPr>
          <w:p>
            <w:pPr>
              <w:spacing w:after="0"/>
              <w:rPr>
                <w:sz w:val="19"/>
                <w:szCs w:val="19"/>
                <w:color w:val="auto"/>
              </w:rPr>
            </w:pPr>
          </w:p>
        </w:tc>
        <w:tc>
          <w:tcPr>
            <w:tcW w:w="17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3,140,096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4" w:right="359" w:bottom="1440" w:gutter="0" w:footer="0" w:header="0"/>
        </w:sectPr>
      </w:pP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Deferred income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Regulatory liabilities, non-current</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Benefit plan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deferred credits and other liabilities</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Commitments and contingencies (See Notes 7, 9, 12, 13)</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398,136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360,719</w:t>
            </w:r>
          </w:p>
        </w:tc>
      </w:tr>
      <w:tr>
        <w:trPr>
          <w:trHeight w:val="229"/>
        </w:trPr>
        <w:tc>
          <w:tcPr>
            <w:tcW w:w="25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505,317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503,145</w:t>
            </w:r>
          </w:p>
        </w:tc>
      </w:tr>
      <w:tr>
        <w:trPr>
          <w:trHeight w:val="229"/>
        </w:trPr>
        <w:tc>
          <w:tcPr>
            <w:tcW w:w="25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144,049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154,472</w:t>
            </w:r>
          </w:p>
        </w:tc>
      </w:tr>
      <w:tr>
        <w:trPr>
          <w:trHeight w:val="234"/>
        </w:trPr>
        <w:tc>
          <w:tcPr>
            <w:tcW w:w="2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120,522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124,662</w:t>
            </w:r>
          </w:p>
        </w:tc>
      </w:tr>
      <w:tr>
        <w:trPr>
          <w:trHeight w:val="223"/>
        </w:trPr>
        <w:tc>
          <w:tcPr>
            <w:tcW w:w="2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1,168,024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1,142,998</w:t>
            </w:r>
          </w:p>
        </w:tc>
      </w:tr>
    </w:tbl>
    <w:p>
      <w:pPr>
        <w:spacing w:after="0" w:line="492" w:lineRule="exact"/>
        <w:rPr>
          <w:sz w:val="20"/>
          <w:szCs w:val="20"/>
          <w:color w:val="auto"/>
        </w:rPr>
      </w:pPr>
    </w:p>
    <w:p>
      <w:pPr>
        <w:sectPr>
          <w:pgSz w:w="11900" w:h="16838" w:orient="portrait"/>
          <w:cols w:equalWidth="0" w:num="2">
            <w:col w:w="6460" w:space="720"/>
            <w:col w:w="4040"/>
          </w:cols>
          <w:pgMar w:left="320" w:top="124" w:right="359" w:bottom="1440" w:gutter="0" w:footer="0" w:header="0"/>
          <w:type w:val="continuous"/>
        </w:sectPr>
      </w:pPr>
    </w:p>
    <w:tbl>
      <w:tblPr>
        <w:tblLayout w:type="fixed"/>
        <w:tblInd w:w="40" w:type="dxa"/>
        <w:tblCellMar>
          <w:top w:w="0" w:type="dxa"/>
          <w:left w:w="0" w:type="dxa"/>
          <w:bottom w:w="0" w:type="dxa"/>
          <w:right w:w="0" w:type="dxa"/>
        </w:tblCellMar>
      </w:tblPr>
      <w:tr>
        <w:trPr>
          <w:trHeight w:val="236"/>
        </w:trPr>
        <w:tc>
          <w:tcPr>
            <w:tcW w:w="714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1380" w:type="dxa"/>
            <w:vAlign w:val="bottom"/>
            <w:shd w:val="clear" w:color="auto" w:fill="CEFFE7"/>
          </w:tcPr>
          <w:p>
            <w:pPr>
              <w:spacing w:after="0"/>
              <w:rPr>
                <w:sz w:val="20"/>
                <w:szCs w:val="20"/>
                <w:color w:val="auto"/>
              </w:rPr>
            </w:pPr>
          </w:p>
        </w:tc>
        <w:tc>
          <w:tcPr>
            <w:tcW w:w="700" w:type="dxa"/>
            <w:vAlign w:val="bottom"/>
            <w:shd w:val="clear" w:color="auto" w:fill="CEFFE7"/>
          </w:tcPr>
          <w:p>
            <w:pPr>
              <w:spacing w:after="0"/>
              <w:rPr>
                <w:sz w:val="20"/>
                <w:szCs w:val="20"/>
                <w:color w:val="auto"/>
              </w:rPr>
            </w:pPr>
          </w:p>
        </w:tc>
        <w:tc>
          <w:tcPr>
            <w:tcW w:w="132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Stockholders’ equity —</w:t>
            </w:r>
          </w:p>
        </w:tc>
        <w:tc>
          <w:tcPr>
            <w:tcW w:w="64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70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Common stock $1 par value; 100,000,000 shares authorized; issued 62,773,015 and 61,480,658</w:t>
            </w:r>
          </w:p>
        </w:tc>
        <w:tc>
          <w:tcPr>
            <w:tcW w:w="640" w:type="dxa"/>
            <w:vAlign w:val="bottom"/>
          </w:tcPr>
          <w:p>
            <w:pPr>
              <w:spacing w:after="0"/>
              <w:rPr>
                <w:sz w:val="15"/>
                <w:szCs w:val="15"/>
                <w:color w:val="auto"/>
              </w:rPr>
            </w:pPr>
          </w:p>
        </w:tc>
        <w:tc>
          <w:tcPr>
            <w:tcW w:w="1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62,773</w:t>
            </w:r>
          </w:p>
        </w:tc>
        <w:tc>
          <w:tcPr>
            <w:tcW w:w="7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61,481</w:t>
            </w:r>
          </w:p>
        </w:tc>
        <w:tc>
          <w:tcPr>
            <w:tcW w:w="0" w:type="dxa"/>
            <w:vAlign w:val="bottom"/>
          </w:tcPr>
          <w:p>
            <w:pPr>
              <w:spacing w:after="0"/>
              <w:rPr>
                <w:sz w:val="1"/>
                <w:szCs w:val="1"/>
                <w:color w:val="auto"/>
              </w:rPr>
            </w:pP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respectively</w:t>
            </w:r>
          </w:p>
        </w:tc>
        <w:tc>
          <w:tcPr>
            <w:tcW w:w="6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40" w:type="dxa"/>
            <w:vAlign w:val="bottom"/>
            <w:shd w:val="clear" w:color="auto" w:fill="CEFFE7"/>
          </w:tcPr>
          <w:p>
            <w:pPr>
              <w:spacing w:after="0"/>
              <w:rPr>
                <w:sz w:val="19"/>
                <w:szCs w:val="19"/>
                <w:color w:val="auto"/>
              </w:rPr>
            </w:pPr>
          </w:p>
        </w:tc>
        <w:tc>
          <w:tcPr>
            <w:tcW w:w="138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1,655,912</w:t>
            </w:r>
          </w:p>
        </w:tc>
        <w:tc>
          <w:tcPr>
            <w:tcW w:w="70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1,552,788</w:t>
            </w:r>
          </w:p>
        </w:tc>
        <w:tc>
          <w:tcPr>
            <w:tcW w:w="0" w:type="dxa"/>
            <w:vAlign w:val="bottom"/>
          </w:tcPr>
          <w:p>
            <w:pPr>
              <w:spacing w:after="0"/>
              <w:rPr>
                <w:sz w:val="1"/>
                <w:szCs w:val="1"/>
                <w:color w:val="auto"/>
              </w:rPr>
            </w:pP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64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828,993</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778,776</w:t>
            </w:r>
          </w:p>
        </w:tc>
        <w:tc>
          <w:tcPr>
            <w:tcW w:w="0" w:type="dxa"/>
            <w:vAlign w:val="bottom"/>
          </w:tcPr>
          <w:p>
            <w:pPr>
              <w:spacing w:after="0"/>
              <w:rPr>
                <w:sz w:val="1"/>
                <w:szCs w:val="1"/>
                <w:color w:val="auto"/>
              </w:rPr>
            </w:pPr>
          </w:p>
        </w:tc>
      </w:tr>
      <w:tr>
        <w:trPr>
          <w:trHeight w:val="230"/>
        </w:trPr>
        <w:tc>
          <w:tcPr>
            <w:tcW w:w="7140" w:type="dxa"/>
            <w:vAlign w:val="bottom"/>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Treasury stock, at cost – 24,897 and 3,956 shares, respectively</w:t>
            </w:r>
          </w:p>
        </w:tc>
        <w:tc>
          <w:tcPr>
            <w:tcW w:w="640" w:type="dxa"/>
            <w:vAlign w:val="bottom"/>
            <w:shd w:val="clear" w:color="auto" w:fill="CEFFE7"/>
          </w:tcPr>
          <w:p>
            <w:pPr>
              <w:spacing w:after="0"/>
              <w:rPr>
                <w:sz w:val="19"/>
                <w:szCs w:val="19"/>
                <w:color w:val="auto"/>
              </w:rPr>
            </w:pPr>
          </w:p>
        </w:tc>
        <w:tc>
          <w:tcPr>
            <w:tcW w:w="13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70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EFFE7"/>
            </w:tcBorders>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0" w:type="dxa"/>
            <w:vAlign w:val="bottom"/>
          </w:tcPr>
          <w:p>
            <w:pPr>
              <w:spacing w:after="0"/>
              <w:rPr>
                <w:sz w:val="1"/>
                <w:szCs w:val="1"/>
                <w:color w:val="auto"/>
              </w:rPr>
            </w:pPr>
          </w:p>
        </w:tc>
      </w:tr>
      <w:tr>
        <w:trPr>
          <w:trHeight w:val="223"/>
        </w:trPr>
        <w:tc>
          <w:tcPr>
            <w:tcW w:w="7140" w:type="dxa"/>
            <w:vAlign w:val="bottom"/>
            <w:shd w:val="clear" w:color="auto" w:fill="CEFFE7"/>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40" w:type="dxa"/>
            <w:vAlign w:val="bottom"/>
            <w:shd w:val="clear" w:color="auto" w:fill="CEFFE7"/>
          </w:tcPr>
          <w:p>
            <w:pPr>
              <w:spacing w:after="0"/>
              <w:rPr>
                <w:sz w:val="19"/>
                <w:szCs w:val="19"/>
                <w:color w:val="auto"/>
              </w:rPr>
            </w:pPr>
          </w:p>
        </w:tc>
        <w:tc>
          <w:tcPr>
            <w:tcW w:w="138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2,519,046</w:t>
            </w:r>
          </w:p>
        </w:tc>
        <w:tc>
          <w:tcPr>
            <w:tcW w:w="700" w:type="dxa"/>
            <w:vAlign w:val="bottom"/>
            <w:shd w:val="clear" w:color="auto" w:fill="CEFFE7"/>
          </w:tcPr>
          <w:p>
            <w:pPr>
              <w:spacing w:after="0"/>
              <w:rPr>
                <w:sz w:val="19"/>
                <w:szCs w:val="19"/>
                <w:color w:val="auto"/>
              </w:rPr>
            </w:pPr>
          </w:p>
        </w:tc>
        <w:tc>
          <w:tcPr>
            <w:tcW w:w="13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2,362,123</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EFFE7"/>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101,154</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101,946</w:t>
            </w:r>
          </w:p>
        </w:tc>
        <w:tc>
          <w:tcPr>
            <w:tcW w:w="0" w:type="dxa"/>
            <w:vAlign w:val="bottom"/>
          </w:tcPr>
          <w:p>
            <w:pPr>
              <w:spacing w:after="0"/>
              <w:rPr>
                <w:sz w:val="1"/>
                <w:szCs w:val="1"/>
                <w:color w:val="auto"/>
              </w:rPr>
            </w:pPr>
          </w:p>
        </w:tc>
      </w:tr>
      <w:tr>
        <w:trPr>
          <w:trHeight w:val="223"/>
        </w:trPr>
        <w:tc>
          <w:tcPr>
            <w:tcW w:w="7140" w:type="dxa"/>
            <w:vAlign w:val="bottom"/>
            <w:shd w:val="clear" w:color="auto" w:fill="CEFFE7"/>
          </w:tcPr>
          <w:p>
            <w:pPr>
              <w:ind w:left="560"/>
              <w:spacing w:after="0"/>
              <w:rPr>
                <w:sz w:val="20"/>
                <w:szCs w:val="20"/>
                <w:color w:val="auto"/>
              </w:rPr>
            </w:pPr>
            <w:r>
              <w:rPr>
                <w:rFonts w:ascii="Times New Roman" w:cs="Times New Roman" w:eastAsia="Times New Roman" w:hAnsi="Times New Roman"/>
                <w:sz w:val="18"/>
                <w:szCs w:val="18"/>
                <w:color w:val="auto"/>
              </w:rPr>
              <w:t>Total equity</w:t>
            </w:r>
          </w:p>
        </w:tc>
        <w:tc>
          <w:tcPr>
            <w:tcW w:w="640" w:type="dxa"/>
            <w:vAlign w:val="bottom"/>
            <w:tcBorders>
              <w:bottom w:val="single" w:sz="8" w:color="auto"/>
            </w:tcBorders>
            <w:shd w:val="clear" w:color="auto" w:fill="CEFFE7"/>
          </w:tcPr>
          <w:p>
            <w:pPr>
              <w:spacing w:after="0"/>
              <w:rPr>
                <w:sz w:val="19"/>
                <w:szCs w:val="19"/>
                <w:color w:val="auto"/>
              </w:rPr>
            </w:pPr>
          </w:p>
        </w:tc>
        <w:tc>
          <w:tcPr>
            <w:tcW w:w="13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2,620,200</w:t>
            </w:r>
          </w:p>
        </w:tc>
        <w:tc>
          <w:tcPr>
            <w:tcW w:w="700" w:type="dxa"/>
            <w:vAlign w:val="bottom"/>
            <w:tcBorders>
              <w:bottom w:val="single" w:sz="8" w:color="auto"/>
            </w:tcBorders>
            <w:shd w:val="clear" w:color="auto" w:fill="CEFFE7"/>
          </w:tcPr>
          <w:p>
            <w:pPr>
              <w:spacing w:after="0"/>
              <w:rPr>
                <w:sz w:val="19"/>
                <w:szCs w:val="19"/>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2,464,069</w:t>
            </w:r>
          </w:p>
        </w:tc>
        <w:tc>
          <w:tcPr>
            <w:tcW w:w="0" w:type="dxa"/>
            <w:vAlign w:val="bottom"/>
          </w:tcPr>
          <w:p>
            <w:pPr>
              <w:spacing w:after="0"/>
              <w:rPr>
                <w:sz w:val="1"/>
                <w:szCs w:val="1"/>
                <w:color w:val="auto"/>
              </w:rPr>
            </w:pPr>
          </w:p>
        </w:tc>
      </w:tr>
      <w:tr>
        <w:trPr>
          <w:trHeight w:val="236"/>
        </w:trPr>
        <w:tc>
          <w:tcPr>
            <w:tcW w:w="7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140" w:type="dxa"/>
            <w:vAlign w:val="bottom"/>
            <w:tcBorders>
              <w:bottom w:val="single" w:sz="8" w:color="CEFFE7"/>
            </w:tcBorders>
            <w:shd w:val="clear" w:color="auto" w:fill="CEFFE7"/>
          </w:tcPr>
          <w:p>
            <w:pPr>
              <w:spacing w:after="0"/>
              <w:rPr>
                <w:sz w:val="20"/>
                <w:szCs w:val="20"/>
                <w:color w:val="auto"/>
              </w:rPr>
            </w:pPr>
            <w:r>
              <w:rPr>
                <w:rFonts w:ascii="Times New Roman" w:cs="Times New Roman" w:eastAsia="Times New Roman" w:hAnsi="Times New Roman"/>
                <w:sz w:val="18"/>
                <w:szCs w:val="18"/>
                <w:color w:val="auto"/>
              </w:rPr>
              <w:t>TOTAL LIABILITIES AND TOTAL EQUITY</w:t>
            </w:r>
          </w:p>
        </w:tc>
        <w:tc>
          <w:tcPr>
            <w:tcW w:w="640" w:type="dxa"/>
            <w:vAlign w:val="bottom"/>
            <w:tcBorders>
              <w:bottom w:val="single" w:sz="8" w:color="auto"/>
            </w:tcBorders>
            <w:shd w:val="clear" w:color="auto" w:fill="CEFFE7"/>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7,829,050</w:t>
            </w:r>
          </w:p>
        </w:tc>
        <w:tc>
          <w:tcPr>
            <w:tcW w:w="700" w:type="dxa"/>
            <w:vAlign w:val="bottom"/>
            <w:tcBorders>
              <w:bottom w:val="single" w:sz="8" w:color="auto"/>
            </w:tcBorders>
            <w:shd w:val="clear" w:color="auto" w:fill="CEFFE7"/>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7,558,457</w:t>
            </w:r>
          </w:p>
        </w:tc>
        <w:tc>
          <w:tcPr>
            <w:tcW w:w="0" w:type="dxa"/>
            <w:vAlign w:val="bottom"/>
          </w:tcPr>
          <w:p>
            <w:pPr>
              <w:spacing w:after="0"/>
              <w:rPr>
                <w:sz w:val="1"/>
                <w:szCs w:val="1"/>
                <w:color w:val="auto"/>
              </w:rPr>
            </w:pPr>
          </w:p>
        </w:tc>
      </w:tr>
      <w:tr>
        <w:trPr>
          <w:trHeight w:val="20"/>
        </w:trPr>
        <w:tc>
          <w:tcPr>
            <w:tcW w:w="714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3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accompanying </w:t>
      </w:r>
      <w:hyperlink w:anchor="page13">
        <w:r>
          <w:rPr>
            <w:rFonts w:ascii="Times New Roman" w:cs="Times New Roman" w:eastAsia="Times New Roman" w:hAnsi="Times New Roman"/>
            <w:sz w:val="14"/>
            <w:szCs w:val="14"/>
            <w:u w:val="single" w:color="auto"/>
            <w:color w:val="0000FF"/>
          </w:rPr>
          <w:t>Notes to Condensed Consolidated Financial Statements</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are an integral part of these Condensed Consolidated Financial Statements.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0" w:name="page11"/>
    <w:bookmarkEnd w:id="10"/>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9"/>
                <w:szCs w:val="19"/>
                <w:color w:val="auto"/>
              </w:rPr>
            </w:pPr>
          </w:p>
        </w:tc>
        <w:tc>
          <w:tcPr>
            <w:tcW w:w="3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7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60" w:type="dxa"/>
            <w:vAlign w:val="bottom"/>
          </w:tcPr>
          <w:p>
            <w:pPr>
              <w:spacing w:after="0"/>
              <w:rPr>
                <w:sz w:val="19"/>
                <w:szCs w:val="19"/>
                <w:color w:val="auto"/>
              </w:rPr>
            </w:pPr>
          </w:p>
        </w:tc>
      </w:tr>
      <w:tr>
        <w:trPr>
          <w:trHeight w:val="230"/>
        </w:trPr>
        <w:tc>
          <w:tcPr>
            <w:tcW w:w="79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162,267</w:t>
            </w:r>
          </w:p>
        </w:tc>
        <w:tc>
          <w:tcPr>
            <w:tcW w:w="580" w:type="dxa"/>
            <w:vAlign w:val="bottom"/>
            <w:shd w:val="clear" w:color="auto" w:fill="CEFFE7"/>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140,450</w:t>
            </w:r>
          </w:p>
        </w:tc>
      </w:tr>
      <w:tr>
        <w:trPr>
          <w:trHeight w:val="229"/>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20" w:type="dxa"/>
            <w:vAlign w:val="bottom"/>
            <w:shd w:val="clear" w:color="auto" w:fill="CEFFE7"/>
          </w:tcPr>
          <w:p>
            <w:pPr>
              <w:ind w:left="3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169,413</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154,507</w:t>
            </w:r>
          </w:p>
        </w:tc>
      </w:tr>
      <w:tr>
        <w:trPr>
          <w:trHeight w:val="230"/>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financing cost amortization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r>
      <w:tr>
        <w:trPr>
          <w:trHeight w:val="229"/>
        </w:trPr>
        <w:tc>
          <w:tcPr>
            <w:tcW w:w="7920" w:type="dxa"/>
            <w:vAlign w:val="bottom"/>
            <w:shd w:val="clear" w:color="auto" w:fill="CEFFE7"/>
          </w:tcPr>
          <w:p>
            <w:pPr>
              <w:ind w:left="320"/>
              <w:spacing w:after="0"/>
              <w:rPr>
                <w:sz w:val="20"/>
                <w:szCs w:val="20"/>
                <w:color w:val="auto"/>
              </w:rPr>
            </w:pPr>
            <w:r>
              <w:rPr>
                <w:rFonts w:ascii="Times New Roman" w:cs="Times New Roman" w:eastAsia="Times New Roman" w:hAnsi="Times New Roman"/>
                <w:sz w:val="18"/>
                <w:szCs w:val="18"/>
                <w:color w:val="auto"/>
              </w:rPr>
              <w:t>Impairment of investment</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30"/>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r>
      <w:tr>
        <w:trPr>
          <w:trHeight w:val="229"/>
        </w:trPr>
        <w:tc>
          <w:tcPr>
            <w:tcW w:w="7920" w:type="dxa"/>
            <w:vAlign w:val="bottom"/>
            <w:shd w:val="clear" w:color="auto" w:fill="CEFFE7"/>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28,502</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24,381</w:t>
            </w:r>
          </w:p>
        </w:tc>
      </w:tr>
      <w:tr>
        <w:trPr>
          <w:trHeight w:val="229"/>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benefit plans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r>
      <w:tr>
        <w:trPr>
          <w:trHeight w:val="230"/>
        </w:trPr>
        <w:tc>
          <w:tcPr>
            <w:tcW w:w="7920" w:type="dxa"/>
            <w:vAlign w:val="bottom"/>
            <w:shd w:val="clear" w:color="auto" w:fill="CEFFE7"/>
          </w:tcPr>
          <w:p>
            <w:pPr>
              <w:ind w:left="320"/>
              <w:spacing w:after="0"/>
              <w:rPr>
                <w:sz w:val="20"/>
                <w:szCs w:val="20"/>
                <w:color w:val="auto"/>
              </w:rPr>
            </w:pPr>
            <w:r>
              <w:rPr>
                <w:rFonts w:ascii="Times New Roman" w:cs="Times New Roman" w:eastAsia="Times New Roman" w:hAnsi="Times New Roman"/>
                <w:sz w:val="18"/>
                <w:szCs w:val="18"/>
                <w:color w:val="auto"/>
              </w:rPr>
              <w:t>Other adjustments, net</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9,192</w:t>
            </w:r>
          </w:p>
        </w:tc>
      </w:tr>
      <w:tr>
        <w:trPr>
          <w:trHeight w:val="229"/>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certain operating assets and liabilities: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20" w:type="dxa"/>
            <w:vAlign w:val="bottom"/>
            <w:shd w:val="clear" w:color="auto" w:fill="CEFFE7"/>
          </w:tcPr>
          <w:p>
            <w:pPr>
              <w:ind w:left="320"/>
              <w:spacing w:after="0"/>
              <w:rPr>
                <w:sz w:val="20"/>
                <w:szCs w:val="20"/>
                <w:color w:val="auto"/>
              </w:rPr>
            </w:pPr>
            <w:r>
              <w:rPr>
                <w:rFonts w:ascii="Times New Roman" w:cs="Times New Roman" w:eastAsia="Times New Roman" w:hAnsi="Times New Roman"/>
                <w:sz w:val="18"/>
                <w:szCs w:val="18"/>
                <w:color w:val="auto"/>
              </w:rPr>
              <w:t>Materials, supplies and fuel</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29"/>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115,325</w:t>
            </w:r>
          </w:p>
        </w:tc>
      </w:tr>
      <w:tr>
        <w:trPr>
          <w:trHeight w:val="229"/>
        </w:trPr>
        <w:tc>
          <w:tcPr>
            <w:tcW w:w="7920" w:type="dxa"/>
            <w:vAlign w:val="bottom"/>
            <w:shd w:val="clear" w:color="auto" w:fill="CEFFE7"/>
          </w:tcPr>
          <w:p>
            <w:pPr>
              <w:ind w:left="3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(83,436)</w:t>
            </w:r>
          </w:p>
        </w:tc>
      </w:tr>
      <w:tr>
        <w:trPr>
          <w:trHeight w:val="230"/>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Regulatory assets - current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w:t>
            </w:r>
          </w:p>
        </w:tc>
      </w:tr>
      <w:tr>
        <w:trPr>
          <w:trHeight w:val="229"/>
        </w:trPr>
        <w:tc>
          <w:tcPr>
            <w:tcW w:w="7920" w:type="dxa"/>
            <w:vAlign w:val="bottom"/>
            <w:shd w:val="clear" w:color="auto" w:fill="CEFFE7"/>
          </w:tcPr>
          <w:p>
            <w:pPr>
              <w:ind w:left="320"/>
              <w:spacing w:after="0"/>
              <w:rPr>
                <w:sz w:val="20"/>
                <w:szCs w:val="20"/>
                <w:color w:val="auto"/>
              </w:rPr>
            </w:pPr>
            <w:r>
              <w:rPr>
                <w:rFonts w:ascii="Times New Roman" w:cs="Times New Roman" w:eastAsia="Times New Roman" w:hAnsi="Times New Roman"/>
                <w:sz w:val="18"/>
                <w:szCs w:val="18"/>
                <w:color w:val="auto"/>
              </w:rPr>
              <w:t>Regulatory liabilities - current</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(17,686)</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(15,644)</w:t>
            </w:r>
          </w:p>
        </w:tc>
      </w:tr>
      <w:tr>
        <w:trPr>
          <w:trHeight w:val="22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 to defined benefit pension plans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r>
      <w:tr>
        <w:trPr>
          <w:trHeight w:val="230"/>
        </w:trPr>
        <w:tc>
          <w:tcPr>
            <w:tcW w:w="792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240" w:type="dxa"/>
            <w:vAlign w:val="bottom"/>
            <w:tcBorders>
              <w:bottom w:val="single" w:sz="8" w:color="auto"/>
            </w:tcBorders>
            <w:shd w:val="clear" w:color="auto" w:fill="CEFFE7"/>
          </w:tcPr>
          <w:p>
            <w:pPr>
              <w:spacing w:after="0"/>
              <w:rPr>
                <w:sz w:val="19"/>
                <w:szCs w:val="19"/>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580" w:type="dxa"/>
            <w:vAlign w:val="bottom"/>
            <w:tcBorders>
              <w:bottom w:val="single" w:sz="8" w:color="auto"/>
            </w:tcBorders>
            <w:shd w:val="clear" w:color="auto" w:fill="CEFFE7"/>
          </w:tcPr>
          <w:p>
            <w:pPr>
              <w:spacing w:after="0"/>
              <w:rPr>
                <w:sz w:val="19"/>
                <w:szCs w:val="19"/>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23"/>
        </w:trPr>
        <w:tc>
          <w:tcPr>
            <w:tcW w:w="79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419,459</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386,075</w:t>
            </w:r>
          </w:p>
        </w:tc>
      </w:tr>
      <w:tr>
        <w:trPr>
          <w:trHeight w:val="196"/>
        </w:trPr>
        <w:tc>
          <w:tcPr>
            <w:tcW w:w="792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40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20" w:type="dxa"/>
            <w:vAlign w:val="bottom"/>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(535,993)</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(592,537)</w:t>
            </w:r>
          </w:p>
        </w:tc>
      </w:tr>
      <w:tr>
        <w:trPr>
          <w:trHeight w:val="229"/>
        </w:trPr>
        <w:tc>
          <w:tcPr>
            <w:tcW w:w="7920" w:type="dxa"/>
            <w:vAlign w:val="bottom"/>
            <w:tcBorders>
              <w:bottom w:val="single" w:sz="8" w:color="CEFFE7"/>
            </w:tcBorders>
          </w:tcPr>
          <w:p>
            <w:pPr>
              <w:ind w:left="1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3"/>
        </w:trPr>
        <w:tc>
          <w:tcPr>
            <w:tcW w:w="79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EFFE7"/>
          </w:tcPr>
          <w:p>
            <w:pPr>
              <w:spacing w:after="0"/>
              <w:rPr>
                <w:sz w:val="19"/>
                <w:szCs w:val="19"/>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(529,724)</w:t>
            </w:r>
          </w:p>
        </w:tc>
        <w:tc>
          <w:tcPr>
            <w:tcW w:w="580" w:type="dxa"/>
            <w:vAlign w:val="bottom"/>
            <w:tcBorders>
              <w:bottom w:val="single" w:sz="8" w:color="auto"/>
            </w:tcBorders>
            <w:shd w:val="clear" w:color="auto" w:fill="CEFFE7"/>
          </w:tcPr>
          <w:p>
            <w:pPr>
              <w:spacing w:after="0"/>
              <w:rPr>
                <w:sz w:val="19"/>
                <w:szCs w:val="19"/>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(593,272)</w:t>
            </w:r>
          </w:p>
        </w:tc>
      </w:tr>
      <w:tr>
        <w:trPr>
          <w:trHeight w:val="196"/>
        </w:trPr>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79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r>
      <w:tr>
        <w:trPr>
          <w:trHeight w:val="22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(91,779)</w:t>
            </w:r>
          </w:p>
        </w:tc>
      </w:tr>
      <w:tr>
        <w:trPr>
          <w:trHeight w:val="230"/>
        </w:trPr>
        <w:tc>
          <w:tcPr>
            <w:tcW w:w="7920" w:type="dxa"/>
            <w:vAlign w:val="bottom"/>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Common stock issued</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99,316</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101,361</w:t>
            </w:r>
          </w:p>
        </w:tc>
      </w:tr>
      <w:tr>
        <w:trPr>
          <w:trHeight w:val="230"/>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(payments) borrowings of short-term debt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(265,180)</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109,280</w:t>
            </w:r>
          </w:p>
        </w:tc>
      </w:tr>
      <w:tr>
        <w:trPr>
          <w:trHeight w:val="230"/>
        </w:trPr>
        <w:tc>
          <w:tcPr>
            <w:tcW w:w="7920" w:type="dxa"/>
            <w:vAlign w:val="bottom"/>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Long-term debt - issuances</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 repayments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(304,307)</w:t>
            </w:r>
          </w:p>
        </w:tc>
      </w:tr>
      <w:tr>
        <w:trPr>
          <w:trHeight w:val="230"/>
        </w:trPr>
        <w:tc>
          <w:tcPr>
            <w:tcW w:w="7920" w:type="dxa"/>
            <w:vAlign w:val="bottom"/>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(12,736)</w:t>
            </w:r>
          </w:p>
        </w:tc>
      </w:tr>
      <w:tr>
        <w:trPr>
          <w:trHeight w:val="230"/>
        </w:trPr>
        <w:tc>
          <w:tcPr>
            <w:tcW w:w="7920" w:type="dxa"/>
            <w:vAlign w:val="bottom"/>
            <w:tcBorders>
              <w:bottom w:val="single" w:sz="8" w:color="CEFFE7"/>
            </w:tcBorders>
          </w:tcPr>
          <w:p>
            <w:pPr>
              <w:ind w:left="20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23"/>
        </w:trPr>
        <w:tc>
          <w:tcPr>
            <w:tcW w:w="79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EFFE7"/>
          </w:tcPr>
          <w:p>
            <w:pPr>
              <w:spacing w:after="0"/>
              <w:rPr>
                <w:sz w:val="19"/>
                <w:szCs w:val="19"/>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107,819</w:t>
            </w:r>
          </w:p>
        </w:tc>
        <w:tc>
          <w:tcPr>
            <w:tcW w:w="580" w:type="dxa"/>
            <w:vAlign w:val="bottom"/>
            <w:tcBorders>
              <w:bottom w:val="single" w:sz="8" w:color="auto"/>
            </w:tcBorders>
            <w:shd w:val="clear" w:color="auto" w:fill="CEFFE7"/>
          </w:tcPr>
          <w:p>
            <w:pPr>
              <w:spacing w:after="0"/>
              <w:rPr>
                <w:sz w:val="19"/>
                <w:szCs w:val="19"/>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199,827</w:t>
            </w:r>
          </w:p>
        </w:tc>
      </w:tr>
      <w:tr>
        <w:trPr>
          <w:trHeight w:val="196"/>
        </w:trPr>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7920" w:type="dxa"/>
            <w:vAlign w:val="bottom"/>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Net change in cash, restricted cash and cash equivalents</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216"/>
        </w:trPr>
        <w:tc>
          <w:tcPr>
            <w:tcW w:w="7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79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at beginning of period</w:t>
            </w:r>
          </w:p>
        </w:tc>
        <w:tc>
          <w:tcPr>
            <w:tcW w:w="240" w:type="dxa"/>
            <w:vAlign w:val="bottom"/>
            <w:tcBorders>
              <w:bottom w:val="single" w:sz="8" w:color="auto"/>
            </w:tcBorders>
            <w:shd w:val="clear" w:color="auto" w:fill="CEFFE7"/>
          </w:tcPr>
          <w:p>
            <w:pPr>
              <w:spacing w:after="0"/>
              <w:rPr>
                <w:sz w:val="19"/>
                <w:szCs w:val="19"/>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580" w:type="dxa"/>
            <w:vAlign w:val="bottom"/>
            <w:tcBorders>
              <w:bottom w:val="single" w:sz="8" w:color="auto"/>
            </w:tcBorders>
            <w:shd w:val="clear" w:color="auto" w:fill="CEFFE7"/>
          </w:tcPr>
          <w:p>
            <w:pPr>
              <w:spacing w:after="0"/>
              <w:rPr>
                <w:sz w:val="19"/>
                <w:szCs w:val="19"/>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24,145</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16,775</w:t>
            </w:r>
          </w:p>
        </w:tc>
      </w:tr>
      <w:tr>
        <w:trPr>
          <w:trHeight w:val="20"/>
        </w:trPr>
        <w:tc>
          <w:tcPr>
            <w:tcW w:w="7920" w:type="dxa"/>
            <w:vAlign w:val="bottom"/>
            <w:tcBorders>
              <w:bottom w:val="single" w:sz="8" w:color="CEFFE7"/>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580" w:type="dxa"/>
            <w:vAlign w:val="bottom"/>
            <w:shd w:val="clear" w:color="auto" w:fill="CEFFE7"/>
          </w:tcPr>
          <w:p>
            <w:pPr>
              <w:spacing w:after="0"/>
              <w:rPr>
                <w:sz w:val="15"/>
                <w:szCs w:val="15"/>
                <w:color w:val="auto"/>
              </w:rPr>
            </w:pPr>
          </w:p>
        </w:tc>
        <w:tc>
          <w:tcPr>
            <w:tcW w:w="1060" w:type="dxa"/>
            <w:vAlign w:val="bottom"/>
            <w:shd w:val="clear" w:color="auto" w:fill="CEFFE7"/>
          </w:tcPr>
          <w:p>
            <w:pPr>
              <w:spacing w:after="0"/>
              <w:rPr>
                <w:sz w:val="15"/>
                <w:szCs w:val="15"/>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2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Cash (paid) refunded during the period:</w:t>
            </w:r>
          </w:p>
        </w:tc>
        <w:tc>
          <w:tcPr>
            <w:tcW w:w="24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r>
      <w:tr>
        <w:trPr>
          <w:trHeight w:val="230"/>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(99,375)</w:t>
            </w:r>
          </w:p>
        </w:tc>
      </w:tr>
      <w:tr>
        <w:trPr>
          <w:trHeight w:val="229"/>
        </w:trPr>
        <w:tc>
          <w:tcPr>
            <w:tcW w:w="7920" w:type="dxa"/>
            <w:vAlign w:val="bottom"/>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580" w:type="dxa"/>
            <w:vAlign w:val="bottom"/>
            <w:shd w:val="clear" w:color="auto" w:fill="CEFFE7"/>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30"/>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20" w:type="dxa"/>
            <w:vAlign w:val="bottom"/>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Accrued property, plant and equipment purchases at September 30</w:t>
            </w:r>
          </w:p>
        </w:tc>
        <w:tc>
          <w:tcPr>
            <w:tcW w:w="24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86,474</w:t>
            </w:r>
          </w:p>
        </w:tc>
        <w:tc>
          <w:tcPr>
            <w:tcW w:w="580" w:type="dxa"/>
            <w:vAlign w:val="bottom"/>
            <w:shd w:val="clear" w:color="auto" w:fill="CEFFE7"/>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86,661</w:t>
            </w:r>
          </w:p>
        </w:tc>
      </w:tr>
    </w:tbl>
    <w:p>
      <w:pPr>
        <w:spacing w:after="0" w:line="288" w:lineRule="exact"/>
        <w:rPr>
          <w:sz w:val="20"/>
          <w:szCs w:val="20"/>
          <w:color w:val="auto"/>
        </w:rPr>
      </w:pPr>
    </w:p>
    <w:p>
      <w:pPr>
        <w:jc w:val="center"/>
        <w:ind w:right="-1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accompanying </w:t>
      </w:r>
      <w:hyperlink w:anchor="page13">
        <w:r>
          <w:rPr>
            <w:rFonts w:ascii="Times New Roman" w:cs="Times New Roman" w:eastAsia="Times New Roman" w:hAnsi="Times New Roman"/>
            <w:sz w:val="14"/>
            <w:szCs w:val="14"/>
            <w:u w:val="single" w:color="auto"/>
            <w:color w:val="0000FF"/>
          </w:rPr>
          <w:t>Notes to Condensed Consolidated Financial Statements</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are an integral part of these Condensed Consolidated Financial Statements.</w:t>
      </w:r>
    </w:p>
    <w:p>
      <w:pPr>
        <w:sectPr>
          <w:pgSz w:w="11900" w:h="16838" w:orient="portrait"/>
          <w:cols w:equalWidth="0" w:num="1">
            <w:col w:w="11220"/>
          </w:cols>
          <w:pgMar w:left="320" w:top="124" w:right="35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1" w:name="page12"/>
    <w:bookmarkEnd w:id="11"/>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(unaudited)</w:t>
            </w:r>
          </w:p>
        </w:tc>
        <w:tc>
          <w:tcPr>
            <w:tcW w:w="176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color w:val="auto"/>
              </w:rPr>
              <w:t>Common Stock</w:t>
            </w:r>
          </w:p>
        </w:tc>
        <w:tc>
          <w:tcPr>
            <w:tcW w:w="158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Additional Paid</w:t>
            </w:r>
          </w:p>
        </w:tc>
        <w:tc>
          <w:tcPr>
            <w:tcW w:w="140" w:type="dxa"/>
            <w:vAlign w:val="bottom"/>
          </w:tcPr>
          <w:p>
            <w:pPr>
              <w:spacing w:after="0"/>
              <w:rPr>
                <w:sz w:val="10"/>
                <w:szCs w:val="10"/>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28"/>
              <w:spacing w:after="0" w:line="122" w:lineRule="exact"/>
              <w:rPr>
                <w:sz w:val="20"/>
                <w:szCs w:val="20"/>
                <w:color w:val="auto"/>
              </w:rPr>
            </w:pPr>
            <w:r>
              <w:rPr>
                <w:rFonts w:ascii="Times New Roman" w:cs="Times New Roman" w:eastAsia="Times New Roman" w:hAnsi="Times New Roman"/>
                <w:sz w:val="14"/>
                <w:szCs w:val="14"/>
                <w:color w:val="auto"/>
              </w:rPr>
              <w:t>Non</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1"/>
                <w:szCs w:val="11"/>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Value</w:t>
            </w:r>
          </w:p>
        </w:tc>
        <w:tc>
          <w:tcPr>
            <w:tcW w:w="80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1"/>
                <w:szCs w:val="11"/>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Value</w:t>
            </w: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AOCI</w:t>
            </w:r>
          </w:p>
        </w:tc>
        <w:tc>
          <w:tcPr>
            <w:tcW w:w="12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controlling</w:t>
            </w:r>
          </w:p>
        </w:tc>
        <w:tc>
          <w:tcPr>
            <w:tcW w:w="24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EFFE7"/>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in Capital</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9"/>
              </w:rPr>
              <w:t>Interest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61,480,658</w:t>
            </w:r>
          </w:p>
        </w:tc>
        <w:tc>
          <w:tcPr>
            <w:tcW w:w="22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61,481</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2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1,552,788</w:t>
            </w: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778,776</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(30,655)</w:t>
            </w:r>
          </w:p>
        </w:tc>
        <w:tc>
          <w:tcPr>
            <w:tcW w:w="1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101,946</w:t>
            </w:r>
          </w:p>
        </w:tc>
        <w:tc>
          <w:tcPr>
            <w:tcW w:w="240" w:type="dxa"/>
            <w:vAlign w:val="bottom"/>
            <w:shd w:val="clear" w:color="auto" w:fill="CEFFE7"/>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2,464,069</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93,174</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97,224</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stock ($0.535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(32,902)</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69,378</w:t>
            </w:r>
          </w:p>
        </w:tc>
        <w:tc>
          <w:tcPr>
            <w:tcW w:w="22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20,700</w:t>
            </w:r>
          </w:p>
        </w:tc>
        <w:tc>
          <w:tcPr>
            <w:tcW w:w="20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2,263</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1,222,942</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98,777</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30"/>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4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Implementation of ASU 2016-13 Financial Instruments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 Credit Losses</w:t>
            </w: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EFFE7"/>
          </w:tcPr>
          <w:p>
            <w:pPr>
              <w:spacing w:after="0"/>
              <w:rPr>
                <w:sz w:val="16"/>
                <w:szCs w:val="16"/>
                <w:color w:val="auto"/>
              </w:rPr>
            </w:pPr>
          </w:p>
        </w:tc>
        <w:tc>
          <w:tcPr>
            <w:tcW w:w="5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EFFE7"/>
          </w:tcPr>
          <w:p>
            <w:pPr>
              <w:spacing w:after="0"/>
              <w:rPr>
                <w:sz w:val="16"/>
                <w:szCs w:val="16"/>
                <w:color w:val="auto"/>
              </w:rPr>
            </w:pPr>
          </w:p>
        </w:tc>
        <w:tc>
          <w:tcPr>
            <w:tcW w:w="5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EFFE7"/>
          </w:tcPr>
          <w:p>
            <w:pPr>
              <w:spacing w:after="0"/>
              <w:rPr>
                <w:sz w:val="16"/>
                <w:szCs w:val="16"/>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24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0" w:type="dxa"/>
            <w:vAlign w:val="bottom"/>
          </w:tcPr>
          <w:p>
            <w:pPr>
              <w:spacing w:after="0"/>
              <w:rPr>
                <w:sz w:val="1"/>
                <w:szCs w:val="1"/>
                <w:color w:val="auto"/>
              </w:rPr>
            </w:pPr>
          </w:p>
        </w:tc>
      </w:tr>
      <w:tr>
        <w:trPr>
          <w:trHeight w:val="18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62,772,978</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24,656</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1,652,861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838,841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101,255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2,624,423</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w:t>
            </w:r>
          </w:p>
        </w:tc>
        <w:tc>
          <w:tcPr>
            <w:tcW w:w="960" w:type="dxa"/>
            <w:vAlign w:val="bottom"/>
            <w:shd w:val="clear" w:color="auto" w:fill="CEFFE7"/>
          </w:tcPr>
          <w:p>
            <w:pPr>
              <w:jc w:val="right"/>
              <w:ind w:right="72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EFFE7"/>
          </w:tcPr>
          <w:p>
            <w:pPr>
              <w:spacing w:after="0"/>
              <w:rPr>
                <w:sz w:val="16"/>
                <w:szCs w:val="16"/>
                <w:color w:val="auto"/>
              </w:rPr>
            </w:pPr>
          </w:p>
        </w:tc>
        <w:tc>
          <w:tcPr>
            <w:tcW w:w="800" w:type="dxa"/>
            <w:vAlign w:val="bottom"/>
            <w:shd w:val="clear" w:color="auto" w:fill="CEFFE7"/>
          </w:tcPr>
          <w:p>
            <w:pPr>
              <w:jc w:val="right"/>
              <w:ind w:right="54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EFFE7"/>
          </w:tcPr>
          <w:p>
            <w:pPr>
              <w:spacing w:after="0"/>
              <w:rPr>
                <w:sz w:val="16"/>
                <w:szCs w:val="16"/>
                <w:color w:val="auto"/>
              </w:rPr>
            </w:pPr>
          </w:p>
        </w:tc>
        <w:tc>
          <w:tcPr>
            <w:tcW w:w="1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EFFE7"/>
          </w:tcPr>
          <w:p>
            <w:pPr>
              <w:spacing w:after="0"/>
              <w:rPr>
                <w:sz w:val="16"/>
                <w:szCs w:val="16"/>
                <w:color w:val="auto"/>
              </w:rPr>
            </w:pP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20,966</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3,728</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24,694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Dividends on common stock ($0.535 per share)</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(33,538)</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(33,538)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0" w:type="dxa"/>
            <w:vAlign w:val="bottom"/>
          </w:tcPr>
          <w:p>
            <w:pPr>
              <w:spacing w:after="0"/>
              <w:rPr>
                <w:sz w:val="1"/>
                <w:szCs w:val="1"/>
                <w:color w:val="auto"/>
              </w:rPr>
            </w:pPr>
          </w:p>
        </w:tc>
      </w:tr>
      <w:tr>
        <w:trPr>
          <w:trHeight w:val="183"/>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62,772,996</w:t>
            </w:r>
          </w:p>
        </w:tc>
        <w:tc>
          <w:tcPr>
            <w:tcW w:w="22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62,773</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26,399</w:t>
            </w:r>
          </w:p>
        </w:tc>
        <w:tc>
          <w:tcPr>
            <w:tcW w:w="2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1,654,563</w:t>
            </w: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826,269</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(28,434)</w:t>
            </w:r>
          </w:p>
        </w:tc>
        <w:tc>
          <w:tcPr>
            <w:tcW w:w="1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101,204</w:t>
            </w:r>
          </w:p>
        </w:tc>
        <w:tc>
          <w:tcPr>
            <w:tcW w:w="240" w:type="dxa"/>
            <w:vAlign w:val="bottom"/>
            <w:shd w:val="clear" w:color="auto" w:fill="CEFFE7"/>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2,614,496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36,283</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40,349</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stock (0.535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(33,559)</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(33,559)</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200" w:type="dxa"/>
            <w:vAlign w:val="bottom"/>
            <w:shd w:val="clear" w:color="auto" w:fill="CEFFE7"/>
          </w:tcPr>
          <w:p>
            <w:pPr>
              <w:spacing w:after="0"/>
              <w:rPr>
                <w:sz w:val="16"/>
                <w:szCs w:val="16"/>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8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EFFE7"/>
          </w:tcPr>
          <w:p>
            <w:pPr>
              <w:spacing w:after="0"/>
              <w:rPr>
                <w:sz w:val="16"/>
                <w:szCs w:val="16"/>
                <w:color w:val="auto"/>
              </w:rPr>
            </w:pPr>
          </w:p>
        </w:tc>
        <w:tc>
          <w:tcPr>
            <w:tcW w:w="5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EFFE7"/>
          </w:tcPr>
          <w:p>
            <w:pPr>
              <w:spacing w:after="0"/>
              <w:rPr>
                <w:sz w:val="16"/>
                <w:szCs w:val="16"/>
                <w:color w:val="auto"/>
              </w:rPr>
            </w:pPr>
          </w:p>
        </w:tc>
        <w:tc>
          <w:tcPr>
            <w:tcW w:w="5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EFFE7"/>
          </w:tcPr>
          <w:p>
            <w:pPr>
              <w:spacing w:after="0"/>
              <w:rPr>
                <w:sz w:val="16"/>
                <w:szCs w:val="16"/>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24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62,773,015</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62,773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24,897</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1,655,912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828,993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101,154</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2,620,200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ind w:right="87"/>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84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color w:val="auto"/>
              </w:rPr>
              <w:t>Common Stock</w:t>
            </w:r>
          </w:p>
        </w:tc>
        <w:tc>
          <w:tcPr>
            <w:tcW w:w="150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Treasury Stock</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Additional Paid</w:t>
            </w:r>
          </w:p>
        </w:tc>
        <w:tc>
          <w:tcPr>
            <w:tcW w:w="140" w:type="dxa"/>
            <w:vAlign w:val="bottom"/>
          </w:tcPr>
          <w:p>
            <w:pPr>
              <w:spacing w:after="0"/>
              <w:rPr>
                <w:sz w:val="10"/>
                <w:szCs w:val="10"/>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28"/>
              <w:spacing w:after="0" w:line="122" w:lineRule="exact"/>
              <w:rPr>
                <w:sz w:val="20"/>
                <w:szCs w:val="20"/>
                <w:color w:val="auto"/>
              </w:rPr>
            </w:pPr>
            <w:r>
              <w:rPr>
                <w:rFonts w:ascii="Times New Roman" w:cs="Times New Roman" w:eastAsia="Times New Roman" w:hAnsi="Times New Roman"/>
                <w:sz w:val="14"/>
                <w:szCs w:val="14"/>
                <w:color w:val="auto"/>
              </w:rPr>
              <w:t>Non</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1"/>
                <w:szCs w:val="11"/>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Value</w:t>
            </w: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1"/>
                <w:szCs w:val="11"/>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Value</w:t>
            </w: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AOCI</w:t>
            </w:r>
          </w:p>
        </w:tc>
        <w:tc>
          <w:tcPr>
            <w:tcW w:w="12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controlling</w:t>
            </w:r>
          </w:p>
        </w:tc>
        <w:tc>
          <w:tcPr>
            <w:tcW w:w="24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EFFE7"/>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in Capital</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9"/>
              </w:rPr>
              <w:t>Interest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60,048,567</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60,049</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44,253</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1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1,450,569</w:t>
            </w: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700,396</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(26,916)</w:t>
            </w:r>
          </w:p>
        </w:tc>
        <w:tc>
          <w:tcPr>
            <w:tcW w:w="1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105,835</w:t>
            </w:r>
          </w:p>
        </w:tc>
        <w:tc>
          <w:tcPr>
            <w:tcW w:w="240" w:type="dxa"/>
            <w:vAlign w:val="bottom"/>
            <w:shd w:val="clear" w:color="auto" w:fill="CEFFE7"/>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2,287,423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103,808</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107,362</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stock ($0.505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(30,332)</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48,956</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(20,497)</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 of share-based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280,497</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280</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19,719</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19,999</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Implementation of ASU 2016-02 Leases</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0" w:type="dxa"/>
            <w:vAlign w:val="bottom"/>
          </w:tcPr>
          <w:p>
            <w:pPr>
              <w:spacing w:after="0"/>
              <w:rPr>
                <w:sz w:val="1"/>
                <w:szCs w:val="1"/>
                <w:color w:val="auto"/>
              </w:rPr>
            </w:pPr>
          </w:p>
        </w:tc>
      </w:tr>
      <w:tr>
        <w:trPr>
          <w:trHeight w:val="183"/>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60,378,020</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60,378</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23,756</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1,469,410</w:t>
            </w: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777,262</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(26,459)</w:t>
            </w:r>
          </w:p>
        </w:tc>
        <w:tc>
          <w:tcPr>
            <w:tcW w:w="1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104,543</w:t>
            </w:r>
          </w:p>
        </w:tc>
        <w:tc>
          <w:tcPr>
            <w:tcW w:w="240" w:type="dxa"/>
            <w:vAlign w:val="bottom"/>
            <w:shd w:val="clear" w:color="auto" w:fill="CEFFE7"/>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2,383,702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14,583</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17,693</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stock ($0.505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(30,620)</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54,767</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 of share-based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658,598</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659</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49,342</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50,001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Implementation of ASU 2016-02 Leases</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0" w:type="dxa"/>
            <w:vAlign w:val="bottom"/>
          </w:tcPr>
          <w:p>
            <w:pPr>
              <w:spacing w:after="0"/>
              <w:rPr>
                <w:sz w:val="1"/>
                <w:szCs w:val="1"/>
                <w:color w:val="auto"/>
              </w:rPr>
            </w:pPr>
          </w:p>
        </w:tc>
      </w:tr>
      <w:tr>
        <w:trPr>
          <w:trHeight w:val="183"/>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61,091,385</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61,091</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25,359</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1,522,208</w:t>
            </w: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761,222</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(26,227)</w:t>
            </w:r>
          </w:p>
        </w:tc>
        <w:tc>
          <w:tcPr>
            <w:tcW w:w="1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103,248</w:t>
            </w:r>
          </w:p>
        </w:tc>
        <w:tc>
          <w:tcPr>
            <w:tcW w:w="240" w:type="dxa"/>
            <w:vAlign w:val="bottom"/>
            <w:shd w:val="clear" w:color="auto" w:fill="CEFFE7"/>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2,419,998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15,395</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stock ($0.505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(30,827)</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(30,827)</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 of share-based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389,237</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390</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29,611</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30,001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89"/>
        </w:trPr>
        <w:tc>
          <w:tcPr>
            <w:tcW w:w="33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Implementation of ASU 2016-02 Leases</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EFFE7"/>
          </w:tcPr>
          <w:p>
            <w:pPr>
              <w:spacing w:after="0"/>
              <w:rPr>
                <w:sz w:val="16"/>
                <w:szCs w:val="16"/>
                <w:color w:val="auto"/>
              </w:rPr>
            </w:pPr>
          </w:p>
        </w:tc>
        <w:tc>
          <w:tcPr>
            <w:tcW w:w="700" w:type="dxa"/>
            <w:vAlign w:val="bottom"/>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EFFE7"/>
          </w:tcPr>
          <w:p>
            <w:pPr>
              <w:spacing w:after="0"/>
              <w:rPr>
                <w:sz w:val="16"/>
                <w:szCs w:val="16"/>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EFFE7"/>
          </w:tcPr>
          <w:p>
            <w:pPr>
              <w:spacing w:after="0"/>
              <w:rPr>
                <w:sz w:val="16"/>
                <w:szCs w:val="16"/>
                <w:color w:val="auto"/>
              </w:rPr>
            </w:pPr>
          </w:p>
        </w:tc>
        <w:tc>
          <w:tcPr>
            <w:tcW w:w="7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EFFE7"/>
          </w:tcPr>
          <w:p>
            <w:pPr>
              <w:spacing w:after="0"/>
              <w:rPr>
                <w:sz w:val="16"/>
                <w:szCs w:val="16"/>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EFFE7"/>
          </w:tcPr>
          <w:p>
            <w:pPr>
              <w:spacing w:after="0"/>
              <w:rPr>
                <w:sz w:val="16"/>
                <w:szCs w:val="16"/>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EFFE7"/>
          </w:tcPr>
          <w:p>
            <w:pPr>
              <w:spacing w:after="0"/>
              <w:rPr>
                <w:sz w:val="16"/>
                <w:szCs w:val="16"/>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208"/>
        </w:trPr>
        <w:tc>
          <w:tcPr>
            <w:tcW w:w="33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61,480,640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EFFE7"/>
          </w:tcPr>
          <w:p>
            <w:pPr>
              <w:jc w:val="right"/>
              <w:ind w:right="48"/>
              <w:spacing w:after="0"/>
              <w:rPr>
                <w:sz w:val="20"/>
                <w:szCs w:val="20"/>
                <w:color w:val="auto"/>
              </w:rPr>
            </w:pPr>
            <w:r>
              <w:rPr>
                <w:rFonts w:ascii="Times New Roman" w:cs="Times New Roman" w:eastAsia="Times New Roman" w:hAnsi="Times New Roman"/>
                <w:sz w:val="14"/>
                <w:szCs w:val="14"/>
                <w:color w:val="auto"/>
              </w:rPr>
              <w:t>61,481</w:t>
            </w:r>
          </w:p>
        </w:tc>
        <w:tc>
          <w:tcPr>
            <w:tcW w:w="7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26,572</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60" w:type="dxa"/>
            <w:vAlign w:val="bottom"/>
            <w:tcBorders>
              <w:bottom w:val="single" w:sz="8" w:color="auto"/>
            </w:tcBorders>
            <w:shd w:val="clear" w:color="auto" w:fill="CEFFE7"/>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1,553,190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742,138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(25,695)</w:t>
            </w:r>
          </w:p>
        </w:tc>
        <w:tc>
          <w:tcPr>
            <w:tcW w:w="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103,418</w:t>
            </w:r>
          </w:p>
        </w:tc>
        <w:tc>
          <w:tcPr>
            <w:tcW w:w="240" w:type="dxa"/>
            <w:vAlign w:val="bottom"/>
            <w:tcBorders>
              <w:bottom w:val="single" w:sz="8" w:color="auto"/>
            </w:tcBorders>
            <w:shd w:val="clear" w:color="auto" w:fill="CEFFE7"/>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2,432,896</w:t>
            </w:r>
          </w:p>
        </w:tc>
        <w:tc>
          <w:tcPr>
            <w:tcW w:w="0" w:type="dxa"/>
            <w:vAlign w:val="bottom"/>
          </w:tcPr>
          <w:p>
            <w:pPr>
              <w:spacing w:after="0"/>
              <w:rPr>
                <w:sz w:val="1"/>
                <w:szCs w:val="1"/>
                <w:color w:val="auto"/>
              </w:rPr>
            </w:pPr>
          </w:p>
        </w:tc>
      </w:tr>
      <w:tr>
        <w:trPr>
          <w:trHeight w:val="20"/>
        </w:trPr>
        <w:tc>
          <w:tcPr>
            <w:tcW w:w="332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is made to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included in the Company’s 2019 Annual Report on Form 10-K)</w:t>
      </w:r>
    </w:p>
    <w:p>
      <w:pPr>
        <w:spacing w:after="0" w:line="230"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Statement</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GAAP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2019 Annual Report on Form 10-K filed with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5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Basis of Presentation</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information furnished in the accompanying Condensed Consolidated Financial Statements reflects certain estimates required and all adjustments, including accruals, which are, in the opinion of management, necessary for a fair presentation of the September 30, 2020, December 31, 2019 and September 30, 2019 financial information.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and nine months ended September 30, 2020 and September 30, 2019, and our financial condition as of September 30, 2020 and December 31, 2019 are not necessarily indicative of the results of operations and financial condition to be expected for any other period. All earnings per share amounts discussed refer to diluted earnings per share unless otherwise noted.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5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changed certain classifications of operating expenses on the Condensed Consolidated Statements of Income for the three and nine months ended September 30, 2019 to conform with current year presentation. The prior year reclassifications, which are shown in the table below, did not impact previously reported operating income or 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18"/>
                <w:szCs w:val="18"/>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9"/>
        </w:trPr>
        <w:tc>
          <w:tcPr>
            <w:tcW w:w="6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September 30, 2019</w:t>
            </w:r>
          </w:p>
        </w:tc>
      </w:tr>
      <w:tr>
        <w:trPr>
          <w:trHeight w:val="223"/>
        </w:trPr>
        <w:tc>
          <w:tcPr>
            <w:tcW w:w="6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3"/>
          </w:tcPr>
          <w:p>
            <w:pPr>
              <w:jc w:val="right"/>
              <w:ind w:right="165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6860" w:type="dxa"/>
            <w:vAlign w:val="bottom"/>
            <w:shd w:val="clear" w:color="auto" w:fill="CEFEE7"/>
          </w:tcPr>
          <w:p>
            <w:pPr>
              <w:ind w:left="20"/>
              <w:spacing w:after="0"/>
              <w:rPr>
                <w:sz w:val="20"/>
                <w:szCs w:val="20"/>
                <w:color w:val="auto"/>
              </w:rPr>
            </w:pPr>
            <w:r>
              <w:rPr>
                <w:rFonts w:ascii="Times New Roman" w:cs="Times New Roman" w:eastAsia="Times New Roman" w:hAnsi="Times New Roman"/>
                <w:sz w:val="18"/>
                <w:szCs w:val="18"/>
                <w:color w:val="auto"/>
              </w:rPr>
              <w:t>Fuel, purchased power and cost of natural gas sold</w:t>
            </w:r>
          </w:p>
        </w:tc>
        <w:tc>
          <w:tcPr>
            <w:tcW w:w="220" w:type="dxa"/>
            <w:vAlign w:val="bottom"/>
            <w:shd w:val="clear" w:color="auto" w:fill="CEFE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EFE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860" w:type="dxa"/>
            <w:vAlign w:val="bottom"/>
            <w:tcBorders>
              <w:bottom w:val="single" w:sz="8" w:color="CEFEE7"/>
            </w:tcBorders>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6860" w:type="dxa"/>
            <w:vAlign w:val="bottom"/>
            <w:tcBorders>
              <w:bottom w:val="single" w:sz="8" w:color="CEFEE7"/>
            </w:tcBorders>
            <w:shd w:val="clear" w:color="auto" w:fill="CEFEE7"/>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EFE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gridSpan w:val="2"/>
            <w:shd w:val="clear" w:color="auto" w:fill="CEFEE7"/>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60" w:type="dxa"/>
            <w:vAlign w:val="bottom"/>
            <w:tcBorders>
              <w:top w:val="single" w:sz="8" w:color="CEFEE7"/>
            </w:tcBorders>
          </w:tcPr>
          <w:p>
            <w:pPr>
              <w:spacing w:after="0" w:line="20" w:lineRule="exact"/>
              <w:rPr>
                <w:sz w:val="1"/>
                <w:szCs w:val="1"/>
                <w:color w:val="auto"/>
              </w:rPr>
            </w:pPr>
          </w:p>
        </w:tc>
        <w:tc>
          <w:tcPr>
            <w:tcW w:w="220" w:type="dxa"/>
            <w:vAlign w:val="bottom"/>
            <w:tcBorders>
              <w:top w:val="single" w:sz="8" w:color="CEFEE7"/>
              <w:bottom w:val="single" w:sz="8" w:color="auto"/>
            </w:tcBorders>
          </w:tcPr>
          <w:p>
            <w:pPr>
              <w:spacing w:after="0" w:line="20" w:lineRule="exact"/>
              <w:rPr>
                <w:sz w:val="1"/>
                <w:szCs w:val="1"/>
                <w:color w:val="auto"/>
              </w:rPr>
            </w:pPr>
          </w:p>
        </w:tc>
        <w:tc>
          <w:tcPr>
            <w:tcW w:w="1960" w:type="dxa"/>
            <w:vAlign w:val="bottom"/>
            <w:tcBorders>
              <w:top w:val="single" w:sz="8" w:color="CEFEE7"/>
              <w:bottom w:val="single" w:sz="8" w:color="auto"/>
            </w:tcBorders>
          </w:tcPr>
          <w:p>
            <w:pPr>
              <w:spacing w:after="0" w:line="20" w:lineRule="exact"/>
              <w:rPr>
                <w:sz w:val="1"/>
                <w:szCs w:val="1"/>
                <w:color w:val="auto"/>
              </w:rPr>
            </w:pPr>
          </w:p>
        </w:tc>
        <w:tc>
          <w:tcPr>
            <w:tcW w:w="260" w:type="dxa"/>
            <w:vAlign w:val="bottom"/>
            <w:tcBorders>
              <w:top w:val="single" w:sz="8" w:color="CEFEE7"/>
              <w:bottom w:val="single" w:sz="8" w:color="auto"/>
            </w:tcBorders>
          </w:tcPr>
          <w:p>
            <w:pPr>
              <w:spacing w:after="0" w:line="20" w:lineRule="exact"/>
              <w:rPr>
                <w:sz w:val="1"/>
                <w:szCs w:val="1"/>
                <w:color w:val="auto"/>
              </w:rPr>
            </w:pPr>
          </w:p>
        </w:tc>
        <w:tc>
          <w:tcPr>
            <w:tcW w:w="1940" w:type="dxa"/>
            <w:vAlign w:val="bottom"/>
            <w:tcBorders>
              <w:top w:val="single" w:sz="8" w:color="CEFE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categorized COVID-19 as a pandemic and the President of the United States declared the outbreak a national emergency. The U.S. government has deemed electric and natural gas utilities to be critical infrastructure sectors that provide essential services during this emergency. As a provider of essential services, the Company has an obligation to provide services to our customers. The Company remains focused on protecting the health of our employees and the communities in which we operate while assuring the continuity of our business operations.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reflect estimates and assumptions made by management that affect the reported amounts of assets and liabilities and disclosure of contingent assets and liabilities at the date of the Condensed Consolidated Financial Statements and reported amounts of revenue and expenses during the reporting periods presented. The Company considered the impacts of COVID-19 on the assumptions and estimates used and determined that for the three and nine months ended September 30, 2020, there were no material adverse impacts on the Company’s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 - Pension Accounting Asset Method</w:t>
      </w:r>
    </w:p>
    <w:p>
      <w:pPr>
        <w:spacing w:after="0" w:line="256"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January 1, 2020, we changed our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use a calculated value for the return-seeking assets (equities) in the portfolio and change to fair value for the liability-hedging assets (fixed income). See </w:t>
      </w:r>
      <w:hyperlink w:anchor="page32">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Simplifying the Accounting for Income Taxes, ASU 2019-12</w:t>
      </w:r>
    </w:p>
    <w:p>
      <w:pPr>
        <w:spacing w:after="0" w:line="25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simplification in several other areas such as accounting for a franchise tax (or similar tax) that is partially based on income. The new guidance is effective for interim and annual periods beginning after December 15, 2020 with early adoption permitted. We are currently reviewing this standard to assess the impact on our financial position, results of operations and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 Credit Losses: Measurement of Credit Losses on Financial Instruments, ASU 2016-13</w:t>
      </w:r>
    </w:p>
    <w:p>
      <w:pPr>
        <w:spacing w:after="0" w:line="2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xml:space="preserve"> which was subsequently amended by ASUs 2018-19, 2019-04, 2019-05, 2019-10, and 2019-11. The standard introduces new accounting guidance for credit losses on financial instruments within its scope, including trade receivables. This new guidance adds an impairment model that is based on expected losses rather than incurred losses.</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adopted this standard on January 1, 2020 with prior year comparative financial information remaining as previously reported when transitioning to the new standard. On January 1, 2020, we recorded an increase to our allowance for credit losses, primarily associated with the inclusion of expected losses on unbilled revenue. The cumulative effect of the adoption, net of tax impact, was $0.2 million, which was recorded as an adjustment to retained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Simplifying the Test for Goodwill Impairment, ASU 2017-04</w:t>
      </w:r>
    </w:p>
    <w:p>
      <w:pPr>
        <w:spacing w:after="0" w:line="2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We adopted this standard prospectively on January 1, 2020. Adoption of this guidance did not have an impact on our financial position, results of operations or cash flows.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5" w:name="page16"/>
    <w:bookmarkEnd w:id="15"/>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Internal-Use Software: Customer’s Accounting for Implementation Costs Incurred in a Cloud Computing Arrangement That Is a Service Contract, ASU 2018-15</w:t>
      </w:r>
    </w:p>
    <w:p>
      <w:pPr>
        <w:spacing w:after="0" w:line="18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 Contract</w:t>
      </w:r>
      <w:r>
        <w:rPr>
          <w:rFonts w:ascii="Times New Roman" w:cs="Times New Roman" w:eastAsia="Times New Roman" w:hAnsi="Times New Roman"/>
          <w:sz w:val="18"/>
          <w:szCs w:val="18"/>
          <w:color w:val="auto"/>
        </w:rPr>
        <w:t>, which aligns the requirements for recording implementation costs incurred in a hosting arrangement that is a service contract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capitalizing implementation costs incurred to develop or obtain internal-use software. As a result, certain categories of implementation costs that previously would have been charged to expense as incurred are now capitalized as prepayments and amortized over the term of the arrangement. We adopted this standard prospectively on January 1, 2020. Adoption of this guidance did not have a material impact on our financial position, results of operations or cash flows.</w:t>
      </w:r>
    </w:p>
    <w:p>
      <w:pPr>
        <w:spacing w:after="0" w:line="200" w:lineRule="exact"/>
        <w:rPr>
          <w:sz w:val="20"/>
          <w:szCs w:val="20"/>
          <w:color w:val="auto"/>
        </w:rPr>
      </w:pPr>
    </w:p>
    <w:p>
      <w:pPr>
        <w:spacing w:after="0" w:line="250"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The following tables depict the disaggregation of revenue, including intercompany revenue, from contracts with customers by customer type and timing of revenue recognition for each of the reportable segments for the three and nine months ended September 30, 2020 and 2019. Sales tax and other similar taxes are excluded from revenues.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Three Months Ended September 30, 2020</w:t>
            </w:r>
          </w:p>
        </w:tc>
        <w:tc>
          <w:tcPr>
            <w:tcW w:w="20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Electric</w:t>
            </w:r>
          </w:p>
        </w:tc>
        <w:tc>
          <w:tcPr>
            <w:tcW w:w="16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Gas Utilities</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Power Generation</w:t>
            </w:r>
          </w:p>
        </w:tc>
        <w:tc>
          <w:tcPr>
            <w:tcW w:w="220" w:type="dxa"/>
            <w:vAlign w:val="bottom"/>
          </w:tcPr>
          <w:p>
            <w:pPr>
              <w:spacing w:after="0"/>
              <w:rPr>
                <w:sz w:val="16"/>
                <w:szCs w:val="16"/>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Mining</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Inter-company</w:t>
            </w:r>
          </w:p>
        </w:tc>
        <w:tc>
          <w:tcPr>
            <w:tcW w:w="26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Utilities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340" w:type="dxa"/>
            <w:vAlign w:val="bottom"/>
            <w:gridSpan w:val="3"/>
            <w:shd w:val="clear" w:color="auto" w:fill="CEFFE7"/>
          </w:tcPr>
          <w:p>
            <w:pPr>
              <w:ind w:left="20"/>
              <w:spacing w:after="0" w:line="172" w:lineRule="exact"/>
              <w:rPr>
                <w:sz w:val="20"/>
                <w:szCs w:val="20"/>
                <w:color w:val="auto"/>
              </w:rPr>
            </w:pPr>
            <w:r>
              <w:rPr>
                <w:rFonts w:ascii="Times New Roman" w:cs="Times New Roman" w:eastAsia="Times New Roman" w:hAnsi="Times New Roman"/>
                <w:sz w:val="16"/>
                <w:szCs w:val="16"/>
                <w:color w:val="auto"/>
              </w:rPr>
              <w:t>Customer types:</w:t>
            </w:r>
          </w:p>
        </w:tc>
        <w:tc>
          <w:tcPr>
            <w:tcW w:w="200" w:type="dxa"/>
            <w:vAlign w:val="bottom"/>
            <w:shd w:val="clear" w:color="auto" w:fill="CEFFE7"/>
          </w:tcPr>
          <w:p>
            <w:pPr>
              <w:spacing w:after="0"/>
              <w:rPr>
                <w:sz w:val="16"/>
                <w:szCs w:val="16"/>
                <w:color w:val="auto"/>
              </w:rPr>
            </w:pPr>
          </w:p>
        </w:tc>
        <w:tc>
          <w:tcPr>
            <w:tcW w:w="90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440" w:type="dxa"/>
            <w:vAlign w:val="bottom"/>
            <w:shd w:val="clear" w:color="auto" w:fill="CEFFE7"/>
          </w:tcPr>
          <w:p>
            <w:pPr>
              <w:spacing w:after="0"/>
              <w:rPr>
                <w:sz w:val="16"/>
                <w:szCs w:val="16"/>
                <w:color w:val="auto"/>
              </w:rPr>
            </w:pPr>
          </w:p>
        </w:tc>
        <w:tc>
          <w:tcPr>
            <w:tcW w:w="1940" w:type="dxa"/>
            <w:vAlign w:val="bottom"/>
            <w:gridSpan w:val="3"/>
            <w:shd w:val="clear" w:color="auto" w:fill="CEFFE7"/>
          </w:tcPr>
          <w:p>
            <w:pPr>
              <w:jc w:val="right"/>
              <w:ind w:right="619"/>
              <w:spacing w:after="0" w:line="172" w:lineRule="exact"/>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shd w:val="clear" w:color="auto" w:fill="CEFFE7"/>
          </w:tcPr>
          <w:p>
            <w:pPr>
              <w:spacing w:after="0"/>
              <w:rPr>
                <w:sz w:val="16"/>
                <w:szCs w:val="16"/>
                <w:color w:val="auto"/>
              </w:rPr>
            </w:pPr>
          </w:p>
        </w:tc>
        <w:tc>
          <w:tcPr>
            <w:tcW w:w="9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EFFE7"/>
            </w:tcBorders>
          </w:tcPr>
          <w:p>
            <w:pPr>
              <w:spacing w:after="0"/>
              <w:rPr>
                <w:sz w:val="18"/>
                <w:szCs w:val="18"/>
                <w:color w:val="auto"/>
              </w:rPr>
            </w:pPr>
          </w:p>
        </w:tc>
        <w:tc>
          <w:tcPr>
            <w:tcW w:w="1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Retail</w:t>
            </w:r>
          </w:p>
        </w:tc>
        <w:tc>
          <w:tcPr>
            <w:tcW w:w="3260" w:type="dxa"/>
            <w:vAlign w:val="bottom"/>
            <w:tcBorders>
              <w:top w:val="single" w:sz="8" w:color="CEFFE7"/>
            </w:tcBorders>
          </w:tcPr>
          <w:p>
            <w:pPr>
              <w:spacing w:after="0"/>
              <w:rPr>
                <w:sz w:val="18"/>
                <w:szCs w:val="18"/>
                <w:color w:val="auto"/>
              </w:rPr>
            </w:pPr>
          </w:p>
        </w:tc>
        <w:tc>
          <w:tcPr>
            <w:tcW w:w="200" w:type="dxa"/>
            <w:vAlign w:val="bottom"/>
            <w:tcBorders>
              <w:top w:val="single" w:sz="8" w:color="CEFFE7"/>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169,505</w:t>
            </w:r>
          </w:p>
        </w:tc>
        <w:tc>
          <w:tcPr>
            <w:tcW w:w="16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94,367</w:t>
            </w:r>
          </w:p>
        </w:tc>
        <w:tc>
          <w:tcPr>
            <w:tcW w:w="440" w:type="dxa"/>
            <w:vAlign w:val="bottom"/>
            <w:tcBorders>
              <w:top w:val="single" w:sz="8" w:color="CEFFE7"/>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EFFE7"/>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20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260" w:type="dxa"/>
            <w:vAlign w:val="bottom"/>
            <w:tcBorders>
              <w:top w:val="single" w:sz="8" w:color="CEFFE7"/>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270,440</w:t>
            </w:r>
          </w:p>
        </w:tc>
        <w:tc>
          <w:tcPr>
            <w:tcW w:w="0" w:type="dxa"/>
            <w:vAlign w:val="bottom"/>
          </w:tcPr>
          <w:p>
            <w:pPr>
              <w:spacing w:after="0"/>
              <w:rPr>
                <w:sz w:val="1"/>
                <w:szCs w:val="1"/>
                <w:color w:val="auto"/>
              </w:rPr>
            </w:pPr>
          </w:p>
        </w:tc>
      </w:tr>
      <w:tr>
        <w:trPr>
          <w:trHeight w:val="219"/>
        </w:trPr>
        <w:tc>
          <w:tcPr>
            <w:tcW w:w="20" w:type="dxa"/>
            <w:vAlign w:val="bottom"/>
            <w:shd w:val="clear" w:color="auto" w:fill="CEFFE7"/>
          </w:tcPr>
          <w:p>
            <w:pPr>
              <w:spacing w:after="0"/>
              <w:rPr>
                <w:sz w:val="19"/>
                <w:szCs w:val="19"/>
                <w:color w:val="auto"/>
              </w:rPr>
            </w:pPr>
          </w:p>
        </w:tc>
        <w:tc>
          <w:tcPr>
            <w:tcW w:w="4320" w:type="dxa"/>
            <w:vAlign w:val="bottom"/>
            <w:gridSpan w:val="2"/>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Transportation</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38,196</w:t>
            </w:r>
          </w:p>
        </w:tc>
        <w:tc>
          <w:tcPr>
            <w:tcW w:w="44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38,057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Wholesale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7,453</w:t>
            </w:r>
          </w:p>
        </w:tc>
        <w:tc>
          <w:tcPr>
            <w:tcW w:w="0" w:type="dxa"/>
            <w:vAlign w:val="bottom"/>
          </w:tcPr>
          <w:p>
            <w:pPr>
              <w:spacing w:after="0"/>
              <w:rPr>
                <w:sz w:val="1"/>
                <w:szCs w:val="1"/>
                <w:color w:val="auto"/>
              </w:rPr>
            </w:pPr>
          </w:p>
        </w:tc>
      </w:tr>
      <w:tr>
        <w:trPr>
          <w:trHeight w:val="219"/>
        </w:trPr>
        <w:tc>
          <w:tcPr>
            <w:tcW w:w="20" w:type="dxa"/>
            <w:vAlign w:val="bottom"/>
            <w:shd w:val="clear" w:color="auto" w:fill="CEFFE7"/>
          </w:tcPr>
          <w:p>
            <w:pPr>
              <w:spacing w:after="0"/>
              <w:rPr>
                <w:sz w:val="19"/>
                <w:szCs w:val="19"/>
                <w:color w:val="auto"/>
              </w:rPr>
            </w:pPr>
          </w:p>
        </w:tc>
        <w:tc>
          <w:tcPr>
            <w:tcW w:w="4320" w:type="dxa"/>
            <w:vAlign w:val="bottom"/>
            <w:gridSpan w:val="2"/>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Market - off-system sales</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4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00"/>
              <w:spacing w:after="0"/>
              <w:rPr>
                <w:sz w:val="20"/>
                <w:szCs w:val="20"/>
                <w:color w:val="auto"/>
              </w:rPr>
            </w:pPr>
            <w:r>
              <w:rPr>
                <w:rFonts w:ascii="Times New Roman" w:cs="Times New Roman" w:eastAsia="Times New Roman" w:hAnsi="Times New Roman"/>
                <w:sz w:val="16"/>
                <w:szCs w:val="16"/>
                <w:color w:val="auto"/>
              </w:rPr>
              <w:t>Transmission/Other</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20,695</w:t>
            </w:r>
          </w:p>
        </w:tc>
        <w:tc>
          <w:tcPr>
            <w:tcW w:w="0" w:type="dxa"/>
            <w:vAlign w:val="bottom"/>
          </w:tcPr>
          <w:p>
            <w:pPr>
              <w:spacing w:after="0"/>
              <w:rPr>
                <w:sz w:val="1"/>
                <w:szCs w:val="1"/>
                <w:color w:val="auto"/>
              </w:rPr>
            </w:pPr>
          </w:p>
        </w:tc>
      </w:tr>
      <w:tr>
        <w:trPr>
          <w:trHeight w:val="212"/>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200,618</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142,876</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26,049</w:t>
            </w:r>
          </w:p>
        </w:tc>
        <w:tc>
          <w:tcPr>
            <w:tcW w:w="22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(39,899)</w:t>
            </w:r>
          </w:p>
        </w:tc>
        <w:tc>
          <w:tcPr>
            <w:tcW w:w="26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344,312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200,842</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143,929</w:t>
            </w:r>
          </w:p>
        </w:tc>
        <w:tc>
          <w:tcPr>
            <w:tcW w:w="440" w:type="dxa"/>
            <w:vAlign w:val="bottom"/>
            <w:tcBorders>
              <w:bottom w:val="single" w:sz="8" w:color="auto"/>
            </w:tcBorders>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26,518</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15,236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(39,935)</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346,590</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060" w:type="dxa"/>
            <w:vAlign w:val="bottom"/>
            <w:tcBorders>
              <w:top w:val="single" w:sz="8" w:color="CEFFE7"/>
            </w:tcBorders>
          </w:tcPr>
          <w:p>
            <w:pPr>
              <w:spacing w:after="0" w:line="20" w:lineRule="exact"/>
              <w:rPr>
                <w:sz w:val="1"/>
                <w:szCs w:val="1"/>
                <w:color w:val="auto"/>
              </w:rPr>
            </w:pPr>
          </w:p>
        </w:tc>
        <w:tc>
          <w:tcPr>
            <w:tcW w:w="32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1220"/>
          </w:cols>
          <w:pgMar w:left="320" w:top="124" w:right="359" w:bottom="1440" w:gutter="0" w:footer="0" w:header="0"/>
        </w:sect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Timing of revenue recognition: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Services transferred at a point in time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Services transferred over time</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6,568</w:t>
            </w:r>
          </w:p>
        </w:tc>
      </w:tr>
      <w:tr>
        <w:trPr>
          <w:trHeight w:val="219"/>
        </w:trPr>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142,876</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26,049</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337,744</w:t>
            </w:r>
          </w:p>
        </w:tc>
      </w:tr>
      <w:tr>
        <w:trPr>
          <w:trHeight w:val="210"/>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200,618</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142,876</w:t>
            </w: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26,049</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(39,899)</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344,312</w:t>
            </w:r>
          </w:p>
        </w:tc>
      </w:tr>
      <w:tr>
        <w:trPr>
          <w:trHeight w:val="23"/>
        </w:trPr>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-590550</wp:posOffset>
            </wp:positionV>
            <wp:extent cx="711517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-316230</wp:posOffset>
            </wp:positionV>
            <wp:extent cx="71151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60"/>
          </w:cols>
          <w:pgMar w:left="320" w:top="124" w:right="359" w:bottom="1440" w:gutter="0" w:footer="0" w:header="0"/>
          <w:type w:val="continuous"/>
        </w:sectPr>
      </w:pP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2"/>
        </w:trPr>
        <w:tc>
          <w:tcPr>
            <w:tcW w:w="4360" w:type="dxa"/>
            <w:vAlign w:val="bottom"/>
            <w:gridSpan w:val="5"/>
          </w:tcPr>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6"/>
        </w:trPr>
        <w:tc>
          <w:tcPr>
            <w:tcW w:w="40" w:type="dxa"/>
            <w:vAlign w:val="bottom"/>
          </w:tcPr>
          <w:p>
            <w:pPr>
              <w:spacing w:after="0"/>
              <w:rPr>
                <w:sz w:val="24"/>
                <w:szCs w:val="24"/>
                <w:color w:val="auto"/>
              </w:rPr>
            </w:pPr>
          </w:p>
        </w:tc>
        <w:tc>
          <w:tcPr>
            <w:tcW w:w="43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Three Months Ended September 30, 2019</w:t>
            </w:r>
          </w:p>
        </w:tc>
        <w:tc>
          <w:tcPr>
            <w:tcW w:w="20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Electric</w:t>
            </w:r>
          </w:p>
        </w:tc>
        <w:tc>
          <w:tcPr>
            <w:tcW w:w="160" w:type="dxa"/>
            <w:vAlign w:val="bottom"/>
          </w:tcPr>
          <w:p>
            <w:pPr>
              <w:spacing w:after="0"/>
              <w:rPr>
                <w:sz w:val="24"/>
                <w:szCs w:val="24"/>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Gas Utilities</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Power Generation</w:t>
            </w:r>
          </w:p>
        </w:tc>
        <w:tc>
          <w:tcPr>
            <w:tcW w:w="220" w:type="dxa"/>
            <w:vAlign w:val="bottom"/>
          </w:tcPr>
          <w:p>
            <w:pPr>
              <w:spacing w:after="0"/>
              <w:rPr>
                <w:sz w:val="24"/>
                <w:szCs w:val="24"/>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Mining</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Inter-company</w:t>
            </w:r>
          </w:p>
        </w:tc>
        <w:tc>
          <w:tcPr>
            <w:tcW w:w="260" w:type="dxa"/>
            <w:vAlign w:val="bottom"/>
          </w:tcPr>
          <w:p>
            <w:pPr>
              <w:spacing w:after="0"/>
              <w:rPr>
                <w:sz w:val="24"/>
                <w:szCs w:val="24"/>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tcBorders>
              <w:bottom w:val="single" w:sz="8" w:color="auto"/>
            </w:tcBorders>
            <w:gridSpan w:val="4"/>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Utilities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tcBorders>
              <w:right w:val="single" w:sz="8" w:color="CEFFE7"/>
            </w:tcBorders>
          </w:tcPr>
          <w:p>
            <w:pPr>
              <w:spacing w:after="0"/>
              <w:rPr>
                <w:sz w:val="16"/>
                <w:szCs w:val="16"/>
                <w:color w:val="auto"/>
              </w:rPr>
            </w:pPr>
          </w:p>
        </w:tc>
        <w:tc>
          <w:tcPr>
            <w:tcW w:w="4320" w:type="dxa"/>
            <w:vAlign w:val="bottom"/>
            <w:gridSpan w:val="4"/>
            <w:shd w:val="clear" w:color="auto" w:fill="CEFFE7"/>
          </w:tcPr>
          <w:p>
            <w:pPr>
              <w:spacing w:after="0" w:line="172" w:lineRule="exact"/>
              <w:rPr>
                <w:sz w:val="20"/>
                <w:szCs w:val="20"/>
                <w:color w:val="auto"/>
              </w:rPr>
            </w:pPr>
            <w:r>
              <w:rPr>
                <w:rFonts w:ascii="Times New Roman" w:cs="Times New Roman" w:eastAsia="Times New Roman" w:hAnsi="Times New Roman"/>
                <w:sz w:val="16"/>
                <w:szCs w:val="16"/>
                <w:color w:val="auto"/>
              </w:rPr>
              <w:t>Customer Types:</w:t>
            </w:r>
          </w:p>
        </w:tc>
        <w:tc>
          <w:tcPr>
            <w:tcW w:w="200" w:type="dxa"/>
            <w:vAlign w:val="bottom"/>
            <w:shd w:val="clear" w:color="auto" w:fill="CEFFE7"/>
          </w:tcPr>
          <w:p>
            <w:pPr>
              <w:spacing w:after="0"/>
              <w:rPr>
                <w:sz w:val="16"/>
                <w:szCs w:val="16"/>
                <w:color w:val="auto"/>
              </w:rPr>
            </w:pPr>
          </w:p>
        </w:tc>
        <w:tc>
          <w:tcPr>
            <w:tcW w:w="90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440" w:type="dxa"/>
            <w:vAlign w:val="bottom"/>
            <w:shd w:val="clear" w:color="auto" w:fill="CEFFE7"/>
          </w:tcPr>
          <w:p>
            <w:pPr>
              <w:spacing w:after="0"/>
              <w:rPr>
                <w:sz w:val="16"/>
                <w:szCs w:val="16"/>
                <w:color w:val="auto"/>
              </w:rPr>
            </w:pPr>
          </w:p>
        </w:tc>
        <w:tc>
          <w:tcPr>
            <w:tcW w:w="840" w:type="dxa"/>
            <w:vAlign w:val="bottom"/>
            <w:shd w:val="clear" w:color="auto" w:fill="CEFFE7"/>
          </w:tcPr>
          <w:p>
            <w:pPr>
              <w:spacing w:after="0"/>
              <w:rPr>
                <w:sz w:val="16"/>
                <w:szCs w:val="16"/>
                <w:color w:val="auto"/>
              </w:rPr>
            </w:pPr>
          </w:p>
        </w:tc>
        <w:tc>
          <w:tcPr>
            <w:tcW w:w="22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94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86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Retail</w:t>
            </w:r>
          </w:p>
        </w:tc>
        <w:tc>
          <w:tcPr>
            <w:tcW w:w="3220" w:type="dxa"/>
            <w:vAlign w:val="bottom"/>
            <w:tcBorders>
              <w:top w:val="single" w:sz="8" w:color="CEFFE7"/>
            </w:tcBorders>
            <w:gridSpan w:val="2"/>
          </w:tcPr>
          <w:p>
            <w:pPr>
              <w:spacing w:after="0"/>
              <w:rPr>
                <w:sz w:val="18"/>
                <w:szCs w:val="18"/>
                <w:color w:val="auto"/>
              </w:rPr>
            </w:pPr>
          </w:p>
        </w:tc>
        <w:tc>
          <w:tcPr>
            <w:tcW w:w="200" w:type="dxa"/>
            <w:vAlign w:val="bottom"/>
            <w:tcBorders>
              <w:top w:val="single" w:sz="8" w:color="CEFFE7"/>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162,214</w:t>
            </w:r>
          </w:p>
        </w:tc>
        <w:tc>
          <w:tcPr>
            <w:tcW w:w="16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89,810</w:t>
            </w:r>
          </w:p>
        </w:tc>
        <w:tc>
          <w:tcPr>
            <w:tcW w:w="440" w:type="dxa"/>
            <w:vAlign w:val="bottom"/>
            <w:tcBorders>
              <w:top w:val="single" w:sz="8" w:color="CEFFE7"/>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EFFE7"/>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14,992</w:t>
            </w:r>
          </w:p>
        </w:tc>
        <w:tc>
          <w:tcPr>
            <w:tcW w:w="20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260" w:type="dxa"/>
            <w:vAlign w:val="bottom"/>
            <w:tcBorders>
              <w:top w:val="single" w:sz="8" w:color="CEFFE7"/>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EFFE7"/>
            </w:tcBorders>
          </w:tcPr>
          <w:p>
            <w:pPr>
              <w:jc w:val="right"/>
              <w:spacing w:after="0"/>
              <w:rPr>
                <w:sz w:val="20"/>
                <w:szCs w:val="20"/>
                <w:color w:val="auto"/>
              </w:rPr>
            </w:pPr>
            <w:r>
              <w:rPr>
                <w:rFonts w:ascii="Times New Roman" w:cs="Times New Roman" w:eastAsia="Times New Roman" w:hAnsi="Times New Roman"/>
                <w:sz w:val="16"/>
                <w:szCs w:val="16"/>
                <w:color w:val="auto"/>
              </w:rPr>
              <w:t>258,870</w:t>
            </w:r>
          </w:p>
        </w:tc>
        <w:tc>
          <w:tcPr>
            <w:tcW w:w="0" w:type="dxa"/>
            <w:vAlign w:val="bottom"/>
          </w:tcPr>
          <w:p>
            <w:pPr>
              <w:spacing w:after="0"/>
              <w:rPr>
                <w:sz w:val="1"/>
                <w:szCs w:val="1"/>
                <w:color w:val="auto"/>
              </w:rPr>
            </w:pPr>
          </w:p>
        </w:tc>
      </w:tr>
      <w:tr>
        <w:trPr>
          <w:trHeight w:val="219"/>
        </w:trPr>
        <w:tc>
          <w:tcPr>
            <w:tcW w:w="40" w:type="dxa"/>
            <w:vAlign w:val="bottom"/>
            <w:tcBorders>
              <w:right w:val="single" w:sz="8" w:color="CEFFE7"/>
            </w:tcBorders>
          </w:tcPr>
          <w:p>
            <w:pPr>
              <w:spacing w:after="0"/>
              <w:rPr>
                <w:sz w:val="19"/>
                <w:szCs w:val="19"/>
                <w:color w:val="auto"/>
              </w:rPr>
            </w:pPr>
          </w:p>
        </w:tc>
        <w:tc>
          <w:tcPr>
            <w:tcW w:w="4320" w:type="dxa"/>
            <w:vAlign w:val="bottom"/>
            <w:gridSpan w:val="4"/>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Transportation</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44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28,824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Wholesale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0" w:type="dxa"/>
            <w:vAlign w:val="bottom"/>
          </w:tcPr>
          <w:p>
            <w:pPr>
              <w:spacing w:after="0"/>
              <w:rPr>
                <w:sz w:val="1"/>
                <w:szCs w:val="1"/>
                <w:color w:val="auto"/>
              </w:rPr>
            </w:pPr>
          </w:p>
        </w:tc>
      </w:tr>
      <w:tr>
        <w:trPr>
          <w:trHeight w:val="219"/>
        </w:trPr>
        <w:tc>
          <w:tcPr>
            <w:tcW w:w="40" w:type="dxa"/>
            <w:vAlign w:val="bottom"/>
            <w:tcBorders>
              <w:right w:val="single" w:sz="8" w:color="CEFFE7"/>
            </w:tcBorders>
          </w:tcPr>
          <w:p>
            <w:pPr>
              <w:spacing w:after="0"/>
              <w:rPr>
                <w:sz w:val="19"/>
                <w:szCs w:val="19"/>
                <w:color w:val="auto"/>
              </w:rPr>
            </w:pPr>
          </w:p>
        </w:tc>
        <w:tc>
          <w:tcPr>
            <w:tcW w:w="4320" w:type="dxa"/>
            <w:vAlign w:val="bottom"/>
            <w:gridSpan w:val="4"/>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Market - off-system sales</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44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tcBorders>
              <w:bottom w:val="single" w:sz="8" w:color="CEFFE7"/>
            </w:tcBorders>
            <w:gridSpan w:val="4"/>
          </w:tcPr>
          <w:p>
            <w:pPr>
              <w:ind w:left="100"/>
              <w:spacing w:after="0"/>
              <w:rPr>
                <w:sz w:val="20"/>
                <w:szCs w:val="20"/>
                <w:color w:val="auto"/>
              </w:rPr>
            </w:pPr>
            <w:r>
              <w:rPr>
                <w:rFonts w:ascii="Times New Roman" w:cs="Times New Roman" w:eastAsia="Times New Roman" w:hAnsi="Times New Roman"/>
                <w:sz w:val="16"/>
                <w:szCs w:val="16"/>
                <w:color w:val="auto"/>
              </w:rPr>
              <w:t>Transmission/Other</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21,033</w:t>
            </w:r>
          </w:p>
        </w:tc>
        <w:tc>
          <w:tcPr>
            <w:tcW w:w="0" w:type="dxa"/>
            <w:vAlign w:val="bottom"/>
          </w:tcPr>
          <w:p>
            <w:pPr>
              <w:spacing w:after="0"/>
              <w:rPr>
                <w:sz w:val="1"/>
                <w:szCs w:val="1"/>
                <w:color w:val="auto"/>
              </w:rPr>
            </w:pPr>
          </w:p>
        </w:tc>
      </w:tr>
      <w:tr>
        <w:trPr>
          <w:trHeight w:val="212"/>
        </w:trPr>
        <w:tc>
          <w:tcPr>
            <w:tcW w:w="40" w:type="dxa"/>
            <w:vAlign w:val="bottom"/>
            <w:tcBorders>
              <w:right w:val="single" w:sz="8" w:color="CEFFE7"/>
            </w:tcBorders>
          </w:tcPr>
          <w:p>
            <w:pPr>
              <w:spacing w:after="0"/>
              <w:rPr>
                <w:sz w:val="18"/>
                <w:szCs w:val="18"/>
                <w:color w:val="auto"/>
              </w:rPr>
            </w:pPr>
          </w:p>
        </w:tc>
        <w:tc>
          <w:tcPr>
            <w:tcW w:w="4320" w:type="dxa"/>
            <w:vAlign w:val="bottom"/>
            <w:gridSpan w:val="4"/>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191,150</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129,933</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16,119</w:t>
            </w:r>
          </w:p>
        </w:tc>
        <w:tc>
          <w:tcPr>
            <w:tcW w:w="22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14,992</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(28,449)</w:t>
            </w:r>
          </w:p>
        </w:tc>
        <w:tc>
          <w:tcPr>
            <w:tcW w:w="26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323,745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tcBorders>
              <w:bottom w:val="single" w:sz="8" w:color="CEFFE7"/>
            </w:tcBorders>
            <w:gridSpan w:val="4"/>
          </w:tcPr>
          <w:p>
            <w:pPr>
              <w:ind w:left="10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37"/>
        </w:trPr>
        <w:tc>
          <w:tcPr>
            <w:tcW w:w="40" w:type="dxa"/>
            <w:vAlign w:val="bottom"/>
            <w:tcBorders>
              <w:right w:val="single" w:sz="8" w:color="CEFFE7"/>
            </w:tcBorders>
          </w:tcPr>
          <w:p>
            <w:pPr>
              <w:spacing w:after="0"/>
              <w:rPr>
                <w:sz w:val="20"/>
                <w:szCs w:val="20"/>
                <w:color w:val="auto"/>
              </w:rPr>
            </w:pPr>
          </w:p>
        </w:tc>
        <w:tc>
          <w:tcPr>
            <w:tcW w:w="4320" w:type="dxa"/>
            <w:vAlign w:val="bottom"/>
            <w:tcBorders>
              <w:bottom w:val="single" w:sz="8" w:color="CEFFE7"/>
            </w:tcBorders>
            <w:gridSpan w:val="4"/>
            <w:shd w:val="clear" w:color="auto" w:fill="CEFFE7"/>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191,384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130,744</w:t>
            </w:r>
          </w:p>
        </w:tc>
        <w:tc>
          <w:tcPr>
            <w:tcW w:w="440" w:type="dxa"/>
            <w:vAlign w:val="bottom"/>
            <w:tcBorders>
              <w:bottom w:val="single" w:sz="8" w:color="auto"/>
            </w:tcBorders>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25,811</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15,552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(37,943)</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325,548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CEFFE7"/>
            </w:tcBorders>
          </w:tcPr>
          <w:p>
            <w:pPr>
              <w:spacing w:after="0" w:line="20" w:lineRule="exact"/>
              <w:rPr>
                <w:sz w:val="1"/>
                <w:szCs w:val="1"/>
                <w:color w:val="auto"/>
              </w:rPr>
            </w:pPr>
          </w:p>
        </w:tc>
        <w:tc>
          <w:tcPr>
            <w:tcW w:w="218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4320" w:type="dxa"/>
            <w:vAlign w:val="bottom"/>
            <w:gridSpan w:val="4"/>
            <w:shd w:val="clear" w:color="auto" w:fill="CEFFE7"/>
          </w:tcPr>
          <w:p>
            <w:pPr>
              <w:spacing w:after="0" w:line="175" w:lineRule="exact"/>
              <w:rPr>
                <w:sz w:val="20"/>
                <w:szCs w:val="20"/>
                <w:color w:val="auto"/>
              </w:rPr>
            </w:pPr>
            <w:r>
              <w:rPr>
                <w:rFonts w:ascii="Times New Roman" w:cs="Times New Roman" w:eastAsia="Times New Roman" w:hAnsi="Times New Roman"/>
                <w:sz w:val="16"/>
                <w:szCs w:val="16"/>
                <w:color w:val="auto"/>
              </w:rPr>
              <w:t>Timing of Revenue Recognition:</w:t>
            </w:r>
          </w:p>
        </w:tc>
        <w:tc>
          <w:tcPr>
            <w:tcW w:w="200" w:type="dxa"/>
            <w:vAlign w:val="bottom"/>
            <w:shd w:val="clear" w:color="auto" w:fill="CEFFE7"/>
          </w:tcPr>
          <w:p>
            <w:pPr>
              <w:spacing w:after="0"/>
              <w:rPr>
                <w:sz w:val="15"/>
                <w:szCs w:val="15"/>
                <w:color w:val="auto"/>
              </w:rPr>
            </w:pPr>
          </w:p>
        </w:tc>
        <w:tc>
          <w:tcPr>
            <w:tcW w:w="90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c>
          <w:tcPr>
            <w:tcW w:w="4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88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94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1060" w:type="dxa"/>
            <w:vAlign w:val="bottom"/>
            <w:tcBorders>
              <w:top w:val="single" w:sz="8" w:color="auto"/>
            </w:tcBorders>
            <w:shd w:val="clear" w:color="auto" w:fill="CEFFE7"/>
          </w:tcPr>
          <w:p>
            <w:pPr>
              <w:spacing w:after="0" w:line="20" w:lineRule="exact"/>
              <w:rPr>
                <w:sz w:val="1"/>
                <w:szCs w:val="1"/>
                <w:color w:val="auto"/>
              </w:rPr>
            </w:pPr>
          </w:p>
        </w:tc>
        <w:tc>
          <w:tcPr>
            <w:tcW w:w="40" w:type="dxa"/>
            <w:vAlign w:val="bottom"/>
            <w:tcBorders>
              <w:top w:val="single" w:sz="8" w:color="auto"/>
            </w:tcBorders>
            <w:shd w:val="clear" w:color="auto" w:fill="CEFFE7"/>
          </w:tcPr>
          <w:p>
            <w:pPr>
              <w:spacing w:after="0" w:line="20" w:lineRule="exact"/>
              <w:rPr>
                <w:sz w:val="1"/>
                <w:szCs w:val="1"/>
                <w:color w:val="auto"/>
              </w:rPr>
            </w:pPr>
          </w:p>
        </w:tc>
        <w:tc>
          <w:tcPr>
            <w:tcW w:w="1040" w:type="dxa"/>
            <w:vAlign w:val="bottom"/>
            <w:tcBorders>
              <w:top w:val="single" w:sz="8" w:color="auto"/>
            </w:tcBorders>
            <w:shd w:val="clear" w:color="auto" w:fill="CEFFE7"/>
          </w:tcPr>
          <w:p>
            <w:pPr>
              <w:spacing w:after="0" w:line="20" w:lineRule="exact"/>
              <w:rPr>
                <w:sz w:val="1"/>
                <w:szCs w:val="1"/>
                <w:color w:val="auto"/>
              </w:rPr>
            </w:pPr>
          </w:p>
        </w:tc>
        <w:tc>
          <w:tcPr>
            <w:tcW w:w="218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960" w:type="dxa"/>
            <w:vAlign w:val="bottom"/>
            <w:tcBorders>
              <w:top w:val="single" w:sz="8" w:color="CEFFE7"/>
            </w:tcBorders>
            <w:shd w:val="clear" w:color="auto" w:fill="CEFFE7"/>
          </w:tcPr>
          <w:p>
            <w:pPr>
              <w:spacing w:after="0" w:line="20" w:lineRule="exact"/>
              <w:rPr>
                <w:sz w:val="1"/>
                <w:szCs w:val="1"/>
                <w:color w:val="auto"/>
              </w:rPr>
            </w:pPr>
          </w:p>
        </w:tc>
        <w:tc>
          <w:tcPr>
            <w:tcW w:w="440" w:type="dxa"/>
            <w:vAlign w:val="bottom"/>
            <w:tcBorders>
              <w:top w:val="single" w:sz="8" w:color="CEFFE7"/>
            </w:tcBorders>
            <w:shd w:val="clear" w:color="auto" w:fill="CEFFE7"/>
          </w:tcPr>
          <w:p>
            <w:pPr>
              <w:spacing w:after="0" w:line="20" w:lineRule="exact"/>
              <w:rPr>
                <w:sz w:val="1"/>
                <w:szCs w:val="1"/>
                <w:color w:val="auto"/>
              </w:rPr>
            </w:pPr>
          </w:p>
        </w:tc>
        <w:tc>
          <w:tcPr>
            <w:tcW w:w="84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88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940" w:type="dxa"/>
            <w:vAlign w:val="bottom"/>
            <w:tcBorders>
              <w:top w:val="single" w:sz="8" w:color="CEFFE7"/>
            </w:tcBorders>
            <w:shd w:val="clear" w:color="auto" w:fill="CEFFE7"/>
          </w:tcPr>
          <w:p>
            <w:pPr>
              <w:spacing w:after="0" w:line="20" w:lineRule="exact"/>
              <w:rPr>
                <w:sz w:val="1"/>
                <w:szCs w:val="1"/>
                <w:color w:val="auto"/>
              </w:rPr>
            </w:pPr>
          </w:p>
        </w:tc>
        <w:tc>
          <w:tcPr>
            <w:tcW w:w="260" w:type="dxa"/>
            <w:vAlign w:val="bottom"/>
            <w:tcBorders>
              <w:top w:val="single" w:sz="8" w:color="CEFFE7"/>
            </w:tcBorders>
            <w:shd w:val="clear" w:color="auto" w:fill="CEFFE7"/>
          </w:tcPr>
          <w:p>
            <w:pPr>
              <w:spacing w:after="0" w:line="20" w:lineRule="exact"/>
              <w:rPr>
                <w:sz w:val="1"/>
                <w:szCs w:val="1"/>
                <w:color w:val="auto"/>
              </w:rPr>
            </w:pPr>
          </w:p>
        </w:tc>
        <w:tc>
          <w:tcPr>
            <w:tcW w:w="8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Services transferred at a point in time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w:t>
            </w:r>
          </w:p>
        </w:tc>
        <w:tc>
          <w:tcPr>
            <w:tcW w:w="0" w:type="dxa"/>
            <w:vAlign w:val="bottom"/>
          </w:tcPr>
          <w:p>
            <w:pPr>
              <w:spacing w:after="0"/>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4"/>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191,150</w:t>
            </w:r>
          </w:p>
        </w:tc>
        <w:tc>
          <w:tcPr>
            <w:tcW w:w="1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129,933</w:t>
            </w:r>
          </w:p>
        </w:tc>
        <w:tc>
          <w:tcPr>
            <w:tcW w:w="4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16,119</w:t>
            </w:r>
          </w:p>
        </w:tc>
        <w:tc>
          <w:tcPr>
            <w:tcW w:w="2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(20,303)</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316,899</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129,933</w:t>
            </w: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16,119</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(28,449)</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323,745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43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Nine Months Ended September 30, 2020</w:t>
            </w:r>
          </w:p>
        </w:tc>
        <w:tc>
          <w:tcPr>
            <w:tcW w:w="20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Electric</w:t>
            </w:r>
          </w:p>
        </w:tc>
        <w:tc>
          <w:tcPr>
            <w:tcW w:w="160" w:type="dxa"/>
            <w:vAlign w:val="bottom"/>
          </w:tcPr>
          <w:p>
            <w:pPr>
              <w:spacing w:after="0"/>
              <w:rPr>
                <w:sz w:val="24"/>
                <w:szCs w:val="24"/>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Gas Utilities</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Power Generation</w:t>
            </w:r>
          </w:p>
        </w:tc>
        <w:tc>
          <w:tcPr>
            <w:tcW w:w="220" w:type="dxa"/>
            <w:vAlign w:val="bottom"/>
          </w:tcPr>
          <w:p>
            <w:pPr>
              <w:spacing w:after="0"/>
              <w:rPr>
                <w:sz w:val="24"/>
                <w:szCs w:val="24"/>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Mining</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Inter-company</w:t>
            </w:r>
          </w:p>
        </w:tc>
        <w:tc>
          <w:tcPr>
            <w:tcW w:w="260" w:type="dxa"/>
            <w:vAlign w:val="bottom"/>
          </w:tcPr>
          <w:p>
            <w:pPr>
              <w:spacing w:after="0"/>
              <w:rPr>
                <w:sz w:val="24"/>
                <w:szCs w:val="24"/>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tcBorders>
              <w:bottom w:val="single" w:sz="8" w:color="auto"/>
            </w:tcBorders>
            <w:gridSpan w:val="4"/>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Utilities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320" w:type="dxa"/>
            <w:vAlign w:val="bottom"/>
            <w:gridSpan w:val="4"/>
          </w:tcPr>
          <w:p>
            <w:pPr>
              <w:spacing w:after="0" w:line="172" w:lineRule="exact"/>
              <w:rPr>
                <w:sz w:val="20"/>
                <w:szCs w:val="20"/>
                <w:color w:val="auto"/>
              </w:rPr>
            </w:pPr>
            <w:r>
              <w:rPr>
                <w:rFonts w:ascii="Times New Roman" w:cs="Times New Roman" w:eastAsia="Times New Roman" w:hAnsi="Times New Roman"/>
                <w:sz w:val="16"/>
                <w:szCs w:val="16"/>
                <w:color w:val="auto"/>
              </w:rPr>
              <w:t>Customer types: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3"/>
          </w:tcPr>
          <w:p>
            <w:pPr>
              <w:jc w:val="right"/>
              <w:ind w:right="619"/>
              <w:spacing w:after="0" w:line="172" w:lineRule="exact"/>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4"/>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459,949</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513,208</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43,917</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26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993,219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Transportation</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113,096</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112,680</w:t>
            </w:r>
          </w:p>
        </w:tc>
        <w:tc>
          <w:tcPr>
            <w:tcW w:w="0" w:type="dxa"/>
            <w:vAlign w:val="bottom"/>
          </w:tcPr>
          <w:p>
            <w:pPr>
              <w:spacing w:after="0"/>
              <w:rPr>
                <w:sz w:val="1"/>
                <w:szCs w:val="1"/>
                <w:color w:val="auto"/>
              </w:rPr>
            </w:pPr>
          </w:p>
        </w:tc>
      </w:tr>
      <w:tr>
        <w:trPr>
          <w:trHeight w:val="219"/>
        </w:trPr>
        <w:tc>
          <w:tcPr>
            <w:tcW w:w="40" w:type="dxa"/>
            <w:vAlign w:val="bottom"/>
            <w:tcBorders>
              <w:right w:val="single" w:sz="8" w:color="CEFFE7"/>
            </w:tcBorders>
          </w:tcPr>
          <w:p>
            <w:pPr>
              <w:spacing w:after="0"/>
              <w:rPr>
                <w:sz w:val="19"/>
                <w:szCs w:val="19"/>
                <w:color w:val="auto"/>
              </w:rPr>
            </w:pPr>
          </w:p>
        </w:tc>
        <w:tc>
          <w:tcPr>
            <w:tcW w:w="4320" w:type="dxa"/>
            <w:vAlign w:val="bottom"/>
            <w:gridSpan w:val="4"/>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Wholesale</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14,947</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77,234</w:t>
            </w: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(72,609)</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19,572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Market - off-system sales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0" w:type="dxa"/>
            <w:vAlign w:val="bottom"/>
          </w:tcPr>
          <w:p>
            <w:pPr>
              <w:spacing w:after="0"/>
              <w:rPr>
                <w:sz w:val="1"/>
                <w:szCs w:val="1"/>
                <w:color w:val="auto"/>
              </w:rPr>
            </w:pPr>
          </w:p>
        </w:tc>
      </w:tr>
      <w:tr>
        <w:trPr>
          <w:trHeight w:val="219"/>
        </w:trPr>
        <w:tc>
          <w:tcPr>
            <w:tcW w:w="40" w:type="dxa"/>
            <w:vAlign w:val="bottom"/>
            <w:tcBorders>
              <w:right w:val="single" w:sz="8" w:color="CEFFE7"/>
            </w:tcBorders>
          </w:tcPr>
          <w:p>
            <w:pPr>
              <w:spacing w:after="0"/>
              <w:rPr>
                <w:sz w:val="19"/>
                <w:szCs w:val="19"/>
                <w:color w:val="auto"/>
              </w:rPr>
            </w:pPr>
          </w:p>
        </w:tc>
        <w:tc>
          <w:tcPr>
            <w:tcW w:w="4320" w:type="dxa"/>
            <w:vAlign w:val="bottom"/>
            <w:gridSpan w:val="4"/>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Transmission/Other</w:t>
            </w:r>
          </w:p>
        </w:tc>
        <w:tc>
          <w:tcPr>
            <w:tcW w:w="200" w:type="dxa"/>
            <w:vAlign w:val="bottom"/>
            <w:tcBorders>
              <w:bottom w:val="single" w:sz="8" w:color="auto"/>
            </w:tcBorders>
            <w:shd w:val="clear" w:color="auto" w:fill="CEFFE7"/>
          </w:tcPr>
          <w:p>
            <w:pPr>
              <w:spacing w:after="0"/>
              <w:rPr>
                <w:sz w:val="19"/>
                <w:szCs w:val="19"/>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43,271</w:t>
            </w:r>
          </w:p>
        </w:tc>
        <w:tc>
          <w:tcPr>
            <w:tcW w:w="160" w:type="dxa"/>
            <w:vAlign w:val="bottom"/>
            <w:tcBorders>
              <w:bottom w:val="single" w:sz="8" w:color="auto"/>
            </w:tcBorders>
            <w:shd w:val="clear" w:color="auto" w:fill="CEFFE7"/>
          </w:tcPr>
          <w:p>
            <w:pPr>
              <w:spacing w:after="0"/>
              <w:rPr>
                <w:sz w:val="19"/>
                <w:szCs w:val="19"/>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32,038</w:t>
            </w:r>
          </w:p>
        </w:tc>
        <w:tc>
          <w:tcPr>
            <w:tcW w:w="44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EFFE7"/>
          </w:tcPr>
          <w:p>
            <w:pPr>
              <w:spacing w:after="0"/>
              <w:rPr>
                <w:sz w:val="19"/>
                <w:szCs w:val="19"/>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26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61,229</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3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536,107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658,539</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(117,083)</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1,198,714</w:t>
            </w:r>
          </w:p>
        </w:tc>
        <w:tc>
          <w:tcPr>
            <w:tcW w:w="0" w:type="dxa"/>
            <w:vAlign w:val="bottom"/>
          </w:tcPr>
          <w:p>
            <w:pPr>
              <w:spacing w:after="0"/>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4"/>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4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2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538,181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665,812</w:t>
            </w: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78,606</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(117,902)</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1,210,554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Borders>
              <w:bottom w:val="single" w:sz="8" w:color="CEFFE7"/>
            </w:tcBorders>
          </w:tcPr>
          <w:p>
            <w:pPr>
              <w:spacing w:after="0" w:line="20" w:lineRule="exact"/>
              <w:rPr>
                <w:sz w:val="1"/>
                <w:szCs w:val="1"/>
                <w:color w:val="auto"/>
              </w:rPr>
            </w:pPr>
          </w:p>
        </w:tc>
        <w:tc>
          <w:tcPr>
            <w:tcW w:w="40" w:type="dxa"/>
            <w:vAlign w:val="bottom"/>
            <w:tcBorders>
              <w:bottom w:val="single" w:sz="8" w:color="CEFFE7"/>
            </w:tcBorders>
          </w:tcPr>
          <w:p>
            <w:pPr>
              <w:spacing w:after="0" w:line="20" w:lineRule="exact"/>
              <w:rPr>
                <w:sz w:val="1"/>
                <w:szCs w:val="1"/>
                <w:color w:val="auto"/>
              </w:rPr>
            </w:pPr>
          </w:p>
        </w:tc>
        <w:tc>
          <w:tcPr>
            <w:tcW w:w="1040" w:type="dxa"/>
            <w:vAlign w:val="bottom"/>
            <w:tcBorders>
              <w:bottom w:val="single" w:sz="8" w:color="CEFFE7"/>
            </w:tcBorders>
          </w:tcPr>
          <w:p>
            <w:pPr>
              <w:spacing w:after="0" w:line="20" w:lineRule="exact"/>
              <w:rPr>
                <w:sz w:val="1"/>
                <w:szCs w:val="1"/>
                <w:color w:val="auto"/>
              </w:rPr>
            </w:pPr>
          </w:p>
        </w:tc>
        <w:tc>
          <w:tcPr>
            <w:tcW w:w="2180" w:type="dxa"/>
            <w:vAlign w:val="bottom"/>
            <w:tcBorders>
              <w:bottom w:val="single" w:sz="8" w:color="CEFFE7"/>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 w:type="dxa"/>
            <w:vAlign w:val="bottom"/>
            <w:tcBorders>
              <w:right w:val="single" w:sz="8" w:color="CEFFE7"/>
            </w:tcBorders>
          </w:tcPr>
          <w:p>
            <w:pPr>
              <w:spacing w:after="0"/>
              <w:rPr>
                <w:sz w:val="10"/>
                <w:szCs w:val="10"/>
                <w:color w:val="auto"/>
              </w:rPr>
            </w:pPr>
          </w:p>
        </w:tc>
        <w:tc>
          <w:tcPr>
            <w:tcW w:w="1060" w:type="dxa"/>
            <w:vAlign w:val="bottom"/>
            <w:shd w:val="clear" w:color="auto" w:fill="CEFFE7"/>
          </w:tcPr>
          <w:p>
            <w:pPr>
              <w:spacing w:after="0"/>
              <w:rPr>
                <w:sz w:val="10"/>
                <w:szCs w:val="10"/>
                <w:color w:val="auto"/>
              </w:rPr>
            </w:pPr>
          </w:p>
        </w:tc>
        <w:tc>
          <w:tcPr>
            <w:tcW w:w="40" w:type="dxa"/>
            <w:vAlign w:val="bottom"/>
            <w:shd w:val="clear" w:color="auto" w:fill="CEFFE7"/>
          </w:tcPr>
          <w:p>
            <w:pPr>
              <w:spacing w:after="0"/>
              <w:rPr>
                <w:sz w:val="10"/>
                <w:szCs w:val="10"/>
                <w:color w:val="auto"/>
              </w:rPr>
            </w:pPr>
          </w:p>
        </w:tc>
        <w:tc>
          <w:tcPr>
            <w:tcW w:w="1040" w:type="dxa"/>
            <w:vAlign w:val="bottom"/>
            <w:shd w:val="clear" w:color="auto" w:fill="CEFFE7"/>
          </w:tcPr>
          <w:p>
            <w:pPr>
              <w:spacing w:after="0"/>
              <w:rPr>
                <w:sz w:val="10"/>
                <w:szCs w:val="10"/>
                <w:color w:val="auto"/>
              </w:rPr>
            </w:pPr>
          </w:p>
        </w:tc>
        <w:tc>
          <w:tcPr>
            <w:tcW w:w="2180" w:type="dxa"/>
            <w:vAlign w:val="bottom"/>
            <w:shd w:val="clear" w:color="auto" w:fill="CEFFE7"/>
          </w:tcPr>
          <w:p>
            <w:pPr>
              <w:spacing w:after="0"/>
              <w:rPr>
                <w:sz w:val="10"/>
                <w:szCs w:val="10"/>
                <w:color w:val="auto"/>
              </w:rPr>
            </w:pPr>
          </w:p>
        </w:tc>
        <w:tc>
          <w:tcPr>
            <w:tcW w:w="200" w:type="dxa"/>
            <w:vAlign w:val="bottom"/>
            <w:shd w:val="clear" w:color="auto" w:fill="CEFFE7"/>
          </w:tcPr>
          <w:p>
            <w:pPr>
              <w:spacing w:after="0"/>
              <w:rPr>
                <w:sz w:val="10"/>
                <w:szCs w:val="10"/>
                <w:color w:val="auto"/>
              </w:rPr>
            </w:pPr>
          </w:p>
        </w:tc>
        <w:tc>
          <w:tcPr>
            <w:tcW w:w="90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960" w:type="dxa"/>
            <w:vAlign w:val="bottom"/>
            <w:shd w:val="clear" w:color="auto" w:fill="CEFFE7"/>
          </w:tcPr>
          <w:p>
            <w:pPr>
              <w:spacing w:after="0"/>
              <w:rPr>
                <w:sz w:val="10"/>
                <w:szCs w:val="10"/>
                <w:color w:val="auto"/>
              </w:rPr>
            </w:pPr>
          </w:p>
        </w:tc>
        <w:tc>
          <w:tcPr>
            <w:tcW w:w="440" w:type="dxa"/>
            <w:vAlign w:val="bottom"/>
            <w:shd w:val="clear" w:color="auto" w:fill="CEFFE7"/>
          </w:tcPr>
          <w:p>
            <w:pPr>
              <w:spacing w:after="0"/>
              <w:rPr>
                <w:sz w:val="10"/>
                <w:szCs w:val="10"/>
                <w:color w:val="auto"/>
              </w:rPr>
            </w:pPr>
          </w:p>
        </w:tc>
        <w:tc>
          <w:tcPr>
            <w:tcW w:w="84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880" w:type="dxa"/>
            <w:vAlign w:val="bottom"/>
            <w:shd w:val="clear" w:color="auto" w:fill="CEFFE7"/>
          </w:tcPr>
          <w:p>
            <w:pPr>
              <w:spacing w:after="0"/>
              <w:rPr>
                <w:sz w:val="10"/>
                <w:szCs w:val="10"/>
                <w:color w:val="auto"/>
              </w:rPr>
            </w:pPr>
          </w:p>
        </w:tc>
        <w:tc>
          <w:tcPr>
            <w:tcW w:w="200" w:type="dxa"/>
            <w:vAlign w:val="bottom"/>
            <w:shd w:val="clear" w:color="auto" w:fill="CEFFE7"/>
          </w:tcPr>
          <w:p>
            <w:pPr>
              <w:spacing w:after="0"/>
              <w:rPr>
                <w:sz w:val="10"/>
                <w:szCs w:val="10"/>
                <w:color w:val="auto"/>
              </w:rPr>
            </w:pPr>
          </w:p>
        </w:tc>
        <w:tc>
          <w:tcPr>
            <w:tcW w:w="94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86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4" w:right="359" w:bottom="1440" w:gutter="0" w:footer="0" w:header="0"/>
        </w:sect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Timing of revenue recognition: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Services transferred at a point in time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Services transferred over time</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43,917</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20,062</w:t>
            </w:r>
          </w:p>
        </w:tc>
      </w:tr>
      <w:tr>
        <w:trPr>
          <w:trHeight w:val="219"/>
        </w:trPr>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536,107</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658,539</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77,234</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(93,228)</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1,178,652</w:t>
            </w:r>
          </w:p>
        </w:tc>
      </w:tr>
      <w:tr>
        <w:trPr>
          <w:trHeight w:val="210"/>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536,107</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658,539</w:t>
            </w: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77,234</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43,917</w:t>
            </w: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(117,083)</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1,198,714</w:t>
            </w:r>
          </w:p>
        </w:tc>
      </w:tr>
      <w:tr>
        <w:trPr>
          <w:trHeight w:val="23"/>
        </w:trPr>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-453390</wp:posOffset>
            </wp:positionV>
            <wp:extent cx="71151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-179705</wp:posOffset>
            </wp:positionV>
            <wp:extent cx="711517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60"/>
          </w:cols>
          <w:pgMar w:left="320" w:top="124" w:right="35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2"/>
        </w:trPr>
        <w:tc>
          <w:tcPr>
            <w:tcW w:w="4360" w:type="dxa"/>
            <w:vAlign w:val="bottom"/>
            <w:gridSpan w:val="3"/>
          </w:tcPr>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6"/>
        </w:trPr>
        <w:tc>
          <w:tcPr>
            <w:tcW w:w="40" w:type="dxa"/>
            <w:vAlign w:val="bottom"/>
          </w:tcPr>
          <w:p>
            <w:pPr>
              <w:spacing w:after="0"/>
              <w:rPr>
                <w:sz w:val="24"/>
                <w:szCs w:val="24"/>
                <w:color w:val="auto"/>
              </w:rPr>
            </w:pPr>
          </w:p>
        </w:tc>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Nine Months Ended September 30, 2019</w:t>
            </w:r>
          </w:p>
        </w:tc>
        <w:tc>
          <w:tcPr>
            <w:tcW w:w="20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Electric</w:t>
            </w:r>
          </w:p>
        </w:tc>
        <w:tc>
          <w:tcPr>
            <w:tcW w:w="160" w:type="dxa"/>
            <w:vAlign w:val="bottom"/>
          </w:tcPr>
          <w:p>
            <w:pPr>
              <w:spacing w:after="0"/>
              <w:rPr>
                <w:sz w:val="24"/>
                <w:szCs w:val="24"/>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Gas Utilities</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Power Generation</w:t>
            </w:r>
          </w:p>
        </w:tc>
        <w:tc>
          <w:tcPr>
            <w:tcW w:w="220" w:type="dxa"/>
            <w:vAlign w:val="bottom"/>
          </w:tcPr>
          <w:p>
            <w:pPr>
              <w:spacing w:after="0"/>
              <w:rPr>
                <w:sz w:val="24"/>
                <w:szCs w:val="24"/>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Mining</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Inter-company</w:t>
            </w:r>
          </w:p>
        </w:tc>
        <w:tc>
          <w:tcPr>
            <w:tcW w:w="260" w:type="dxa"/>
            <w:vAlign w:val="bottom"/>
          </w:tcPr>
          <w:p>
            <w:pPr>
              <w:spacing w:after="0"/>
              <w:rPr>
                <w:sz w:val="24"/>
                <w:szCs w:val="24"/>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Utilities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32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Customer Types: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2"/>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455,409</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567,715</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43,249</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(23,315)</w:t>
            </w:r>
          </w:p>
        </w:tc>
        <w:tc>
          <w:tcPr>
            <w:tcW w:w="26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1,043,058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Transportation</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102,159</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101,256</w:t>
            </w:r>
          </w:p>
        </w:tc>
        <w:tc>
          <w:tcPr>
            <w:tcW w:w="0" w:type="dxa"/>
            <w:vAlign w:val="bottom"/>
          </w:tcPr>
          <w:p>
            <w:pPr>
              <w:spacing w:after="0"/>
              <w:rPr>
                <w:sz w:val="1"/>
                <w:szCs w:val="1"/>
                <w:color w:val="auto"/>
              </w:rPr>
            </w:pPr>
          </w:p>
        </w:tc>
      </w:tr>
      <w:tr>
        <w:trPr>
          <w:trHeight w:val="219"/>
        </w:trPr>
        <w:tc>
          <w:tcPr>
            <w:tcW w:w="40" w:type="dxa"/>
            <w:vAlign w:val="bottom"/>
            <w:tcBorders>
              <w:right w:val="single" w:sz="8" w:color="CEFFE7"/>
            </w:tcBorders>
          </w:tcPr>
          <w:p>
            <w:pPr>
              <w:spacing w:after="0"/>
              <w:rPr>
                <w:sz w:val="19"/>
                <w:szCs w:val="19"/>
                <w:color w:val="auto"/>
              </w:rPr>
            </w:pPr>
          </w:p>
        </w:tc>
        <w:tc>
          <w:tcPr>
            <w:tcW w:w="4320" w:type="dxa"/>
            <w:vAlign w:val="bottom"/>
            <w:gridSpan w:val="2"/>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Wholesale</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23,334</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46,650</w:t>
            </w: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(40,923)</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29,061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Market - off-system sales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0" w:type="dxa"/>
            <w:vAlign w:val="bottom"/>
          </w:tcPr>
          <w:p>
            <w:pPr>
              <w:spacing w:after="0"/>
              <w:rPr>
                <w:sz w:val="1"/>
                <w:szCs w:val="1"/>
                <w:color w:val="auto"/>
              </w:rPr>
            </w:pPr>
          </w:p>
        </w:tc>
      </w:tr>
      <w:tr>
        <w:trPr>
          <w:trHeight w:val="219"/>
        </w:trPr>
        <w:tc>
          <w:tcPr>
            <w:tcW w:w="40" w:type="dxa"/>
            <w:vAlign w:val="bottom"/>
            <w:tcBorders>
              <w:right w:val="single" w:sz="8" w:color="CEFFE7"/>
            </w:tcBorders>
          </w:tcPr>
          <w:p>
            <w:pPr>
              <w:spacing w:after="0"/>
              <w:rPr>
                <w:sz w:val="19"/>
                <w:szCs w:val="19"/>
                <w:color w:val="auto"/>
              </w:rPr>
            </w:pPr>
          </w:p>
        </w:tc>
        <w:tc>
          <w:tcPr>
            <w:tcW w:w="4320" w:type="dxa"/>
            <w:vAlign w:val="bottom"/>
            <w:gridSpan w:val="2"/>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Transmission/Other</w:t>
            </w:r>
          </w:p>
        </w:tc>
        <w:tc>
          <w:tcPr>
            <w:tcW w:w="200" w:type="dxa"/>
            <w:vAlign w:val="bottom"/>
            <w:tcBorders>
              <w:bottom w:val="single" w:sz="8" w:color="auto"/>
            </w:tcBorders>
            <w:shd w:val="clear" w:color="auto" w:fill="CEFFE7"/>
          </w:tcPr>
          <w:p>
            <w:pPr>
              <w:spacing w:after="0"/>
              <w:rPr>
                <w:sz w:val="19"/>
                <w:szCs w:val="19"/>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42,865</w:t>
            </w:r>
          </w:p>
        </w:tc>
        <w:tc>
          <w:tcPr>
            <w:tcW w:w="160" w:type="dxa"/>
            <w:vAlign w:val="bottom"/>
            <w:tcBorders>
              <w:bottom w:val="single" w:sz="8" w:color="auto"/>
            </w:tcBorders>
            <w:shd w:val="clear" w:color="auto" w:fill="CEFFE7"/>
          </w:tcPr>
          <w:p>
            <w:pPr>
              <w:spacing w:after="0"/>
              <w:rPr>
                <w:sz w:val="19"/>
                <w:szCs w:val="19"/>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35,767</w:t>
            </w:r>
          </w:p>
        </w:tc>
        <w:tc>
          <w:tcPr>
            <w:tcW w:w="44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EFFE7"/>
          </w:tcPr>
          <w:p>
            <w:pPr>
              <w:spacing w:after="0"/>
              <w:rPr>
                <w:sz w:val="19"/>
                <w:szCs w:val="19"/>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26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66,024</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706,158</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46,650</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(82,796)</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1,251,461</w:t>
            </w:r>
          </w:p>
        </w:tc>
        <w:tc>
          <w:tcPr>
            <w:tcW w:w="0" w:type="dxa"/>
            <w:vAlign w:val="bottom"/>
          </w:tcPr>
          <w:p>
            <w:pPr>
              <w:spacing w:after="0"/>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2"/>
            <w:shd w:val="clear" w:color="auto" w:fill="CEFFE7"/>
          </w:tcPr>
          <w:p>
            <w:pPr>
              <w:ind w:left="10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4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29,114</w:t>
            </w:r>
          </w:p>
        </w:tc>
        <w:tc>
          <w:tcPr>
            <w:tcW w:w="2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(28,706)</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540,665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707,293</w:t>
            </w: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75,764</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(111,502)</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1,257,246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Borders>
              <w:bottom w:val="single" w:sz="8" w:color="CEFFE7"/>
            </w:tcBorders>
          </w:tcPr>
          <w:p>
            <w:pPr>
              <w:spacing w:after="0" w:line="20" w:lineRule="exact"/>
              <w:rPr>
                <w:sz w:val="1"/>
                <w:szCs w:val="1"/>
                <w:color w:val="auto"/>
              </w:rPr>
            </w:pPr>
          </w:p>
        </w:tc>
        <w:tc>
          <w:tcPr>
            <w:tcW w:w="3220" w:type="dxa"/>
            <w:vAlign w:val="bottom"/>
            <w:tcBorders>
              <w:bottom w:val="single" w:sz="8" w:color="CEFFE7"/>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Borders>
              <w:right w:val="single" w:sz="8" w:color="CEFFE7"/>
            </w:tcBorders>
          </w:tcPr>
          <w:p>
            <w:pPr>
              <w:spacing w:after="0"/>
              <w:rPr>
                <w:sz w:val="10"/>
                <w:szCs w:val="10"/>
                <w:color w:val="auto"/>
              </w:rPr>
            </w:pPr>
          </w:p>
        </w:tc>
        <w:tc>
          <w:tcPr>
            <w:tcW w:w="1100" w:type="dxa"/>
            <w:vAlign w:val="bottom"/>
            <w:shd w:val="clear" w:color="auto" w:fill="CEFFE7"/>
          </w:tcPr>
          <w:p>
            <w:pPr>
              <w:spacing w:after="0"/>
              <w:rPr>
                <w:sz w:val="10"/>
                <w:szCs w:val="10"/>
                <w:color w:val="auto"/>
              </w:rPr>
            </w:pPr>
          </w:p>
        </w:tc>
        <w:tc>
          <w:tcPr>
            <w:tcW w:w="3220" w:type="dxa"/>
            <w:vAlign w:val="bottom"/>
            <w:shd w:val="clear" w:color="auto" w:fill="CEFFE7"/>
          </w:tcPr>
          <w:p>
            <w:pPr>
              <w:spacing w:after="0"/>
              <w:rPr>
                <w:sz w:val="10"/>
                <w:szCs w:val="10"/>
                <w:color w:val="auto"/>
              </w:rPr>
            </w:pPr>
          </w:p>
        </w:tc>
        <w:tc>
          <w:tcPr>
            <w:tcW w:w="200" w:type="dxa"/>
            <w:vAlign w:val="bottom"/>
            <w:shd w:val="clear" w:color="auto" w:fill="CEFFE7"/>
          </w:tcPr>
          <w:p>
            <w:pPr>
              <w:spacing w:after="0"/>
              <w:rPr>
                <w:sz w:val="10"/>
                <w:szCs w:val="10"/>
                <w:color w:val="auto"/>
              </w:rPr>
            </w:pPr>
          </w:p>
        </w:tc>
        <w:tc>
          <w:tcPr>
            <w:tcW w:w="90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960" w:type="dxa"/>
            <w:vAlign w:val="bottom"/>
            <w:shd w:val="clear" w:color="auto" w:fill="CEFFE7"/>
          </w:tcPr>
          <w:p>
            <w:pPr>
              <w:spacing w:after="0"/>
              <w:rPr>
                <w:sz w:val="10"/>
                <w:szCs w:val="10"/>
                <w:color w:val="auto"/>
              </w:rPr>
            </w:pPr>
          </w:p>
        </w:tc>
        <w:tc>
          <w:tcPr>
            <w:tcW w:w="440" w:type="dxa"/>
            <w:vAlign w:val="bottom"/>
            <w:shd w:val="clear" w:color="auto" w:fill="CEFFE7"/>
          </w:tcPr>
          <w:p>
            <w:pPr>
              <w:spacing w:after="0"/>
              <w:rPr>
                <w:sz w:val="10"/>
                <w:szCs w:val="10"/>
                <w:color w:val="auto"/>
              </w:rPr>
            </w:pPr>
          </w:p>
        </w:tc>
        <w:tc>
          <w:tcPr>
            <w:tcW w:w="84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880" w:type="dxa"/>
            <w:vAlign w:val="bottom"/>
            <w:shd w:val="clear" w:color="auto" w:fill="CEFFE7"/>
          </w:tcPr>
          <w:p>
            <w:pPr>
              <w:spacing w:after="0"/>
              <w:rPr>
                <w:sz w:val="10"/>
                <w:szCs w:val="10"/>
                <w:color w:val="auto"/>
              </w:rPr>
            </w:pPr>
          </w:p>
        </w:tc>
        <w:tc>
          <w:tcPr>
            <w:tcW w:w="200" w:type="dxa"/>
            <w:vAlign w:val="bottom"/>
            <w:shd w:val="clear" w:color="auto" w:fill="CEFFE7"/>
          </w:tcPr>
          <w:p>
            <w:pPr>
              <w:spacing w:after="0"/>
              <w:rPr>
                <w:sz w:val="10"/>
                <w:szCs w:val="10"/>
                <w:color w:val="auto"/>
              </w:rPr>
            </w:pPr>
          </w:p>
        </w:tc>
        <w:tc>
          <w:tcPr>
            <w:tcW w:w="94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86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4" w:right="339" w:bottom="1440" w:gutter="0" w:footer="0" w:header="0"/>
        </w:sectPr>
      </w:pPr>
    </w:p>
    <w:p>
      <w:pPr>
        <w:ind w:left="140" w:right="1060" w:hanging="103"/>
        <w:spacing w:after="0" w:line="298" w:lineRule="auto"/>
        <w:rPr>
          <w:sz w:val="20"/>
          <w:szCs w:val="20"/>
          <w:color w:val="auto"/>
        </w:rPr>
      </w:pPr>
      <w:r>
        <w:rPr>
          <w:rFonts w:ascii="Times New Roman" w:cs="Times New Roman" w:eastAsia="Times New Roman" w:hAnsi="Times New Roman"/>
          <w:sz w:val="16"/>
          <w:szCs w:val="16"/>
          <w:u w:val="single" w:color="auto"/>
          <w:color w:val="auto"/>
        </w:rPr>
        <w:t xml:space="preserve">Timing of Revenue Recognition: </w:t>
      </w:r>
      <w:r>
        <w:rPr>
          <w:rFonts w:ascii="Times New Roman" w:cs="Times New Roman" w:eastAsia="Times New Roman" w:hAnsi="Times New Roman"/>
          <w:sz w:val="16"/>
          <w:szCs w:val="16"/>
          <w:color w:val="auto"/>
        </w:rPr>
        <w:t>Services transferred at a point in time Services transferred over time</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43,249</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(23,315)</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19,934</w:t>
            </w:r>
          </w:p>
        </w:tc>
      </w:tr>
      <w:tr>
        <w:trPr>
          <w:trHeight w:val="219"/>
        </w:trPr>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538,200</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706,158</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46,650</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(59,481)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1,231,527</w:t>
            </w:r>
          </w:p>
        </w:tc>
      </w:tr>
      <w:tr>
        <w:trPr>
          <w:trHeight w:val="210"/>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538,200</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706,158</w:t>
            </w: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46,650</w:t>
            </w: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43,249</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(82,796)</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1,251,461</w:t>
            </w:r>
          </w:p>
        </w:tc>
      </w:tr>
      <w:tr>
        <w:trPr>
          <w:trHeight w:val="23"/>
        </w:trPr>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-454025</wp:posOffset>
            </wp:positionV>
            <wp:extent cx="711517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-179070</wp:posOffset>
            </wp:positionV>
            <wp:extent cx="711517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124" w:right="3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ind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w:t>
      </w:r>
      <w:hyperlink w:anchor="page20">
        <w:r>
          <w:rPr>
            <w:rFonts w:ascii="Times New Roman" w:cs="Times New Roman" w:eastAsia="Times New Roman" w:hAnsi="Times New Roman"/>
            <w:sz w:val="18"/>
            <w:szCs w:val="18"/>
            <w:u w:val="single" w:color="auto"/>
            <w:color w:val="0000FF"/>
          </w:rPr>
          <w:t>Note 4</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based on our method of internal reporting, which is generally segregated by differences in products, services and regulation.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operations and assets are located within the United States.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Segment and Corporate and Other information is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External Operating</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Inter-company Operating Revenue</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Revenue</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vMerge w:val="continue"/>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2020</w:t>
            </w:r>
          </w:p>
        </w:tc>
        <w:tc>
          <w:tcPr>
            <w:tcW w:w="14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Contract</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7"/>
                <w:szCs w:val="17"/>
                <w:color w:val="auto"/>
              </w:rPr>
            </w:pPr>
          </w:p>
        </w:tc>
        <w:tc>
          <w:tcPr>
            <w:tcW w:w="110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Contract</w:t>
            </w:r>
          </w:p>
        </w:tc>
        <w:tc>
          <w:tcPr>
            <w:tcW w:w="14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Other Revenues</w:t>
            </w:r>
          </w:p>
        </w:tc>
        <w:tc>
          <w:tcPr>
            <w:tcW w:w="13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Revenues</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Customers</w:t>
            </w:r>
          </w:p>
        </w:tc>
        <w:tc>
          <w:tcPr>
            <w:tcW w:w="146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Customers</w:t>
            </w:r>
          </w:p>
        </w:tc>
        <w:tc>
          <w:tcPr>
            <w:tcW w:w="1440" w:type="dxa"/>
            <w:vAlign w:val="bottom"/>
            <w:tcBorders>
              <w:bottom w:val="single" w:sz="8" w:color="auto"/>
            </w:tcBorders>
            <w:gridSpan w:val="3"/>
            <w:vMerge w:val="continue"/>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Electric Utilities</w:t>
            </w: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194,941</w:t>
            </w:r>
          </w:p>
        </w:tc>
        <w:tc>
          <w:tcPr>
            <w:tcW w:w="820" w:type="dxa"/>
            <w:vAlign w:val="bottom"/>
            <w:shd w:val="clear" w:color="auto" w:fill="CEFFE7"/>
          </w:tcPr>
          <w:p>
            <w:pPr>
              <w:jc w:val="center"/>
              <w:ind w:right="5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500" w:type="dxa"/>
            <w:vAlign w:val="bottom"/>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EFFE7"/>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EFFE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200,842</w:t>
            </w: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Gas Utilities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141,275</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143,929</w:t>
            </w:r>
          </w:p>
        </w:tc>
        <w:tc>
          <w:tcPr>
            <w:tcW w:w="0" w:type="dxa"/>
            <w:vAlign w:val="bottom"/>
          </w:tcPr>
          <w:p>
            <w:pPr>
              <w:spacing w:after="0"/>
              <w:rPr>
                <w:sz w:val="1"/>
                <w:szCs w:val="1"/>
                <w:color w:val="auto"/>
              </w:rPr>
            </w:pPr>
          </w:p>
        </w:tc>
      </w:tr>
      <w:tr>
        <w:trPr>
          <w:trHeight w:val="230"/>
        </w:trPr>
        <w:tc>
          <w:tcPr>
            <w:tcW w:w="466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Power Generation</w:t>
            </w:r>
          </w:p>
        </w:tc>
        <w:tc>
          <w:tcPr>
            <w:tcW w:w="14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20" w:type="dxa"/>
            <w:vAlign w:val="bottom"/>
            <w:shd w:val="clear" w:color="auto" w:fill="CEFFE7"/>
          </w:tcPr>
          <w:p>
            <w:pPr>
              <w:spacing w:after="0"/>
              <w:rPr>
                <w:sz w:val="19"/>
                <w:szCs w:val="19"/>
                <w:color w:val="auto"/>
              </w:rPr>
            </w:pPr>
          </w:p>
        </w:tc>
        <w:tc>
          <w:tcPr>
            <w:tcW w:w="5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24,521</w:t>
            </w:r>
          </w:p>
        </w:tc>
        <w:tc>
          <w:tcPr>
            <w:tcW w:w="50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0" w:type="dxa"/>
            <w:vAlign w:val="bottom"/>
          </w:tcPr>
          <w:p>
            <w:pPr>
              <w:spacing w:after="0"/>
              <w:rPr>
                <w:sz w:val="1"/>
                <w:szCs w:val="1"/>
                <w:color w:val="auto"/>
              </w:rPr>
            </w:pPr>
          </w:p>
        </w:tc>
      </w:tr>
      <w:tr>
        <w:trPr>
          <w:trHeight w:val="22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Mining</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0" w:type="dxa"/>
            <w:vAlign w:val="bottom"/>
          </w:tcPr>
          <w:p>
            <w:pPr>
              <w:spacing w:after="0"/>
              <w:rPr>
                <w:sz w:val="1"/>
                <w:szCs w:val="1"/>
                <w:color w:val="auto"/>
              </w:rPr>
            </w:pPr>
          </w:p>
        </w:tc>
      </w:tr>
      <w:tr>
        <w:trPr>
          <w:trHeight w:val="230"/>
        </w:trPr>
        <w:tc>
          <w:tcPr>
            <w:tcW w:w="46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4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EFFE7"/>
          </w:tcPr>
          <w:p>
            <w:pPr>
              <w:spacing w:after="0"/>
              <w:rPr>
                <w:sz w:val="19"/>
                <w:szCs w:val="19"/>
                <w:color w:val="auto"/>
              </w:rPr>
            </w:pPr>
          </w:p>
        </w:tc>
        <w:tc>
          <w:tcPr>
            <w:tcW w:w="640" w:type="dxa"/>
            <w:vAlign w:val="bottom"/>
            <w:gridSpan w:val="2"/>
            <w:shd w:val="clear" w:color="auto" w:fill="CEFFE7"/>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(39,899)</w:t>
            </w:r>
          </w:p>
        </w:tc>
        <w:tc>
          <w:tcPr>
            <w:tcW w:w="50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(39,935)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344,312</w:t>
            </w:r>
          </w:p>
        </w:tc>
        <w:tc>
          <w:tcPr>
            <w:tcW w:w="820" w:type="dxa"/>
            <w:vAlign w:val="bottom"/>
            <w:tcBorders>
              <w:top w:val="single" w:sz="8" w:color="auto"/>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346,590</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8" w:name="page19"/>
    <w:bookmarkEnd w:id="18"/>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External Operating Revenue</w:t>
            </w:r>
          </w:p>
        </w:tc>
        <w:tc>
          <w:tcPr>
            <w:tcW w:w="27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Inter-company Operating Revenue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2C2C2C"/>
              </w:rPr>
              <w:t>Three Months Ended September 30, 2019</w:t>
            </w:r>
          </w:p>
        </w:tc>
        <w:tc>
          <w:tcPr>
            <w:tcW w:w="200" w:type="dxa"/>
            <w:vAlign w:val="bottom"/>
          </w:tcPr>
          <w:p>
            <w:pPr>
              <w:spacing w:after="0"/>
              <w:rPr>
                <w:sz w:val="17"/>
                <w:szCs w:val="17"/>
                <w:color w:val="auto"/>
              </w:rPr>
            </w:pPr>
          </w:p>
        </w:tc>
        <w:tc>
          <w:tcPr>
            <w:tcW w:w="10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Contract</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7"/>
                <w:szCs w:val="17"/>
                <w:color w:val="auto"/>
              </w:rPr>
            </w:pPr>
          </w:p>
        </w:tc>
        <w:tc>
          <w:tcPr>
            <w:tcW w:w="110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Contract</w:t>
            </w:r>
          </w:p>
        </w:tc>
        <w:tc>
          <w:tcPr>
            <w:tcW w:w="14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Total Revenues</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Customers</w:t>
            </w:r>
          </w:p>
        </w:tc>
        <w:tc>
          <w:tcPr>
            <w:tcW w:w="146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Customers</w:t>
            </w:r>
          </w:p>
        </w:tc>
        <w:tc>
          <w:tcPr>
            <w:tcW w:w="144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44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Utilities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191,384</w:t>
            </w:r>
          </w:p>
        </w:tc>
        <w:tc>
          <w:tcPr>
            <w:tcW w:w="0" w:type="dxa"/>
            <w:vAlign w:val="bottom"/>
          </w:tcPr>
          <w:p>
            <w:pPr>
              <w:spacing w:after="0"/>
              <w:rPr>
                <w:sz w:val="1"/>
                <w:szCs w:val="1"/>
                <w:color w:val="auto"/>
              </w:rPr>
            </w:pPr>
          </w:p>
        </w:tc>
      </w:tr>
      <w:tr>
        <w:trPr>
          <w:trHeight w:val="230"/>
        </w:trPr>
        <w:tc>
          <w:tcPr>
            <w:tcW w:w="448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Gas Utilities</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129,385</w:t>
            </w:r>
          </w:p>
        </w:tc>
        <w:tc>
          <w:tcPr>
            <w:tcW w:w="4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0" w:type="dxa"/>
            <w:vAlign w:val="bottom"/>
            <w:shd w:val="clear" w:color="auto" w:fill="CEFFE7"/>
          </w:tcPr>
          <w:p>
            <w:pPr>
              <w:spacing w:after="0"/>
              <w:rPr>
                <w:sz w:val="19"/>
                <w:szCs w:val="19"/>
                <w:color w:val="auto"/>
              </w:rPr>
            </w:pPr>
          </w:p>
        </w:tc>
        <w:tc>
          <w:tcPr>
            <w:tcW w:w="1040" w:type="dxa"/>
            <w:vAlign w:val="bottom"/>
            <w:gridSpan w:val="2"/>
            <w:shd w:val="clear" w:color="auto" w:fill="CEFFE7"/>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130,744</w:t>
            </w:r>
          </w:p>
        </w:tc>
        <w:tc>
          <w:tcPr>
            <w:tcW w:w="0" w:type="dxa"/>
            <w:vAlign w:val="bottom"/>
          </w:tcPr>
          <w:p>
            <w:pPr>
              <w:spacing w:after="0"/>
              <w:rPr>
                <w:sz w:val="1"/>
                <w:szCs w:val="1"/>
                <w:color w:val="auto"/>
              </w:rPr>
            </w:pPr>
          </w:p>
        </w:tc>
      </w:tr>
      <w:tr>
        <w:trPr>
          <w:trHeight w:val="22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Generation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0" w:type="dxa"/>
            <w:vAlign w:val="bottom"/>
          </w:tcPr>
          <w:p>
            <w:pPr>
              <w:spacing w:after="0"/>
              <w:rPr>
                <w:sz w:val="1"/>
                <w:szCs w:val="1"/>
                <w:color w:val="auto"/>
              </w:rPr>
            </w:pPr>
          </w:p>
        </w:tc>
      </w:tr>
      <w:tr>
        <w:trPr>
          <w:trHeight w:val="229"/>
        </w:trPr>
        <w:tc>
          <w:tcPr>
            <w:tcW w:w="448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4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4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0" w:type="dxa"/>
            <w:vAlign w:val="bottom"/>
          </w:tcPr>
          <w:p>
            <w:pPr>
              <w:spacing w:after="0"/>
              <w:rPr>
                <w:sz w:val="1"/>
                <w:szCs w:val="1"/>
                <w:color w:val="auto"/>
              </w:rPr>
            </w:pPr>
          </w:p>
        </w:tc>
      </w:tr>
      <w:tr>
        <w:trPr>
          <w:trHeight w:val="248"/>
        </w:trPr>
        <w:tc>
          <w:tcPr>
            <w:tcW w:w="4480" w:type="dxa"/>
            <w:vAlign w:val="bottom"/>
            <w:tcBorders>
              <w:top w:val="single" w:sz="8" w:color="CEFFE7"/>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323,745</w:t>
            </w:r>
          </w:p>
        </w:tc>
        <w:tc>
          <w:tcPr>
            <w:tcW w:w="440" w:type="dxa"/>
            <w:vAlign w:val="bottom"/>
            <w:tcBorders>
              <w:top w:val="single" w:sz="8" w:color="auto"/>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40" w:type="dxa"/>
            <w:vAlign w:val="bottom"/>
            <w:tcBorders>
              <w:top w:val="single" w:sz="8" w:color="CEFFE7"/>
              <w:bottom w:val="single" w:sz="8" w:color="CEFFE7"/>
            </w:tcBorders>
            <w:shd w:val="clear" w:color="auto" w:fill="CEFFE7"/>
          </w:tcPr>
          <w:p>
            <w:pPr>
              <w:spacing w:after="0"/>
              <w:rPr>
                <w:sz w:val="21"/>
                <w:szCs w:val="21"/>
                <w:color w:val="auto"/>
              </w:rPr>
            </w:pPr>
          </w:p>
        </w:tc>
        <w:tc>
          <w:tcPr>
            <w:tcW w:w="1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2"/>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EFFE7"/>
              <w:bottom w:val="single" w:sz="8" w:color="CEFFE7"/>
            </w:tcBorders>
            <w:shd w:val="clear" w:color="auto" w:fill="CEFFE7"/>
          </w:tcPr>
          <w:p>
            <w:pPr>
              <w:spacing w:after="0"/>
              <w:rPr>
                <w:sz w:val="21"/>
                <w:szCs w:val="21"/>
                <w:color w:val="auto"/>
              </w:rPr>
            </w:pPr>
          </w:p>
        </w:tc>
        <w:tc>
          <w:tcPr>
            <w:tcW w:w="1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325,548</w:t>
            </w:r>
          </w:p>
        </w:tc>
        <w:tc>
          <w:tcPr>
            <w:tcW w:w="0" w:type="dxa"/>
            <w:vAlign w:val="bottom"/>
          </w:tcPr>
          <w:p>
            <w:pPr>
              <w:spacing w:after="0"/>
              <w:rPr>
                <w:sz w:val="1"/>
                <w:szCs w:val="1"/>
                <w:color w:val="auto"/>
              </w:rPr>
            </w:pPr>
          </w:p>
        </w:tc>
      </w:tr>
      <w:tr>
        <w:trPr>
          <w:trHeight w:val="20"/>
        </w:trPr>
        <w:tc>
          <w:tcPr>
            <w:tcW w:w="448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2400" w:type="dxa"/>
            <w:vAlign w:val="bottom"/>
            <w:tcBorders>
              <w:top w:val="single" w:sz="8" w:color="CEFFE7"/>
              <w:bottom w:val="single" w:sz="8" w:color="auto"/>
            </w:tcBorders>
            <w:gridSpan w:val="3"/>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2580" w:type="dxa"/>
            <w:vAlign w:val="bottom"/>
            <w:tcBorders>
              <w:top w:val="single" w:sz="8" w:color="CEFFE7"/>
              <w:bottom w:val="single" w:sz="8" w:color="auto"/>
            </w:tcBorders>
            <w:gridSpan w:val="4"/>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External Operating Revenue</w:t>
            </w:r>
          </w:p>
        </w:tc>
        <w:tc>
          <w:tcPr>
            <w:tcW w:w="27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Inter-company Operating Revenue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2020</w:t>
            </w:r>
          </w:p>
        </w:tc>
        <w:tc>
          <w:tcPr>
            <w:tcW w:w="200" w:type="dxa"/>
            <w:vAlign w:val="bottom"/>
          </w:tcPr>
          <w:p>
            <w:pPr>
              <w:spacing w:after="0"/>
              <w:rPr>
                <w:sz w:val="17"/>
                <w:szCs w:val="17"/>
                <w:color w:val="auto"/>
              </w:rPr>
            </w:pPr>
          </w:p>
        </w:tc>
        <w:tc>
          <w:tcPr>
            <w:tcW w:w="10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Contract</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7"/>
                <w:szCs w:val="17"/>
                <w:color w:val="auto"/>
              </w:rPr>
            </w:pPr>
          </w:p>
        </w:tc>
        <w:tc>
          <w:tcPr>
            <w:tcW w:w="110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Contract</w:t>
            </w:r>
          </w:p>
        </w:tc>
        <w:tc>
          <w:tcPr>
            <w:tcW w:w="14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Total Revenues</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Customers</w:t>
            </w:r>
          </w:p>
        </w:tc>
        <w:tc>
          <w:tcPr>
            <w:tcW w:w="146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Customers</w:t>
            </w:r>
          </w:p>
        </w:tc>
        <w:tc>
          <w:tcPr>
            <w:tcW w:w="144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Electric Utilities</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518,641</w:t>
            </w:r>
          </w:p>
        </w:tc>
        <w:tc>
          <w:tcPr>
            <w:tcW w:w="44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400" w:type="dxa"/>
            <w:vAlign w:val="bottom"/>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EFFE7"/>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538,181</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Gas Utilities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655,386</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665,812</w:t>
            </w:r>
          </w:p>
        </w:tc>
        <w:tc>
          <w:tcPr>
            <w:tcW w:w="0" w:type="dxa"/>
            <w:vAlign w:val="bottom"/>
          </w:tcPr>
          <w:p>
            <w:pPr>
              <w:spacing w:after="0"/>
              <w:rPr>
                <w:sz w:val="1"/>
                <w:szCs w:val="1"/>
                <w:color w:val="auto"/>
              </w:rPr>
            </w:pPr>
          </w:p>
        </w:tc>
      </w:tr>
      <w:tr>
        <w:trPr>
          <w:trHeight w:val="230"/>
        </w:trPr>
        <w:tc>
          <w:tcPr>
            <w:tcW w:w="448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Power Generation</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4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72,609</w:t>
            </w:r>
          </w:p>
        </w:tc>
        <w:tc>
          <w:tcPr>
            <w:tcW w:w="4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78,606</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45,857</w:t>
            </w:r>
          </w:p>
        </w:tc>
        <w:tc>
          <w:tcPr>
            <w:tcW w:w="0" w:type="dxa"/>
            <w:vAlign w:val="bottom"/>
          </w:tcPr>
          <w:p>
            <w:pPr>
              <w:spacing w:after="0"/>
              <w:rPr>
                <w:sz w:val="1"/>
                <w:szCs w:val="1"/>
                <w:color w:val="auto"/>
              </w:rPr>
            </w:pPr>
          </w:p>
        </w:tc>
      </w:tr>
      <w:tr>
        <w:trPr>
          <w:trHeight w:val="229"/>
        </w:trPr>
        <w:tc>
          <w:tcPr>
            <w:tcW w:w="44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EFFE7"/>
          </w:tcPr>
          <w:p>
            <w:pPr>
              <w:spacing w:after="0"/>
              <w:rPr>
                <w:sz w:val="19"/>
                <w:szCs w:val="19"/>
                <w:color w:val="auto"/>
              </w:rPr>
            </w:pPr>
          </w:p>
        </w:tc>
        <w:tc>
          <w:tcPr>
            <w:tcW w:w="1020" w:type="dxa"/>
            <w:vAlign w:val="bottom"/>
            <w:gridSpan w:val="2"/>
            <w:shd w:val="clear" w:color="auto" w:fill="CEFFE7"/>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(117,083)</w:t>
            </w:r>
          </w:p>
        </w:tc>
        <w:tc>
          <w:tcPr>
            <w:tcW w:w="4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(117,902)</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1,198,714</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1,210,554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9"/>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External Operating Revenue</w:t>
            </w:r>
          </w:p>
        </w:tc>
        <w:tc>
          <w:tcPr>
            <w:tcW w:w="27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Inter-company Operating Revenue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200" w:type="dxa"/>
            <w:vAlign w:val="bottom"/>
          </w:tcPr>
          <w:p>
            <w:pPr>
              <w:spacing w:after="0"/>
              <w:rPr>
                <w:sz w:val="17"/>
                <w:szCs w:val="17"/>
                <w:color w:val="auto"/>
              </w:rPr>
            </w:pPr>
          </w:p>
        </w:tc>
        <w:tc>
          <w:tcPr>
            <w:tcW w:w="10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Contract</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7"/>
                <w:szCs w:val="17"/>
                <w:color w:val="auto"/>
              </w:rPr>
            </w:pPr>
          </w:p>
        </w:tc>
        <w:tc>
          <w:tcPr>
            <w:tcW w:w="110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Contract</w:t>
            </w:r>
          </w:p>
        </w:tc>
        <w:tc>
          <w:tcPr>
            <w:tcW w:w="14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Total Revenues</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Customers</w:t>
            </w:r>
          </w:p>
        </w:tc>
        <w:tc>
          <w:tcPr>
            <w:tcW w:w="146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Customers</w:t>
            </w:r>
          </w:p>
        </w:tc>
        <w:tc>
          <w:tcPr>
            <w:tcW w:w="144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Electric Utilities</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521,614</w:t>
            </w:r>
          </w:p>
        </w:tc>
        <w:tc>
          <w:tcPr>
            <w:tcW w:w="44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400" w:type="dxa"/>
            <w:vAlign w:val="bottom"/>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EFFE7"/>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540,665</w:t>
            </w:r>
          </w:p>
        </w:tc>
        <w:tc>
          <w:tcPr>
            <w:tcW w:w="0" w:type="dxa"/>
            <w:vAlign w:val="bottom"/>
          </w:tcPr>
          <w:p>
            <w:pPr>
              <w:spacing w:after="0"/>
              <w:rPr>
                <w:sz w:val="1"/>
                <w:szCs w:val="1"/>
                <w:color w:val="auto"/>
              </w:rPr>
            </w:pPr>
          </w:p>
        </w:tc>
      </w:tr>
      <w:tr>
        <w:trPr>
          <w:trHeight w:val="22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Gas Utilities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704,188</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707,293</w:t>
            </w:r>
          </w:p>
        </w:tc>
        <w:tc>
          <w:tcPr>
            <w:tcW w:w="0" w:type="dxa"/>
            <w:vAlign w:val="bottom"/>
          </w:tcPr>
          <w:p>
            <w:pPr>
              <w:spacing w:after="0"/>
              <w:rPr>
                <w:sz w:val="1"/>
                <w:szCs w:val="1"/>
                <w:color w:val="auto"/>
              </w:rPr>
            </w:pPr>
          </w:p>
        </w:tc>
      </w:tr>
      <w:tr>
        <w:trPr>
          <w:trHeight w:val="230"/>
        </w:trPr>
        <w:tc>
          <w:tcPr>
            <w:tcW w:w="448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Power Generation</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4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40,924</w:t>
            </w:r>
          </w:p>
        </w:tc>
        <w:tc>
          <w:tcPr>
            <w:tcW w:w="4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27,714</w:t>
            </w:r>
          </w:p>
        </w:tc>
        <w:tc>
          <w:tcPr>
            <w:tcW w:w="1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75,764</w:t>
            </w:r>
          </w:p>
        </w:tc>
        <w:tc>
          <w:tcPr>
            <w:tcW w:w="0" w:type="dxa"/>
            <w:vAlign w:val="bottom"/>
          </w:tcPr>
          <w:p>
            <w:pPr>
              <w:spacing w:after="0"/>
              <w:rPr>
                <w:sz w:val="1"/>
                <w:szCs w:val="1"/>
                <w:color w:val="auto"/>
              </w:rPr>
            </w:pPr>
          </w:p>
        </w:tc>
      </w:tr>
      <w:tr>
        <w:trPr>
          <w:trHeight w:val="230"/>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45,026</w:t>
            </w:r>
          </w:p>
        </w:tc>
        <w:tc>
          <w:tcPr>
            <w:tcW w:w="0" w:type="dxa"/>
            <w:vAlign w:val="bottom"/>
          </w:tcPr>
          <w:p>
            <w:pPr>
              <w:spacing w:after="0"/>
              <w:rPr>
                <w:sz w:val="1"/>
                <w:szCs w:val="1"/>
                <w:color w:val="auto"/>
              </w:rPr>
            </w:pPr>
          </w:p>
        </w:tc>
      </w:tr>
      <w:tr>
        <w:trPr>
          <w:trHeight w:val="230"/>
        </w:trPr>
        <w:tc>
          <w:tcPr>
            <w:tcW w:w="44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EFFE7"/>
          </w:tcPr>
          <w:p>
            <w:pPr>
              <w:spacing w:after="0"/>
              <w:rPr>
                <w:sz w:val="19"/>
                <w:szCs w:val="19"/>
                <w:color w:val="auto"/>
              </w:rPr>
            </w:pPr>
          </w:p>
        </w:tc>
        <w:tc>
          <w:tcPr>
            <w:tcW w:w="1020" w:type="dxa"/>
            <w:vAlign w:val="bottom"/>
            <w:gridSpan w:val="2"/>
            <w:shd w:val="clear" w:color="auto" w:fill="CEFFE7"/>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(82,796)</w:t>
            </w:r>
          </w:p>
        </w:tc>
        <w:tc>
          <w:tcPr>
            <w:tcW w:w="4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1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(111,502)</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1,251,461</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1,257,246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7"/>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19"/>
                <w:szCs w:val="19"/>
                <w:color w:val="auto"/>
              </w:rPr>
            </w:pPr>
          </w:p>
        </w:tc>
        <w:tc>
          <w:tcPr>
            <w:tcW w:w="32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4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660" w:type="dxa"/>
            <w:vAlign w:val="bottom"/>
            <w:shd w:val="clear" w:color="auto" w:fill="CEFFE7"/>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operating income </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w:t>
            </w:r>
          </w:p>
        </w:tc>
        <w:tc>
          <w:tcPr>
            <w:tcW w:w="100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r>
      <w:tr>
        <w:trPr>
          <w:trHeight w:val="22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Utilities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50,653</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121,726</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125,219</w:t>
            </w:r>
          </w:p>
        </w:tc>
      </w:tr>
      <w:tr>
        <w:trPr>
          <w:trHeight w:val="230"/>
        </w:trPr>
        <w:tc>
          <w:tcPr>
            <w:tcW w:w="466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Gas Utilities</w:t>
            </w:r>
          </w:p>
        </w:tc>
        <w:tc>
          <w:tcPr>
            <w:tcW w:w="100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139,253</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116,607</w:t>
            </w:r>
          </w:p>
        </w:tc>
      </w:tr>
      <w:tr>
        <w:trPr>
          <w:trHeight w:val="22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Generation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33,945</w:t>
            </w:r>
          </w:p>
        </w:tc>
      </w:tr>
      <w:tr>
        <w:trPr>
          <w:trHeight w:val="229"/>
        </w:trPr>
        <w:tc>
          <w:tcPr>
            <w:tcW w:w="466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Mining</w:t>
            </w:r>
          </w:p>
        </w:tc>
        <w:tc>
          <w:tcPr>
            <w:tcW w:w="100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9,351</w:t>
            </w:r>
          </w:p>
        </w:tc>
      </w:tr>
      <w:tr>
        <w:trPr>
          <w:trHeight w:val="230"/>
        </w:trPr>
        <w:tc>
          <w:tcPr>
            <w:tcW w:w="4660" w:type="dxa"/>
            <w:vAlign w:val="bottom"/>
            <w:tcBorders>
              <w:bottom w:val="single" w:sz="8" w:color="CEFFE7"/>
            </w:tcBorders>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3"/>
        </w:trPr>
        <w:tc>
          <w:tcPr>
            <w:tcW w:w="46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Borders>
              <w:bottom w:val="single" w:sz="8" w:color="auto"/>
            </w:tcBorders>
            <w:shd w:val="clear" w:color="auto" w:fill="CEFFE7"/>
          </w:tcPr>
          <w:p>
            <w:pPr>
              <w:spacing w:after="0"/>
              <w:rPr>
                <w:sz w:val="19"/>
                <w:szCs w:val="19"/>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380" w:type="dxa"/>
            <w:vAlign w:val="bottom"/>
            <w:tcBorders>
              <w:bottom w:val="single" w:sz="8" w:color="auto"/>
            </w:tcBorders>
            <w:shd w:val="clear" w:color="auto" w:fill="CEFFE7"/>
          </w:tcPr>
          <w:p>
            <w:pPr>
              <w:spacing w:after="0"/>
              <w:rPr>
                <w:sz w:val="19"/>
                <w:szCs w:val="19"/>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70,551</w:t>
            </w:r>
          </w:p>
        </w:tc>
        <w:tc>
          <w:tcPr>
            <w:tcW w:w="380" w:type="dxa"/>
            <w:vAlign w:val="bottom"/>
            <w:tcBorders>
              <w:bottom w:val="single" w:sz="8" w:color="auto"/>
            </w:tcBorders>
            <w:shd w:val="clear" w:color="auto" w:fill="CEFFE7"/>
          </w:tcPr>
          <w:p>
            <w:pPr>
              <w:spacing w:after="0"/>
              <w:rPr>
                <w:sz w:val="19"/>
                <w:szCs w:val="19"/>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302,352</w:t>
            </w:r>
          </w:p>
        </w:tc>
        <w:tc>
          <w:tcPr>
            <w:tcW w:w="380" w:type="dxa"/>
            <w:vAlign w:val="bottom"/>
            <w:tcBorders>
              <w:bottom w:val="single" w:sz="8" w:color="auto"/>
            </w:tcBorders>
            <w:shd w:val="clear" w:color="auto" w:fill="CEFFE7"/>
          </w:tcPr>
          <w:p>
            <w:pPr>
              <w:spacing w:after="0"/>
              <w:rPr>
                <w:sz w:val="19"/>
                <w:szCs w:val="19"/>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284,683</w:t>
            </w:r>
          </w:p>
        </w:tc>
      </w:tr>
      <w:tr>
        <w:trPr>
          <w:trHeight w:val="250"/>
        </w:trPr>
        <w:tc>
          <w:tcPr>
            <w:tcW w:w="4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46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97"/>
              </w:rPr>
              <w:t>(36,041)</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(107,039)</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(102,469)</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29"/>
        </w:trPr>
        <w:tc>
          <w:tcPr>
            <w:tcW w:w="46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66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(22,078)</w:t>
            </w:r>
          </w:p>
        </w:tc>
      </w:tr>
      <w:tr>
        <w:trPr>
          <w:trHeight w:val="223"/>
        </w:trPr>
        <w:tc>
          <w:tcPr>
            <w:tcW w:w="46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162,267</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140,450</w:t>
            </w:r>
          </w:p>
        </w:tc>
      </w:tr>
      <w:tr>
        <w:trPr>
          <w:trHeight w:val="230"/>
        </w:trPr>
        <w:tc>
          <w:tcPr>
            <w:tcW w:w="466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w:t>
            </w:r>
          </w:p>
        </w:tc>
      </w:tr>
      <w:tr>
        <w:trPr>
          <w:trHeight w:val="248"/>
        </w:trPr>
        <w:tc>
          <w:tcPr>
            <w:tcW w:w="46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1000" w:type="dxa"/>
            <w:vAlign w:val="bottom"/>
            <w:tcBorders>
              <w:bottom w:val="single" w:sz="8" w:color="auto"/>
            </w:tcBorders>
            <w:shd w:val="clear" w:color="auto" w:fill="CEFFE7"/>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36,283</w:t>
            </w:r>
          </w:p>
        </w:tc>
        <w:tc>
          <w:tcPr>
            <w:tcW w:w="380" w:type="dxa"/>
            <w:vAlign w:val="bottom"/>
            <w:tcBorders>
              <w:bottom w:val="single" w:sz="8" w:color="auto"/>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380" w:type="dxa"/>
            <w:vAlign w:val="bottom"/>
            <w:tcBorders>
              <w:bottom w:val="single" w:sz="8" w:color="auto"/>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150,423</w:t>
            </w:r>
          </w:p>
        </w:tc>
        <w:tc>
          <w:tcPr>
            <w:tcW w:w="380" w:type="dxa"/>
            <w:vAlign w:val="bottom"/>
            <w:tcBorders>
              <w:bottom w:val="single" w:sz="8" w:color="auto"/>
            </w:tcBorders>
            <w:shd w:val="clear" w:color="auto" w:fill="CEFFE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130,131</w:t>
            </w:r>
          </w:p>
        </w:tc>
      </w:tr>
      <w:tr>
        <w:trPr>
          <w:trHeight w:val="20"/>
        </w:trPr>
        <w:tc>
          <w:tcPr>
            <w:tcW w:w="466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ind w:left="340" w:right="60" w:hanging="332"/>
        <w:spacing w:after="0" w:line="257" w:lineRule="auto"/>
        <w:tabs>
          <w:tab w:leader="none" w:pos="3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and Corporate and Other balances included in the accompanying Condensed Consolidated Balance Sheets were as follows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 (net of inter-company eliminations) as of:</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2020</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23"/>
        </w:trPr>
        <w:tc>
          <w:tcPr>
            <w:tcW w:w="714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Segment:</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r>
      <w:tr>
        <w:trPr>
          <w:trHeight w:val="229"/>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Electric Utilities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3,040,064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2,900,983</w:t>
            </w:r>
          </w:p>
        </w:tc>
      </w:tr>
      <w:tr>
        <w:trPr>
          <w:trHeight w:val="230"/>
        </w:trPr>
        <w:tc>
          <w:tcPr>
            <w:tcW w:w="7140" w:type="dxa"/>
            <w:vAlign w:val="bottom"/>
            <w:shd w:val="clear" w:color="auto" w:fill="CEFFE7"/>
          </w:tcPr>
          <w:p>
            <w:pPr>
              <w:ind w:left="100"/>
              <w:spacing w:after="0"/>
              <w:rPr>
                <w:sz w:val="20"/>
                <w:szCs w:val="20"/>
                <w:color w:val="auto"/>
              </w:rPr>
            </w:pPr>
            <w:r>
              <w:rPr>
                <w:rFonts w:ascii="Times New Roman" w:cs="Times New Roman" w:eastAsia="Times New Roman" w:hAnsi="Times New Roman"/>
                <w:sz w:val="18"/>
                <w:szCs w:val="18"/>
                <w:color w:val="auto"/>
              </w:rPr>
              <w:t>Gas Utilities</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4,201,325</w:t>
            </w: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4,032,339</w:t>
            </w:r>
          </w:p>
        </w:tc>
      </w:tr>
      <w:tr>
        <w:trPr>
          <w:trHeight w:val="230"/>
        </w:trPr>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Generation</w:t>
            </w:r>
          </w:p>
        </w:tc>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403,491</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417,715</w:t>
            </w:r>
          </w:p>
        </w:tc>
      </w:tr>
      <w:tr>
        <w:trPr>
          <w:trHeight w:val="230"/>
        </w:trPr>
        <w:tc>
          <w:tcPr>
            <w:tcW w:w="7140" w:type="dxa"/>
            <w:vAlign w:val="bottom"/>
            <w:shd w:val="clear" w:color="auto" w:fill="CEFFE7"/>
          </w:tcPr>
          <w:p>
            <w:pPr>
              <w:ind w:left="100"/>
              <w:spacing w:after="0"/>
              <w:rPr>
                <w:sz w:val="20"/>
                <w:szCs w:val="20"/>
                <w:color w:val="auto"/>
              </w:rPr>
            </w:pPr>
            <w:r>
              <w:rPr>
                <w:rFonts w:ascii="Times New Roman" w:cs="Times New Roman" w:eastAsia="Times New Roman" w:hAnsi="Times New Roman"/>
                <w:sz w:val="18"/>
                <w:szCs w:val="18"/>
                <w:color w:val="auto"/>
              </w:rPr>
              <w:t>Mining</w:t>
            </w:r>
          </w:p>
        </w:tc>
        <w:tc>
          <w:tcPr>
            <w:tcW w:w="180" w:type="dxa"/>
            <w:vAlign w:val="bottom"/>
            <w:shd w:val="clear" w:color="auto" w:fill="CEFFE7"/>
          </w:tcPr>
          <w:p>
            <w:pPr>
              <w:spacing w:after="0"/>
              <w:rPr>
                <w:sz w:val="19"/>
                <w:szCs w:val="19"/>
                <w:color w:val="auto"/>
              </w:rPr>
            </w:pPr>
          </w:p>
        </w:tc>
        <w:tc>
          <w:tcPr>
            <w:tcW w:w="18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75,752</w:t>
            </w: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77,175</w:t>
            </w:r>
          </w:p>
        </w:tc>
      </w:tr>
      <w:tr>
        <w:trPr>
          <w:trHeight w:val="229"/>
        </w:trPr>
        <w:tc>
          <w:tcPr>
            <w:tcW w:w="7140" w:type="dxa"/>
            <w:vAlign w:val="bottom"/>
            <w:tcBorders>
              <w:bottom w:val="single" w:sz="8" w:color="CEFFE7"/>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108,418</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130,245</w:t>
            </w:r>
          </w:p>
        </w:tc>
      </w:tr>
      <w:tr>
        <w:trPr>
          <w:trHeight w:val="248"/>
        </w:trPr>
        <w:tc>
          <w:tcPr>
            <w:tcW w:w="7140" w:type="dxa"/>
            <w:vAlign w:val="bottom"/>
            <w:tcBorders>
              <w:bottom w:val="single" w:sz="8" w:color="CEFFE7"/>
            </w:tcBorders>
            <w:shd w:val="clear" w:color="auto" w:fill="CEFFE7"/>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7,829,050</w:t>
            </w:r>
          </w:p>
        </w:tc>
        <w:tc>
          <w:tcPr>
            <w:tcW w:w="2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7,558,457</w:t>
            </w:r>
          </w:p>
        </w:tc>
      </w:tr>
      <w:tr>
        <w:trPr>
          <w:trHeight w:val="20"/>
        </w:trPr>
        <w:tc>
          <w:tcPr>
            <w:tcW w:w="714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Balance Sheet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Credit Losses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Accounts receivable, net included in the accompanying Condensed Consolidated Balance Sheets (in thousands) as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2020</w:t>
            </w:r>
          </w:p>
        </w:tc>
        <w:tc>
          <w:tcPr>
            <w:tcW w:w="18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Borders>
              <w:top w:val="single" w:sz="8" w:color="CEFFE7"/>
            </w:tcBorders>
            <w:shd w:val="clear" w:color="auto" w:fill="CEFFE7"/>
          </w:tcPr>
          <w:p>
            <w:pPr>
              <w:spacing w:after="0"/>
              <w:rPr>
                <w:sz w:val="20"/>
                <w:szCs w:val="20"/>
                <w:color w:val="auto"/>
              </w:rPr>
            </w:pPr>
            <w:r>
              <w:rPr>
                <w:rFonts w:ascii="Times New Roman" w:cs="Times New Roman" w:eastAsia="Times New Roman" w:hAnsi="Times New Roman"/>
                <w:sz w:val="18"/>
                <w:szCs w:val="18"/>
                <w:color w:val="auto"/>
              </w:rPr>
              <w:t>Accounts receivable, trade</w:t>
            </w:r>
          </w:p>
        </w:tc>
        <w:tc>
          <w:tcPr>
            <w:tcW w:w="3200" w:type="dxa"/>
            <w:vAlign w:val="bottom"/>
            <w:tcBorders>
              <w:top w:val="single" w:sz="8" w:color="CEFFE7"/>
            </w:tcBorders>
            <w:shd w:val="clear" w:color="auto" w:fill="CEFFE7"/>
          </w:tcPr>
          <w:p>
            <w:pPr>
              <w:spacing w:after="0"/>
              <w:rPr>
                <w:sz w:val="19"/>
                <w:szCs w:val="19"/>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108,351</w:t>
            </w:r>
          </w:p>
        </w:tc>
        <w:tc>
          <w:tcPr>
            <w:tcW w:w="120" w:type="dxa"/>
            <w:vAlign w:val="bottom"/>
            <w:tcBorders>
              <w:top w:val="single" w:sz="8" w:color="CEFFE7"/>
            </w:tcBorders>
            <w:shd w:val="clear" w:color="auto" w:fill="CEFFE7"/>
          </w:tcPr>
          <w:p>
            <w:pPr>
              <w:spacing w:after="0"/>
              <w:rPr>
                <w:sz w:val="19"/>
                <w:szCs w:val="19"/>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144,747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200" w:type="dxa"/>
            <w:vAlign w:val="bottom"/>
            <w:shd w:val="clear" w:color="auto" w:fill="CEFFE7"/>
          </w:tcPr>
          <w:p>
            <w:pPr>
              <w:spacing w:after="0"/>
              <w:rPr>
                <w:sz w:val="19"/>
                <w:szCs w:val="19"/>
                <w:color w:val="auto"/>
              </w:rPr>
            </w:pPr>
          </w:p>
        </w:tc>
        <w:tc>
          <w:tcPr>
            <w:tcW w:w="180" w:type="dxa"/>
            <w:vAlign w:val="bottom"/>
            <w:tcBorders>
              <w:bottom w:val="single" w:sz="8" w:color="auto"/>
            </w:tcBorders>
            <w:shd w:val="clear" w:color="auto" w:fill="CEFFE7"/>
          </w:tcPr>
          <w:p>
            <w:pPr>
              <w:spacing w:after="0"/>
              <w:rPr>
                <w:sz w:val="19"/>
                <w:szCs w:val="19"/>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shd w:val="clear" w:color="auto" w:fill="CEFFE7"/>
          </w:tcPr>
          <w:p>
            <w:pPr>
              <w:spacing w:after="0"/>
              <w:rPr>
                <w:sz w:val="19"/>
                <w:szCs w:val="19"/>
                <w:color w:val="auto"/>
              </w:rPr>
            </w:pPr>
          </w:p>
        </w:tc>
        <w:tc>
          <w:tcPr>
            <w:tcW w:w="180" w:type="dxa"/>
            <w:vAlign w:val="bottom"/>
            <w:tcBorders>
              <w:bottom w:val="single" w:sz="8" w:color="auto"/>
            </w:tcBorders>
            <w:shd w:val="clear" w:color="auto" w:fill="CEFFE7"/>
          </w:tcPr>
          <w:p>
            <w:pPr>
              <w:spacing w:after="0"/>
              <w:rPr>
                <w:sz w:val="19"/>
                <w:szCs w:val="19"/>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allowance for credit losses for the nine months ended September 30, 2020 and 2019, respectively,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Balance at Beginning</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Additions Charged to</w:t>
            </w: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Recoveries and Other</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Write-offs and Other</w:t>
            </w: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 at September</w:t>
            </w:r>
          </w:p>
        </w:tc>
      </w:tr>
      <w:tr>
        <w:trPr>
          <w:trHeight w:val="230"/>
        </w:trPr>
        <w:tc>
          <w:tcPr>
            <w:tcW w:w="2240" w:type="dxa"/>
            <w:vAlign w:val="bottom"/>
            <w:tcBorders>
              <w:bottom w:val="single" w:sz="8" w:color="CEFEE7"/>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of Year</w:t>
            </w:r>
          </w:p>
        </w:tc>
        <w:tc>
          <w:tcPr>
            <w:tcW w:w="17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Costs and Expenses</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Deductions</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240" w:type="dxa"/>
            <w:vAlign w:val="bottom"/>
            <w:shd w:val="clear" w:color="auto" w:fill="CEFEE7"/>
          </w:tcPr>
          <w:p>
            <w:pPr>
              <w:jc w:val="right"/>
              <w:ind w:right="1770"/>
              <w:spacing w:after="0"/>
              <w:rPr>
                <w:sz w:val="20"/>
                <w:szCs w:val="20"/>
                <w:color w:val="auto"/>
              </w:rPr>
            </w:pPr>
            <w:r>
              <w:rPr>
                <w:rFonts w:ascii="Times New Roman" w:cs="Times New Roman" w:eastAsia="Times New Roman" w:hAnsi="Times New Roman"/>
                <w:sz w:val="18"/>
                <w:szCs w:val="18"/>
                <w:color w:val="auto"/>
                <w:w w:val="99"/>
              </w:rPr>
              <w:t>2020</w:t>
            </w:r>
          </w:p>
        </w:tc>
        <w:tc>
          <w:tcPr>
            <w:tcW w:w="440" w:type="dxa"/>
            <w:vAlign w:val="bottom"/>
            <w:shd w:val="clear" w:color="auto" w:fill="CEFE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EFEE7"/>
          </w:tcPr>
          <w:p>
            <w:pPr>
              <w:jc w:val="right"/>
              <w:ind w:right="30"/>
              <w:spacing w:after="0"/>
              <w:rPr>
                <w:sz w:val="20"/>
                <w:szCs w:val="20"/>
                <w:color w:val="auto"/>
              </w:rPr>
            </w:pPr>
            <w:r>
              <w:rPr>
                <w:rFonts w:ascii="Times New Roman" w:cs="Times New Roman" w:eastAsia="Times New Roman" w:hAnsi="Times New Roman"/>
                <w:sz w:val="18"/>
                <w:szCs w:val="18"/>
                <w:color w:val="auto"/>
              </w:rPr>
              <w:t>2,444</w:t>
            </w:r>
          </w:p>
        </w:tc>
        <w:tc>
          <w:tcPr>
            <w:tcW w:w="700" w:type="dxa"/>
            <w:vAlign w:val="bottom"/>
            <w:shd w:val="clear" w:color="auto" w:fill="CEFEE7"/>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EFEE7"/>
          </w:tcPr>
          <w:p>
            <w:pPr>
              <w:jc w:val="right"/>
              <w:ind w:right="50"/>
              <w:spacing w:after="0"/>
              <w:rPr>
                <w:sz w:val="20"/>
                <w:szCs w:val="20"/>
                <w:color w:val="auto"/>
              </w:rPr>
            </w:pPr>
            <w:r>
              <w:rPr>
                <w:rFonts w:ascii="Times New Roman" w:cs="Times New Roman" w:eastAsia="Times New Roman" w:hAnsi="Times New Roman"/>
                <w:sz w:val="18"/>
                <w:szCs w:val="18"/>
                <w:color w:val="auto"/>
              </w:rPr>
              <w:t>8,471</w:t>
            </w:r>
          </w:p>
        </w:tc>
        <w:tc>
          <w:tcPr>
            <w:tcW w:w="540" w:type="dxa"/>
            <w:vAlign w:val="bottom"/>
            <w:shd w:val="clear" w:color="auto" w:fill="CEFEE7"/>
          </w:tcPr>
          <w:p>
            <w:pPr>
              <w:jc w:val="right"/>
              <w:ind w:right="103"/>
              <w:spacing w:after="0" w:line="223" w:lineRule="exact"/>
              <w:rPr>
                <w:sz w:val="20"/>
                <w:szCs w:val="20"/>
                <w:color w:val="auto"/>
              </w:rPr>
            </w:pPr>
            <w:r>
              <w:rPr>
                <w:rFonts w:ascii="Times New Roman" w:cs="Times New Roman" w:eastAsia="Times New Roman" w:hAnsi="Times New Roman"/>
                <w:sz w:val="10"/>
                <w:szCs w:val="10"/>
                <w:color w:val="auto"/>
              </w:rPr>
              <w:t xml:space="preserve">(a) </w:t>
            </w:r>
            <w:r>
              <w:rPr>
                <w:rFonts w:ascii="Times New Roman" w:cs="Times New Roman" w:eastAsia="Times New Roman" w:hAnsi="Times New Roman"/>
                <w:sz w:val="25"/>
                <w:szCs w:val="25"/>
                <w:color w:val="auto"/>
                <w:vertAlign w:val="subscript"/>
              </w:rPr>
              <w:t>$</w:t>
            </w:r>
          </w:p>
        </w:tc>
        <w:tc>
          <w:tcPr>
            <w:tcW w:w="1400" w:type="dxa"/>
            <w:vAlign w:val="bottom"/>
            <w:shd w:val="clear" w:color="auto" w:fill="CEFEE7"/>
          </w:tcPr>
          <w:p>
            <w:pPr>
              <w:jc w:val="right"/>
              <w:ind w:right="30"/>
              <w:spacing w:after="0"/>
              <w:rPr>
                <w:sz w:val="20"/>
                <w:szCs w:val="20"/>
                <w:color w:val="auto"/>
              </w:rPr>
            </w:pPr>
            <w:r>
              <w:rPr>
                <w:rFonts w:ascii="Times New Roman" w:cs="Times New Roman" w:eastAsia="Times New Roman" w:hAnsi="Times New Roman"/>
                <w:sz w:val="18"/>
                <w:szCs w:val="18"/>
                <w:color w:val="auto"/>
              </w:rPr>
              <w:t>3,720</w:t>
            </w:r>
          </w:p>
        </w:tc>
        <w:tc>
          <w:tcPr>
            <w:tcW w:w="320" w:type="dxa"/>
            <w:vAlign w:val="bottom"/>
            <w:shd w:val="clear" w:color="auto" w:fill="CEFE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460" w:type="dxa"/>
            <w:vAlign w:val="bottom"/>
            <w:shd w:val="clear" w:color="auto" w:fill="CEFEE7"/>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8"/>
                <w:szCs w:val="18"/>
                <w:color w:val="auto"/>
              </w:rPr>
              <w:t>8,609</w:t>
            </w:r>
          </w:p>
        </w:tc>
      </w:tr>
      <w:tr>
        <w:trPr>
          <w:trHeight w:val="234"/>
        </w:trPr>
        <w:tc>
          <w:tcPr>
            <w:tcW w:w="22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w w:val="99"/>
              </w:rPr>
              <w:t>2019</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3,209</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5,637</w:t>
            </w: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ind w:left="340" w:right="40" w:hanging="332"/>
        <w:spacing w:after="0" w:line="257" w:lineRule="auto"/>
        <w:tabs>
          <w:tab w:leader="none" w:pos="35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COVID-19 pandemic, all of our jurisdictions temporarily suspended disconnections for a period of time, which increased our accounts receivable arrears balances. As a result, we increased our allowance for credit losses and bad debt expense for the nine months ended September 30, 2020 by an incremental $3.7 million.</w:t>
      </w:r>
    </w:p>
    <w:p>
      <w:pPr>
        <w:spacing w:after="0" w:line="204"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ongoing credit evaluation of our customers during the COVID-19 pandemic is further discussed in the Credit Risk section of </w:t>
      </w:r>
      <w:hyperlink w:anchor="page25">
        <w:r>
          <w:rPr>
            <w:rFonts w:ascii="Times New Roman" w:cs="Times New Roman" w:eastAsia="Times New Roman" w:hAnsi="Times New Roman"/>
            <w:sz w:val="18"/>
            <w:szCs w:val="18"/>
            <w:u w:val="single" w:color="auto"/>
            <w:color w:val="0000FF"/>
          </w:rPr>
          <w:t>Note 9</w:t>
        </w:r>
      </w:hyperlink>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Materials, Supplies and Fuel</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amounts by major classification are included in Materials, supplies and fuel on the accompanying Condensed Consolidated Balance Sheets (in thousands) as of:</w:t>
      </w:r>
    </w:p>
    <w:p>
      <w:pPr>
        <w:sectPr>
          <w:pgSz w:w="11900" w:h="16838" w:orient="portrait"/>
          <w:cols w:equalWidth="0" w:num="1">
            <w:col w:w="11220"/>
          </w:cols>
          <w:pgMar w:left="320" w:top="124" w:right="359" w:bottom="1440" w:gutter="0" w:footer="0" w:header="0"/>
        </w:sect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Materials and supplies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Fuel - Electric Utilities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Natural gas in storage</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 materials, supplies and fuel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2020</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1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93,069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82,809</w:t>
            </w:r>
          </w:p>
        </w:tc>
      </w:tr>
      <w:tr>
        <w:trPr>
          <w:trHeight w:val="229"/>
        </w:trPr>
        <w:tc>
          <w:tcPr>
            <w:tcW w:w="1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1,745</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34"/>
        </w:trPr>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31,544</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31,938</w:t>
            </w: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126,358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117,172</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-633730</wp:posOffset>
            </wp:positionV>
            <wp:extent cx="710628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-334010</wp:posOffset>
            </wp:positionV>
            <wp:extent cx="710628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40"/>
          </w:cols>
          <w:pgMar w:left="320" w:top="124" w:right="35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Accrued Liabilities</w:t>
      </w:r>
    </w:p>
    <w:p>
      <w:pPr>
        <w:spacing w:after="0" w:line="2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amounts by major classification are included in Accrued liabilities on the accompanying Condensed Consolidated Balance Sheets (in thousands) as of:</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260" w:type="dxa"/>
            <w:vAlign w:val="bottom"/>
            <w:tcBorders>
              <w:bottom w:val="single" w:sz="8" w:color="CEFFE7"/>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September 30, 2020</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23"/>
        </w:trPr>
        <w:tc>
          <w:tcPr>
            <w:tcW w:w="72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benefits and withholdings</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65,309</w:t>
            </w:r>
          </w:p>
        </w:tc>
        <w:tc>
          <w:tcPr>
            <w:tcW w:w="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62,837</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taxes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40,624</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44,547</w:t>
            </w:r>
          </w:p>
        </w:tc>
      </w:tr>
      <w:tr>
        <w:trPr>
          <w:trHeight w:val="229"/>
        </w:trPr>
        <w:tc>
          <w:tcPr>
            <w:tcW w:w="72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Customer deposits and prepayments</w:t>
            </w:r>
          </w:p>
        </w:tc>
        <w:tc>
          <w:tcPr>
            <w:tcW w:w="200" w:type="dxa"/>
            <w:vAlign w:val="bottom"/>
            <w:shd w:val="clear" w:color="auto" w:fill="CEFFE7"/>
          </w:tcPr>
          <w:p>
            <w:pPr>
              <w:spacing w:after="0"/>
              <w:rPr>
                <w:sz w:val="19"/>
                <w:szCs w:val="19"/>
                <w:color w:val="auto"/>
              </w:rPr>
            </w:pPr>
          </w:p>
        </w:tc>
        <w:tc>
          <w:tcPr>
            <w:tcW w:w="1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59,510</w:t>
            </w:r>
          </w:p>
        </w:tc>
        <w:tc>
          <w:tcPr>
            <w:tcW w:w="22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54,728</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46,044</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31,868</w:t>
            </w:r>
          </w:p>
        </w:tc>
      </w:tr>
      <w:tr>
        <w:trPr>
          <w:trHeight w:val="230"/>
        </w:trPr>
        <w:tc>
          <w:tcPr>
            <w:tcW w:w="72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(none of which is individually significant)</w:t>
            </w:r>
          </w:p>
        </w:tc>
        <w:tc>
          <w:tcPr>
            <w:tcW w:w="200" w:type="dxa"/>
            <w:vAlign w:val="bottom"/>
            <w:tcBorders>
              <w:bottom w:val="single" w:sz="8" w:color="auto"/>
            </w:tcBorders>
            <w:shd w:val="clear" w:color="auto" w:fill="CEFFE7"/>
          </w:tcPr>
          <w:p>
            <w:pPr>
              <w:spacing w:after="0"/>
              <w:rPr>
                <w:sz w:val="19"/>
                <w:szCs w:val="19"/>
                <w:color w:val="auto"/>
              </w:rPr>
            </w:pPr>
          </w:p>
        </w:tc>
        <w:tc>
          <w:tcPr>
            <w:tcW w:w="1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32,523</w:t>
            </w:r>
          </w:p>
        </w:tc>
        <w:tc>
          <w:tcPr>
            <w:tcW w:w="220" w:type="dxa"/>
            <w:vAlign w:val="bottom"/>
            <w:tcBorders>
              <w:bottom w:val="single" w:sz="8" w:color="auto"/>
            </w:tcBorders>
            <w:shd w:val="clear" w:color="auto" w:fill="CEFFE7"/>
          </w:tcPr>
          <w:p>
            <w:pPr>
              <w:spacing w:after="0"/>
              <w:rPr>
                <w:sz w:val="19"/>
                <w:szCs w:val="19"/>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32,787</w:t>
            </w:r>
          </w:p>
        </w:tc>
      </w:tr>
      <w:tr>
        <w:trPr>
          <w:trHeight w:val="223"/>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226,767</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21" w:name="page22"/>
    <w:bookmarkEnd w:id="21"/>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Regulatory Matters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We had the following regulatory assets and liabilities (in thousands) as of:</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2020</w:t>
            </w: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EFFE7"/>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Deferred energy and fuel cost adjustments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35,878</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Deferred gas cost adjustments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30"/>
        </w:trPr>
        <w:tc>
          <w:tcPr>
            <w:tcW w:w="7280" w:type="dxa"/>
            <w:vAlign w:val="bottom"/>
            <w:shd w:val="clear" w:color="auto" w:fill="CEFFE7"/>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Gas price derivatives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Deferred taxes on AFUDC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0" w:type="dxa"/>
            <w:vAlign w:val="bottom"/>
          </w:tcPr>
          <w:p>
            <w:pPr>
              <w:spacing w:after="0"/>
              <w:rPr>
                <w:sz w:val="1"/>
                <w:szCs w:val="1"/>
                <w:color w:val="auto"/>
              </w:rPr>
            </w:pPr>
          </w:p>
        </w:tc>
      </w:tr>
      <w:tr>
        <w:trPr>
          <w:trHeight w:val="229"/>
        </w:trPr>
        <w:tc>
          <w:tcPr>
            <w:tcW w:w="7280" w:type="dxa"/>
            <w:vAlign w:val="bottom"/>
            <w:shd w:val="clear" w:color="auto" w:fill="CEFFE7"/>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Employee benefit plan costs and related deferred taxes </w:t>
            </w:r>
            <w:r>
              <w:rPr>
                <w:rFonts w:ascii="Times New Roman" w:cs="Times New Roman" w:eastAsia="Times New Roman" w:hAnsi="Times New Roman"/>
                <w:sz w:val="23"/>
                <w:szCs w:val="23"/>
                <w:color w:val="auto"/>
                <w:vertAlign w:val="superscript"/>
              </w:rPr>
              <w:t>(c)</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114,971</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115,900</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Environmental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9"/>
        </w:trPr>
        <w:tc>
          <w:tcPr>
            <w:tcW w:w="7280" w:type="dxa"/>
            <w:vAlign w:val="bottom"/>
            <w:shd w:val="clear" w:color="auto" w:fill="CEFFE7"/>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Loss on reacquired debt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Renewable energy standard adjustment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29"/>
        </w:trPr>
        <w:tc>
          <w:tcPr>
            <w:tcW w:w="7280" w:type="dxa"/>
            <w:vAlign w:val="bottom"/>
            <w:shd w:val="clear" w:color="auto" w:fill="CEFFE7"/>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Deferred taxes on flow through accounting </w:t>
            </w:r>
            <w:r>
              <w:rPr>
                <w:rFonts w:ascii="Times New Roman" w:cs="Times New Roman" w:eastAsia="Times New Roman" w:hAnsi="Times New Roman"/>
                <w:sz w:val="23"/>
                <w:szCs w:val="23"/>
                <w:color w:val="auto"/>
                <w:vertAlign w:val="superscript"/>
              </w:rPr>
              <w:t>(c)</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44,528</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41,220</w:t>
            </w: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Decommissioning costs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0" w:type="dxa"/>
            <w:vAlign w:val="bottom"/>
          </w:tcPr>
          <w:p>
            <w:pPr>
              <w:spacing w:after="0"/>
              <w:rPr>
                <w:sz w:val="1"/>
                <w:szCs w:val="1"/>
                <w:color w:val="auto"/>
              </w:rPr>
            </w:pPr>
          </w:p>
        </w:tc>
      </w:tr>
      <w:tr>
        <w:trPr>
          <w:trHeight w:val="230"/>
        </w:trPr>
        <w:tc>
          <w:tcPr>
            <w:tcW w:w="7280" w:type="dxa"/>
            <w:vAlign w:val="bottom"/>
            <w:shd w:val="clear" w:color="auto" w:fill="CEFFE7"/>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Gas supply contract termination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EFFE7"/>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regulatory assets </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20,470</w:t>
            </w:r>
          </w:p>
        </w:tc>
        <w:tc>
          <w:tcPr>
            <w:tcW w:w="0" w:type="dxa"/>
            <w:vAlign w:val="bottom"/>
          </w:tcPr>
          <w:p>
            <w:pPr>
              <w:spacing w:after="0"/>
              <w:rPr>
                <w:sz w:val="1"/>
                <w:szCs w:val="1"/>
                <w:color w:val="auto"/>
              </w:rPr>
            </w:pPr>
          </w:p>
        </w:tc>
      </w:tr>
      <w:tr>
        <w:trPr>
          <w:trHeight w:val="223"/>
        </w:trPr>
        <w:tc>
          <w:tcPr>
            <w:tcW w:w="72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 regulatory assets</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271,236</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271,344</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assets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(49,493)</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(43,282)</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Regulatory assets, non-current</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221,743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228,062</w:t>
            </w:r>
          </w:p>
        </w:tc>
        <w:tc>
          <w:tcPr>
            <w:tcW w:w="0" w:type="dxa"/>
            <w:vAlign w:val="bottom"/>
          </w:tcPr>
          <w:p>
            <w:pPr>
              <w:spacing w:after="0"/>
              <w:rPr>
                <w:sz w:val="1"/>
                <w:szCs w:val="1"/>
                <w:color w:val="auto"/>
              </w:rPr>
            </w:pPr>
          </w:p>
        </w:tc>
      </w:tr>
      <w:tr>
        <w:trPr>
          <w:trHeight w:val="20"/>
        </w:trPr>
        <w:tc>
          <w:tcPr>
            <w:tcW w:w="728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Deferred energy and gas costs </w:t>
            </w:r>
            <w:r>
              <w:rPr>
                <w:rFonts w:ascii="Times New Roman" w:cs="Times New Roman" w:eastAsia="Times New Roman" w:hAnsi="Times New Roman"/>
                <w:sz w:val="23"/>
                <w:szCs w:val="23"/>
                <w:color w:val="auto"/>
                <w:vertAlign w:val="superscript"/>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0" w:type="dxa"/>
            <w:vAlign w:val="bottom"/>
          </w:tcPr>
          <w:p>
            <w:pPr>
              <w:spacing w:after="0"/>
              <w:rPr>
                <w:sz w:val="1"/>
                <w:szCs w:val="1"/>
                <w:color w:val="auto"/>
              </w:rPr>
            </w:pPr>
          </w:p>
        </w:tc>
      </w:tr>
      <w:tr>
        <w:trPr>
          <w:trHeight w:val="229"/>
        </w:trPr>
        <w:tc>
          <w:tcPr>
            <w:tcW w:w="7280" w:type="dxa"/>
            <w:vAlign w:val="bottom"/>
            <w:shd w:val="clear" w:color="auto" w:fill="CEFFE7"/>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Employee benefit plan costs and related deferred taxes </w:t>
            </w:r>
            <w:r>
              <w:rPr>
                <w:rFonts w:ascii="Times New Roman" w:cs="Times New Roman" w:eastAsia="Times New Roman" w:hAnsi="Times New Roman"/>
                <w:sz w:val="23"/>
                <w:szCs w:val="23"/>
                <w:color w:val="auto"/>
                <w:vertAlign w:val="superscript"/>
              </w:rPr>
              <w:t>(c)</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40,719</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43,349</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 of removal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169,426</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166,727</w:t>
            </w:r>
          </w:p>
        </w:tc>
        <w:tc>
          <w:tcPr>
            <w:tcW w:w="0" w:type="dxa"/>
            <w:vAlign w:val="bottom"/>
          </w:tcPr>
          <w:p>
            <w:pPr>
              <w:spacing w:after="0"/>
              <w:rPr>
                <w:sz w:val="1"/>
                <w:szCs w:val="1"/>
                <w:color w:val="auto"/>
              </w:rPr>
            </w:pPr>
          </w:p>
        </w:tc>
      </w:tr>
      <w:tr>
        <w:trPr>
          <w:trHeight w:val="230"/>
        </w:trPr>
        <w:tc>
          <w:tcPr>
            <w:tcW w:w="7280" w:type="dxa"/>
            <w:vAlign w:val="bottom"/>
            <w:shd w:val="clear" w:color="auto" w:fill="CEFFE7"/>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Excess deferred income taxes </w:t>
            </w:r>
            <w:r>
              <w:rPr>
                <w:rFonts w:ascii="Times New Roman" w:cs="Times New Roman" w:eastAsia="Times New Roman" w:hAnsi="Times New Roman"/>
                <w:sz w:val="23"/>
                <w:szCs w:val="23"/>
                <w:color w:val="auto"/>
                <w:vertAlign w:val="superscript"/>
              </w:rPr>
              <w:t>(c)</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286,055</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285,438</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EFFE7"/>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regulatory liabilities </w:t>
            </w:r>
            <w:r>
              <w:rPr>
                <w:rFonts w:ascii="Times New Roman" w:cs="Times New Roman" w:eastAsia="Times New Roman" w:hAnsi="Times New Roman"/>
                <w:sz w:val="23"/>
                <w:szCs w:val="23"/>
                <w:color w:val="auto"/>
                <w:vertAlign w:val="superscript"/>
              </w:rPr>
              <w:t>(c)</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23,860</w:t>
            </w:r>
          </w:p>
        </w:tc>
        <w:tc>
          <w:tcPr>
            <w:tcW w:w="0" w:type="dxa"/>
            <w:vAlign w:val="bottom"/>
          </w:tcPr>
          <w:p>
            <w:pPr>
              <w:spacing w:after="0"/>
              <w:rPr>
                <w:sz w:val="1"/>
                <w:szCs w:val="1"/>
                <w:color w:val="auto"/>
              </w:rPr>
            </w:pPr>
          </w:p>
        </w:tc>
      </w:tr>
      <w:tr>
        <w:trPr>
          <w:trHeight w:val="223"/>
        </w:trPr>
        <w:tc>
          <w:tcPr>
            <w:tcW w:w="72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1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527,599</w:t>
            </w: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536,652</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liabilities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(22,282)</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(33,507)</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Regulatory liabilities, non-current</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505,317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503,145</w:t>
            </w:r>
          </w:p>
        </w:tc>
        <w:tc>
          <w:tcPr>
            <w:tcW w:w="0" w:type="dxa"/>
            <w:vAlign w:val="bottom"/>
          </w:tcPr>
          <w:p>
            <w:pPr>
              <w:spacing w:after="0"/>
              <w:rPr>
                <w:sz w:val="1"/>
                <w:szCs w:val="1"/>
                <w:color w:val="auto"/>
              </w:rPr>
            </w:pPr>
          </w:p>
        </w:tc>
      </w:tr>
      <w:tr>
        <w:trPr>
          <w:trHeight w:val="20"/>
        </w:trPr>
        <w:tc>
          <w:tcPr>
            <w:tcW w:w="728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of costs, but we are not allowed a rate of return.</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recovery of costs, we are allowed a rate of return.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recovery or repayment of costs, we are allowed a return on a portion of this amount or a reduction in rate base.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2" w:name="page23"/>
    <w:bookmarkEnd w:id="22"/>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Activity</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discussed below, there have been no other significant changes to our Regulatory Matters from those previously disclosed in Note 13 of the Notes to the Consolidated Financial Statements in our 2019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Colorado Gas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Rate Reviews and Jurisdictional Consolidation</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On September 11, 2020, Colorado Gas filed a rate review with the CPUC seeking recovery on significant infrastructure investments in its 7,000-mile natural gas pipeline system. The rate review requests $13.5 million in new annual revenue with a </w:t>
      </w:r>
      <w:r>
        <w:rPr>
          <w:rFonts w:ascii="Times New Roman" w:cs="Times New Roman" w:eastAsia="Times New Roman" w:hAnsi="Times New Roman"/>
          <w:sz w:val="18"/>
          <w:szCs w:val="18"/>
          <w:color w:val="242424"/>
        </w:rPr>
        <w:t>capital structure of 50% equity and 50% debt and a return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on equity of 9.95%. The request seeks to implement new rates in the second quarter of 2021. </w:t>
      </w:r>
      <w:r>
        <w:rPr>
          <w:rFonts w:ascii="Times New Roman" w:cs="Times New Roman" w:eastAsia="Times New Roman" w:hAnsi="Times New Roman"/>
          <w:sz w:val="18"/>
          <w:szCs w:val="18"/>
          <w:color w:val="000000"/>
        </w:rPr>
        <w:t>On September 11, 2020, in accordance with the final order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from the earlier rate review discussed below, Colorado Gas also filed a new SSIR proposal that would recover safety-focused investments in its system over five years.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1, 2019, Colorado Gas filed a rate review with the CPUC requesting $2.5 million in new revenue to recover investments in safety, reliability and system integrity and approval to consolidate rates, tariffs, and services of its two existing gas distribution territories. Colorado Gas also requested a new rider mechanism to recover future safety and integrity investments in its system. On May 19, 2020, the CPUC issued a final order which denied the system integrity recovery mechanism and consolidation of rate territories. In addition, the order resulted in an annual revenue decrease of $0.6 million and a return on equity of 9.2%. New rates were effective July 3, 2020.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TCJA</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TCJA. The TCJA reduced the U.S. federal corporate tax rate from 35% to 21%. As such, the Company remeasured our deferred income taxes at the 21% federal tax rate as of December 31, 2017. In 2018, the Company successfully delivered the benefits from the TCJA to most of its utility customers.</w:t>
      </w:r>
    </w:p>
    <w:p>
      <w:pPr>
        <w:spacing w:after="0" w:line="20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2020, regulatory proceedings resolved the last of the Company’s open dockets seeking approval of its TCJA plans. As a result, the Company relieved certain TCJA-related liabilities, which resulted in an increase to net income for the three and nine months ended September 30, 2020 of $3.5 million and $4.0 million,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Nebraska Gas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Jurisdictional Consolidation and Rate Review</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1, 2020, Nebraska Gas filed a rate review with the NPSC to consolidate rate schedules into a new, single statewide structure and seek recovery on significant infrastructure investments in its 13,000-mile natural gas pipeline system. The rate review requests $17.3 million in new revenue with a capital structure of 50% equity and 50% debt and a return on equity of 10%. Nebraska statute allows for implementation of interim rates 90 days after filing a rate review and Nebraska Gas implemented interim rates effective on September 1, 2020. The request seeks to finalize rates in the first quarter of 2021. Nebraska Gas is also requesting an extension of its SSIR for five years to align the rider recovery mechanism across the consolidated utility.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Black Hills Wyoming and Wyoming Electric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Wygen I FERC Filing</w:t>
      </w:r>
    </w:p>
    <w:p>
      <w:pPr>
        <w:spacing w:after="0" w:line="25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October 15, 2020, the FERC approved a settlement agreement that represents a resolution of all issues in the joint application filed by Wyoming Electric and Black Hills Wyoming on August 2, 2019 for approval of a new 60 MW PPA. Under the terms of the settlement, Wyoming Electric will continue to receive 60 MW of capacity and energy from the Wygen I power plant. The new agreement will commence on January 1, 2022, replace the existing PPA and continue for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share amounts used to compute earnings per share in the accompanying Condensed Consolidated Statements of Income was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36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19"/>
                <w:szCs w:val="19"/>
                <w:color w:val="auto"/>
              </w:rPr>
            </w:pPr>
          </w:p>
        </w:tc>
        <w:tc>
          <w:tcPr>
            <w:tcW w:w="3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4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2019</w:t>
            </w:r>
          </w:p>
        </w:tc>
      </w:tr>
      <w:tr>
        <w:trPr>
          <w:trHeight w:val="250"/>
        </w:trPr>
        <w:tc>
          <w:tcPr>
            <w:tcW w:w="4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5"/>
        </w:trPr>
        <w:tc>
          <w:tcPr>
            <w:tcW w:w="410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1120" w:type="dxa"/>
            <w:vAlign w:val="bottom"/>
            <w:tcBorders>
              <w:bottom w:val="single" w:sz="8" w:color="auto"/>
            </w:tcBorders>
            <w:shd w:val="clear" w:color="auto" w:fill="CEFFE7"/>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36,283</w:t>
            </w:r>
          </w:p>
        </w:tc>
        <w:tc>
          <w:tcPr>
            <w:tcW w:w="440" w:type="dxa"/>
            <w:vAlign w:val="bottom"/>
            <w:tcBorders>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auto"/>
            </w:tcBorders>
            <w:shd w:val="clear" w:color="auto" w:fill="CEFFE7"/>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150,423</w:t>
            </w:r>
          </w:p>
        </w:tc>
        <w:tc>
          <w:tcPr>
            <w:tcW w:w="440" w:type="dxa"/>
            <w:vAlign w:val="bottom"/>
            <w:tcBorders>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130,131</w:t>
            </w: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1360" w:type="dxa"/>
            <w:vAlign w:val="bottom"/>
            <w:tcBorders>
              <w:top w:val="single" w:sz="8" w:color="CEFFE7"/>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120" w:type="dxa"/>
            <w:vAlign w:val="bottom"/>
            <w:shd w:val="clear" w:color="auto" w:fill="CEFFE7"/>
          </w:tcPr>
          <w:p>
            <w:pPr>
              <w:spacing w:after="0"/>
              <w:rPr>
                <w:sz w:val="19"/>
                <w:szCs w:val="19"/>
                <w:color w:val="auto"/>
              </w:rPr>
            </w:pPr>
          </w:p>
        </w:tc>
        <w:tc>
          <w:tcPr>
            <w:tcW w:w="6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62,575</w:t>
            </w:r>
          </w:p>
        </w:tc>
        <w:tc>
          <w:tcPr>
            <w:tcW w:w="44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60,976</w:t>
            </w:r>
          </w:p>
        </w:tc>
        <w:tc>
          <w:tcPr>
            <w:tcW w:w="12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62,310</w:t>
            </w:r>
          </w:p>
        </w:tc>
        <w:tc>
          <w:tcPr>
            <w:tcW w:w="440" w:type="dxa"/>
            <w:vAlign w:val="bottom"/>
            <w:shd w:val="clear" w:color="auto" w:fill="CEFFE7"/>
          </w:tcPr>
          <w:p>
            <w:pPr>
              <w:spacing w:after="0"/>
              <w:rPr>
                <w:sz w:val="19"/>
                <w:szCs w:val="19"/>
                <w:color w:val="auto"/>
              </w:rPr>
            </w:pPr>
          </w:p>
        </w:tc>
        <w:tc>
          <w:tcPr>
            <w:tcW w:w="1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60,458</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100" w:type="dxa"/>
            <w:vAlign w:val="bottom"/>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120" w:type="dxa"/>
            <w:vAlign w:val="bottom"/>
            <w:tcBorders>
              <w:bottom w:val="single" w:sz="8" w:color="auto"/>
            </w:tcBorders>
            <w:shd w:val="clear" w:color="auto" w:fill="CEFFE7"/>
          </w:tcPr>
          <w:p>
            <w:pPr>
              <w:spacing w:after="0"/>
              <w:rPr>
                <w:sz w:val="19"/>
                <w:szCs w:val="19"/>
                <w:color w:val="auto"/>
              </w:rPr>
            </w:pPr>
          </w:p>
        </w:tc>
        <w:tc>
          <w:tcPr>
            <w:tcW w:w="6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Borders>
              <w:bottom w:val="single" w:sz="8" w:color="auto"/>
            </w:tcBorders>
            <w:shd w:val="clear" w:color="auto" w:fill="CEFFE7"/>
          </w:tcPr>
          <w:p>
            <w:pPr>
              <w:spacing w:after="0"/>
              <w:rPr>
                <w:sz w:val="19"/>
                <w:szCs w:val="19"/>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EFFE7"/>
          </w:tcPr>
          <w:p>
            <w:pPr>
              <w:spacing w:after="0"/>
              <w:rPr>
                <w:sz w:val="19"/>
                <w:szCs w:val="19"/>
                <w:color w:val="auto"/>
              </w:rPr>
            </w:pPr>
          </w:p>
        </w:tc>
        <w:tc>
          <w:tcPr>
            <w:tcW w:w="300" w:type="dxa"/>
            <w:vAlign w:val="bottom"/>
            <w:tcBorders>
              <w:bottom w:val="single" w:sz="8" w:color="auto"/>
            </w:tcBorders>
            <w:shd w:val="clear" w:color="auto" w:fill="CEFFE7"/>
          </w:tcPr>
          <w:p>
            <w:pPr>
              <w:spacing w:after="0"/>
              <w:rPr>
                <w:sz w:val="19"/>
                <w:szCs w:val="19"/>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Borders>
              <w:bottom w:val="single" w:sz="8" w:color="auto"/>
            </w:tcBorders>
            <w:shd w:val="clear" w:color="auto" w:fill="CEFFE7"/>
          </w:tcPr>
          <w:p>
            <w:pPr>
              <w:spacing w:after="0"/>
              <w:rPr>
                <w:sz w:val="19"/>
                <w:szCs w:val="19"/>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62,630</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62,362</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60,578</w:t>
            </w:r>
          </w:p>
        </w:tc>
      </w:tr>
      <w:tr>
        <w:trPr>
          <w:trHeight w:val="20"/>
        </w:trPr>
        <w:tc>
          <w:tcPr>
            <w:tcW w:w="4100" w:type="dxa"/>
            <w:vAlign w:val="bottom"/>
            <w:tcBorders>
              <w:bottom w:val="single" w:sz="8" w:color="CEFFE7"/>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EFFE7"/>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100" w:type="dxa"/>
            <w:vAlign w:val="bottom"/>
            <w:shd w:val="clear" w:color="auto" w:fill="CEFFE7"/>
          </w:tcPr>
          <w:p>
            <w:pPr>
              <w:spacing w:after="0"/>
              <w:rPr>
                <w:sz w:val="20"/>
                <w:szCs w:val="20"/>
                <w:color w:val="auto"/>
              </w:rPr>
            </w:pPr>
          </w:p>
        </w:tc>
        <w:tc>
          <w:tcPr>
            <w:tcW w:w="1120" w:type="dxa"/>
            <w:vAlign w:val="bottom"/>
            <w:shd w:val="clear" w:color="auto" w:fill="CEFFE7"/>
          </w:tcPr>
          <w:p>
            <w:pPr>
              <w:spacing w:after="0"/>
              <w:rPr>
                <w:sz w:val="20"/>
                <w:szCs w:val="20"/>
                <w:color w:val="auto"/>
              </w:rPr>
            </w:pPr>
          </w:p>
        </w:tc>
        <w:tc>
          <w:tcPr>
            <w:tcW w:w="600" w:type="dxa"/>
            <w:vAlign w:val="bottom"/>
            <w:shd w:val="clear" w:color="auto" w:fill="CEFFE7"/>
          </w:tcPr>
          <w:p>
            <w:pPr>
              <w:spacing w:after="0"/>
              <w:rPr>
                <w:sz w:val="20"/>
                <w:szCs w:val="20"/>
                <w:color w:val="auto"/>
              </w:rPr>
            </w:pPr>
          </w:p>
        </w:tc>
        <w:tc>
          <w:tcPr>
            <w:tcW w:w="44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c>
          <w:tcPr>
            <w:tcW w:w="120" w:type="dxa"/>
            <w:vAlign w:val="bottom"/>
            <w:shd w:val="clear" w:color="auto" w:fill="CEFFE7"/>
          </w:tcPr>
          <w:p>
            <w:pPr>
              <w:spacing w:after="0"/>
              <w:rPr>
                <w:sz w:val="20"/>
                <w:szCs w:val="20"/>
                <w:color w:val="auto"/>
              </w:rPr>
            </w:pPr>
          </w:p>
        </w:tc>
        <w:tc>
          <w:tcPr>
            <w:tcW w:w="300" w:type="dxa"/>
            <w:vAlign w:val="bottom"/>
            <w:shd w:val="clear" w:color="auto" w:fill="CEFFE7"/>
          </w:tcPr>
          <w:p>
            <w:pPr>
              <w:spacing w:after="0"/>
              <w:rPr>
                <w:sz w:val="20"/>
                <w:szCs w:val="20"/>
                <w:color w:val="auto"/>
              </w:rPr>
            </w:pPr>
          </w:p>
        </w:tc>
        <w:tc>
          <w:tcPr>
            <w:tcW w:w="1420" w:type="dxa"/>
            <w:vAlign w:val="bottom"/>
            <w:shd w:val="clear" w:color="auto" w:fill="CEFFE7"/>
          </w:tcPr>
          <w:p>
            <w:pPr>
              <w:spacing w:after="0"/>
              <w:rPr>
                <w:sz w:val="20"/>
                <w:szCs w:val="20"/>
                <w:color w:val="auto"/>
              </w:rPr>
            </w:pPr>
          </w:p>
        </w:tc>
        <w:tc>
          <w:tcPr>
            <w:tcW w:w="440" w:type="dxa"/>
            <w:vAlign w:val="bottom"/>
            <w:shd w:val="clear" w:color="auto" w:fill="CEFFE7"/>
          </w:tcPr>
          <w:p>
            <w:pPr>
              <w:spacing w:after="0"/>
              <w:rPr>
                <w:sz w:val="20"/>
                <w:szCs w:val="20"/>
                <w:color w:val="auto"/>
              </w:rPr>
            </w:pPr>
          </w:p>
        </w:tc>
        <w:tc>
          <w:tcPr>
            <w:tcW w:w="1360" w:type="dxa"/>
            <w:vAlign w:val="bottom"/>
            <w:shd w:val="clear" w:color="auto" w:fill="CEFFE7"/>
          </w:tcPr>
          <w:p>
            <w:pPr>
              <w:spacing w:after="0"/>
              <w:rPr>
                <w:sz w:val="20"/>
                <w:szCs w:val="20"/>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1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Earnings per share, Basic</w:t>
            </w:r>
          </w:p>
        </w:tc>
        <w:tc>
          <w:tcPr>
            <w:tcW w:w="1120" w:type="dxa"/>
            <w:vAlign w:val="bottom"/>
            <w:shd w:val="clear" w:color="auto" w:fill="CEFFE7"/>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44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EFFE7"/>
          </w:tcPr>
          <w:p>
            <w:pPr>
              <w:spacing w:after="0"/>
              <w:rPr>
                <w:sz w:val="19"/>
                <w:szCs w:val="19"/>
                <w:color w:val="auto"/>
              </w:rPr>
            </w:pPr>
          </w:p>
        </w:tc>
        <w:tc>
          <w:tcPr>
            <w:tcW w:w="300" w:type="dxa"/>
            <w:vAlign w:val="bottom"/>
            <w:shd w:val="clear" w:color="auto" w:fill="CEFFE7"/>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4"/>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were excluded from the diluted earnings per share computation because of their anti-dilutive nature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3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5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2020</w:t>
            </w:r>
          </w:p>
        </w:tc>
        <w:tc>
          <w:tcPr>
            <w:tcW w:w="14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2019</w:t>
            </w:r>
          </w:p>
        </w:tc>
      </w:tr>
      <w:tr>
        <w:trPr>
          <w:trHeight w:val="250"/>
        </w:trPr>
        <w:tc>
          <w:tcPr>
            <w:tcW w:w="4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30"/>
        </w:trPr>
        <w:tc>
          <w:tcPr>
            <w:tcW w:w="538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1880" w:type="dxa"/>
            <w:vAlign w:val="bottom"/>
            <w:shd w:val="clear" w:color="auto" w:fill="CEFFE7"/>
          </w:tcPr>
          <w:p>
            <w:pPr>
              <w:jc w:val="right"/>
              <w:ind w:right="139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EFFE7"/>
          </w:tcPr>
          <w:p>
            <w:pPr>
              <w:spacing w:after="0"/>
              <w:rPr>
                <w:sz w:val="19"/>
                <w:szCs w:val="19"/>
                <w:color w:val="auto"/>
              </w:rPr>
            </w:pPr>
          </w:p>
        </w:tc>
        <w:tc>
          <w:tcPr>
            <w:tcW w:w="2060" w:type="dxa"/>
            <w:vAlign w:val="bottom"/>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1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EFFE7"/>
            </w:tcBorders>
          </w:tcPr>
          <w:p>
            <w:pPr>
              <w:spacing w:after="0"/>
              <w:rPr>
                <w:sz w:val="19"/>
                <w:szCs w:val="19"/>
                <w:color w:val="auto"/>
              </w:rPr>
            </w:pPr>
          </w:p>
        </w:tc>
        <w:tc>
          <w:tcPr>
            <w:tcW w:w="2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380" w:type="dxa"/>
            <w:vAlign w:val="bottom"/>
            <w:gridSpan w:val="2"/>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Anti-dilutive shares</w:t>
            </w:r>
          </w:p>
        </w:tc>
        <w:tc>
          <w:tcPr>
            <w:tcW w:w="1880" w:type="dxa"/>
            <w:vAlign w:val="bottom"/>
            <w:shd w:val="clear" w:color="auto" w:fill="CEFFE7"/>
          </w:tcPr>
          <w:p>
            <w:pPr>
              <w:jc w:val="right"/>
              <w:ind w:right="139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EFFE7"/>
          </w:tcPr>
          <w:p>
            <w:pPr>
              <w:spacing w:after="0"/>
              <w:rPr>
                <w:sz w:val="21"/>
                <w:szCs w:val="21"/>
                <w:color w:val="auto"/>
              </w:rPr>
            </w:pPr>
          </w:p>
        </w:tc>
        <w:tc>
          <w:tcPr>
            <w:tcW w:w="2060" w:type="dxa"/>
            <w:vAlign w:val="bottom"/>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 Current Maturities and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short-term debt outstanding in the accompanying Condensed Consolidated Balance Sheets (in thousands) as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2020</w:t>
            </w: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2019</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Balance</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 xml:space="preserve">Letters of Credit </w:t>
            </w:r>
            <w:r>
              <w:rPr>
                <w:rFonts w:ascii="Times New Roman" w:cs="Times New Roman" w:eastAsia="Times New Roman" w:hAnsi="Times New Roman"/>
                <w:sz w:val="23"/>
                <w:szCs w:val="23"/>
                <w:color w:val="auto"/>
                <w:w w:val="99"/>
                <w:vertAlign w:val="superscript"/>
              </w:rPr>
              <w:t>(a)</w:t>
            </w:r>
          </w:p>
        </w:tc>
        <w:tc>
          <w:tcPr>
            <w:tcW w:w="18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Balance</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 xml:space="preserve">Letters of Credit </w:t>
            </w:r>
            <w:r>
              <w:rPr>
                <w:rFonts w:ascii="Times New Roman" w:cs="Times New Roman" w:eastAsia="Times New Roman" w:hAnsi="Times New Roman"/>
                <w:sz w:val="23"/>
                <w:szCs w:val="23"/>
                <w:color w:val="auto"/>
                <w:w w:val="99"/>
                <w:vertAlign w:val="superscript"/>
              </w:rPr>
              <w:t>(a)</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EFFE7"/>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Outstanding</w:t>
            </w:r>
          </w:p>
        </w:tc>
        <w:tc>
          <w:tcPr>
            <w:tcW w:w="146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Outstanding</w:t>
            </w:r>
          </w:p>
        </w:tc>
        <w:tc>
          <w:tcPr>
            <w:tcW w:w="14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EFFE7"/>
          </w:tcPr>
          <w:p>
            <w:pPr>
              <w:jc w:val="right"/>
              <w:ind w:right="59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EFFE7"/>
          </w:tcPr>
          <w:p>
            <w:pPr>
              <w:jc w:val="right"/>
              <w:ind w:right="59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30,274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CP Program</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84,320</w:t>
            </w: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349,500</w:t>
            </w: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84,320</w:t>
            </w:r>
          </w:p>
        </w:tc>
        <w:tc>
          <w:tcPr>
            <w:tcW w:w="820" w:type="dxa"/>
            <w:vAlign w:val="bottom"/>
            <w:tcBorders>
              <w:bottom w:val="single" w:sz="8" w:color="auto"/>
            </w:tcBorders>
            <w:shd w:val="clear" w:color="auto" w:fill="CEFFE7"/>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349,500</w:t>
            </w:r>
          </w:p>
        </w:tc>
        <w:tc>
          <w:tcPr>
            <w:tcW w:w="820" w:type="dxa"/>
            <w:vAlign w:val="bottom"/>
            <w:tcBorders>
              <w:bottom w:val="single" w:sz="8" w:color="auto"/>
            </w:tcBorders>
            <w:shd w:val="clear" w:color="auto" w:fill="CEFFE7"/>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30,274</w:t>
            </w:r>
          </w:p>
        </w:tc>
        <w:tc>
          <w:tcPr>
            <w:tcW w:w="0" w:type="dxa"/>
            <w:vAlign w:val="bottom"/>
          </w:tcPr>
          <w:p>
            <w:pPr>
              <w:spacing w:after="0"/>
              <w:rPr>
                <w:sz w:val="1"/>
                <w:szCs w:val="1"/>
                <w:color w:val="auto"/>
              </w:rPr>
            </w:pP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23" w:lineRule="exact"/>
        <w:rPr>
          <w:sz w:val="20"/>
          <w:szCs w:val="20"/>
          <w:color w:val="auto"/>
        </w:rPr>
      </w:pPr>
    </w:p>
    <w:p>
      <w:pPr>
        <w:ind w:left="340" w:right="2360" w:hanging="332"/>
        <w:spacing w:after="0" w:line="257" w:lineRule="auto"/>
        <w:tabs>
          <w:tab w:leader="none" w:pos="35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Letters of credit are off-balance sheet commitments that reduce the borrowing capacity available on our corporate Revolving Credit Facility.</w:t>
      </w:r>
    </w:p>
    <w:p>
      <w:pPr>
        <w:spacing w:after="0" w:line="2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we utilized a combination of our $750 million Revolving Credit Facility and CP Program to meet our business needs and support our capital investment plan. Our net short-term borrowings (payments) during the nine months ended September 30, 2020 were $(265)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our Revolving Credit Facility and term loan agreement,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consolidated net worth, which excludes noncontrolling interest in subsidiaries. Subject to applicable cure periods, a violation of any of these covenants would constitute an event of default that entitles the lenders to terminate their remaining commitments and accelerate all principal and interest outstanding.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and term loans require compliance with the following financial covenant, which we were in compliance with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40" w:type="dxa"/>
            <w:vAlign w:val="bottom"/>
            <w:tcBorders>
              <w:bottom w:val="single" w:sz="8" w:color="CEFFE7"/>
            </w:tcBorders>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 of September 30, 2020</w:t>
            </w:r>
          </w:p>
        </w:tc>
        <w:tc>
          <w:tcPr>
            <w:tcW w:w="24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Covenant Requirement</w:t>
            </w:r>
          </w:p>
        </w:tc>
      </w:tr>
      <w:tr>
        <w:trPr>
          <w:trHeight w:val="223"/>
        </w:trPr>
        <w:tc>
          <w:tcPr>
            <w:tcW w:w="61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Consolidated Indebtedness to Capitalization Ratio</w:t>
            </w:r>
          </w:p>
        </w:tc>
        <w:tc>
          <w:tcPr>
            <w:tcW w:w="2640" w:type="dxa"/>
            <w:vAlign w:val="bottom"/>
            <w:shd w:val="clear" w:color="auto" w:fill="CEFFE7"/>
          </w:tcPr>
          <w:p>
            <w:pPr>
              <w:jc w:val="right"/>
              <w:ind w:right="1030"/>
              <w:spacing w:after="0"/>
              <w:rPr>
                <w:sz w:val="20"/>
                <w:szCs w:val="20"/>
                <w:color w:val="auto"/>
              </w:rPr>
            </w:pPr>
            <w:r>
              <w:rPr>
                <w:rFonts w:ascii="Times New Roman" w:cs="Times New Roman" w:eastAsia="Times New Roman" w:hAnsi="Times New Roman"/>
                <w:sz w:val="18"/>
                <w:szCs w:val="18"/>
                <w:color w:val="auto"/>
              </w:rPr>
              <w:t>59.3%</w:t>
            </w:r>
          </w:p>
        </w:tc>
        <w:tc>
          <w:tcPr>
            <w:tcW w:w="1400" w:type="dxa"/>
            <w:vAlign w:val="bottom"/>
            <w:shd w:val="clear" w:color="auto" w:fill="CEFFE7"/>
          </w:tcPr>
          <w:p>
            <w:pPr>
              <w:ind w:left="480"/>
              <w:spacing w:after="0"/>
              <w:rPr>
                <w:sz w:val="20"/>
                <w:szCs w:val="20"/>
                <w:color w:val="auto"/>
              </w:rPr>
            </w:pPr>
            <w:r>
              <w:rPr>
                <w:rFonts w:ascii="Times New Roman" w:cs="Times New Roman" w:eastAsia="Times New Roman" w:hAnsi="Times New Roman"/>
                <w:sz w:val="18"/>
                <w:szCs w:val="18"/>
                <w:color w:val="auto"/>
              </w:rPr>
              <w:t>Less than</w:t>
            </w:r>
          </w:p>
        </w:tc>
        <w:tc>
          <w:tcPr>
            <w:tcW w:w="1020" w:type="dxa"/>
            <w:vAlign w:val="bottom"/>
            <w:shd w:val="clear" w:color="auto" w:fill="CEFFE7"/>
          </w:tcPr>
          <w:p>
            <w:pPr>
              <w:jc w:val="right"/>
              <w:ind w:right="350"/>
              <w:spacing w:after="0"/>
              <w:rPr>
                <w:sz w:val="20"/>
                <w:szCs w:val="20"/>
                <w:color w:val="auto"/>
              </w:rPr>
            </w:pPr>
            <w:r>
              <w:rPr>
                <w:rFonts w:ascii="Times New Roman" w:cs="Times New Roman" w:eastAsia="Times New Roman" w:hAnsi="Times New Roman"/>
                <w:sz w:val="18"/>
                <w:szCs w:val="18"/>
                <w:color w:val="auto"/>
              </w:rPr>
              <w:t>65%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Offering</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June 17, 2020, we completed a public debt offering which consisted of $400 million of 2.50% 10-year senior unsecured notes due June 15, 2030. The proceeds were used to repay short-term debt and for working capital and general corporate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Dakota Electric Series 94A Debt</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March 24, 2020, South Dakota Electric paid off its $2.9 million, Series 94A variable rate notes due June 1, 2024. These notes were tendered by the sole investor on March 17, 2020.</w:t>
      </w:r>
    </w:p>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February 2020 Equity Issuance</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27, 2020, we issued 1.2 million shares of common stock to a single investor through an underwritten registered transaction at a price of $81.77 per share for proceeds of $99 million, net of $1.0 million of issuance costs. The shares of common stock were offered pursuant to our shelf registration statement filed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Shelf Registration, DRSPP and ATM Activity</w:t>
      </w:r>
    </w:p>
    <w:p>
      <w:pPr>
        <w:spacing w:after="0" w:line="25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August 3, 2020, we filed a shelf registration and DRSPP with the SEC. In conjunction with these shelf filings, we renewed the ATM. The renewed ATM program, which allows us to sell shares of our common stock, is the same as the prior program other than the aggregate value increased from $300 million to $400 million and a forward sales option was incorporated. Under the ATM, shares may be offered from time to time pursuant to a sales agreement dated August 3, 2020. Shares of common stock are offered pursuant to our shelf registration statement filed with the SEC.</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did not issue any common shares under the ATM during the three and nine months ended September 30, 2020. During the three months ended September 30, 2019, we issued a total of 0.4 million shares of common stock under the ATM for proceeds of $30 million, net of $0.3 million in issuance costs. During the nine months ended September 30, 2019, we issued a total of 1.3 million shares of common stock under the ATM for proceeds of $99 million, net of $1.0 million in issuance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ind w:right="8180" w:firstLine="8"/>
        <w:spacing w:after="0" w:line="534" w:lineRule="auto"/>
        <w:tabs>
          <w:tab w:leader="none" w:pos="39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and Derivatives Market and Credit Risk Disclosures</w:t>
      </w:r>
    </w:p>
    <w:p>
      <w:pPr>
        <w:spacing w:after="0" w:line="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that may occur as a result of an adverse change in market price, rate or supply. We are exposed to the following market risks, including, but not limited to:</w:t>
      </w:r>
    </w:p>
    <w:p>
      <w:pPr>
        <w:spacing w:after="0" w:line="189" w:lineRule="exact"/>
        <w:rPr>
          <w:sz w:val="20"/>
          <w:szCs w:val="20"/>
          <w:color w:val="auto"/>
        </w:rPr>
      </w:pPr>
    </w:p>
    <w:p>
      <w:pPr>
        <w:jc w:val="both"/>
        <w:ind w:left="500" w:right="280" w:hanging="330"/>
        <w:spacing w:after="0" w:line="266"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 risk associated with our retail natural gas, wholesale electric power marketing activities and our fuel procurement for several of our gas-fired generation assets which include market fluctuations due to unpredictable factors such as the COVID-19 pandemic, weather, market speculation, pipeline constraints, and other factors that may impact natural gas and electric energy supply and demand; and</w:t>
      </w:r>
    </w:p>
    <w:p>
      <w:pPr>
        <w:spacing w:after="0" w:line="202" w:lineRule="exact"/>
        <w:rPr>
          <w:rFonts w:ascii="Times New Roman" w:cs="Times New Roman" w:eastAsia="Times New Roman" w:hAnsi="Times New Roman"/>
          <w:sz w:val="18"/>
          <w:szCs w:val="18"/>
          <w:color w:val="auto"/>
        </w:rPr>
      </w:pPr>
    </w:p>
    <w:p>
      <w:pPr>
        <w:ind w:left="500" w:right="260" w:hanging="330"/>
        <w:spacing w:after="0" w:line="282"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associated with future debt, including reduced access to liquidity during periods of extreme capital markets volatility, such as the 2008 financial crisis and the COVID-19 pandemic.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 is the risk of financial loss resulting from non-performance of contractual obligations by a counterparty.</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0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203"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continue to monitor COVID-19 impacts and changes to customer load, consistency in customer payments, requests for deferred or discounted payments, and requests for changes to credit limits to quantify estimated future financial impacts to the allowance for credit losses. During the three and nine months ended September 30, 2020, the potential economic impact of the COVID-19 pandemic was considered in forward looking projections related to write-off and recovery rates, and resulted in increases to the allowance for credit losses and bad debt expense of $1.7 million and $3.7 million, respectively. See </w:t>
      </w:r>
      <w:hyperlink w:anchor="page20">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 Activity</w:t>
      </w:r>
    </w:p>
    <w:p>
      <w:pPr>
        <w:spacing w:after="0" w:line="256" w:lineRule="exact"/>
        <w:rPr>
          <w:sz w:val="20"/>
          <w:szCs w:val="20"/>
          <w:color w:val="auto"/>
        </w:rPr>
      </w:pPr>
    </w:p>
    <w:p>
      <w:pPr>
        <w:ind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hyperlink w:anchor="page29">
        <w:r>
          <w:rPr>
            <w:rFonts w:ascii="Times New Roman" w:cs="Times New Roman" w:eastAsia="Times New Roman" w:hAnsi="Times New Roman"/>
            <w:sz w:val="18"/>
            <w:szCs w:val="18"/>
            <w:u w:val="single" w:color="auto"/>
            <w:color w:val="0000FF"/>
          </w:rPr>
          <w:t>Note 10</w:t>
        </w:r>
      </w:hyperlink>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Utilities</w:t>
      </w:r>
    </w:p>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operations of our utilities, including natural gas used by our Electric Utilities’ generation plants or those plants under PPAs where our Electric Utilities must provide the generation fuel (tolling agreements) and natural gas sold by our Gas Utilities,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utility commission guidelines. When the related costs are recovered through our rates, the hedging activity is recognized in the Condensed Consolidated Statements of Income.</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 using over-the-counter and exchange traded options and swaps with counterparties in anticipation of forecasted purchases and/or sales from October 2020 through May 2022.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Condensed Consolidated Balance Sheets and reclassified into earnings in the same period that the underlying hedged item is recognized in earnings. Effectiveness of our hedging position is evaluated at least quarterly.</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60" w:type="dxa"/>
            <w:vAlign w:val="bottom"/>
            <w:gridSpan w:val="4"/>
          </w:tcPr>
          <w:p>
            <w:pPr>
              <w:ind w:left="640"/>
              <w:spacing w:after="0"/>
              <w:rPr>
                <w:sz w:val="20"/>
                <w:szCs w:val="20"/>
                <w:color w:val="auto"/>
              </w:rPr>
            </w:pPr>
            <w:r>
              <w:rPr>
                <w:rFonts w:ascii="Times New Roman" w:cs="Times New Roman" w:eastAsia="Times New Roman" w:hAnsi="Times New Roman"/>
                <w:sz w:val="16"/>
                <w:szCs w:val="16"/>
                <w:color w:val="auto"/>
              </w:rPr>
              <w:t>September 30, 2020</w:t>
            </w:r>
          </w:p>
        </w:tc>
        <w:tc>
          <w:tcPr>
            <w:tcW w:w="252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December 31, 2019</w:t>
            </w: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Notional</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Maximum</w:t>
            </w:r>
          </w:p>
        </w:tc>
        <w:tc>
          <w:tcPr>
            <w:tcW w:w="100" w:type="dxa"/>
            <w:vAlign w:val="bottom"/>
          </w:tcPr>
          <w:p>
            <w:pPr>
              <w:spacing w:after="0"/>
              <w:rPr>
                <w:sz w:val="13"/>
                <w:szCs w:val="13"/>
                <w:color w:val="auto"/>
              </w:rPr>
            </w:pPr>
          </w:p>
        </w:tc>
        <w:tc>
          <w:tcPr>
            <w:tcW w:w="132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rPr>
              <w:t>Notional</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Maximum</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Units</w:t>
            </w:r>
          </w:p>
        </w:tc>
        <w:tc>
          <w:tcPr>
            <w:tcW w:w="136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w w:val="97"/>
              </w:rPr>
              <w:t>Term</w:t>
            </w:r>
          </w:p>
        </w:tc>
        <w:tc>
          <w:tcPr>
            <w:tcW w:w="1320" w:type="dxa"/>
            <w:vAlign w:val="bottom"/>
            <w:gridSpan w:val="2"/>
            <w:vMerge w:val="continue"/>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Term</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Amounts</w:t>
            </w:r>
          </w:p>
        </w:tc>
        <w:tc>
          <w:tcPr>
            <w:tcW w:w="130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6"/>
                <w:szCs w:val="16"/>
                <w:color w:val="auto"/>
                <w:w w:val="95"/>
              </w:rPr>
              <w:t xml:space="preserve">(months) </w:t>
            </w:r>
            <w:r>
              <w:rPr>
                <w:rFonts w:ascii="Times New Roman" w:cs="Times New Roman" w:eastAsia="Times New Roman" w:hAnsi="Times New Roman"/>
                <w:sz w:val="21"/>
                <w:szCs w:val="21"/>
                <w:color w:val="auto"/>
                <w:w w:val="95"/>
                <w:vertAlign w:val="superscript"/>
              </w:rPr>
              <w:t>(a)</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Amounts</w:t>
            </w: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w w:val="93"/>
              </w:rPr>
              <w:t xml:space="preserve">(months) </w:t>
            </w:r>
            <w:r>
              <w:rPr>
                <w:rFonts w:ascii="Times New Roman" w:cs="Times New Roman" w:eastAsia="Times New Roman" w:hAnsi="Times New Roman"/>
                <w:sz w:val="21"/>
                <w:szCs w:val="21"/>
                <w:color w:val="auto"/>
                <w:w w:val="93"/>
                <w:vertAlign w:val="superscript"/>
              </w:rPr>
              <w:t>(a)</w:t>
            </w:r>
          </w:p>
        </w:tc>
        <w:tc>
          <w:tcPr>
            <w:tcW w:w="0" w:type="dxa"/>
            <w:vAlign w:val="bottom"/>
          </w:tcPr>
          <w:p>
            <w:pPr>
              <w:spacing w:after="0"/>
              <w:rPr>
                <w:sz w:val="1"/>
                <w:szCs w:val="1"/>
                <w:color w:val="auto"/>
              </w:rPr>
            </w:pPr>
          </w:p>
        </w:tc>
      </w:tr>
      <w:tr>
        <w:trPr>
          <w:trHeight w:val="209"/>
        </w:trPr>
        <w:tc>
          <w:tcPr>
            <w:tcW w:w="4740" w:type="dxa"/>
            <w:vAlign w:val="bottom"/>
            <w:tcBorders>
              <w:top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Natural gas futures purchased</w:t>
            </w:r>
          </w:p>
        </w:tc>
        <w:tc>
          <w:tcPr>
            <w:tcW w:w="1260" w:type="dxa"/>
            <w:vAlign w:val="bottom"/>
            <w:tcBorders>
              <w:top w:val="single" w:sz="8" w:color="auto"/>
            </w:tcBorders>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rPr>
              <w:t>MMBtus</w:t>
            </w:r>
          </w:p>
        </w:tc>
        <w:tc>
          <w:tcPr>
            <w:tcW w:w="124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1,930,000</w:t>
            </w:r>
          </w:p>
        </w:tc>
        <w:tc>
          <w:tcPr>
            <w:tcW w:w="120" w:type="dxa"/>
            <w:vAlign w:val="bottom"/>
            <w:tcBorders>
              <w:top w:val="single" w:sz="8" w:color="CEFFE7"/>
            </w:tcBorders>
            <w:shd w:val="clear" w:color="auto" w:fill="CEFFE7"/>
          </w:tcPr>
          <w:p>
            <w:pPr>
              <w:spacing w:after="0"/>
              <w:rPr>
                <w:sz w:val="18"/>
                <w:szCs w:val="18"/>
                <w:color w:val="auto"/>
              </w:rPr>
            </w:pPr>
          </w:p>
        </w:tc>
        <w:tc>
          <w:tcPr>
            <w:tcW w:w="1200" w:type="dxa"/>
            <w:vAlign w:val="bottom"/>
            <w:tcBorders>
              <w:top w:val="single" w:sz="8" w:color="auto"/>
            </w:tcBorders>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Borders>
              <w:top w:val="single" w:sz="8" w:color="CEFFE7"/>
            </w:tcBorders>
            <w:shd w:val="clear" w:color="auto" w:fill="CEFFE7"/>
          </w:tcPr>
          <w:p>
            <w:pPr>
              <w:spacing w:after="0"/>
              <w:rPr>
                <w:sz w:val="18"/>
                <w:szCs w:val="18"/>
                <w:color w:val="auto"/>
              </w:rPr>
            </w:pPr>
          </w:p>
        </w:tc>
        <w:tc>
          <w:tcPr>
            <w:tcW w:w="120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1,450,000</w:t>
            </w:r>
          </w:p>
        </w:tc>
        <w:tc>
          <w:tcPr>
            <w:tcW w:w="120" w:type="dxa"/>
            <w:vAlign w:val="bottom"/>
            <w:tcBorders>
              <w:top w:val="single" w:sz="8" w:color="CEFFE7"/>
            </w:tcBorders>
            <w:shd w:val="clear" w:color="auto" w:fill="CEFFE7"/>
          </w:tcPr>
          <w:p>
            <w:pPr>
              <w:spacing w:after="0"/>
              <w:rPr>
                <w:sz w:val="18"/>
                <w:szCs w:val="18"/>
                <w:color w:val="auto"/>
              </w:rPr>
            </w:pPr>
          </w:p>
        </w:tc>
        <w:tc>
          <w:tcPr>
            <w:tcW w:w="1200" w:type="dxa"/>
            <w:vAlign w:val="bottom"/>
            <w:tcBorders>
              <w:top w:val="single" w:sz="8" w:color="auto"/>
            </w:tcBorders>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Natural gas options purchased, net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MMBtus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8,320,000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3,240,000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9"/>
        </w:trPr>
        <w:tc>
          <w:tcPr>
            <w:tcW w:w="47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Natural gas basis swaps purchased</w:t>
            </w:r>
          </w:p>
        </w:tc>
        <w:tc>
          <w:tcPr>
            <w:tcW w:w="126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rPr>
              <w:t>MMBtus</w:t>
            </w:r>
          </w:p>
        </w:tc>
        <w:tc>
          <w:tcPr>
            <w:tcW w:w="12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1,780,000</w:t>
            </w:r>
          </w:p>
        </w:tc>
        <w:tc>
          <w:tcPr>
            <w:tcW w:w="12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1,290,000</w:t>
            </w:r>
          </w:p>
        </w:tc>
        <w:tc>
          <w:tcPr>
            <w:tcW w:w="12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Natural gas over-the-counter swaps, net </w:t>
            </w:r>
            <w:r>
              <w:rPr>
                <w:rFonts w:ascii="Times New Roman" w:cs="Times New Roman" w:eastAsia="Times New Roman" w:hAnsi="Times New Roman"/>
                <w:sz w:val="21"/>
                <w:szCs w:val="21"/>
                <w:color w:val="auto"/>
                <w:vertAlign w:val="superscript"/>
              </w:rPr>
              <w:t>(b)</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MMBtus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4,525,100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0" w:type="dxa"/>
            <w:vAlign w:val="bottom"/>
          </w:tcPr>
          <w:p>
            <w:pPr>
              <w:spacing w:after="0"/>
              <w:rPr>
                <w:sz w:val="1"/>
                <w:szCs w:val="1"/>
                <w:color w:val="auto"/>
              </w:rPr>
            </w:pPr>
          </w:p>
        </w:tc>
      </w:tr>
      <w:tr>
        <w:trPr>
          <w:trHeight w:val="216"/>
        </w:trPr>
        <w:tc>
          <w:tcPr>
            <w:tcW w:w="4740" w:type="dxa"/>
            <w:vAlign w:val="bottom"/>
            <w:shd w:val="clear" w:color="auto" w:fill="CEFFE7"/>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Natural gas physical contracts, net </w:t>
            </w:r>
            <w:r>
              <w:rPr>
                <w:rFonts w:ascii="Times New Roman" w:cs="Times New Roman" w:eastAsia="Times New Roman" w:hAnsi="Times New Roman"/>
                <w:sz w:val="21"/>
                <w:szCs w:val="21"/>
                <w:color w:val="auto"/>
                <w:vertAlign w:val="superscript"/>
              </w:rPr>
              <w:t>(c)</w:t>
            </w:r>
          </w:p>
        </w:tc>
        <w:tc>
          <w:tcPr>
            <w:tcW w:w="126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rPr>
              <w:t>MMBtus</w:t>
            </w:r>
          </w:p>
        </w:tc>
        <w:tc>
          <w:tcPr>
            <w:tcW w:w="12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23,350,287</w:t>
            </w:r>
          </w:p>
        </w:tc>
        <w:tc>
          <w:tcPr>
            <w:tcW w:w="12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13,548,235</w:t>
            </w:r>
          </w:p>
        </w:tc>
        <w:tc>
          <w:tcPr>
            <w:tcW w:w="12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7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Electric wholesale contracts </w:t>
            </w:r>
            <w:r>
              <w:rPr>
                <w:rFonts w:ascii="Times New Roman" w:cs="Times New Roman" w:eastAsia="Times New Roman" w:hAnsi="Times New Roman"/>
                <w:sz w:val="21"/>
                <w:szCs w:val="21"/>
                <w:color w:val="auto"/>
                <w:vertAlign w:val="superscript"/>
              </w:rPr>
              <w:t>(c)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MWh</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55,225</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 reflects the maximum forward period hedged.</w:t>
      </w:r>
    </w:p>
    <w:p>
      <w:pPr>
        <w:spacing w:after="0" w:line="9"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2020, 1,274,900 MMBtus of natural gas over-the-counter swaps purchases were designated as cash flow hedges.</w:t>
      </w:r>
    </w:p>
    <w:p>
      <w:pPr>
        <w:spacing w:after="0" w:line="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Volumes exclude contracts that qualify for the normal purchases and normal sales exception.</w:t>
      </w:r>
    </w:p>
    <w:p>
      <w:pPr>
        <w:spacing w:after="0" w:line="2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certain derivative contracts which contain credit provisions. These credit provisions may require the Company to post collateral when credit exposure to the Company is in excess of a negotiated line of unsecured credit. At September 30, 2020, the Company posted $0.5 million related to such provisions, which is included in Other current assets on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by Balance Sheet Classification</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and balance sheet classification of our derivative instruments (in thousands) as of:</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hedges:</w:t>
            </w:r>
          </w:p>
        </w:tc>
        <w:tc>
          <w:tcPr>
            <w:tcW w:w="36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Balance Sheet Location</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color w:val="auto"/>
              </w:rPr>
              <w:t>September 30, 2020</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193"/>
        </w:trPr>
        <w:tc>
          <w:tcPr>
            <w:tcW w:w="3820" w:type="dxa"/>
            <w:vAlign w:val="bottom"/>
            <w:vMerge w:val="continue"/>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Asset derivative instruments:</w:t>
            </w:r>
          </w:p>
        </w:tc>
        <w:tc>
          <w:tcPr>
            <w:tcW w:w="36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Current commodity derivatives</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300"/>
              <w:spacing w:after="0"/>
              <w:rPr>
                <w:sz w:val="20"/>
                <w:szCs w:val="20"/>
                <w:color w:val="auto"/>
              </w:rPr>
            </w:pPr>
            <w:r>
              <w:rPr>
                <w:rFonts w:ascii="Times New Roman" w:cs="Times New Roman" w:eastAsia="Times New Roman" w:hAnsi="Times New Roman"/>
                <w:sz w:val="16"/>
                <w:szCs w:val="16"/>
                <w:color w:val="auto"/>
              </w:rPr>
              <w:t>Noncurrent commodity derivatives</w:t>
            </w:r>
          </w:p>
        </w:tc>
        <w:tc>
          <w:tcPr>
            <w:tcW w:w="36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160" w:type="dxa"/>
            <w:vAlign w:val="bottom"/>
            <w:shd w:val="clear" w:color="auto" w:fill="CEFFE7"/>
          </w:tcPr>
          <w:p>
            <w:pPr>
              <w:spacing w:after="0"/>
              <w:rPr>
                <w:sz w:val="19"/>
                <w:szCs w:val="19"/>
                <w:color w:val="auto"/>
              </w:rPr>
            </w:pPr>
          </w:p>
        </w:tc>
        <w:tc>
          <w:tcPr>
            <w:tcW w:w="1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shd w:val="clear" w:color="auto" w:fill="CEFFE7"/>
          </w:tcPr>
          <w:p>
            <w:pPr>
              <w:spacing w:after="0"/>
              <w:rPr>
                <w:sz w:val="19"/>
                <w:szCs w:val="19"/>
                <w:color w:val="auto"/>
              </w:rPr>
            </w:pPr>
          </w:p>
        </w:tc>
        <w:tc>
          <w:tcPr>
            <w:tcW w:w="1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Liability derivative instruments: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300"/>
              <w:spacing w:after="0"/>
              <w:rPr>
                <w:sz w:val="20"/>
                <w:szCs w:val="20"/>
                <w:color w:val="auto"/>
              </w:rPr>
            </w:pPr>
            <w:r>
              <w:rPr>
                <w:rFonts w:ascii="Times New Roman" w:cs="Times New Roman" w:eastAsia="Times New Roman" w:hAnsi="Times New Roman"/>
                <w:sz w:val="16"/>
                <w:szCs w:val="16"/>
                <w:color w:val="auto"/>
              </w:rPr>
              <w:t>Current commodity derivatives</w:t>
            </w:r>
          </w:p>
        </w:tc>
        <w:tc>
          <w:tcPr>
            <w:tcW w:w="36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Derivative liabilities, current</w:t>
            </w:r>
          </w:p>
        </w:tc>
        <w:tc>
          <w:tcPr>
            <w:tcW w:w="160" w:type="dxa"/>
            <w:vAlign w:val="bottom"/>
            <w:shd w:val="clear" w:color="auto" w:fill="CEFFE7"/>
          </w:tcPr>
          <w:p>
            <w:pPr>
              <w:spacing w:after="0"/>
              <w:rPr>
                <w:sz w:val="19"/>
                <w:szCs w:val="19"/>
                <w:color w:val="auto"/>
              </w:rPr>
            </w:pPr>
          </w:p>
        </w:tc>
        <w:tc>
          <w:tcPr>
            <w:tcW w:w="1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EFFE7"/>
          </w:tcPr>
          <w:p>
            <w:pPr>
              <w:spacing w:after="0"/>
              <w:rPr>
                <w:sz w:val="19"/>
                <w:szCs w:val="19"/>
                <w:color w:val="auto"/>
              </w:rPr>
            </w:pPr>
          </w:p>
        </w:tc>
        <w:tc>
          <w:tcPr>
            <w:tcW w:w="1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EFFE7"/>
            </w:tcBorders>
          </w:tcPr>
          <w:p>
            <w:pPr>
              <w:ind w:left="300"/>
              <w:spacing w:after="0"/>
              <w:rPr>
                <w:sz w:val="20"/>
                <w:szCs w:val="20"/>
                <w:color w:val="auto"/>
              </w:rPr>
            </w:pPr>
            <w:r>
              <w:rPr>
                <w:rFonts w:ascii="Times New Roman" w:cs="Times New Roman" w:eastAsia="Times New Roman" w:hAnsi="Times New Roman"/>
                <w:sz w:val="16"/>
                <w:szCs w:val="16"/>
                <w:color w:val="auto"/>
              </w:rPr>
              <w:t>Noncurrent commodity derivatives</w:t>
            </w:r>
          </w:p>
        </w:tc>
        <w:tc>
          <w:tcPr>
            <w:tcW w:w="36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6"/>
                <w:szCs w:val="16"/>
                <w:color w:val="auto"/>
              </w:rPr>
              <w:t>Other deferred credits and other liabilities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7"/>
        </w:trPr>
        <w:tc>
          <w:tcPr>
            <w:tcW w:w="38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hedges</w:t>
            </w:r>
          </w:p>
        </w:tc>
        <w:tc>
          <w:tcPr>
            <w:tcW w:w="362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36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7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7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hedges:</w:t>
            </w:r>
          </w:p>
        </w:tc>
        <w:tc>
          <w:tcPr>
            <w:tcW w:w="36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7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7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 derivative instruments: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300"/>
              <w:spacing w:after="0"/>
              <w:rPr>
                <w:sz w:val="20"/>
                <w:szCs w:val="20"/>
                <w:color w:val="auto"/>
              </w:rPr>
            </w:pPr>
            <w:r>
              <w:rPr>
                <w:rFonts w:ascii="Times New Roman" w:cs="Times New Roman" w:eastAsia="Times New Roman" w:hAnsi="Times New Roman"/>
                <w:sz w:val="16"/>
                <w:szCs w:val="16"/>
                <w:color w:val="auto"/>
              </w:rPr>
              <w:t>Current commodity derivatives</w:t>
            </w:r>
          </w:p>
        </w:tc>
        <w:tc>
          <w:tcPr>
            <w:tcW w:w="36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3"/>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Noncurrent commodity derivatives</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382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Liability derivative instruments:</w:t>
            </w:r>
          </w:p>
        </w:tc>
        <w:tc>
          <w:tcPr>
            <w:tcW w:w="36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7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Current commodity derivatives</w:t>
            </w: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 current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0" w:type="dxa"/>
            <w:vAlign w:val="bottom"/>
          </w:tcPr>
          <w:p>
            <w:pPr>
              <w:spacing w:after="0"/>
              <w:rPr>
                <w:sz w:val="1"/>
                <w:szCs w:val="1"/>
                <w:color w:val="auto"/>
              </w:rPr>
            </w:pPr>
          </w:p>
        </w:tc>
      </w:tr>
      <w:tr>
        <w:trPr>
          <w:trHeight w:val="216"/>
        </w:trPr>
        <w:tc>
          <w:tcPr>
            <w:tcW w:w="3820" w:type="dxa"/>
            <w:vAlign w:val="bottom"/>
            <w:shd w:val="clear" w:color="auto" w:fill="CEFFE7"/>
          </w:tcPr>
          <w:p>
            <w:pPr>
              <w:ind w:left="300"/>
              <w:spacing w:after="0"/>
              <w:rPr>
                <w:sz w:val="20"/>
                <w:szCs w:val="20"/>
                <w:color w:val="auto"/>
              </w:rPr>
            </w:pPr>
            <w:r>
              <w:rPr>
                <w:rFonts w:ascii="Times New Roman" w:cs="Times New Roman" w:eastAsia="Times New Roman" w:hAnsi="Times New Roman"/>
                <w:sz w:val="16"/>
                <w:szCs w:val="16"/>
                <w:color w:val="auto"/>
              </w:rPr>
              <w:t>Noncurrent commodity derivatives</w:t>
            </w:r>
          </w:p>
        </w:tc>
        <w:tc>
          <w:tcPr>
            <w:tcW w:w="36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Other deferred credits and other liabilities</w:t>
            </w:r>
          </w:p>
        </w:tc>
        <w:tc>
          <w:tcPr>
            <w:tcW w:w="160" w:type="dxa"/>
            <w:vAlign w:val="bottom"/>
            <w:tcBorders>
              <w:bottom w:val="single" w:sz="8" w:color="auto"/>
            </w:tcBorders>
            <w:shd w:val="clear" w:color="auto" w:fill="CEFFE7"/>
          </w:tcPr>
          <w:p>
            <w:pPr>
              <w:spacing w:after="0"/>
              <w:rPr>
                <w:sz w:val="18"/>
                <w:szCs w:val="18"/>
                <w:color w:val="auto"/>
              </w:rPr>
            </w:pPr>
          </w:p>
        </w:tc>
        <w:tc>
          <w:tcPr>
            <w:tcW w:w="1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1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2"/>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 not designated as hedges</w:t>
            </w:r>
          </w:p>
        </w:tc>
        <w:tc>
          <w:tcPr>
            <w:tcW w:w="36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Designated as Hedges</w:t>
      </w:r>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impacts of cash flow hedges on our Condensed Consolidated Statements of Comprehensive Income and Condensed Consolidated Statements of Income are presented below for the three and nine months ended September 30, 2020 and 2019.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color w:val="auto"/>
              </w:rPr>
              <w:t>Three Months Ended</w:t>
            </w:r>
          </w:p>
        </w:tc>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color w:val="auto"/>
                <w:w w:val="99"/>
              </w:rPr>
              <w:t>September 30,</w:t>
            </w:r>
          </w:p>
        </w:tc>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3"/>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Amount of (Gain)/Loss</w:t>
            </w:r>
          </w:p>
        </w:tc>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3"/>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Amount of Gain/(Loss)</w:t>
            </w:r>
          </w:p>
        </w:tc>
        <w:tc>
          <w:tcPr>
            <w:tcW w:w="0" w:type="dxa"/>
            <w:vAlign w:val="bottom"/>
          </w:tcPr>
          <w:p>
            <w:pPr>
              <w:spacing w:after="0"/>
              <w:rPr>
                <w:sz w:val="1"/>
                <w:szCs w:val="1"/>
                <w:color w:val="auto"/>
              </w:rPr>
            </w:pPr>
          </w:p>
        </w:tc>
      </w:tr>
      <w:tr>
        <w:trPr>
          <w:trHeight w:val="162"/>
        </w:trPr>
        <w:tc>
          <w:tcPr>
            <w:tcW w:w="420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Derivatives in Cash Flow Hedging Relationships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Income Statement Location</w:t>
            </w:r>
          </w:p>
        </w:tc>
        <w:tc>
          <w:tcPr>
            <w:tcW w:w="198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6"/>
                <w:szCs w:val="16"/>
                <w:color w:val="auto"/>
              </w:rPr>
              <w:t>Reclassified from AOCI into</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color w:val="auto"/>
              </w:rPr>
              <w:t>Recognized in OCI</w:t>
            </w:r>
          </w:p>
        </w:tc>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left="459"/>
              <w:spacing w:after="0"/>
              <w:rPr>
                <w:sz w:val="20"/>
                <w:szCs w:val="20"/>
                <w:color w:val="auto"/>
              </w:rPr>
            </w:pPr>
            <w:r>
              <w:rPr>
                <w:rFonts w:ascii="Times New Roman" w:cs="Times New Roman" w:eastAsia="Times New Roman" w:hAnsi="Times New Roman"/>
                <w:sz w:val="16"/>
                <w:szCs w:val="16"/>
                <w:color w:val="auto"/>
                <w:w w:val="99"/>
              </w:rPr>
              <w:t>Income</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EFFE7"/>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Borders>
              <w:bottom w:val="single" w:sz="8" w:color="CEFFE7"/>
            </w:tcBorders>
          </w:tcPr>
          <w:p>
            <w:pPr>
              <w:spacing w:after="0"/>
              <w:rPr>
                <w:sz w:val="18"/>
                <w:szCs w:val="18"/>
                <w:color w:val="auto"/>
              </w:rPr>
            </w:pPr>
          </w:p>
        </w:tc>
        <w:tc>
          <w:tcPr>
            <w:tcW w:w="308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color w:val="auto"/>
              </w:rPr>
              <w:t>(in thousands)</w:t>
            </w:r>
          </w:p>
        </w:tc>
        <w:tc>
          <w:tcPr>
            <w:tcW w:w="0" w:type="dxa"/>
            <w:vAlign w:val="bottom"/>
          </w:tcPr>
          <w:p>
            <w:pPr>
              <w:spacing w:after="0"/>
              <w:rPr>
                <w:sz w:val="1"/>
                <w:szCs w:val="1"/>
                <w:color w:val="auto"/>
              </w:rPr>
            </w:pPr>
          </w:p>
        </w:tc>
      </w:tr>
      <w:tr>
        <w:trPr>
          <w:trHeight w:val="212"/>
        </w:trPr>
        <w:tc>
          <w:tcPr>
            <w:tcW w:w="42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gridSpan w:val="2"/>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4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0" w:type="dxa"/>
            <w:vAlign w:val="bottom"/>
            <w:shd w:val="clear" w:color="auto" w:fill="CEFFE7"/>
          </w:tcPr>
          <w:p>
            <w:pPr>
              <w:spacing w:after="0"/>
              <w:rPr>
                <w:sz w:val="18"/>
                <w:szCs w:val="18"/>
                <w:color w:val="auto"/>
              </w:rPr>
            </w:pPr>
          </w:p>
        </w:tc>
        <w:tc>
          <w:tcPr>
            <w:tcW w:w="3080" w:type="dxa"/>
            <w:vAlign w:val="bottom"/>
            <w:shd w:val="clear" w:color="auto" w:fill="CEFFE7"/>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8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0" w:type="dxa"/>
            <w:vAlign w:val="bottom"/>
          </w:tcPr>
          <w:p>
            <w:pPr>
              <w:spacing w:after="0"/>
              <w:rPr>
                <w:sz w:val="1"/>
                <w:szCs w:val="1"/>
                <w:color w:val="auto"/>
              </w:rPr>
            </w:pPr>
          </w:p>
        </w:tc>
      </w:tr>
      <w:tr>
        <w:trPr>
          <w:trHeight w:val="162"/>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Fuel, purchased power and cost of natural gas</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4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(21) sold</w:t>
            </w: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Borders>
              <w:top w:val="single" w:sz="8" w:color="CEFFE7"/>
              <w:bottom w:val="single" w:sz="8" w:color="CEFFE7"/>
            </w:tcBorders>
            <w:shd w:val="clear" w:color="auto" w:fill="CEFFE7"/>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gridSpan w:val="2"/>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24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0" w:type="dxa"/>
            <w:vAlign w:val="bottom"/>
            <w:tcBorders>
              <w:top w:val="single" w:sz="8" w:color="CEFFE7"/>
              <w:bottom w:val="single" w:sz="8" w:color="CEFFE7"/>
            </w:tcBorders>
            <w:shd w:val="clear" w:color="auto" w:fill="CEFFE7"/>
          </w:tcPr>
          <w:p>
            <w:pPr>
              <w:spacing w:after="0"/>
              <w:rPr>
                <w:sz w:val="20"/>
                <w:szCs w:val="20"/>
                <w:color w:val="auto"/>
              </w:rPr>
            </w:pPr>
          </w:p>
        </w:tc>
        <w:tc>
          <w:tcPr>
            <w:tcW w:w="3080" w:type="dxa"/>
            <w:vAlign w:val="bottom"/>
            <w:tcBorders>
              <w:top w:val="single" w:sz="8" w:color="CEFFE7"/>
              <w:bottom w:val="single" w:sz="8" w:color="CEFFE7"/>
            </w:tcBorders>
            <w:shd w:val="clear" w:color="auto" w:fill="CEFFE7"/>
          </w:tcPr>
          <w:p>
            <w:pPr>
              <w:spacing w:after="0"/>
              <w:rPr>
                <w:sz w:val="20"/>
                <w:szCs w:val="20"/>
                <w:color w:val="auto"/>
              </w:rPr>
            </w:pPr>
          </w:p>
        </w:tc>
        <w:tc>
          <w:tcPr>
            <w:tcW w:w="1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8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0"/>
        </w:trPr>
        <w:tc>
          <w:tcPr>
            <w:tcW w:w="420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gridSpan w:val="3"/>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308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color w:val="auto"/>
              </w:rPr>
              <w:t>Nine Months Ended</w:t>
            </w: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color w:val="auto"/>
              </w:rPr>
              <w:t>September 30,</w:t>
            </w:r>
          </w:p>
        </w:tc>
        <w:tc>
          <w:tcPr>
            <w:tcW w:w="20" w:type="dxa"/>
            <w:vAlign w:val="bottom"/>
            <w:tcBorders>
              <w:bottom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tcBorders>
              <w:bottom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3"/>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Amount of (Gain)/Loss</w:t>
            </w:r>
          </w:p>
        </w:tc>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3"/>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Amount of Gain/(Loss)</w:t>
            </w:r>
          </w:p>
        </w:tc>
        <w:tc>
          <w:tcPr>
            <w:tcW w:w="0" w:type="dxa"/>
            <w:vAlign w:val="bottom"/>
          </w:tcPr>
          <w:p>
            <w:pPr>
              <w:spacing w:after="0"/>
              <w:rPr>
                <w:sz w:val="1"/>
                <w:szCs w:val="1"/>
                <w:color w:val="auto"/>
              </w:rPr>
            </w:pPr>
          </w:p>
        </w:tc>
      </w:tr>
      <w:tr>
        <w:trPr>
          <w:trHeight w:val="162"/>
        </w:trPr>
        <w:tc>
          <w:tcPr>
            <w:tcW w:w="420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Derivatives in Cash Flow Hedging Relationships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Income Statement Location</w:t>
            </w:r>
          </w:p>
        </w:tc>
        <w:tc>
          <w:tcPr>
            <w:tcW w:w="198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6"/>
                <w:szCs w:val="16"/>
                <w:color w:val="auto"/>
              </w:rPr>
              <w:t>Reclassified from AOCI into</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6"/>
                <w:szCs w:val="16"/>
                <w:color w:val="auto"/>
              </w:rPr>
              <w:t>Recognized in OCI</w:t>
            </w:r>
          </w:p>
        </w:tc>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left="459"/>
              <w:spacing w:after="0"/>
              <w:rPr>
                <w:sz w:val="20"/>
                <w:szCs w:val="20"/>
                <w:color w:val="auto"/>
              </w:rPr>
            </w:pPr>
            <w:r>
              <w:rPr>
                <w:rFonts w:ascii="Times New Roman" w:cs="Times New Roman" w:eastAsia="Times New Roman" w:hAnsi="Times New Roman"/>
                <w:sz w:val="16"/>
                <w:szCs w:val="16"/>
                <w:color w:val="auto"/>
                <w:w w:val="99"/>
              </w:rPr>
              <w:t>Income</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EFFE7"/>
            </w:tcBorders>
          </w:tcPr>
          <w:p>
            <w:pPr>
              <w:spacing w:after="0"/>
              <w:rPr>
                <w:sz w:val="18"/>
                <w:szCs w:val="18"/>
                <w:color w:val="auto"/>
              </w:rPr>
            </w:pPr>
          </w:p>
        </w:tc>
        <w:tc>
          <w:tcPr>
            <w:tcW w:w="2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color w:val="auto"/>
              </w:rPr>
              <w:t>(in thousands)</w:t>
            </w:r>
          </w:p>
        </w:tc>
        <w:tc>
          <w:tcPr>
            <w:tcW w:w="0" w:type="dxa"/>
            <w:vAlign w:val="bottom"/>
          </w:tcPr>
          <w:p>
            <w:pPr>
              <w:spacing w:after="0"/>
              <w:rPr>
                <w:sz w:val="1"/>
                <w:szCs w:val="1"/>
                <w:color w:val="auto"/>
              </w:rPr>
            </w:pPr>
          </w:p>
        </w:tc>
      </w:tr>
      <w:tr>
        <w:trPr>
          <w:trHeight w:val="212"/>
        </w:trPr>
        <w:tc>
          <w:tcPr>
            <w:tcW w:w="42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24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20" w:type="dxa"/>
            <w:vAlign w:val="bottom"/>
            <w:shd w:val="clear" w:color="auto" w:fill="CEFFE7"/>
          </w:tcPr>
          <w:p>
            <w:pPr>
              <w:spacing w:after="0"/>
              <w:rPr>
                <w:sz w:val="18"/>
                <w:szCs w:val="18"/>
                <w:color w:val="auto"/>
              </w:rPr>
            </w:pPr>
          </w:p>
        </w:tc>
        <w:tc>
          <w:tcPr>
            <w:tcW w:w="30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28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162"/>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Fuel, purchased power and cost of natural gas</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3"/>
        </w:trPr>
        <w:tc>
          <w:tcPr>
            <w:tcW w:w="4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(942) sold</w:t>
            </w: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Borders>
              <w:top w:val="single" w:sz="8" w:color="CEFFE7"/>
              <w:bottom w:val="single" w:sz="8" w:color="CEFFE7"/>
            </w:tcBorders>
            <w:shd w:val="clear" w:color="auto" w:fill="CEFFE7"/>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top w:val="single" w:sz="8" w:color="CEFFE7"/>
              <w:bottom w:val="single" w:sz="8" w:color="CEFFE7"/>
            </w:tcBorders>
            <w:shd w:val="clear" w:color="auto" w:fill="CEFFE7"/>
          </w:tcPr>
          <w:p>
            <w:pPr>
              <w:spacing w:after="0"/>
              <w:rPr>
                <w:sz w:val="20"/>
                <w:szCs w:val="20"/>
                <w:color w:val="auto"/>
              </w:rPr>
            </w:pPr>
          </w:p>
        </w:tc>
        <w:tc>
          <w:tcPr>
            <w:tcW w:w="1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24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20" w:type="dxa"/>
            <w:vAlign w:val="bottom"/>
            <w:tcBorders>
              <w:top w:val="single" w:sz="8" w:color="auto"/>
              <w:bottom w:val="single" w:sz="8" w:color="auto"/>
            </w:tcBorders>
            <w:shd w:val="clear" w:color="auto" w:fill="CEFFE7"/>
          </w:tcPr>
          <w:p>
            <w:pPr>
              <w:spacing w:after="0"/>
              <w:rPr>
                <w:sz w:val="20"/>
                <w:szCs w:val="20"/>
                <w:color w:val="auto"/>
              </w:rPr>
            </w:pPr>
          </w:p>
        </w:tc>
        <w:tc>
          <w:tcPr>
            <w:tcW w:w="3080" w:type="dxa"/>
            <w:vAlign w:val="bottom"/>
            <w:tcBorders>
              <w:top w:val="single" w:sz="8" w:color="CEFFE7"/>
              <w:bottom w:val="single" w:sz="8" w:color="CEFFE7"/>
            </w:tcBorders>
            <w:shd w:val="clear" w:color="auto" w:fill="CEFFE7"/>
          </w:tcPr>
          <w:p>
            <w:pPr>
              <w:spacing w:after="0"/>
              <w:rPr>
                <w:sz w:val="20"/>
                <w:szCs w:val="20"/>
                <w:color w:val="auto"/>
              </w:rPr>
            </w:pPr>
          </w:p>
        </w:tc>
        <w:tc>
          <w:tcPr>
            <w:tcW w:w="1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28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0" w:type="dxa"/>
            <w:vAlign w:val="bottom"/>
          </w:tcPr>
          <w:p>
            <w:pPr>
              <w:spacing w:after="0"/>
              <w:rPr>
                <w:sz w:val="1"/>
                <w:szCs w:val="1"/>
                <w:color w:val="auto"/>
              </w:rPr>
            </w:pPr>
          </w:p>
        </w:tc>
      </w:tr>
      <w:tr>
        <w:trPr>
          <w:trHeight w:val="20"/>
        </w:trPr>
        <w:tc>
          <w:tcPr>
            <w:tcW w:w="420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308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Based on September 30, 2020 prices, a $0.1 million gain would be realized, reported in pre-tax earnings and reclassified from AOCI during the next 12 months. As market prices fluctuate, estimated and actual realized gains or losses will change during future periods.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Not Designated as Hedges</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impacts of derivative instruments not designated as hedge instruments on our Condensed Consolidated Statements of Income for the three and nine months ended September 30, 2020 and 2019.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3"/>
          </w:tcPr>
          <w:p>
            <w:pPr>
              <w:jc w:val="center"/>
              <w:ind w:right="17"/>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2020</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61"/>
        </w:trPr>
        <w:tc>
          <w:tcPr>
            <w:tcW w:w="3120" w:type="dxa"/>
            <w:vAlign w:val="bottom"/>
          </w:tcPr>
          <w:p>
            <w:pPr>
              <w:jc w:val="center"/>
              <w:ind w:left="79"/>
              <w:spacing w:after="0" w:line="161"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58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Income Statement Location</w:t>
            </w:r>
          </w:p>
        </w:tc>
        <w:tc>
          <w:tcPr>
            <w:tcW w:w="100" w:type="dxa"/>
            <w:vAlign w:val="bottom"/>
          </w:tcPr>
          <w:p>
            <w:pPr>
              <w:spacing w:after="0"/>
              <w:rPr>
                <w:sz w:val="14"/>
                <w:szCs w:val="14"/>
                <w:color w:val="auto"/>
              </w:rPr>
            </w:pPr>
          </w:p>
        </w:tc>
        <w:tc>
          <w:tcPr>
            <w:tcW w:w="3400" w:type="dxa"/>
            <w:vAlign w:val="bottom"/>
            <w:gridSpan w:val="3"/>
          </w:tcPr>
          <w:p>
            <w:pPr>
              <w:jc w:val="center"/>
              <w:ind w:right="17"/>
              <w:spacing w:after="0" w:line="161" w:lineRule="exact"/>
              <w:rPr>
                <w:sz w:val="20"/>
                <w:szCs w:val="20"/>
                <w:color w:val="auto"/>
              </w:rPr>
            </w:pPr>
            <w:r>
              <w:rPr>
                <w:rFonts w:ascii="Times New Roman" w:cs="Times New Roman" w:eastAsia="Times New Roman" w:hAnsi="Times New Roman"/>
                <w:sz w:val="16"/>
                <w:szCs w:val="16"/>
                <w:color w:val="auto"/>
              </w:rPr>
              <w:t>Amount of Gain/(Loss) on Derivatives Recognized</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Instruments</w:t>
            </w:r>
          </w:p>
        </w:tc>
        <w:tc>
          <w:tcPr>
            <w:tcW w:w="4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center"/>
              <w:ind w:left="979"/>
              <w:spacing w:after="0"/>
              <w:rPr>
                <w:sz w:val="20"/>
                <w:szCs w:val="20"/>
                <w:color w:val="auto"/>
              </w:rPr>
            </w:pPr>
            <w:r>
              <w:rPr>
                <w:rFonts w:ascii="Times New Roman" w:cs="Times New Roman" w:eastAsia="Times New Roman" w:hAnsi="Times New Roman"/>
                <w:sz w:val="16"/>
                <w:szCs w:val="16"/>
                <w:color w:val="auto"/>
              </w:rPr>
              <w:t>in Income</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Commodity derivatives - Electric</w:t>
            </w:r>
          </w:p>
        </w:tc>
        <w:tc>
          <w:tcPr>
            <w:tcW w:w="458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Fuel, purchased power and cost of natural gas sold</w:t>
            </w:r>
          </w:p>
        </w:tc>
        <w:tc>
          <w:tcPr>
            <w:tcW w:w="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6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 - Electric</w:t>
            </w:r>
          </w:p>
        </w:tc>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Commodity derivatives - Natural Gas</w:t>
            </w:r>
          </w:p>
        </w:tc>
        <w:tc>
          <w:tcPr>
            <w:tcW w:w="458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Fuel, purchased power and cost of natural gas sold</w:t>
            </w:r>
          </w:p>
        </w:tc>
        <w:tc>
          <w:tcPr>
            <w:tcW w:w="100" w:type="dxa"/>
            <w:vAlign w:val="bottom"/>
            <w:tcBorders>
              <w:bottom w:val="single" w:sz="8" w:color="auto"/>
            </w:tcBorders>
            <w:shd w:val="clear" w:color="auto" w:fill="CEFFE7"/>
          </w:tcPr>
          <w:p>
            <w:pPr>
              <w:spacing w:after="0"/>
              <w:rPr>
                <w:sz w:val="18"/>
                <w:szCs w:val="18"/>
                <w:color w:val="auto"/>
              </w:rPr>
            </w:pPr>
          </w:p>
        </w:tc>
        <w:tc>
          <w:tcPr>
            <w:tcW w:w="1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60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649"/>
        </w:trPr>
        <w:tc>
          <w:tcPr>
            <w:tcW w:w="3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2020</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62"/>
        </w:trPr>
        <w:tc>
          <w:tcPr>
            <w:tcW w:w="3120" w:type="dxa"/>
            <w:vAlign w:val="bottom"/>
          </w:tcPr>
          <w:p>
            <w:pPr>
              <w:jc w:val="center"/>
              <w:ind w:left="79"/>
              <w:spacing w:after="0" w:line="161"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58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Income Statement Location</w:t>
            </w:r>
          </w:p>
        </w:tc>
        <w:tc>
          <w:tcPr>
            <w:tcW w:w="100" w:type="dxa"/>
            <w:vAlign w:val="bottom"/>
          </w:tcPr>
          <w:p>
            <w:pPr>
              <w:spacing w:after="0"/>
              <w:rPr>
                <w:sz w:val="14"/>
                <w:szCs w:val="14"/>
                <w:color w:val="auto"/>
              </w:rPr>
            </w:pPr>
          </w:p>
        </w:tc>
        <w:tc>
          <w:tcPr>
            <w:tcW w:w="3400" w:type="dxa"/>
            <w:vAlign w:val="bottom"/>
            <w:gridSpan w:val="3"/>
          </w:tcPr>
          <w:p>
            <w:pPr>
              <w:jc w:val="center"/>
              <w:ind w:right="17"/>
              <w:spacing w:after="0" w:line="161" w:lineRule="exact"/>
              <w:rPr>
                <w:sz w:val="20"/>
                <w:szCs w:val="20"/>
                <w:color w:val="auto"/>
              </w:rPr>
            </w:pPr>
            <w:r>
              <w:rPr>
                <w:rFonts w:ascii="Times New Roman" w:cs="Times New Roman" w:eastAsia="Times New Roman" w:hAnsi="Times New Roman"/>
                <w:sz w:val="16"/>
                <w:szCs w:val="16"/>
                <w:color w:val="auto"/>
              </w:rPr>
              <w:t>Amount of Gain/(Loss) on Derivatives Recognized</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Instruments</w:t>
            </w:r>
          </w:p>
        </w:tc>
        <w:tc>
          <w:tcPr>
            <w:tcW w:w="4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center"/>
              <w:ind w:left="979"/>
              <w:spacing w:after="0"/>
              <w:rPr>
                <w:sz w:val="20"/>
                <w:szCs w:val="20"/>
                <w:color w:val="auto"/>
              </w:rPr>
            </w:pPr>
            <w:r>
              <w:rPr>
                <w:rFonts w:ascii="Times New Roman" w:cs="Times New Roman" w:eastAsia="Times New Roman" w:hAnsi="Times New Roman"/>
                <w:sz w:val="16"/>
                <w:szCs w:val="16"/>
                <w:color w:val="auto"/>
              </w:rPr>
              <w:t>in Income</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left="999"/>
              <w:spacing w:after="0"/>
              <w:rPr>
                <w:sz w:val="20"/>
                <w:szCs w:val="20"/>
                <w:color w:val="auto"/>
              </w:rPr>
            </w:pPr>
            <w:r>
              <w:rPr>
                <w:rFonts w:ascii="Times New Roman" w:cs="Times New Roman" w:eastAsia="Times New Roman" w:hAnsi="Times New Roman"/>
                <w:sz w:val="16"/>
                <w:szCs w:val="16"/>
                <w:color w:val="auto"/>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Commodity derivatives - Electric</w:t>
            </w:r>
          </w:p>
        </w:tc>
        <w:tc>
          <w:tcPr>
            <w:tcW w:w="458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Fuel, purchased power and cost of natural gas sold</w:t>
            </w:r>
          </w:p>
        </w:tc>
        <w:tc>
          <w:tcPr>
            <w:tcW w:w="1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6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 - Electric</w:t>
            </w:r>
          </w:p>
        </w:tc>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Commodity derivatives - Natural Gas</w:t>
            </w:r>
          </w:p>
        </w:tc>
        <w:tc>
          <w:tcPr>
            <w:tcW w:w="458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Fuel, purchased power and cost of natural gas sold</w:t>
            </w:r>
          </w:p>
        </w:tc>
        <w:tc>
          <w:tcPr>
            <w:tcW w:w="100" w:type="dxa"/>
            <w:vAlign w:val="bottom"/>
            <w:tcBorders>
              <w:bottom w:val="single" w:sz="8" w:color="auto"/>
            </w:tcBorders>
            <w:shd w:val="clear" w:color="auto" w:fill="CEFFE7"/>
          </w:tcPr>
          <w:p>
            <w:pPr>
              <w:spacing w:after="0"/>
              <w:rPr>
                <w:sz w:val="18"/>
                <w:szCs w:val="18"/>
                <w:color w:val="auto"/>
              </w:rPr>
            </w:pPr>
          </w:p>
        </w:tc>
        <w:tc>
          <w:tcPr>
            <w:tcW w:w="16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60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discussed above, financial instruments used in our regulated utilities are not designated as cash flow hedges. There is no earnings impact for our Gas Utilities because the unrealized gains and losses arising from the use of these financial instruments are recorded as Regulatory assets or Regulatory liabilities. The net unrealized losses included in our Regulatory asset or Regulatory liability accounts related to these derivatives in our Gas Utilities were $0.5 million and $3.3 million as of September 30, 2020 and December 31, 2019, respectively. For our Electric Utilities, the unrealized gains and losses arising from these derivatives are recognized in the Condensed Consolidated Statements of Income.</w:t>
      </w:r>
    </w:p>
    <w:p>
      <w:pPr>
        <w:spacing w:after="0" w:line="200" w:lineRule="exact"/>
        <w:rPr>
          <w:sz w:val="20"/>
          <w:szCs w:val="20"/>
          <w:color w:val="auto"/>
        </w:rPr>
      </w:pPr>
    </w:p>
    <w:p>
      <w:pPr>
        <w:spacing w:after="0" w:line="24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Unadjusted quoted prices available in active markets that are accessible at the measurement date for identical unrestricted assets or liabilities. Level 1 instruments primarily consist of highly liquid and actively traded financial instruments with quoted pricing information on an ongoing basis;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and</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9" w:name="page30"/>
    <w:bookmarkEnd w:id="29"/>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20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Recurring Fair Value Measurements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 For additional information, see Note 1 to the Consolidated Financial Statements included in our 2019 Annual Report on Form 10-K filed with the SEC.</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As of September 30, 2020</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Cash Collateral 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520" w:type="dxa"/>
            <w:vAlign w:val="bottom"/>
          </w:tcPr>
          <w:p>
            <w:pPr>
              <w:spacing w:after="0"/>
              <w:rPr>
                <w:sz w:val="15"/>
                <w:szCs w:val="15"/>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15"/>
                <w:szCs w:val="15"/>
                <w:color w:val="auto"/>
              </w:rPr>
            </w:pPr>
          </w:p>
        </w:tc>
        <w:tc>
          <w:tcPr>
            <w:tcW w:w="1560" w:type="dxa"/>
            <w:vAlign w:val="bottom"/>
            <w:gridSpan w:val="3"/>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Counterparty</w:t>
            </w:r>
          </w:p>
        </w:tc>
        <w:tc>
          <w:tcPr>
            <w:tcW w:w="340" w:type="dxa"/>
            <w:vAlign w:val="bottom"/>
          </w:tcPr>
          <w:p>
            <w:pPr>
              <w:spacing w:after="0"/>
              <w:rPr>
                <w:sz w:val="15"/>
                <w:szCs w:val="15"/>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Netting</w:t>
            </w:r>
          </w:p>
        </w:tc>
        <w:tc>
          <w:tcPr>
            <w:tcW w:w="3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(in thousands)</w:t>
            </w: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16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derivatives — Gas Utilities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Commodity derivatives — Electric Utilities</w:t>
            </w:r>
          </w:p>
        </w:tc>
        <w:tc>
          <w:tcPr>
            <w:tcW w:w="960" w:type="dxa"/>
            <w:vAlign w:val="bottom"/>
            <w:tcBorders>
              <w:bottom w:val="single" w:sz="8" w:color="auto"/>
            </w:tcBorders>
            <w:shd w:val="clear" w:color="auto" w:fill="CEFFE7"/>
          </w:tcPr>
          <w:p>
            <w:pPr>
              <w:spacing w:after="0"/>
              <w:rPr>
                <w:sz w:val="19"/>
                <w:szCs w:val="19"/>
                <w:color w:val="auto"/>
              </w:rPr>
            </w:pPr>
          </w:p>
        </w:tc>
        <w:tc>
          <w:tcPr>
            <w:tcW w:w="520" w:type="dxa"/>
            <w:vAlign w:val="bottom"/>
            <w:tcBorders>
              <w:bottom w:val="single" w:sz="8" w:color="auto"/>
            </w:tcBorders>
            <w:shd w:val="clear" w:color="auto" w:fill="CEFFE7"/>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40" w:type="dxa"/>
            <w:vAlign w:val="bottom"/>
            <w:tcBorders>
              <w:bottom w:val="single" w:sz="8" w:color="auto"/>
            </w:tcBorders>
            <w:shd w:val="clear" w:color="auto" w:fill="CEFFE7"/>
          </w:tcPr>
          <w:p>
            <w:pPr>
              <w:spacing w:after="0"/>
              <w:rPr>
                <w:sz w:val="19"/>
                <w:szCs w:val="19"/>
                <w:color w:val="auto"/>
              </w:rPr>
            </w:pPr>
          </w:p>
        </w:tc>
        <w:tc>
          <w:tcPr>
            <w:tcW w:w="20" w:type="dxa"/>
            <w:vAlign w:val="bottom"/>
            <w:tcBorders>
              <w:bottom w:val="single" w:sz="8" w:color="auto"/>
            </w:tcBorders>
            <w:shd w:val="clear" w:color="auto" w:fill="CEFFE7"/>
          </w:tcPr>
          <w:p>
            <w:pPr>
              <w:spacing w:after="0"/>
              <w:rPr>
                <w:sz w:val="19"/>
                <w:szCs w:val="19"/>
                <w:color w:val="auto"/>
              </w:rPr>
            </w:pPr>
          </w:p>
        </w:tc>
        <w:tc>
          <w:tcPr>
            <w:tcW w:w="1200" w:type="dxa"/>
            <w:vAlign w:val="bottom"/>
            <w:tcBorders>
              <w:bottom w:val="single" w:sz="8" w:color="auto"/>
            </w:tcBorders>
            <w:shd w:val="clear" w:color="auto" w:fill="CEFFE7"/>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EFFE7"/>
          </w:tcPr>
          <w:p>
            <w:pPr>
              <w:spacing w:after="0"/>
              <w:rPr>
                <w:sz w:val="19"/>
                <w:szCs w:val="19"/>
                <w:color w:val="auto"/>
              </w:rPr>
            </w:pPr>
          </w:p>
        </w:tc>
        <w:tc>
          <w:tcPr>
            <w:tcW w:w="360" w:type="dxa"/>
            <w:vAlign w:val="bottom"/>
            <w:tcBorders>
              <w:bottom w:val="single" w:sz="8" w:color="auto"/>
            </w:tcBorders>
            <w:shd w:val="clear" w:color="auto" w:fill="CEFFE7"/>
          </w:tcPr>
          <w:p>
            <w:pPr>
              <w:spacing w:after="0"/>
              <w:rPr>
                <w:sz w:val="19"/>
                <w:szCs w:val="19"/>
                <w:color w:val="auto"/>
              </w:rPr>
            </w:pPr>
          </w:p>
        </w:tc>
        <w:tc>
          <w:tcPr>
            <w:tcW w:w="20" w:type="dxa"/>
            <w:vAlign w:val="bottom"/>
            <w:tcBorders>
              <w:bottom w:val="single" w:sz="8" w:color="auto"/>
            </w:tcBorders>
            <w:shd w:val="clear" w:color="auto" w:fill="CEFFE7"/>
          </w:tcPr>
          <w:p>
            <w:pPr>
              <w:spacing w:after="0"/>
              <w:rPr>
                <w:sz w:val="19"/>
                <w:szCs w:val="19"/>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EFFE7"/>
          </w:tcPr>
          <w:p>
            <w:pPr>
              <w:spacing w:after="0"/>
              <w:rPr>
                <w:sz w:val="19"/>
                <w:szCs w:val="19"/>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CEFFE7"/>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3920" w:type="dxa"/>
            <w:vAlign w:val="bottom"/>
            <w:shd w:val="clear" w:color="auto" w:fill="CEFFE7"/>
          </w:tcPr>
          <w:p>
            <w:pPr>
              <w:spacing w:after="0"/>
              <w:rPr>
                <w:sz w:val="6"/>
                <w:szCs w:val="6"/>
                <w:color w:val="auto"/>
              </w:rPr>
            </w:pPr>
          </w:p>
        </w:tc>
        <w:tc>
          <w:tcPr>
            <w:tcW w:w="960" w:type="dxa"/>
            <w:vAlign w:val="bottom"/>
            <w:shd w:val="clear" w:color="auto" w:fill="CEFFE7"/>
          </w:tcPr>
          <w:p>
            <w:pPr>
              <w:spacing w:after="0"/>
              <w:rPr>
                <w:sz w:val="6"/>
                <w:szCs w:val="6"/>
                <w:color w:val="auto"/>
              </w:rPr>
            </w:pPr>
          </w:p>
        </w:tc>
        <w:tc>
          <w:tcPr>
            <w:tcW w:w="520" w:type="dxa"/>
            <w:vAlign w:val="bottom"/>
            <w:shd w:val="clear" w:color="auto" w:fill="CEFFE7"/>
          </w:tcPr>
          <w:p>
            <w:pPr>
              <w:spacing w:after="0"/>
              <w:rPr>
                <w:sz w:val="6"/>
                <w:szCs w:val="6"/>
                <w:color w:val="auto"/>
              </w:rPr>
            </w:pPr>
          </w:p>
        </w:tc>
        <w:tc>
          <w:tcPr>
            <w:tcW w:w="1020" w:type="dxa"/>
            <w:vAlign w:val="bottom"/>
            <w:shd w:val="clear" w:color="auto" w:fill="CEFFE7"/>
          </w:tcPr>
          <w:p>
            <w:pPr>
              <w:spacing w:after="0"/>
              <w:rPr>
                <w:sz w:val="6"/>
                <w:szCs w:val="6"/>
                <w:color w:val="auto"/>
              </w:rPr>
            </w:pPr>
          </w:p>
        </w:tc>
        <w:tc>
          <w:tcPr>
            <w:tcW w:w="160" w:type="dxa"/>
            <w:vAlign w:val="bottom"/>
            <w:shd w:val="clear" w:color="auto" w:fill="CEFFE7"/>
          </w:tcPr>
          <w:p>
            <w:pPr>
              <w:spacing w:after="0"/>
              <w:rPr>
                <w:sz w:val="6"/>
                <w:szCs w:val="6"/>
                <w:color w:val="auto"/>
              </w:rPr>
            </w:pPr>
          </w:p>
        </w:tc>
        <w:tc>
          <w:tcPr>
            <w:tcW w:w="40" w:type="dxa"/>
            <w:vAlign w:val="bottom"/>
            <w:shd w:val="clear" w:color="auto" w:fill="CEFFE7"/>
          </w:tcPr>
          <w:p>
            <w:pPr>
              <w:spacing w:after="0"/>
              <w:rPr>
                <w:sz w:val="6"/>
                <w:szCs w:val="6"/>
                <w:color w:val="auto"/>
              </w:rPr>
            </w:pPr>
          </w:p>
        </w:tc>
        <w:tc>
          <w:tcPr>
            <w:tcW w:w="20" w:type="dxa"/>
            <w:vAlign w:val="bottom"/>
            <w:shd w:val="clear" w:color="auto" w:fill="CEFFE7"/>
          </w:tcPr>
          <w:p>
            <w:pPr>
              <w:spacing w:after="0"/>
              <w:rPr>
                <w:sz w:val="6"/>
                <w:szCs w:val="6"/>
                <w:color w:val="auto"/>
              </w:rPr>
            </w:pPr>
          </w:p>
        </w:tc>
        <w:tc>
          <w:tcPr>
            <w:tcW w:w="1200" w:type="dxa"/>
            <w:vAlign w:val="bottom"/>
            <w:shd w:val="clear" w:color="auto" w:fill="CEFFE7"/>
          </w:tcPr>
          <w:p>
            <w:pPr>
              <w:spacing w:after="0"/>
              <w:rPr>
                <w:sz w:val="6"/>
                <w:szCs w:val="6"/>
                <w:color w:val="auto"/>
              </w:rPr>
            </w:pPr>
          </w:p>
        </w:tc>
        <w:tc>
          <w:tcPr>
            <w:tcW w:w="300" w:type="dxa"/>
            <w:vAlign w:val="bottom"/>
            <w:shd w:val="clear" w:color="auto" w:fill="CEFFE7"/>
          </w:tcPr>
          <w:p>
            <w:pPr>
              <w:spacing w:after="0"/>
              <w:rPr>
                <w:sz w:val="6"/>
                <w:szCs w:val="6"/>
                <w:color w:val="auto"/>
              </w:rPr>
            </w:pPr>
          </w:p>
        </w:tc>
        <w:tc>
          <w:tcPr>
            <w:tcW w:w="360" w:type="dxa"/>
            <w:vAlign w:val="bottom"/>
            <w:shd w:val="clear" w:color="auto" w:fill="CEFFE7"/>
          </w:tcPr>
          <w:p>
            <w:pPr>
              <w:spacing w:after="0"/>
              <w:rPr>
                <w:sz w:val="6"/>
                <w:szCs w:val="6"/>
                <w:color w:val="auto"/>
              </w:rPr>
            </w:pPr>
          </w:p>
        </w:tc>
        <w:tc>
          <w:tcPr>
            <w:tcW w:w="20" w:type="dxa"/>
            <w:vAlign w:val="bottom"/>
            <w:shd w:val="clear" w:color="auto" w:fill="CEFFE7"/>
          </w:tcPr>
          <w:p>
            <w:pPr>
              <w:spacing w:after="0"/>
              <w:rPr>
                <w:sz w:val="6"/>
                <w:szCs w:val="6"/>
                <w:color w:val="auto"/>
              </w:rPr>
            </w:pPr>
          </w:p>
        </w:tc>
        <w:tc>
          <w:tcPr>
            <w:tcW w:w="1180" w:type="dxa"/>
            <w:vAlign w:val="bottom"/>
            <w:shd w:val="clear" w:color="auto" w:fill="CEFFE7"/>
          </w:tcPr>
          <w:p>
            <w:pPr>
              <w:spacing w:after="0"/>
              <w:rPr>
                <w:sz w:val="6"/>
                <w:szCs w:val="6"/>
                <w:color w:val="auto"/>
              </w:rPr>
            </w:pPr>
          </w:p>
        </w:tc>
        <w:tc>
          <w:tcPr>
            <w:tcW w:w="340" w:type="dxa"/>
            <w:vAlign w:val="bottom"/>
            <w:shd w:val="clear" w:color="auto" w:fill="CEFFE7"/>
          </w:tcPr>
          <w:p>
            <w:pPr>
              <w:spacing w:after="0"/>
              <w:rPr>
                <w:sz w:val="6"/>
                <w:szCs w:val="6"/>
                <w:color w:val="auto"/>
              </w:rPr>
            </w:pPr>
          </w:p>
        </w:tc>
        <w:tc>
          <w:tcPr>
            <w:tcW w:w="1160" w:type="dxa"/>
            <w:vAlign w:val="bottom"/>
            <w:shd w:val="clear" w:color="auto" w:fill="CEFFE7"/>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Commodity derivatives — Gas Utilities</w:t>
            </w:r>
          </w:p>
        </w:tc>
        <w:tc>
          <w:tcPr>
            <w:tcW w:w="960" w:type="dxa"/>
            <w:vAlign w:val="bottom"/>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EFFE7"/>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200" w:type="dxa"/>
            <w:vAlign w:val="bottom"/>
            <w:shd w:val="clear" w:color="auto" w:fill="CEFFE7"/>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shd w:val="clear" w:color="auto" w:fill="CEFFE7"/>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EFFE7"/>
            </w:tcBorders>
          </w:tcPr>
          <w:p>
            <w:pPr>
              <w:ind w:left="120"/>
              <w:spacing w:after="0"/>
              <w:rPr>
                <w:sz w:val="20"/>
                <w:szCs w:val="20"/>
                <w:color w:val="auto"/>
              </w:rPr>
            </w:pPr>
            <w:r>
              <w:rPr>
                <w:rFonts w:ascii="Times New Roman" w:cs="Times New Roman" w:eastAsia="Times New Roman" w:hAnsi="Times New Roman"/>
                <w:sz w:val="18"/>
                <w:szCs w:val="18"/>
                <w:color w:val="auto"/>
              </w:rPr>
              <w:t>Commodity derivatives — Electric Utilities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EFFE7"/>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1"/>
                <w:szCs w:val="21"/>
                <w:color w:val="auto"/>
              </w:rPr>
            </w:pPr>
          </w:p>
        </w:tc>
        <w:tc>
          <w:tcPr>
            <w:tcW w:w="20" w:type="dxa"/>
            <w:vAlign w:val="bottom"/>
            <w:tcBorders>
              <w:bottom w:val="single" w:sz="8" w:color="auto"/>
            </w:tcBorders>
            <w:shd w:val="clear" w:color="auto" w:fill="CEFFE7"/>
          </w:tcPr>
          <w:p>
            <w:pPr>
              <w:spacing w:after="0"/>
              <w:rPr>
                <w:sz w:val="21"/>
                <w:szCs w:val="21"/>
                <w:color w:val="auto"/>
              </w:rPr>
            </w:pPr>
          </w:p>
        </w:tc>
        <w:tc>
          <w:tcPr>
            <w:tcW w:w="1200" w:type="dxa"/>
            <w:vAlign w:val="bottom"/>
            <w:tcBorders>
              <w:bottom w:val="single" w:sz="8" w:color="auto"/>
            </w:tcBorders>
            <w:shd w:val="clear" w:color="auto" w:fill="CEFFE7"/>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tcBorders>
              <w:bottom w:val="single" w:sz="8" w:color="auto"/>
            </w:tcBorders>
            <w:shd w:val="clear" w:color="auto" w:fill="CEFFE7"/>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1860" w:type="dxa"/>
            <w:vAlign w:val="bottom"/>
            <w:tcBorders>
              <w:top w:val="single" w:sz="8" w:color="CEFFE7"/>
              <w:bottom w:val="single" w:sz="8" w:color="auto"/>
            </w:tcBorders>
            <w:gridSpan w:val="3"/>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As of December 31, 2019</w:t>
            </w:r>
          </w:p>
        </w:tc>
        <w:tc>
          <w:tcPr>
            <w:tcW w:w="12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Cash Collateral 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520" w:type="dxa"/>
            <w:vAlign w:val="bottom"/>
          </w:tcPr>
          <w:p>
            <w:pPr>
              <w:spacing w:after="0"/>
              <w:rPr>
                <w:sz w:val="15"/>
                <w:szCs w:val="15"/>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15"/>
                <w:szCs w:val="15"/>
                <w:color w:val="auto"/>
              </w:rPr>
            </w:pPr>
          </w:p>
        </w:tc>
        <w:tc>
          <w:tcPr>
            <w:tcW w:w="1560" w:type="dxa"/>
            <w:vAlign w:val="bottom"/>
            <w:gridSpan w:val="3"/>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Counterparty</w:t>
            </w:r>
          </w:p>
        </w:tc>
        <w:tc>
          <w:tcPr>
            <w:tcW w:w="340" w:type="dxa"/>
            <w:vAlign w:val="bottom"/>
          </w:tcPr>
          <w:p>
            <w:pPr>
              <w:spacing w:after="0"/>
              <w:rPr>
                <w:sz w:val="15"/>
                <w:szCs w:val="15"/>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Netting</w:t>
            </w:r>
          </w:p>
        </w:tc>
        <w:tc>
          <w:tcPr>
            <w:tcW w:w="3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(in thousands)</w:t>
            </w: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16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EFFE7"/>
            </w:tcBorders>
          </w:tcPr>
          <w:p>
            <w:pPr>
              <w:ind w:left="120"/>
              <w:spacing w:after="0"/>
              <w:rPr>
                <w:sz w:val="20"/>
                <w:szCs w:val="20"/>
                <w:color w:val="auto"/>
              </w:rPr>
            </w:pPr>
            <w:r>
              <w:rPr>
                <w:rFonts w:ascii="Times New Roman" w:cs="Times New Roman" w:eastAsia="Times New Roman" w:hAnsi="Times New Roman"/>
                <w:sz w:val="18"/>
                <w:szCs w:val="18"/>
                <w:color w:val="auto"/>
              </w:rPr>
              <w:t>Commodity derivatives — Gas Utilities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EFFE7"/>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1"/>
                <w:szCs w:val="21"/>
                <w:color w:val="auto"/>
              </w:rPr>
            </w:pPr>
          </w:p>
        </w:tc>
        <w:tc>
          <w:tcPr>
            <w:tcW w:w="20" w:type="dxa"/>
            <w:vAlign w:val="bottom"/>
            <w:tcBorders>
              <w:bottom w:val="single" w:sz="8" w:color="auto"/>
            </w:tcBorders>
            <w:shd w:val="clear" w:color="auto" w:fill="CEFFE7"/>
          </w:tcPr>
          <w:p>
            <w:pPr>
              <w:spacing w:after="0"/>
              <w:rPr>
                <w:sz w:val="21"/>
                <w:szCs w:val="21"/>
                <w:color w:val="auto"/>
              </w:rPr>
            </w:pPr>
          </w:p>
        </w:tc>
        <w:tc>
          <w:tcPr>
            <w:tcW w:w="1200" w:type="dxa"/>
            <w:vAlign w:val="bottom"/>
            <w:tcBorders>
              <w:bottom w:val="single" w:sz="8" w:color="auto"/>
            </w:tcBorders>
            <w:shd w:val="clear" w:color="auto" w:fill="CEFFE7"/>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340" w:type="dxa"/>
            <w:vAlign w:val="bottom"/>
            <w:tcBorders>
              <w:bottom w:val="single" w:sz="8" w:color="auto"/>
            </w:tcBorders>
            <w:shd w:val="clear" w:color="auto" w:fill="CEFFE7"/>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16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EFFE7"/>
            </w:tcBorders>
          </w:tcPr>
          <w:p>
            <w:pPr>
              <w:ind w:left="120"/>
              <w:spacing w:after="0"/>
              <w:rPr>
                <w:sz w:val="20"/>
                <w:szCs w:val="20"/>
                <w:color w:val="auto"/>
              </w:rPr>
            </w:pPr>
            <w:r>
              <w:rPr>
                <w:rFonts w:ascii="Times New Roman" w:cs="Times New Roman" w:eastAsia="Times New Roman" w:hAnsi="Times New Roman"/>
                <w:sz w:val="18"/>
                <w:szCs w:val="18"/>
                <w:color w:val="auto"/>
              </w:rPr>
              <w:t>Commodity derivatives — Gas Utilities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EFFE7"/>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1"/>
                <w:szCs w:val="21"/>
                <w:color w:val="auto"/>
              </w:rPr>
            </w:pPr>
          </w:p>
        </w:tc>
        <w:tc>
          <w:tcPr>
            <w:tcW w:w="20" w:type="dxa"/>
            <w:vAlign w:val="bottom"/>
            <w:tcBorders>
              <w:bottom w:val="single" w:sz="8" w:color="auto"/>
            </w:tcBorders>
            <w:shd w:val="clear" w:color="auto" w:fill="CEFFE7"/>
          </w:tcPr>
          <w:p>
            <w:pPr>
              <w:spacing w:after="0"/>
              <w:rPr>
                <w:sz w:val="21"/>
                <w:szCs w:val="21"/>
                <w:color w:val="auto"/>
              </w:rPr>
            </w:pPr>
          </w:p>
        </w:tc>
        <w:tc>
          <w:tcPr>
            <w:tcW w:w="1200" w:type="dxa"/>
            <w:vAlign w:val="bottom"/>
            <w:tcBorders>
              <w:bottom w:val="single" w:sz="8" w:color="auto"/>
            </w:tcBorders>
            <w:shd w:val="clear" w:color="auto" w:fill="CEFFE7"/>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340" w:type="dxa"/>
            <w:vAlign w:val="bottom"/>
            <w:tcBorders>
              <w:bottom w:val="single" w:sz="8" w:color="auto"/>
            </w:tcBorders>
            <w:shd w:val="clear" w:color="auto" w:fill="CEFFE7"/>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Plan Assets</w:t>
      </w:r>
    </w:p>
    <w:p>
      <w:pPr>
        <w:spacing w:after="0" w:line="254" w:lineRule="exact"/>
        <w:rPr>
          <w:sz w:val="20"/>
          <w:szCs w:val="20"/>
          <w:color w:val="auto"/>
        </w:rPr>
      </w:pPr>
    </w:p>
    <w:p>
      <w:pPr>
        <w:ind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2019 Annual Report on Form 10-K. The Company has concluded that the market volatility associated with COVID-19 does not require interim re-measurement of our pension plan assets or defined benefit obligations. See </w:t>
      </w:r>
      <w:hyperlink w:anchor="page32">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Nonrecurring Fair Value Measurement</w:t>
      </w:r>
    </w:p>
    <w:p>
      <w:pPr>
        <w:spacing w:after="0" w:line="25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discussion of the fair value of our investment in equity securities of a privately held oil and gas company, a Level 3 asset, is included in </w:t>
      </w:r>
      <w:hyperlink w:anchor="page36">
        <w:r>
          <w:rPr>
            <w:rFonts w:ascii="Times New Roman" w:cs="Times New Roman" w:eastAsia="Times New Roman" w:hAnsi="Times New Roman"/>
            <w:sz w:val="18"/>
            <w:szCs w:val="18"/>
            <w:u w:val="single" w:color="auto"/>
            <w:color w:val="0000FF"/>
          </w:rPr>
          <w:t>Note 15</w:t>
        </w:r>
      </w:hyperlink>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Fair Value Measures</w:t>
      </w:r>
    </w:p>
    <w:p>
      <w:pPr>
        <w:spacing w:after="0" w:line="2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and fair values of financial instruments not recorded at fair value on the Condensed Consolidated Balance Sheets (in thousands) as of:</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14"/>
                <w:szCs w:val="14"/>
                <w:color w:val="auto"/>
              </w:rPr>
            </w:pPr>
          </w:p>
        </w:tc>
        <w:tc>
          <w:tcPr>
            <w:tcW w:w="10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4"/>
                <w:szCs w:val="14"/>
                <w:color w:val="auto"/>
              </w:rPr>
            </w:pP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EFFE7"/>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Long-term debt, including current maturities </w:t>
            </w:r>
            <w:r>
              <w:rPr>
                <w:rFonts w:ascii="Times New Roman" w:cs="Times New Roman" w:eastAsia="Times New Roman" w:hAnsi="Times New Roman"/>
                <w:sz w:val="23"/>
                <w:szCs w:val="23"/>
                <w:color w:val="auto"/>
                <w:vertAlign w:val="superscript"/>
              </w:rPr>
              <w:t>(a)</w:t>
            </w:r>
          </w:p>
        </w:tc>
        <w:tc>
          <w:tcPr>
            <w:tcW w:w="220" w:type="dxa"/>
            <w:vAlign w:val="bottom"/>
            <w:tcBorders>
              <w:top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3,536,765</w:t>
            </w:r>
          </w:p>
        </w:tc>
        <w:tc>
          <w:tcPr>
            <w:tcW w:w="22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4,177,801</w:t>
            </w:r>
          </w:p>
        </w:tc>
        <w:tc>
          <w:tcPr>
            <w:tcW w:w="140" w:type="dxa"/>
            <w:vAlign w:val="bottom"/>
            <w:tcBorders>
              <w:top w:val="single" w:sz="8" w:color="CEFFE7"/>
            </w:tcBorders>
            <w:shd w:val="clear" w:color="auto" w:fill="CEFFE7"/>
          </w:tcPr>
          <w:p>
            <w:pPr>
              <w:spacing w:after="0"/>
              <w:rPr>
                <w:sz w:val="19"/>
                <w:szCs w:val="19"/>
                <w:color w:val="auto"/>
              </w:rPr>
            </w:pPr>
          </w:p>
        </w:tc>
        <w:tc>
          <w:tcPr>
            <w:tcW w:w="220" w:type="dxa"/>
            <w:vAlign w:val="bottom"/>
            <w:tcBorders>
              <w:top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3,145,839</w:t>
            </w:r>
          </w:p>
        </w:tc>
        <w:tc>
          <w:tcPr>
            <w:tcW w:w="22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3,479,367</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right="120" w:hanging="332"/>
        <w:spacing w:after="0" w:line="262" w:lineRule="auto"/>
        <w:tabs>
          <w:tab w:leader="none" w:pos="35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debt is valued based on observable inputs available either directly or indirectly for similar liabilities in active markets and therefore is classified as Level 2 in the fair value hierarchy. Carrying amount of long-term debt is net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1" w:name="page32"/>
    <w:bookmarkEnd w:id="31"/>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25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reclassifications out of AOCI and into net income. The amounts in parentheses below indicate decreases to net income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 for the period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Amount Reclassified from AOCI</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3"/>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4"/>
                <w:szCs w:val="14"/>
                <w:color w:val="auto"/>
              </w:rPr>
            </w:pPr>
          </w:p>
        </w:tc>
        <w:tc>
          <w:tcPr>
            <w:tcW w:w="1880" w:type="dxa"/>
            <w:vAlign w:val="bottom"/>
            <w:gridSpan w:val="3"/>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920" w:type="dxa"/>
            <w:vAlign w:val="bottom"/>
          </w:tcPr>
          <w:p>
            <w:pPr>
              <w:ind w:left="500"/>
              <w:spacing w:after="0" w:line="169" w:lineRule="exact"/>
              <w:rPr>
                <w:sz w:val="20"/>
                <w:szCs w:val="20"/>
                <w:color w:val="auto"/>
              </w:rPr>
            </w:pPr>
            <w:r>
              <w:rPr>
                <w:rFonts w:ascii="Times New Roman" w:cs="Times New Roman" w:eastAsia="Times New Roman" w:hAnsi="Times New Roman"/>
                <w:sz w:val="18"/>
                <w:szCs w:val="18"/>
                <w:color w:val="auto"/>
              </w:rPr>
              <w:t>Location on the Condensed</w:t>
            </w:r>
          </w:p>
        </w:tc>
        <w:tc>
          <w:tcPr>
            <w:tcW w:w="200" w:type="dxa"/>
            <w:vAlign w:val="bottom"/>
          </w:tcPr>
          <w:p>
            <w:pPr>
              <w:spacing w:after="0"/>
              <w:rPr>
                <w:sz w:val="14"/>
                <w:szCs w:val="14"/>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4"/>
                <w:szCs w:val="14"/>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Gains and (losses) on cash flow hedges:</w:t>
            </w:r>
          </w:p>
        </w:tc>
        <w:tc>
          <w:tcPr>
            <w:tcW w:w="29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175"/>
        </w:trPr>
        <w:tc>
          <w:tcPr>
            <w:tcW w:w="4000" w:type="dxa"/>
            <w:vAlign w:val="bottom"/>
            <w:shd w:val="clear" w:color="auto" w:fill="CEFFE7"/>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Commodity contracts</w:t>
            </w:r>
          </w:p>
        </w:tc>
        <w:tc>
          <w:tcPr>
            <w:tcW w:w="2920" w:type="dxa"/>
            <w:vAlign w:val="bottom"/>
            <w:shd w:val="clear" w:color="auto" w:fill="CEFFE7"/>
          </w:tcPr>
          <w:p>
            <w:pPr>
              <w:ind w:left="80"/>
              <w:spacing w:after="0" w:line="176" w:lineRule="exact"/>
              <w:rPr>
                <w:sz w:val="20"/>
                <w:szCs w:val="20"/>
                <w:color w:val="auto"/>
              </w:rPr>
            </w:pPr>
            <w:r>
              <w:rPr>
                <w:rFonts w:ascii="Times New Roman" w:cs="Times New Roman" w:eastAsia="Times New Roman" w:hAnsi="Times New Roman"/>
                <w:sz w:val="18"/>
                <w:szCs w:val="18"/>
                <w:color w:val="auto"/>
              </w:rPr>
              <w:t>Fuel, purchased power and cost of</w:t>
            </w:r>
          </w:p>
        </w:tc>
        <w:tc>
          <w:tcPr>
            <w:tcW w:w="200" w:type="dxa"/>
            <w:vAlign w:val="bottom"/>
            <w:shd w:val="clear" w:color="auto" w:fill="CEFFE7"/>
          </w:tcPr>
          <w:p>
            <w:pPr>
              <w:spacing w:after="0"/>
              <w:rPr>
                <w:sz w:val="15"/>
                <w:szCs w:val="15"/>
                <w:color w:val="auto"/>
              </w:rPr>
            </w:pPr>
          </w:p>
        </w:tc>
        <w:tc>
          <w:tcPr>
            <w:tcW w:w="84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EFFE7"/>
          </w:tcPr>
          <w:p>
            <w:pPr>
              <w:spacing w:after="0"/>
              <w:rPr>
                <w:sz w:val="15"/>
                <w:szCs w:val="15"/>
                <w:color w:val="auto"/>
              </w:rPr>
            </w:pPr>
          </w:p>
        </w:tc>
        <w:tc>
          <w:tcPr>
            <w:tcW w:w="88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shd w:val="clear" w:color="auto" w:fill="CEFFE7"/>
          </w:tcPr>
          <w:p>
            <w:pPr>
              <w:spacing w:after="0"/>
              <w:rPr>
                <w:sz w:val="15"/>
                <w:szCs w:val="15"/>
                <w:color w:val="auto"/>
              </w:rPr>
            </w:pPr>
          </w:p>
        </w:tc>
        <w:tc>
          <w:tcPr>
            <w:tcW w:w="82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shd w:val="clear" w:color="auto" w:fill="CEFFE7"/>
          </w:tcPr>
          <w:p>
            <w:pPr>
              <w:spacing w:after="0"/>
              <w:rPr>
                <w:sz w:val="15"/>
                <w:szCs w:val="15"/>
                <w:color w:val="auto"/>
              </w:rPr>
            </w:pPr>
          </w:p>
        </w:tc>
        <w:tc>
          <w:tcPr>
            <w:tcW w:w="82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4000" w:type="dxa"/>
            <w:vAlign w:val="bottom"/>
            <w:shd w:val="clear" w:color="auto" w:fill="CEFFE7"/>
          </w:tcPr>
          <w:p>
            <w:pPr>
              <w:spacing w:after="0"/>
              <w:rPr>
                <w:sz w:val="19"/>
                <w:szCs w:val="19"/>
                <w:color w:val="auto"/>
              </w:rPr>
            </w:pPr>
          </w:p>
        </w:tc>
        <w:tc>
          <w:tcPr>
            <w:tcW w:w="2920" w:type="dxa"/>
            <w:vAlign w:val="bottom"/>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natural gas sold</w:t>
            </w:r>
          </w:p>
        </w:tc>
        <w:tc>
          <w:tcPr>
            <w:tcW w:w="20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vMerge w:val="continue"/>
            <w:shd w:val="clear" w:color="auto" w:fill="CEFFE7"/>
          </w:tcPr>
          <w:p>
            <w:pPr>
              <w:spacing w:after="0"/>
              <w:rPr>
                <w:sz w:val="19"/>
                <w:szCs w:val="19"/>
                <w:color w:val="auto"/>
              </w:rPr>
            </w:pPr>
          </w:p>
        </w:tc>
        <w:tc>
          <w:tcPr>
            <w:tcW w:w="22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vMerge w:val="continue"/>
            <w:shd w:val="clear" w:color="auto" w:fill="CEFFE7"/>
          </w:tcPr>
          <w:p>
            <w:pPr>
              <w:spacing w:after="0"/>
              <w:rPr>
                <w:sz w:val="19"/>
                <w:szCs w:val="19"/>
                <w:color w:val="auto"/>
              </w:rPr>
            </w:pPr>
          </w:p>
        </w:tc>
        <w:tc>
          <w:tcPr>
            <w:tcW w:w="30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vMerge w:val="continue"/>
            <w:shd w:val="clear" w:color="auto" w:fill="CEFFE7"/>
          </w:tcPr>
          <w:p>
            <w:pPr>
              <w:spacing w:after="0"/>
              <w:rPr>
                <w:sz w:val="19"/>
                <w:szCs w:val="19"/>
                <w:color w:val="auto"/>
              </w:rPr>
            </w:pPr>
          </w:p>
        </w:tc>
        <w:tc>
          <w:tcPr>
            <w:tcW w:w="24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30"/>
        </w:trPr>
        <w:tc>
          <w:tcPr>
            <w:tcW w:w="40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2920" w:type="dxa"/>
            <w:vAlign w:val="bottom"/>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155"/>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reclassification adjustments related to cash flow</w:t>
            </w:r>
          </w:p>
        </w:tc>
        <w:tc>
          <w:tcPr>
            <w:tcW w:w="29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hedges, net of tax</w:t>
            </w:r>
          </w:p>
        </w:tc>
        <w:tc>
          <w:tcPr>
            <w:tcW w:w="2920" w:type="dxa"/>
            <w:vAlign w:val="bottom"/>
            <w:tcBorders>
              <w:bottom w:val="single" w:sz="8" w:color="CEFFE7"/>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EFFE7"/>
          </w:tcPr>
          <w:p>
            <w:pPr>
              <w:spacing w:after="0"/>
              <w:rPr>
                <w:sz w:val="21"/>
                <w:szCs w:val="21"/>
                <w:color w:val="auto"/>
              </w:rPr>
            </w:pPr>
          </w:p>
        </w:tc>
        <w:tc>
          <w:tcPr>
            <w:tcW w:w="2920" w:type="dxa"/>
            <w:vAlign w:val="bottom"/>
            <w:shd w:val="clear" w:color="auto" w:fill="CEFFE7"/>
          </w:tcPr>
          <w:p>
            <w:pPr>
              <w:spacing w:after="0"/>
              <w:rPr>
                <w:sz w:val="21"/>
                <w:szCs w:val="21"/>
                <w:color w:val="auto"/>
              </w:rPr>
            </w:pPr>
          </w:p>
        </w:tc>
        <w:tc>
          <w:tcPr>
            <w:tcW w:w="200" w:type="dxa"/>
            <w:vAlign w:val="bottom"/>
            <w:shd w:val="clear" w:color="auto" w:fill="CEFFE7"/>
          </w:tcPr>
          <w:p>
            <w:pPr>
              <w:spacing w:after="0"/>
              <w:rPr>
                <w:sz w:val="21"/>
                <w:szCs w:val="21"/>
                <w:color w:val="auto"/>
              </w:rPr>
            </w:pPr>
          </w:p>
        </w:tc>
        <w:tc>
          <w:tcPr>
            <w:tcW w:w="84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88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components of defined benefit plans:</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920" w:type="dxa"/>
            <w:vAlign w:val="bottom"/>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920" w:type="dxa"/>
            <w:vAlign w:val="bottom"/>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4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0"/>
        </w:trPr>
        <w:tc>
          <w:tcPr>
            <w:tcW w:w="40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2920" w:type="dxa"/>
            <w:vAlign w:val="bottom"/>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55"/>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reclassification adjustments related to defined</w:t>
            </w:r>
          </w:p>
        </w:tc>
        <w:tc>
          <w:tcPr>
            <w:tcW w:w="29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benefit plans, net of tax</w:t>
            </w:r>
          </w:p>
        </w:tc>
        <w:tc>
          <w:tcPr>
            <w:tcW w:w="2920" w:type="dxa"/>
            <w:vAlign w:val="bottom"/>
            <w:tcBorders>
              <w:bottom w:val="single" w:sz="8" w:color="CEFFE7"/>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 reclassifications</w:t>
            </w:r>
          </w:p>
        </w:tc>
        <w:tc>
          <w:tcPr>
            <w:tcW w:w="29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0"/>
        </w:trPr>
        <w:tc>
          <w:tcPr>
            <w:tcW w:w="4000" w:type="dxa"/>
            <w:vAlign w:val="bottom"/>
            <w:tcBorders>
              <w:top w:val="single" w:sz="8" w:color="CEFFE7"/>
            </w:tcBorders>
          </w:tcPr>
          <w:p>
            <w:pPr>
              <w:spacing w:after="0" w:line="20" w:lineRule="exact"/>
              <w:rPr>
                <w:sz w:val="1"/>
                <w:szCs w:val="1"/>
                <w:color w:val="auto"/>
              </w:rPr>
            </w:pPr>
          </w:p>
        </w:tc>
        <w:tc>
          <w:tcPr>
            <w:tcW w:w="29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by classification included within AOCI, net of tax on the accompanying Condensed Consolidated Balance Sheets were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spacing w:after="0"/>
              <w:rPr>
                <w:sz w:val="18"/>
                <w:szCs w:val="18"/>
                <w:color w:val="auto"/>
              </w:rPr>
            </w:pPr>
          </w:p>
        </w:tc>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Employee Benefit</w:t>
            </w:r>
          </w:p>
        </w:tc>
        <w:tc>
          <w:tcPr>
            <w:tcW w:w="320" w:type="dxa"/>
            <w:vAlign w:val="bottom"/>
          </w:tcPr>
          <w:p>
            <w:pPr>
              <w:spacing w:after="0"/>
              <w:rPr>
                <w:sz w:val="18"/>
                <w:szCs w:val="18"/>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Plans</w:t>
            </w:r>
          </w:p>
        </w:tc>
        <w:tc>
          <w:tcPr>
            <w:tcW w:w="3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2019</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center"/>
              <w:ind w:left="133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before reclassifications</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6"/>
              </w:rPr>
              <w:t>181</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80" w:type="dxa"/>
            <w:vAlign w:val="bottom"/>
            <w:tcBorders>
              <w:bottom w:val="single" w:sz="8" w:color="auto"/>
            </w:tcBorders>
            <w:shd w:val="clear" w:color="auto" w:fill="CEFFE7"/>
          </w:tcPr>
          <w:p>
            <w:pPr>
              <w:spacing w:after="0"/>
              <w:rPr>
                <w:sz w:val="19"/>
                <w:szCs w:val="19"/>
                <w:color w:val="auto"/>
              </w:rPr>
            </w:pPr>
          </w:p>
        </w:tc>
        <w:tc>
          <w:tcPr>
            <w:tcW w:w="2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Borders>
              <w:bottom w:val="single" w:sz="8" w:color="auto"/>
            </w:tcBorders>
            <w:shd w:val="clear" w:color="auto" w:fill="CEFFE7"/>
          </w:tcPr>
          <w:p>
            <w:pPr>
              <w:spacing w:after="0"/>
              <w:rPr>
                <w:sz w:val="19"/>
                <w:szCs w:val="19"/>
                <w:color w:val="auto"/>
              </w:rPr>
            </w:pPr>
          </w:p>
        </w:tc>
        <w:tc>
          <w:tcPr>
            <w:tcW w:w="1860" w:type="dxa"/>
            <w:vAlign w:val="bottom"/>
            <w:tcBorders>
              <w:bottom w:val="single" w:sz="8" w:color="auto"/>
            </w:tcBorders>
            <w:shd w:val="clear" w:color="auto" w:fill="CEFFE7"/>
          </w:tcPr>
          <w:p>
            <w:pPr>
              <w:jc w:val="center"/>
              <w:ind w:left="1350"/>
              <w:spacing w:after="0"/>
              <w:rPr>
                <w:sz w:val="20"/>
                <w:szCs w:val="20"/>
                <w:color w:val="auto"/>
              </w:rPr>
            </w:pPr>
            <w:r>
              <w:rPr>
                <w:rFonts w:ascii="Times New Roman" w:cs="Times New Roman" w:eastAsia="Times New Roman" w:hAnsi="Times New Roman"/>
                <w:sz w:val="18"/>
                <w:szCs w:val="18"/>
                <w:color w:val="auto"/>
                <w:w w:val="96"/>
              </w:rPr>
              <w:t>562</w:t>
            </w:r>
          </w:p>
        </w:tc>
        <w:tc>
          <w:tcPr>
            <w:tcW w:w="160" w:type="dxa"/>
            <w:vAlign w:val="bottom"/>
            <w:tcBorders>
              <w:bottom w:val="single" w:sz="8" w:color="auto"/>
            </w:tcBorders>
            <w:shd w:val="clear" w:color="auto" w:fill="CEFFE7"/>
          </w:tcPr>
          <w:p>
            <w:pPr>
              <w:spacing w:after="0"/>
              <w:rPr>
                <w:sz w:val="19"/>
                <w:szCs w:val="19"/>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20" w:type="dxa"/>
            <w:vAlign w:val="bottom"/>
            <w:tcBorders>
              <w:bottom w:val="single" w:sz="8" w:color="auto"/>
            </w:tcBorders>
            <w:shd w:val="clear" w:color="auto" w:fill="CEFFE7"/>
          </w:tcPr>
          <w:p>
            <w:pPr>
              <w:spacing w:after="0"/>
              <w:rPr>
                <w:sz w:val="19"/>
                <w:szCs w:val="19"/>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As of September 30, 2020</w:t>
            </w: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(13,492)</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center"/>
              <w:ind w:left="1350"/>
              <w:spacing w:after="0" w:line="196" w:lineRule="exact"/>
              <w:rPr>
                <w:sz w:val="20"/>
                <w:szCs w:val="20"/>
                <w:color w:val="auto"/>
              </w:rPr>
            </w:pPr>
            <w:r>
              <w:rPr>
                <w:rFonts w:ascii="Times New Roman" w:cs="Times New Roman" w:eastAsia="Times New Roman" w:hAnsi="Times New Roman"/>
                <w:sz w:val="18"/>
                <w:szCs w:val="18"/>
                <w:color w:val="auto"/>
                <w:w w:val="96"/>
              </w:rPr>
              <w:t>287</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(13,717)</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CEFFE7"/>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2000" w:type="dxa"/>
            <w:vAlign w:val="bottom"/>
            <w:shd w:val="clear" w:color="auto" w:fill="CEFFE7"/>
          </w:tcPr>
          <w:p>
            <w:pPr>
              <w:spacing w:after="0"/>
              <w:rPr>
                <w:sz w:val="20"/>
                <w:szCs w:val="20"/>
                <w:color w:val="auto"/>
              </w:rPr>
            </w:pPr>
          </w:p>
        </w:tc>
        <w:tc>
          <w:tcPr>
            <w:tcW w:w="120" w:type="dxa"/>
            <w:vAlign w:val="bottom"/>
            <w:shd w:val="clear" w:color="auto" w:fill="CEFFE7"/>
          </w:tcPr>
          <w:p>
            <w:pPr>
              <w:spacing w:after="0"/>
              <w:rPr>
                <w:sz w:val="20"/>
                <w:szCs w:val="20"/>
                <w:color w:val="auto"/>
              </w:rPr>
            </w:pPr>
          </w:p>
        </w:tc>
        <w:tc>
          <w:tcPr>
            <w:tcW w:w="186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540" w:type="dxa"/>
            <w:vAlign w:val="bottom"/>
            <w:shd w:val="clear" w:color="auto" w:fill="CEFFE7"/>
          </w:tcPr>
          <w:p>
            <w:pPr>
              <w:spacing w:after="0"/>
              <w:rPr>
                <w:sz w:val="20"/>
                <w:szCs w:val="20"/>
                <w:color w:val="auto"/>
              </w:rPr>
            </w:pPr>
          </w:p>
        </w:tc>
        <w:tc>
          <w:tcPr>
            <w:tcW w:w="32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spacing w:after="0"/>
              <w:rPr>
                <w:sz w:val="15"/>
                <w:szCs w:val="15"/>
                <w:color w:val="auto"/>
              </w:rPr>
            </w:pPr>
          </w:p>
        </w:tc>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tcPr>
          <w:p>
            <w:pPr>
              <w:spacing w:after="0"/>
              <w:rPr>
                <w:sz w:val="15"/>
                <w:szCs w:val="15"/>
                <w:color w:val="auto"/>
              </w:rPr>
            </w:pPr>
          </w:p>
        </w:tc>
        <w:tc>
          <w:tcPr>
            <w:tcW w:w="15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Employee Benefit</w:t>
            </w:r>
          </w:p>
        </w:tc>
        <w:tc>
          <w:tcPr>
            <w:tcW w:w="320" w:type="dxa"/>
            <w:vAlign w:val="bottom"/>
          </w:tcPr>
          <w:p>
            <w:pPr>
              <w:spacing w:after="0"/>
              <w:rPr>
                <w:sz w:val="15"/>
                <w:szCs w:val="15"/>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Plans</w:t>
            </w:r>
          </w:p>
        </w:tc>
        <w:tc>
          <w:tcPr>
            <w:tcW w:w="3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2018</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color w:val="auto"/>
                <w:w w:val="96"/>
              </w:rPr>
              <w:t>328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before reclassifications</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80" w:type="dxa"/>
            <w:vAlign w:val="bottom"/>
            <w:tcBorders>
              <w:bottom w:val="single" w:sz="8" w:color="auto"/>
            </w:tcBorders>
            <w:shd w:val="clear" w:color="auto" w:fill="CEFFE7"/>
          </w:tcPr>
          <w:p>
            <w:pPr>
              <w:spacing w:after="0"/>
              <w:rPr>
                <w:sz w:val="19"/>
                <w:szCs w:val="19"/>
                <w:color w:val="auto"/>
              </w:rPr>
            </w:pPr>
          </w:p>
        </w:tc>
        <w:tc>
          <w:tcPr>
            <w:tcW w:w="2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Borders>
              <w:bottom w:val="single" w:sz="8" w:color="auto"/>
            </w:tcBorders>
            <w:shd w:val="clear" w:color="auto" w:fill="CEFFE7"/>
          </w:tcPr>
          <w:p>
            <w:pPr>
              <w:spacing w:after="0"/>
              <w:rPr>
                <w:sz w:val="19"/>
                <w:szCs w:val="19"/>
                <w:color w:val="auto"/>
              </w:rPr>
            </w:pPr>
          </w:p>
        </w:tc>
        <w:tc>
          <w:tcPr>
            <w:tcW w:w="1860" w:type="dxa"/>
            <w:vAlign w:val="bottom"/>
            <w:tcBorders>
              <w:bottom w:val="single" w:sz="8" w:color="auto"/>
            </w:tcBorders>
            <w:shd w:val="clear" w:color="auto" w:fill="CEFFE7"/>
          </w:tcPr>
          <w:p>
            <w:pPr>
              <w:jc w:val="center"/>
              <w:ind w:left="133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Borders>
              <w:bottom w:val="single" w:sz="8" w:color="auto"/>
            </w:tcBorders>
            <w:shd w:val="clear" w:color="auto" w:fill="CEFFE7"/>
          </w:tcPr>
          <w:p>
            <w:pPr>
              <w:spacing w:after="0"/>
              <w:rPr>
                <w:sz w:val="19"/>
                <w:szCs w:val="19"/>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tcBorders>
              <w:bottom w:val="single" w:sz="8" w:color="auto"/>
            </w:tcBorders>
            <w:shd w:val="clear" w:color="auto" w:fill="CEFFE7"/>
          </w:tcPr>
          <w:p>
            <w:pPr>
              <w:spacing w:after="0"/>
              <w:rPr>
                <w:sz w:val="19"/>
                <w:szCs w:val="19"/>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September 30, 2019</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center"/>
              <w:ind w:left="133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Accounting Principle - Pension Accounting Asset Method</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January 1, 2020, the Company changed its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use a calculated value for the return-seeking assets (equities) in the portfolio and fair value for the liability-hedging assets (fixed income). The Company considers the fair value method for determining market-related value of liability-hedging assets to be a preferable method of accounting because asset-related gains and losses are subject to amortization into pension cost immediately. Additionally, the fair value for liability-hedging assets allows for the impact of gains and losses on this portion of the asset portfolio to be reflected in tandem with changes in the liability which is linked to changes in the discount rate assumption for re-measurement.</w:t>
      </w:r>
    </w:p>
    <w:p>
      <w:pPr>
        <w:spacing w:after="0" w:line="2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evaluated the effect of this change in accounting method and deemed it immaterial to the historical and current financial statements and therefore did not account for the change retrospectively. Accordingly, the Company calculated the cumulative difference using a calculated value versus fair value to determine market-related value for liability-hedging assets of the portfolio. The cumulative effect of this change, as of January 1, 2020, resulted in a decrease to prior service costs, as recorded in Other income (expense), net, of $0.6 million, an increase in Income tax expense of $0.2 million and an increase to Net income of $0.4 million within the accompanying Condensed Consolidated Statements of Income for the nine months ended September 30, 2020.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Funding Status of Employee Benefit Plans</w:t>
      </w:r>
    </w:p>
    <w:p>
      <w:pPr>
        <w:spacing w:after="0" w:line="25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8"/>
          <w:szCs w:val="18"/>
          <w:color w:val="auto"/>
        </w:rPr>
        <w:t>Based on the fair value of assets and estimated discount rate used to value benefit obligations as of September 30, 2020, we estimate the unfunded status of our employee benefit plans to be approximately $51 million compared to $51 million at December 31, 2019. In 2012, we froze our pension plan and closed it to new participants. Since then, we have implemented various de-risking strategies including lump sum buyouts, the purchase of annuities and the</w:t>
      </w:r>
    </w:p>
    <w:p>
      <w:pPr>
        <w:ind w:right="420"/>
        <w:spacing w:after="0" w:line="255" w:lineRule="auto"/>
        <w:rPr>
          <w:sz w:val="20"/>
          <w:szCs w:val="20"/>
          <w:color w:val="auto"/>
        </w:rPr>
      </w:pPr>
      <w:r>
        <w:rPr>
          <w:rFonts w:ascii="Times New Roman" w:cs="Times New Roman" w:eastAsia="Times New Roman" w:hAnsi="Times New Roman"/>
          <w:sz w:val="18"/>
          <w:szCs w:val="18"/>
          <w:color w:val="auto"/>
        </w:rPr>
        <w:t>reduction of return-seeking assets over time to a more liability-hedged portfolio. As a result, recent capital markets volatility driven by the COVID-19 pandemic has not materially affected our unfunded status and does not require interim re-measurement of our pension plan assets or defined benefit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Benefit Pension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Defined Benefit Pension Plan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36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19"/>
                <w:szCs w:val="19"/>
                <w:color w:val="auto"/>
              </w:rPr>
            </w:pPr>
          </w:p>
        </w:tc>
        <w:tc>
          <w:tcPr>
            <w:tcW w:w="3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4100" w:type="dxa"/>
            <w:vAlign w:val="bottom"/>
            <w:tcBorders>
              <w:bottom w:val="single" w:sz="8" w:color="CEFFE7"/>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EFFE7"/>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20" w:type="dxa"/>
            <w:vAlign w:val="bottom"/>
            <w:shd w:val="clear" w:color="auto" w:fill="CEFFE7"/>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42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EFFE7"/>
          </w:tcPr>
          <w:p>
            <w:pPr>
              <w:spacing w:after="0"/>
              <w:rPr>
                <w:sz w:val="19"/>
                <w:szCs w:val="19"/>
                <w:color w:val="auto"/>
              </w:rPr>
            </w:pPr>
          </w:p>
        </w:tc>
        <w:tc>
          <w:tcPr>
            <w:tcW w:w="300" w:type="dxa"/>
            <w:vAlign w:val="bottom"/>
            <w:shd w:val="clear" w:color="auto" w:fill="CEFFE7"/>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42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4,037</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13,031</w:t>
            </w:r>
          </w:p>
        </w:tc>
      </w:tr>
      <w:tr>
        <w:trPr>
          <w:trHeight w:val="230"/>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20" w:type="dxa"/>
            <w:vAlign w:val="bottom"/>
            <w:shd w:val="clear" w:color="auto" w:fill="CEFFE7"/>
          </w:tcPr>
          <w:p>
            <w:pPr>
              <w:spacing w:after="0"/>
              <w:rPr>
                <w:sz w:val="19"/>
                <w:szCs w:val="19"/>
                <w:color w:val="auto"/>
              </w:rPr>
            </w:pPr>
          </w:p>
        </w:tc>
        <w:tc>
          <w:tcPr>
            <w:tcW w:w="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42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2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4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420" w:type="dxa"/>
            <w:vAlign w:val="bottom"/>
            <w:shd w:val="clear" w:color="auto" w:fill="CEFFE7"/>
          </w:tcPr>
          <w:p>
            <w:pPr>
              <w:spacing w:after="0"/>
              <w:rPr>
                <w:sz w:val="19"/>
                <w:szCs w:val="19"/>
                <w:color w:val="auto"/>
              </w:rPr>
            </w:pPr>
          </w:p>
        </w:tc>
        <w:tc>
          <w:tcPr>
            <w:tcW w:w="1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(18,300)</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 (benefit)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loss (gain)</w:t>
            </w:r>
          </w:p>
        </w:tc>
        <w:tc>
          <w:tcPr>
            <w:tcW w:w="1120" w:type="dxa"/>
            <w:vAlign w:val="bottom"/>
            <w:tcBorders>
              <w:bottom w:val="single" w:sz="8" w:color="auto"/>
            </w:tcBorders>
            <w:shd w:val="clear" w:color="auto" w:fill="CEFFE7"/>
          </w:tcPr>
          <w:p>
            <w:pPr>
              <w:spacing w:after="0"/>
              <w:rPr>
                <w:sz w:val="19"/>
                <w:szCs w:val="19"/>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420" w:type="dxa"/>
            <w:vAlign w:val="bottom"/>
            <w:tcBorders>
              <w:bottom w:val="single" w:sz="8" w:color="auto"/>
            </w:tcBorders>
            <w:shd w:val="clear" w:color="auto" w:fill="CEFFE7"/>
          </w:tcPr>
          <w:p>
            <w:pPr>
              <w:spacing w:after="0"/>
              <w:rPr>
                <w:sz w:val="19"/>
                <w:szCs w:val="19"/>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EFFE7"/>
          </w:tcPr>
          <w:p>
            <w:pPr>
              <w:spacing w:after="0"/>
              <w:rPr>
                <w:sz w:val="19"/>
                <w:szCs w:val="19"/>
                <w:color w:val="auto"/>
              </w:rPr>
            </w:pPr>
          </w:p>
        </w:tc>
        <w:tc>
          <w:tcPr>
            <w:tcW w:w="300" w:type="dxa"/>
            <w:vAlign w:val="bottom"/>
            <w:tcBorders>
              <w:bottom w:val="single" w:sz="8" w:color="auto"/>
            </w:tcBorders>
            <w:shd w:val="clear" w:color="auto" w:fill="CEFFE7"/>
          </w:tcPr>
          <w:p>
            <w:pPr>
              <w:spacing w:after="0"/>
              <w:rPr>
                <w:sz w:val="19"/>
                <w:szCs w:val="19"/>
                <w:color w:val="auto"/>
              </w:rPr>
            </w:pPr>
          </w:p>
        </w:tc>
        <w:tc>
          <w:tcPr>
            <w:tcW w:w="14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420" w:type="dxa"/>
            <w:vAlign w:val="bottom"/>
            <w:tcBorders>
              <w:bottom w:val="single" w:sz="8" w:color="auto"/>
            </w:tcBorders>
            <w:shd w:val="clear" w:color="auto" w:fill="CEFFE7"/>
          </w:tcPr>
          <w:p>
            <w:pPr>
              <w:spacing w:after="0"/>
              <w:rPr>
                <w:sz w:val="19"/>
                <w:szCs w:val="19"/>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2,822</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0"/>
        </w:trPr>
        <w:tc>
          <w:tcPr>
            <w:tcW w:w="4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44"/>
        </w:trPr>
        <w:tc>
          <w:tcPr>
            <w:tcW w:w="4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8"/>
        </w:trPr>
        <w:tc>
          <w:tcPr>
            <w:tcW w:w="4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Benefit Postretirement Healthcare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Defined Benefit Postretirement Healthcare Plan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480" w:type="dxa"/>
            <w:vAlign w:val="bottom"/>
          </w:tcPr>
          <w:p>
            <w:pPr>
              <w:spacing w:after="0"/>
              <w:rPr>
                <w:sz w:val="19"/>
                <w:szCs w:val="19"/>
                <w:color w:val="auto"/>
              </w:rPr>
            </w:pPr>
          </w:p>
        </w:tc>
      </w:tr>
      <w:tr>
        <w:trPr>
          <w:trHeight w:val="234"/>
        </w:trPr>
        <w:tc>
          <w:tcPr>
            <w:tcW w:w="4100" w:type="dxa"/>
            <w:vAlign w:val="bottom"/>
            <w:tcBorders>
              <w:bottom w:val="single" w:sz="8" w:color="CEFFE7"/>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EFFE7"/>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auto"/>
            </w:tcBorders>
          </w:tcPr>
          <w:p>
            <w:pPr>
              <w:spacing w:after="0"/>
              <w:rPr>
                <w:sz w:val="20"/>
                <w:szCs w:val="20"/>
                <w:color w:val="auto"/>
              </w:rPr>
            </w:pPr>
          </w:p>
        </w:tc>
      </w:tr>
      <w:tr>
        <w:trPr>
          <w:trHeight w:val="223"/>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0" w:type="dxa"/>
            <w:vAlign w:val="bottom"/>
            <w:shd w:val="clear" w:color="auto" w:fill="CEFFE7"/>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380" w:type="dxa"/>
            <w:vAlign w:val="bottom"/>
            <w:shd w:val="clear" w:color="auto" w:fill="CEFFE7"/>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EFFE7"/>
          </w:tcPr>
          <w:p>
            <w:pPr>
              <w:spacing w:after="0"/>
              <w:rPr>
                <w:sz w:val="19"/>
                <w:szCs w:val="19"/>
                <w:color w:val="auto"/>
              </w:rPr>
            </w:pPr>
          </w:p>
        </w:tc>
        <w:tc>
          <w:tcPr>
            <w:tcW w:w="1160" w:type="dxa"/>
            <w:vAlign w:val="bottom"/>
            <w:shd w:val="clear" w:color="auto" w:fill="CEFFE7"/>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300" w:type="dxa"/>
            <w:vAlign w:val="bottom"/>
            <w:shd w:val="clear" w:color="auto" w:fill="CEFFE7"/>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93"/>
              </w:rPr>
              <w:t>1,362</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1,683</w:t>
            </w:r>
          </w:p>
        </w:tc>
      </w:tr>
      <w:tr>
        <w:trPr>
          <w:trHeight w:val="229"/>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0" w:type="dxa"/>
            <w:vAlign w:val="bottom"/>
            <w:shd w:val="clear" w:color="auto" w:fill="CEFFE7"/>
          </w:tcPr>
          <w:p>
            <w:pPr>
              <w:spacing w:after="0"/>
              <w:rPr>
                <w:sz w:val="19"/>
                <w:szCs w:val="19"/>
                <w:color w:val="auto"/>
              </w:rPr>
            </w:pPr>
          </w:p>
        </w:tc>
        <w:tc>
          <w:tcPr>
            <w:tcW w:w="5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shd w:val="clear" w:color="auto" w:fill="CEFFE7"/>
          </w:tcPr>
          <w:p>
            <w:pPr>
              <w:spacing w:after="0"/>
              <w:rPr>
                <w:sz w:val="19"/>
                <w:szCs w:val="19"/>
                <w:color w:val="auto"/>
              </w:rPr>
            </w:pPr>
          </w:p>
        </w:tc>
        <w:tc>
          <w:tcPr>
            <w:tcW w:w="3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EFFE7"/>
          </w:tcPr>
          <w:p>
            <w:pPr>
              <w:spacing w:after="0"/>
              <w:rPr>
                <w:sz w:val="19"/>
                <w:szCs w:val="19"/>
                <w:color w:val="auto"/>
              </w:rPr>
            </w:pPr>
          </w:p>
        </w:tc>
        <w:tc>
          <w:tcPr>
            <w:tcW w:w="116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300" w:type="dxa"/>
            <w:vAlign w:val="bottom"/>
            <w:shd w:val="clear" w:color="auto" w:fill="CEFFE7"/>
          </w:tcPr>
          <w:p>
            <w:pPr>
              <w:spacing w:after="0"/>
              <w:rPr>
                <w:sz w:val="19"/>
                <w:szCs w:val="19"/>
                <w:color w:val="auto"/>
              </w:rPr>
            </w:pPr>
          </w:p>
        </w:tc>
        <w:tc>
          <w:tcPr>
            <w:tcW w:w="4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 (benefit)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loss (gain)</w:t>
            </w:r>
          </w:p>
        </w:tc>
        <w:tc>
          <w:tcPr>
            <w:tcW w:w="1200" w:type="dxa"/>
            <w:vAlign w:val="bottom"/>
            <w:shd w:val="clear" w:color="auto" w:fill="CEFFE7"/>
          </w:tcPr>
          <w:p>
            <w:pPr>
              <w:spacing w:after="0"/>
              <w:rPr>
                <w:sz w:val="19"/>
                <w:szCs w:val="19"/>
                <w:color w:val="auto"/>
              </w:rPr>
            </w:pPr>
          </w:p>
        </w:tc>
        <w:tc>
          <w:tcPr>
            <w:tcW w:w="5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shd w:val="clear" w:color="auto" w:fill="CEFFE7"/>
          </w:tcPr>
          <w:p>
            <w:pPr>
              <w:spacing w:after="0"/>
              <w:rPr>
                <w:sz w:val="19"/>
                <w:szCs w:val="19"/>
                <w:color w:val="auto"/>
              </w:rPr>
            </w:pPr>
          </w:p>
        </w:tc>
        <w:tc>
          <w:tcPr>
            <w:tcW w:w="500" w:type="dxa"/>
            <w:vAlign w:val="bottom"/>
            <w:gridSpan w:val="2"/>
            <w:shd w:val="clear" w:color="auto" w:fill="CEFFE7"/>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shd w:val="clear" w:color="auto" w:fill="CEFFE7"/>
          </w:tcPr>
          <w:p>
            <w:pPr>
              <w:spacing w:after="0"/>
              <w:rPr>
                <w:sz w:val="19"/>
                <w:szCs w:val="19"/>
                <w:color w:val="auto"/>
              </w:rPr>
            </w:pPr>
          </w:p>
        </w:tc>
        <w:tc>
          <w:tcPr>
            <w:tcW w:w="4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30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2,575</w:t>
            </w:r>
          </w:p>
        </w:tc>
      </w:tr>
      <w:tr>
        <w:trPr>
          <w:trHeight w:val="20"/>
        </w:trPr>
        <w:tc>
          <w:tcPr>
            <w:tcW w:w="4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Non-qualified Defined Benefit and Defined Contribution Plans</w:t>
      </w:r>
    </w:p>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Supplemental Non-qualified Defined Benefit and Defined Contribution Plans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480" w:type="dxa"/>
            <w:vAlign w:val="bottom"/>
          </w:tcPr>
          <w:p>
            <w:pPr>
              <w:spacing w:after="0"/>
              <w:rPr>
                <w:sz w:val="19"/>
                <w:szCs w:val="19"/>
                <w:color w:val="auto"/>
              </w:rPr>
            </w:pPr>
          </w:p>
        </w:tc>
      </w:tr>
      <w:tr>
        <w:trPr>
          <w:trHeight w:val="234"/>
        </w:trPr>
        <w:tc>
          <w:tcPr>
            <w:tcW w:w="4100" w:type="dxa"/>
            <w:vAlign w:val="bottom"/>
            <w:tcBorders>
              <w:bottom w:val="single" w:sz="8" w:color="CEFFE7"/>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EFFE7"/>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auto"/>
            </w:tcBorders>
          </w:tcPr>
          <w:p>
            <w:pPr>
              <w:spacing w:after="0"/>
              <w:rPr>
                <w:sz w:val="20"/>
                <w:szCs w:val="20"/>
                <w:color w:val="auto"/>
              </w:rPr>
            </w:pPr>
          </w:p>
        </w:tc>
      </w:tr>
      <w:tr>
        <w:trPr>
          <w:trHeight w:val="223"/>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60" w:type="dxa"/>
            <w:vAlign w:val="bottom"/>
            <w:shd w:val="clear" w:color="auto" w:fill="CEFFE7"/>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0" w:type="dxa"/>
            <w:vAlign w:val="bottom"/>
            <w:shd w:val="clear" w:color="auto" w:fill="CEFFE7"/>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EFFE7"/>
          </w:tcPr>
          <w:p>
            <w:pPr>
              <w:spacing w:after="0"/>
              <w:rPr>
                <w:sz w:val="19"/>
                <w:szCs w:val="19"/>
                <w:color w:val="auto"/>
              </w:rPr>
            </w:pPr>
          </w:p>
        </w:tc>
        <w:tc>
          <w:tcPr>
            <w:tcW w:w="1160" w:type="dxa"/>
            <w:vAlign w:val="bottom"/>
            <w:shd w:val="clear" w:color="auto" w:fill="CEFFE7"/>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320" w:type="dxa"/>
            <w:vAlign w:val="bottom"/>
            <w:shd w:val="clear" w:color="auto" w:fill="CEFFE7"/>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93"/>
              </w:rPr>
              <w:t>2,406</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9"/>
        </w:trPr>
        <w:tc>
          <w:tcPr>
            <w:tcW w:w="4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Prior service cost (benefit)</w:t>
            </w:r>
          </w:p>
        </w:tc>
        <w:tc>
          <w:tcPr>
            <w:tcW w:w="1160" w:type="dxa"/>
            <w:vAlign w:val="bottom"/>
            <w:shd w:val="clear" w:color="auto" w:fill="CEFFE7"/>
          </w:tcPr>
          <w:p>
            <w:pPr>
              <w:spacing w:after="0"/>
              <w:rPr>
                <w:sz w:val="19"/>
                <w:szCs w:val="19"/>
                <w:color w:val="auto"/>
              </w:rPr>
            </w:pPr>
          </w:p>
        </w:tc>
        <w:tc>
          <w:tcPr>
            <w:tcW w:w="5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shd w:val="clear" w:color="auto" w:fill="CEFFE7"/>
          </w:tcPr>
          <w:p>
            <w:pPr>
              <w:spacing w:after="0"/>
              <w:rPr>
                <w:sz w:val="19"/>
                <w:szCs w:val="19"/>
                <w:color w:val="auto"/>
              </w:rPr>
            </w:pPr>
          </w:p>
        </w:tc>
        <w:tc>
          <w:tcPr>
            <w:tcW w:w="500" w:type="dxa"/>
            <w:vAlign w:val="bottom"/>
            <w:gridSpan w:val="2"/>
            <w:shd w:val="clear" w:color="auto" w:fill="CEFFE7"/>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EFFE7"/>
          </w:tcPr>
          <w:p>
            <w:pPr>
              <w:spacing w:after="0"/>
              <w:rPr>
                <w:sz w:val="19"/>
                <w:szCs w:val="19"/>
                <w:color w:val="auto"/>
              </w:rPr>
            </w:pPr>
          </w:p>
        </w:tc>
        <w:tc>
          <w:tcPr>
            <w:tcW w:w="5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shd w:val="clear" w:color="auto" w:fill="CEFFE7"/>
          </w:tcPr>
          <w:p>
            <w:pPr>
              <w:spacing w:after="0"/>
              <w:rPr>
                <w:sz w:val="19"/>
                <w:szCs w:val="19"/>
                <w:color w:val="auto"/>
              </w:rPr>
            </w:pPr>
          </w:p>
        </w:tc>
        <w:tc>
          <w:tcPr>
            <w:tcW w:w="4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10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Net loss (gain)</w:t>
            </w: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EFFE7"/>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48"/>
        </w:trPr>
        <w:tc>
          <w:tcPr>
            <w:tcW w:w="410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60" w:type="dxa"/>
            <w:vAlign w:val="bottom"/>
            <w:tcBorders>
              <w:bottom w:val="single" w:sz="8" w:color="auto"/>
            </w:tcBorders>
            <w:shd w:val="clear" w:color="auto" w:fill="CEFFE7"/>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400" w:type="dxa"/>
            <w:vAlign w:val="bottom"/>
            <w:tcBorders>
              <w:bottom w:val="single" w:sz="8" w:color="auto"/>
            </w:tcBorders>
            <w:shd w:val="clear" w:color="auto" w:fill="CEFFE7"/>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auto"/>
            </w:tcBorders>
            <w:shd w:val="clear" w:color="auto" w:fill="CEFFE7"/>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320" w:type="dxa"/>
            <w:vAlign w:val="bottom"/>
            <w:tcBorders>
              <w:bottom w:val="single" w:sz="8" w:color="auto"/>
            </w:tcBorders>
            <w:shd w:val="clear" w:color="auto" w:fill="CEFFE7"/>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93"/>
              </w:rPr>
              <w:t>3,781</w:t>
            </w: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480" w:type="dxa"/>
            <w:vAlign w:val="bottom"/>
            <w:tcBorders>
              <w:top w:val="single" w:sz="8" w:color="CEFFE7"/>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Contributions</w:t>
      </w:r>
    </w:p>
    <w:p>
      <w:pPr>
        <w:spacing w:after="0" w:line="25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nine months of 2020 and anticipated contributions for 2020 and 2021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Contributions Made</w:t>
            </w:r>
          </w:p>
        </w:tc>
        <w:tc>
          <w:tcPr>
            <w:tcW w:w="16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16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Contributions</w:t>
            </w:r>
          </w:p>
        </w:tc>
        <w:tc>
          <w:tcPr>
            <w:tcW w:w="0" w:type="dxa"/>
            <w:vAlign w:val="bottom"/>
          </w:tcPr>
          <w:p>
            <w:pPr>
              <w:spacing w:after="0"/>
              <w:rPr>
                <w:sz w:val="1"/>
                <w:szCs w:val="1"/>
                <w:color w:val="auto"/>
              </w:rPr>
            </w:pPr>
          </w:p>
        </w:tc>
      </w:tr>
      <w:tr>
        <w:trPr>
          <w:trHeight w:val="225"/>
        </w:trPr>
        <w:tc>
          <w:tcPr>
            <w:tcW w:w="5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Contributions</w:t>
            </w:r>
          </w:p>
        </w:tc>
        <w:tc>
          <w:tcPr>
            <w:tcW w:w="1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w w:val="99"/>
              </w:rPr>
              <w:t>Nine Months Ended</w:t>
            </w:r>
          </w:p>
        </w:tc>
        <w:tc>
          <w:tcPr>
            <w:tcW w:w="160" w:type="dxa"/>
            <w:vAlign w:val="bottom"/>
          </w:tcPr>
          <w:p>
            <w:pPr>
              <w:spacing w:after="0"/>
              <w:rPr>
                <w:sz w:val="15"/>
                <w:szCs w:val="15"/>
                <w:color w:val="auto"/>
              </w:rPr>
            </w:pP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Anticipated for 2020</w:t>
            </w:r>
          </w:p>
        </w:tc>
        <w:tc>
          <w:tcPr>
            <w:tcW w:w="160" w:type="dxa"/>
            <w:vAlign w:val="bottom"/>
          </w:tcPr>
          <w:p>
            <w:pPr>
              <w:spacing w:after="0"/>
              <w:rPr>
                <w:sz w:val="15"/>
                <w:szCs w:val="15"/>
                <w:color w:val="auto"/>
              </w:rPr>
            </w:pPr>
          </w:p>
        </w:tc>
        <w:tc>
          <w:tcPr>
            <w:tcW w:w="1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8"/>
              </w:rPr>
              <w:t>Anticipated for 2021</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EFFE7"/>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Non-pension Defined Benefit Postretirement Healthcare Plans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30"/>
        </w:trPr>
        <w:tc>
          <w:tcPr>
            <w:tcW w:w="59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Supplemental Non-qualified Defined Benefit and Defined Contribution Plans</w:t>
            </w:r>
          </w:p>
        </w:tc>
        <w:tc>
          <w:tcPr>
            <w:tcW w:w="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tab/>
        <w:t>Commitments and Contingencies</w:t>
      </w:r>
    </w:p>
    <w:p>
      <w:pPr>
        <w:spacing w:after="0" w:line="256" w:lineRule="exact"/>
        <w:rPr>
          <w:sz w:val="20"/>
          <w:szCs w:val="20"/>
          <w:color w:val="auto"/>
        </w:rPr>
      </w:pPr>
    </w:p>
    <w:p>
      <w:pPr>
        <w:ind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significant changes to commitments and contingencies from those previously disclosed in Note 19 of our Notes to the Consolidated Financial Statements in our 2019 Annual Report on Form 10-K except for those described below and in </w:t>
      </w:r>
      <w:hyperlink w:anchor="page21">
        <w:r>
          <w:rPr>
            <w:rFonts w:ascii="Times New Roman" w:cs="Times New Roman" w:eastAsia="Times New Roman" w:hAnsi="Times New Roman"/>
            <w:sz w:val="18"/>
            <w:szCs w:val="18"/>
            <w:u w:val="single" w:color="auto"/>
            <w:color w:val="0000FF"/>
          </w:rPr>
          <w:t>Note 5</w:t>
        </w:r>
      </w:hyperlink>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Power Sales Agreement - Colorado Electric</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July 1, 2020, Colorado Electric entered into a PSA with the City of Colorado Springs to sell up to 60 MW of wind energy purchased from PRPA under a separate 60 MW PPA transacted on June 26, 2019. This PSA with the City of Colorado Springs expires June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Power Purchase Agreement - South Dakota Electric</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September 11, 2020, South Dakota Electric entered into a PPA with Fall River Solar, LLC to purchase up to 80 MW of renewable energy upon construction completion of a new solar facility which is expected by the end of 2022. This agreement will expire 20 years after construction completion.</w:t>
      </w:r>
    </w:p>
    <w:p>
      <w:pPr>
        <w:spacing w:after="0" w:line="200" w:lineRule="exact"/>
        <w:rPr>
          <w:sz w:val="20"/>
          <w:szCs w:val="20"/>
          <w:color w:val="auto"/>
        </w:rPr>
      </w:pPr>
    </w:p>
    <w:p>
      <w:pPr>
        <w:spacing w:after="0" w:line="228" w:lineRule="exact"/>
        <w:rPr>
          <w:sz w:val="20"/>
          <w:szCs w:val="20"/>
          <w:color w:val="auto"/>
        </w:rPr>
      </w:pPr>
    </w:p>
    <w:p>
      <w:pPr>
        <w:ind w:right="9700" w:firstLine="8"/>
        <w:spacing w:after="0" w:line="534" w:lineRule="auto"/>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CARES Act</w:t>
      </w:r>
    </w:p>
    <w:p>
      <w:pPr>
        <w:spacing w:after="0" w:line="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March 27, 2020, the President signed the CARES Act, which contained, in part, an allowance for deferral of the employer portion of Social Security employment tax liabilities until 2021 and 2022, as well as a COVID-19 employee retention tax credit of up to $5,000 per eligible employee.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Eligible employers are taxpayers experiencing either: (1) a full or partial suspension of business operations stemming from a government COVID-19 related order or (2) a more than 50% drop in gross receipts compared to the corresponding calendar quarter in 2019. This 50% employee retention tax credit applies up to $10,000 in qualified wages paid between March 13, 2020 through December 31, 2020, and is refundable to the extent it exceeds the employer portion of payroll tax liability.</w:t>
      </w:r>
    </w:p>
    <w:p>
      <w:pPr>
        <w:spacing w:after="0" w:line="20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Eligible wages or employer-paid health benefits must be paid for the period of time during which an employee did not provide services. However, employees do not need to stop providing all services to the employer for the credit to potentially apply.</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the CARES Act accelerates the amount of alternative minimum tax (“AMT”) credits that can be refunded for the 2018 and 2019 annual tax returns. In 2020, we filed for, and received, a refund of approximately $2.4 million of AMT credit carryforwards under this provision.</w:t>
      </w:r>
    </w:p>
    <w:p>
      <w:pPr>
        <w:spacing w:after="0" w:line="189"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During the three and nine months ended September 30, 2020, we utilized the payroll tax deferral provision which allowed us to defer payment of approximately $4.0 million and $6.9 million, respectively, of Social Security employment tax liabilities. We are currently reviewing the potential future benefits of the CARES Act related to employee retention tax credits to assess the impact on our financial position, results of operations and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for the Three Months Ended September 30, 2020 Compared to the Three Months Ended September 30, 2019.</w:t>
      </w:r>
    </w:p>
    <w:p>
      <w:pPr>
        <w:spacing w:after="0" w:line="256" w:lineRule="exact"/>
        <w:rPr>
          <w:sz w:val="20"/>
          <w:szCs w:val="20"/>
          <w:color w:val="auto"/>
        </w:rPr>
      </w:pPr>
    </w:p>
    <w:p>
      <w:pPr>
        <w:jc w:val="both"/>
        <w:ind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tax (expense) for the three months ended September 30, 2020 was $(4.7) million compared to $(2.5) million reported for the same period in 2019. For the three months ended September 30, 2020, the effective tax rate was 10.3% compared to 14.0% for the same period in 2019. The lower effective tax rate is primarily due to increased tax benefits from federal production tax credits associated with new wind assets and reversal of accrued excess deferred income taxes as part of resolving the last of the Company’s open dockets seeking approval of its TCJA plans as discussed in </w:t>
      </w:r>
      <w:hyperlink w:anchor="page21">
        <w:r>
          <w:rPr>
            <w:rFonts w:ascii="Times New Roman" w:cs="Times New Roman" w:eastAsia="Times New Roman" w:hAnsi="Times New Roman"/>
            <w:sz w:val="18"/>
            <w:szCs w:val="18"/>
            <w:u w:val="single" w:color="auto"/>
            <w:color w:val="0000FF"/>
          </w:rPr>
          <w:t>Note 5</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for the Nine Months Ended September 30, 2020 Compared to the Nine Months Ended September 30, 2019.</w:t>
      </w:r>
    </w:p>
    <w:p>
      <w:pPr>
        <w:spacing w:after="0" w:line="256" w:lineRule="exact"/>
        <w:rPr>
          <w:sz w:val="20"/>
          <w:szCs w:val="20"/>
          <w:color w:val="auto"/>
        </w:rPr>
      </w:pPr>
    </w:p>
    <w:p>
      <w:pPr>
        <w:ind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tax (expense) for the nine months ended September 30, 2020 was $(25) million compared to $(22) million reported for the same period in 2019. The effective tax rate was 13.6% for both the nine months ended September 30, 2020 and 2019, primarily due to increased tax benefits from forecasted federal production tax credits associated with new wind assets and reversal of accrued excess deferred income taxes as part of resolving the last of the Company’s open dockets seeking approval of its TCJA plans as discussed in </w:t>
      </w:r>
      <w:hyperlink w:anchor="page21">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offset by a prior year discrete tax benefit related to repairs and certain indirect costs.</w:t>
      </w:r>
    </w:p>
    <w:p>
      <w:pPr>
        <w:spacing w:after="0" w:line="200" w:lineRule="exact"/>
        <w:rPr>
          <w:sz w:val="20"/>
          <w:szCs w:val="20"/>
          <w:color w:val="auto"/>
        </w:rPr>
      </w:pPr>
    </w:p>
    <w:p>
      <w:pPr>
        <w:spacing w:after="0" w:line="249"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2018, we contributed $28 million of assets in exchange for equity securities in a privately held oil and gas company as we divested our Oil and Gas segment. The carrying value of our investment in the equity securities was recorded at cost. We review this investment on a periodic basis to determine whether a significant event or change in circumstances has occurred that may have an adverse effect on the value of the investment.</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third quarter of 2019, we assessed our investment for impairment as a result of a deterioration in earnings performance of the privately held oil and gas company and an adverse change in future natural gas prices. We engaged a third-party valuation consultant to estimate the fair value of our investment. The valuation was primarily based on an income approach but also considered a market valuation approach. The significant inputs used to estimate the fair value were the oil and gas reserve quantities and values utilizing forward market price curves, industry standard reserve adjustment factors and a discount rate of 10%. Based on the results of the valuation, we concluded that the carrying value of the investment exceeded fair value. As a result, we recorded a pre-tax impairment loss of $20 million for the three months ended September 30, 2019, which was the difference between the carrying value and the fair value of the investment at that time.</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first quarter of 2020, we assessed our investment for impairment as a result of continued adverse changes in future natural gas prices and liquidity concerns at the privately held oil and gas company. We performed an internal analysis to compute the fair value of our investment, utilizing a consistent methodology as applied during the third quarter of 2019. Based on the results of the valuation, we concluded that the carrying value of the investment exceeded fair value. As a result, we recorded a pre-tax impairment loss of $6.9 million for the three months ended March 31, 2020, which was the difference between the carrying value and the fair value of the investment at that time.</w:t>
      </w:r>
    </w:p>
    <w:p>
      <w:pPr>
        <w:sectPr>
          <w:pgSz w:w="11900" w:h="16838" w:orient="portrait"/>
          <w:cols w:equalWidth="0" w:num="1">
            <w:col w:w="11220"/>
          </w:cols>
          <w:pgMar w:left="320" w:top="124" w:right="35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our investments (in thousands)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240030</wp:posOffset>
            </wp:positionV>
            <wp:extent cx="710628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 in privately held oil and gas company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200" w:lineRule="exact"/>
        <w:rPr>
          <w:sz w:val="20"/>
          <w:szCs w:val="20"/>
          <w:color w:val="auto"/>
        </w:rPr>
      </w:pPr>
    </w:p>
    <w:p>
      <w:pPr>
        <w:spacing w:after="0" w:line="39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tab/>
        <w:t>Subsequent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2020</w:t>
            </w: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18"/>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r>
      <w:tr>
        <w:trPr>
          <w:trHeight w:val="230"/>
        </w:trPr>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w:t>
            </w:r>
          </w:p>
        </w:tc>
      </w:tr>
      <w:tr>
        <w:trPr>
          <w:trHeight w:val="234"/>
        </w:trPr>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51" w:lineRule="exact"/>
        <w:rPr>
          <w:sz w:val="20"/>
          <w:szCs w:val="20"/>
          <w:color w:val="auto"/>
        </w:rPr>
      </w:pPr>
    </w:p>
    <w:p>
      <w:pPr>
        <w:sectPr>
          <w:pgSz w:w="11900" w:h="16838" w:orient="portrait"/>
          <w:cols w:equalWidth="0" w:num="2">
            <w:col w:w="6300" w:space="560"/>
            <w:col w:w="4360"/>
          </w:cols>
          <w:pgMar w:left="320" w:top="124" w:right="359" w:bottom="1440" w:gutter="0" w:footer="0" w:header="0"/>
          <w:type w:val="continuous"/>
        </w:sectPr>
      </w:pPr>
    </w:p>
    <w:p>
      <w:pPr>
        <w:spacing w:after="0" w:line="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evaluated all subsequent event activity and concluded that no subsequent events have occurred that would require recognition in the condensed consolidated financial statements or disclosures, with the exception of those items disclosed in Note 5.</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36" w:name="page37"/>
    <w:bookmarkEnd w:id="36"/>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 customer-focused, growth-oriented utility company operating in the United States. We report our operations and results in the following business segments: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Electric Utilities</w:t>
      </w:r>
      <w:r>
        <w:rPr>
          <w:rFonts w:ascii="Times New Roman" w:cs="Times New Roman" w:eastAsia="Times New Roman" w:hAnsi="Times New Roman"/>
          <w:sz w:val="18"/>
          <w:szCs w:val="18"/>
          <w:color w:val="auto"/>
        </w:rPr>
        <w:t>: Our Electric Utilities segment generates, transmits and distributes electricity to approximately 214,000 customers in Colorado, Montana, South Dakota and Wyoming. Our electric generating facilities and power purchase agreements provide for the supply of electricity principally to our distribution systems. Additionally, we sell excess power to other utilities and marketing companies, including our affiliates. We also provide non-regulated services through our Tech Services product lines.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Gas Utilities</w:t>
      </w:r>
      <w:r>
        <w:rPr>
          <w:rFonts w:ascii="Times New Roman" w:cs="Times New Roman" w:eastAsia="Times New Roman" w:hAnsi="Times New Roman"/>
          <w:sz w:val="18"/>
          <w:szCs w:val="18"/>
          <w:color w:val="auto"/>
        </w:rPr>
        <w:t>: Our Gas Utilities segment conducts natural gas utility operations through our Arkansas, Colorado, Iowa, Kansas, Nebraska and Wyoming subsidiaries. Our Gas Utilities segment distributes and transports natural gas through our pipeline network to approximately 1,066,000 natural gas customers. Additionally, we sell contractual pipeline capacity and gas commodities to other utilities and marketing companies, including our affiliates, on an as-available basis.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Black Hills Energy Services provides natural gas supply to approximately 49,000 retail distribution customers under the Choice Gas Program in Nebraska and Wyoming. Additionally, we provide services under the Service Guard Comfort Plan and Tech Services and also offer HomeServe products.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Power Generation</w:t>
      </w:r>
      <w:r>
        <w:rPr>
          <w:rFonts w:ascii="Times New Roman" w:cs="Times New Roman" w:eastAsia="Times New Roman" w:hAnsi="Times New Roman"/>
          <w:sz w:val="18"/>
          <w:szCs w:val="18"/>
          <w:color w:val="auto"/>
        </w:rPr>
        <w:t>: Our Power Generation segment produces electric power from its non-regulated generating plants and sells the electric capacity and energy primarily to our utilities under long-term contracts.</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Mining</w:t>
      </w:r>
      <w:r>
        <w:rPr>
          <w:rFonts w:ascii="Times New Roman" w:cs="Times New Roman" w:eastAsia="Times New Roman" w:hAnsi="Times New Roman"/>
          <w:sz w:val="18"/>
          <w:szCs w:val="18"/>
          <w:color w:val="auto"/>
        </w:rPr>
        <w:t>: Our Mining segment extracts coal at our mine near Gillette, Wyoming, and sells the coal primarily to on-site, mine-mouth power generation facilities.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20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nine months ended September 30, 2020 and 2019, and our financial condition as of September 30, 2020 and December 31, 2019, are not necessarily indicative of the results of operations and financial condition to be expected as of or for any other period or for the entire year.</w:t>
      </w:r>
    </w:p>
    <w:p>
      <w:pPr>
        <w:spacing w:after="0" w:line="200"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58">
        <w:r>
          <w:rPr>
            <w:rFonts w:ascii="Times New Roman" w:cs="Times New Roman" w:eastAsia="Times New Roman" w:hAnsi="Times New Roman"/>
            <w:sz w:val="18"/>
            <w:szCs w:val="18"/>
            <w:u w:val="single" w:color="auto"/>
            <w:color w:val="0000FF"/>
          </w:rPr>
          <w:t>Forward-Looking Information</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 the </w:t>
      </w:r>
      <w:hyperlink w:anchor="page54">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section of this Item 2, beginning on Page </w:t>
      </w:r>
      <w:hyperlink w:anchor="page58">
        <w:r>
          <w:rPr>
            <w:rFonts w:ascii="Times New Roman" w:cs="Times New Roman" w:eastAsia="Times New Roman" w:hAnsi="Times New Roman"/>
            <w:sz w:val="18"/>
            <w:szCs w:val="18"/>
            <w:color w:val="0000FF"/>
          </w:rPr>
          <w:t>59</w:t>
        </w:r>
      </w:hyperlink>
      <w:r>
        <w:rPr>
          <w:rFonts w:ascii="Times New Roman" w:cs="Times New Roman" w:eastAsia="Times New Roman" w:hAnsi="Times New Roman"/>
          <w:sz w:val="18"/>
          <w:szCs w:val="18"/>
          <w:color w:val="auto"/>
        </w:rPr>
        <w:t>.</w:t>
      </w:r>
    </w:p>
    <w:p>
      <w:pPr>
        <w:spacing w:after="0" w:line="24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rFonts w:ascii="Times New Roman" w:cs="Times New Roman" w:eastAsia="Times New Roman" w:hAnsi="Times New Roman"/>
          <w:sz w:val="18"/>
          <w:szCs w:val="18"/>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One of the Company’s core values is safety. The COVID-19 pandemic has given us an opportunity to demonstrate our commitment to the health and safety of our customers, employees, business partners and the communities we serve. We have executed our business continuity plans across all of our jurisdictions with the goal of continuing to provide safe and reliable service during the COVID-19 pandemic.</w:t>
      </w:r>
    </w:p>
    <w:p>
      <w:pPr>
        <w:spacing w:after="0" w:line="270"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7" w:name="page38"/>
    <w:bookmarkEnd w:id="37"/>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we have experienced limited impacts to our financial results and operational activities due to COVID-19. Year-to-date decreases to gross margins are driven primarily by lower volumes and waived customer late payment fees. Increased operations and maintenance expenses due to sequestration of mission critical and essential employees and increased bad debt expense were partially offset by decreased training, travel, outside services and employee related expenses.</w:t>
      </w:r>
    </w:p>
    <w:p>
      <w:pPr>
        <w:spacing w:after="0" w:line="2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2020, COVID-19 had a limited impact on revenues and customer loads. Increases in revenues and customer loads for the three months ended September 30, 2020, when compared to the same period in the prior year, were driven primarily by warmer and drier weather across our service territories. Declines in revenues and customer loads for the nine months ended September 30, 2020, when compared to the same period in the prior year, were driven primarily by milder first quarter winter temperatures in our Gas Utilities’ service territories. We continue to closely monitor loads in our states as updated executive orders and recommendations associated with COVID-19 are provided. We have continued to proactively communicate with various commercial and industrial customers in our service territories to understand their needs and forecast the potential financial implications. We have increased our allowance for credit losses and bad debt expense by $1.7 million and $3.7 million for the three and nine months ended September 30, 2020, respectively, after considering the potential economic impact of the COVID-19 pandemic in forward looking projections related to write-off and recovery rates. All of our jurisdictions temporarily suspended disconnections for a period of time. State orders lifting those restrictions have been issued in nearly all of our jurisdictions; however, we expect the status of restrictions will continue to fluctuate for the next several months. </w:t>
      </w:r>
      <w:r>
        <w:rPr>
          <w:rFonts w:ascii="Times New Roman" w:cs="Times New Roman" w:eastAsia="Times New Roman" w:hAnsi="Times New Roman"/>
          <w:sz w:val="18"/>
          <w:szCs w:val="18"/>
          <w:color w:val="212529"/>
        </w:rPr>
        <w:t>We continue to monitor customer loads, accounts receivable arrears balances, disconnects, cash flows and bad debt expense. 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proactively working with customers to establish payment plans and find available payment assistance resources.</w:t>
      </w:r>
    </w:p>
    <w:p>
      <w:pPr>
        <w:spacing w:after="0" w:line="2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continue to maintain adequate liquidity to operate our businesses and fund our capital investment program. In February 2020, the Company issued $100 million in equity to support its 2020 capital investment program. In June 2020, the Company issued $400 million of long-term debt which was used to repay short-term debt and for working capital and general corporate purposes. For the nine months ended September 30, 2020, the Company also utilized a combination of its $750 million Revolving Credit Facility and CP Program to meet its funding requirements. The Company has no material debt maturities until late 2023 and as of September 30, 2020, had $648 million of liquidity which included $7.0 million of cash and $641 million of available capacity on its Revolving Credit Facility. We continue to meet our debt covenant requirements. We also continue to monitor the funding status of our employee benefit plan obligations, which did not materially change during the nine months ended September 30, 2020.</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monitoring supply chains, including lead times for key materials and supplies, availability of resources, and statuses of large capital projects. To date, there have been limited impacts from COVID-19 on supply chains including the availability of supplies, materials and lead times. Capital projects are ongoing without material disruption to schedules. Our third party resources continue to support our business plans without disruption. Contingency plans are ready to be executed if significant disruption to supply chain occurs; however, we currently do not anticipate a significant impact from COVID-19 on our capital investment plan for 2020.</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work closely with local health, public safety and government officials to minimize the spread of COVID-19 and its impact to our employees and the services we provide to our customers. Actions the Company had taken earlier in the year include implementing protocols for our field operations personnel to continue to safely and effectively interact with our customers, asking employees to work from home, requiring employees to complete daily health assessments, covering COVID-19 testing at 100% for our active employee medical plans, limiting travel to only mission-critical purposes and sequestering essential employees.</w:t>
      </w:r>
    </w:p>
    <w:p>
      <w:pPr>
        <w:spacing w:after="0" w:line="210"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 xml:space="preserve">During the third quarter of 2020, we suspended sequestration of essential employees but continue to monitor the impacts of COVID-19 in our service territories to ensure we provide essential services to our customers. Additionally, we implemented our </w:t>
      </w:r>
      <w:r>
        <w:rPr>
          <w:rFonts w:ascii="Times New Roman" w:cs="Times New Roman" w:eastAsia="Times New Roman" w:hAnsi="Times New Roman"/>
          <w:sz w:val="17"/>
          <w:szCs w:val="17"/>
          <w:i w:val="1"/>
          <w:iCs w:val="1"/>
          <w:color w:val="auto"/>
        </w:rPr>
        <w:t>Ready2Return</w:t>
      </w:r>
      <w:r>
        <w:rPr>
          <w:rFonts w:ascii="Times New Roman" w:cs="Times New Roman" w:eastAsia="Times New Roman" w:hAnsi="Times New Roman"/>
          <w:sz w:val="17"/>
          <w:szCs w:val="17"/>
          <w:color w:val="auto"/>
        </w:rPr>
        <w:t xml:space="preserve"> program, which includes a phased return of our employees to our work facilities while keeping our workforce healthy, safe and informed. Our </w:t>
      </w:r>
      <w:r>
        <w:rPr>
          <w:rFonts w:ascii="Times New Roman" w:cs="Times New Roman" w:eastAsia="Times New Roman" w:hAnsi="Times New Roman"/>
          <w:sz w:val="17"/>
          <w:szCs w:val="17"/>
          <w:i w:val="1"/>
          <w:iCs w:val="1"/>
          <w:color w:val="auto"/>
        </w:rPr>
        <w:t>Ready2Return</w:t>
      </w:r>
      <w:r>
        <w:rPr>
          <w:rFonts w:ascii="Times New Roman" w:cs="Times New Roman" w:eastAsia="Times New Roman" w:hAnsi="Times New Roman"/>
          <w:sz w:val="17"/>
          <w:szCs w:val="17"/>
          <w:color w:val="auto"/>
        </w:rPr>
        <w:t xml:space="preserve"> program also focuses on enhancing our facility readiness to improve ventilation, ensure social distancing and establish cleaning services to reduce the spread of infection.</w:t>
      </w:r>
    </w:p>
    <w:p>
      <w:pPr>
        <w:spacing w:after="0" w:line="19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provide periodic status updates and maintain ongoing dialogue with the regulatory commissions in our jurisdictions. We are working with regulators in each of our service territories to preserve our right for deferred regulatory treatment for certain COVID-19 related costs and to seek recovery of these costs at a later date.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these uncertain times, we remain highly focused on the safety and health of our customers, employees, business partners and communities. We continue to monitor load, customers’ ability to pay, the potential for supply chain disruption that may impact our capital and maintenance project plans, the availability of resources to execute our plans and the capital markets to ensure we have the liquidity necessary to support our financial needs.</w:t>
      </w:r>
    </w:p>
    <w:p>
      <w:pPr>
        <w:spacing w:after="0" w:line="203" w:lineRule="exact"/>
        <w:rPr>
          <w:sz w:val="20"/>
          <w:szCs w:val="20"/>
          <w:color w:val="auto"/>
        </w:rPr>
      </w:pPr>
    </w:p>
    <w:p>
      <w:pPr>
        <w:ind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we look forward to the fourth quarter of 2020 and beyond, we anticipate that our operating results could be further affected by COVID-19, as discussed in detail in our </w:t>
      </w:r>
      <w:hyperlink w:anchor="page60">
        <w:r>
          <w:rPr>
            <w:rFonts w:ascii="Times New Roman" w:cs="Times New Roman" w:eastAsia="Times New Roman" w:hAnsi="Times New Roman"/>
            <w:sz w:val="18"/>
            <w:szCs w:val="18"/>
            <w:u w:val="single" w:color="auto"/>
            <w:color w:val="0000FF"/>
          </w:rPr>
          <w:t>Risk Factors</w:t>
        </w:r>
      </w:hyperlink>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Business Segment Highlights and Corporate Activity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Electric Utilities</w:t>
      </w:r>
    </w:p>
    <w:p>
      <w:pPr>
        <w:spacing w:after="0" w:line="252" w:lineRule="exact"/>
        <w:rPr>
          <w:sz w:val="20"/>
          <w:szCs w:val="20"/>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Dakota Electric and Wyoming Electric continued construction of the $79 million, Corriedale project. The wind project will be jointly owned by the two electric utilities to deliver renewable energy for large commercial, industrial and governmental agency customers. The project is expected to be fully in service in the fourth quarter of 2020.</w:t>
      </w:r>
    </w:p>
    <w:p>
      <w:pPr>
        <w:spacing w:after="0" w:line="202"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15, 2020, the FERC approved a settlement agreement that represents a resolution of all issues in the joint application filed by Wyoming Electric and Black Hills Wyoming on August 2, 2019 for approval of a new 60 MW PPA. Under terms of the settlement, Wyoming Electric will continue to receive 60 MW of capacity and energy from the Wygen I power plant. The new agreement will commence on January 1, 2022, replace the existing PPA and continue for 11 years.</w:t>
      </w:r>
    </w:p>
    <w:p>
      <w:pPr>
        <w:spacing w:after="0" w:line="20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23, 2020, Colorado Electric received approval from the CPUC for its request for approval of its preferred solar bid in support of its Renewable Advantage program. The program plans to add up to 200 MW of renewable energy in Colorado by the end of 2023.</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10, 2020, Wyoming Electric set a new all-time peak load of 271 MW, surpassing the previous peak of 265 MW set in July 2019.</w:t>
      </w:r>
    </w:p>
    <w:p>
      <w:pPr>
        <w:spacing w:after="0" w:line="252"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2020, citizens in Pueblo, Colorado voted overwhelmingly to retain Colorado Electric as its electric utility provider by 75.6% of votes cast. The current franchise agreement continues through 2030.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Gas Utilities</w:t>
      </w:r>
    </w:p>
    <w:p>
      <w:pPr>
        <w:spacing w:after="0" w:line="252" w:lineRule="exact"/>
        <w:rPr>
          <w:sz w:val="20"/>
          <w:szCs w:val="20"/>
          <w:color w:val="auto"/>
        </w:rPr>
      </w:pPr>
    </w:p>
    <w:p>
      <w:pPr>
        <w:ind w:left="660" w:right="160" w:hanging="328"/>
        <w:spacing w:after="0" w:line="258" w:lineRule="auto"/>
        <w:tabs>
          <w:tab w:leader="none" w:pos="655" w:val="left"/>
        </w:tabs>
        <w:numPr>
          <w:ilvl w:val="0"/>
          <w:numId w:val="22"/>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 xml:space="preserve">On September 11, 2020, Colorado Gas filed a rate review with the CPUC seeking recovery on significant infrastructure investments in its 7,000-mile natural gas pipeline system. The rate review requests $13.5 million in new annual revenue with </w:t>
      </w:r>
      <w:r>
        <w:rPr>
          <w:rFonts w:ascii="Times New Roman" w:cs="Times New Roman" w:eastAsia="Times New Roman" w:hAnsi="Times New Roman"/>
          <w:sz w:val="18"/>
          <w:szCs w:val="18"/>
          <w:color w:val="242424"/>
        </w:rPr>
        <w:t>a capital structure of 50% equity and 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debt and a return on equity of 9.95%. The request seeks to implement new rates in the second quarter of 2021. </w:t>
      </w:r>
      <w:r>
        <w:rPr>
          <w:rFonts w:ascii="Times New Roman" w:cs="Times New Roman" w:eastAsia="Times New Roman" w:hAnsi="Times New Roman"/>
          <w:sz w:val="18"/>
          <w:szCs w:val="18"/>
          <w:color w:val="000000"/>
        </w:rPr>
        <w:t>On September 11, 2020, in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accordance with the final order from the earlier rate review discussed below, Colorado Gas also filed a new SSIR proposal that would recover safety-focused investments in its system over five years.</w:t>
      </w:r>
    </w:p>
    <w:p>
      <w:pPr>
        <w:spacing w:after="0" w:line="210" w:lineRule="exact"/>
        <w:rPr>
          <w:rFonts w:ascii="Times New Roman" w:cs="Times New Roman" w:eastAsia="Times New Roman" w:hAnsi="Times New Roman"/>
          <w:sz w:val="18"/>
          <w:szCs w:val="18"/>
          <w:color w:val="242424"/>
        </w:rPr>
      </w:pPr>
    </w:p>
    <w:p>
      <w:pPr>
        <w:ind w:left="660" w:right="20" w:hanging="328"/>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2020, Nebraska Gas filed a rate review with the NPSC to consolidate rate schedules into a new, single statewide structure and seek recovery on significant infrastructure investments in its 13,000-mile natural gas pipeline system. The rate review requests $17.3 million in new revenue with a capital structure of 50% equity and 50% debt and a return on equity of 10%. Nebraska statute allows for implementation of interim rates 90 days after filing a rate review and Nebraska Gas implemented interim rates effective on September 1, 2020. The request seeks to finalize rates in the first quarter of 2021. Nebraska Gas is also requesting an extension of its SSIR for five years to align the rider recovery mechanisms across the consolidated utility.</w:t>
      </w:r>
    </w:p>
    <w:p>
      <w:pPr>
        <w:spacing w:after="0" w:line="214"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2019, Colorado Gas filed a rate review with the CPUC requesting $2.5 million in new revenue to recover investments in safety, reliability and system integrity and approval to consolidate rates, tariffs, and services of its two existing gas distribution territories. Colorado Gas also requested a new rider mechanism to recover future safety and integrity investments in its system. On May 19, 2020, the CPUC issued a final order which denied the new system integrity recovery mechanism and consolidation of rate territories. In addition, the order resulted in an annual revenue decrease of $0.6 million and a return on equity of 9.2%. New rates were effective July 3, 2020.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9" w:name="page40"/>
    <w:bookmarkEnd w:id="39"/>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Wyoming Gas’s new single statewide rate structure was effective March 1, 2020. On December 11, 2019, Wyoming Gas received approval from the WPSC to consolidate the rates, tariffs and services of its four existing gas distribution territories. New rates are expected to generate $13 million in new annual revenue based on a return on equity of 9.40% and a capital structure of 50.23% equity and 49.77% debt. The approval also allows for a rider to recover integrity investments for system safety and reliability.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Power Generation</w:t>
      </w:r>
    </w:p>
    <w:p>
      <w:pPr>
        <w:spacing w:after="0" w:line="252" w:lineRule="exact"/>
        <w:rPr>
          <w:sz w:val="20"/>
          <w:szCs w:val="20"/>
          <w:color w:val="auto"/>
        </w:rPr>
      </w:pPr>
    </w:p>
    <w:p>
      <w:pPr>
        <w:jc w:val="both"/>
        <w:ind w:left="660" w:right="1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15, 2020, the FERC approved a settlement agreement that represents a resolution of all issues in the joint application filed by Black Hills Wyoming and Wyoming Electric on August 2, 2019 for approval of a new 60 MW PPA. See additional information in the Electric Utilities Segment highlights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and Other</w:t>
      </w:r>
    </w:p>
    <w:p>
      <w:pPr>
        <w:spacing w:after="0" w:line="25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20, 2020, Fitch affirmed South Dakota Electric’s credit rating at 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20, 2020, Fitch affirmed our BBB+ rating and maintained a stable outlook.</w:t>
      </w:r>
    </w:p>
    <w:p>
      <w:pPr>
        <w:spacing w:after="0" w:line="252"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 2020, we filed a shelf registration and DRSPP with the SEC. In conjunction with these shelf filings, we renewed the ATM. The renewed ATM program, which allows us to sell shares of our common stock, is the same as the prior program other than the aggregate value increased from $300 million to $400 million and a forward sales option was incorporated.</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17, 2020, we completed a public debt offering of $400 million principal amount in senior unsecured notes. The debt offering consisted of $400 million of 2.50%, 10-year senior notes due June 15, 2030. The proceeds were used to repay short-term debt and for working capital and general corporate purposes.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2020, S&amp;P affirmed South Dakota Electric’s credit rating at 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10, 2020, S&amp;P affirmed our BBB+ rating and maintained a stable outlook.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2020, we issued 1.2 million shares of common stock at a price of $81.77 per share for net proceeds of $99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40" w:name="page41"/>
    <w:bookmarkEnd w:id="40"/>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Segment information does not include intercompany eliminations and all amounts are presented on a pre-tax basis unless otherwise indicated. Minor differences may result due to rounding.</w:t>
      </w:r>
    </w:p>
    <w:p>
      <w:pPr>
        <w:sectPr>
          <w:pgSz w:w="11900" w:h="16838" w:orient="portrait"/>
          <w:cols w:equalWidth="0" w:num="1">
            <w:col w:w="11240"/>
          </w:cols>
          <w:pgMar w:left="320" w:top="124"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Summary and Overview</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Adjusted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3"/>
          <w:szCs w:val="23"/>
          <w:i w:val="1"/>
          <w:iCs w:val="1"/>
          <w:color w:val="auto"/>
          <w:vertAlign w:val="superscript"/>
        </w:rPr>
        <w:t>(a)</w:t>
      </w:r>
    </w:p>
    <w:p>
      <w:pPr>
        <w:ind w:left="120"/>
        <w:spacing w:after="0"/>
        <w:rPr>
          <w:sz w:val="20"/>
          <w:szCs w:val="20"/>
          <w:color w:val="auto"/>
        </w:rPr>
      </w:pPr>
      <w:r>
        <w:rPr>
          <w:rFonts w:ascii="Times New Roman" w:cs="Times New Roman" w:eastAsia="Times New Roman" w:hAnsi="Times New Roman"/>
          <w:sz w:val="18"/>
          <w:szCs w:val="18"/>
          <w:color w:val="auto"/>
        </w:rPr>
        <w:t>Electric Utilities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Gas Utilities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Power Generation</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Mining</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and Other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Impairment of investment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1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20"/>
                <w:szCs w:val="20"/>
                <w:color w:val="auto"/>
              </w:rPr>
            </w:pPr>
          </w:p>
        </w:tc>
        <w:tc>
          <w:tcPr>
            <w:tcW w:w="31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2019</w:t>
            </w:r>
          </w:p>
        </w:tc>
      </w:tr>
      <w:tr>
        <w:trPr>
          <w:trHeight w:val="4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363,491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1,328,456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1,368,748</w:t>
            </w:r>
          </w:p>
        </w:tc>
      </w:tr>
      <w:tr>
        <w:trPr>
          <w:trHeight w:val="234"/>
        </w:trPr>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(39,935)</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(117,902)</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(111,502)</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346,590</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325,548</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1,210,554</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1,257,246</w:t>
            </w:r>
          </w:p>
        </w:tc>
      </w:tr>
      <w:tr>
        <w:trPr>
          <w:trHeight w:val="4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125,219</w:t>
            </w:r>
          </w:p>
        </w:tc>
      </w:tr>
      <w:tr>
        <w:trPr>
          <w:trHeight w:val="229"/>
        </w:trPr>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139,253</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116,607</w:t>
            </w:r>
          </w:p>
        </w:tc>
      </w:tr>
      <w:tr>
        <w:trPr>
          <w:trHeight w:val="230"/>
        </w:trPr>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33,945</w:t>
            </w:r>
          </w:p>
        </w:tc>
      </w:tr>
      <w:tr>
        <w:trPr>
          <w:trHeight w:val="229"/>
        </w:trPr>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r>
      <w:tr>
        <w:trPr>
          <w:trHeight w:val="234"/>
        </w:trPr>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3"/>
        </w:trPr>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70,551</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302,352</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284,683</w:t>
            </w:r>
          </w:p>
        </w:tc>
      </w:tr>
      <w:tr>
        <w:trPr>
          <w:trHeight w:val="475"/>
        </w:trPr>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(36,041)</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(107,039)</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(102,469)</w:t>
            </w:r>
          </w:p>
        </w:tc>
      </w:tr>
      <w:tr>
        <w:trPr>
          <w:trHeight w:val="230"/>
        </w:trPr>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29"/>
        </w:trPr>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-2228215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-1936750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-1637030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-1345565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-1053465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-753745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-436880</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-145415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20" w:space="720"/>
            <w:col w:w="680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6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5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162,267</w:t>
            </w:r>
          </w:p>
        </w:tc>
        <w:tc>
          <w:tcPr>
            <w:tcW w:w="5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140,450</w:t>
            </w:r>
          </w:p>
        </w:tc>
      </w:tr>
      <w:tr>
        <w:trPr>
          <w:trHeight w:val="230"/>
        </w:trPr>
        <w:tc>
          <w:tcPr>
            <w:tcW w:w="444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620" w:type="dxa"/>
            <w:vAlign w:val="bottom"/>
            <w:tcBorders>
              <w:bottom w:val="single" w:sz="8" w:color="auto"/>
            </w:tcBorders>
            <w:shd w:val="clear" w:color="auto" w:fill="CEFFE7"/>
          </w:tcPr>
          <w:p>
            <w:pPr>
              <w:spacing w:after="0"/>
              <w:rPr>
                <w:sz w:val="19"/>
                <w:szCs w:val="19"/>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620" w:type="dxa"/>
            <w:vAlign w:val="bottom"/>
            <w:tcBorders>
              <w:bottom w:val="single" w:sz="8" w:color="auto"/>
            </w:tcBorders>
            <w:shd w:val="clear" w:color="auto" w:fill="CEFFE7"/>
          </w:tcPr>
          <w:p>
            <w:pPr>
              <w:spacing w:after="0"/>
              <w:rPr>
                <w:sz w:val="19"/>
                <w:szCs w:val="19"/>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580" w:type="dxa"/>
            <w:vAlign w:val="bottom"/>
            <w:tcBorders>
              <w:bottom w:val="single" w:sz="8" w:color="auto"/>
            </w:tcBorders>
            <w:shd w:val="clear" w:color="auto" w:fill="CEFFE7"/>
          </w:tcPr>
          <w:p>
            <w:pPr>
              <w:spacing w:after="0"/>
              <w:rPr>
                <w:sz w:val="19"/>
                <w:szCs w:val="19"/>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580" w:type="dxa"/>
            <w:vAlign w:val="bottom"/>
            <w:tcBorders>
              <w:bottom w:val="single" w:sz="8" w:color="auto"/>
            </w:tcBorders>
            <w:shd w:val="clear" w:color="auto" w:fill="CEFFE7"/>
          </w:tcPr>
          <w:p>
            <w:pPr>
              <w:spacing w:after="0"/>
              <w:rPr>
                <w:sz w:val="19"/>
                <w:szCs w:val="19"/>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(10,319)</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36,283</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150,423</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130,131</w:t>
            </w:r>
          </w:p>
        </w:tc>
      </w:tr>
      <w:tr>
        <w:trPr>
          <w:trHeight w:val="20"/>
        </w:trPr>
        <w:tc>
          <w:tcPr>
            <w:tcW w:w="4440" w:type="dxa"/>
            <w:vAlign w:val="bottom"/>
            <w:tcBorders>
              <w:bottom w:val="single" w:sz="8" w:color="CEFFE7"/>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440" w:type="dxa"/>
            <w:vAlign w:val="bottom"/>
            <w:shd w:val="clear" w:color="auto" w:fill="CEFFE7"/>
          </w:tcPr>
          <w:p>
            <w:pPr>
              <w:spacing w:after="0"/>
              <w:rPr>
                <w:sz w:val="20"/>
                <w:szCs w:val="20"/>
                <w:color w:val="auto"/>
              </w:rPr>
            </w:pPr>
          </w:p>
        </w:tc>
        <w:tc>
          <w:tcPr>
            <w:tcW w:w="62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spacing w:after="0"/>
              <w:rPr>
                <w:sz w:val="20"/>
                <w:szCs w:val="20"/>
                <w:color w:val="auto"/>
              </w:rPr>
            </w:pPr>
          </w:p>
        </w:tc>
        <w:tc>
          <w:tcPr>
            <w:tcW w:w="62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spacing w:after="0"/>
              <w:rPr>
                <w:sz w:val="20"/>
                <w:szCs w:val="20"/>
                <w:color w:val="auto"/>
              </w:rPr>
            </w:pPr>
          </w:p>
        </w:tc>
        <w:tc>
          <w:tcPr>
            <w:tcW w:w="580" w:type="dxa"/>
            <w:vAlign w:val="bottom"/>
            <w:tcBorders>
              <w:bottom w:val="single" w:sz="8" w:color="auto"/>
            </w:tcBorders>
            <w:shd w:val="clear" w:color="auto" w:fill="CEFFE7"/>
          </w:tcPr>
          <w:p>
            <w:pPr>
              <w:spacing w:after="0"/>
              <w:rPr>
                <w:sz w:val="20"/>
                <w:szCs w:val="20"/>
                <w:color w:val="auto"/>
              </w:rPr>
            </w:pPr>
          </w:p>
        </w:tc>
        <w:tc>
          <w:tcPr>
            <w:tcW w:w="1120" w:type="dxa"/>
            <w:vAlign w:val="bottom"/>
            <w:tcBorders>
              <w:bottom w:val="single" w:sz="8" w:color="auto"/>
            </w:tcBorders>
            <w:shd w:val="clear" w:color="auto" w:fill="CEFFE7"/>
          </w:tcPr>
          <w:p>
            <w:pPr>
              <w:spacing w:after="0"/>
              <w:rPr>
                <w:sz w:val="20"/>
                <w:szCs w:val="20"/>
                <w:color w:val="auto"/>
              </w:rPr>
            </w:pPr>
          </w:p>
        </w:tc>
        <w:tc>
          <w:tcPr>
            <w:tcW w:w="580" w:type="dxa"/>
            <w:vAlign w:val="bottom"/>
            <w:tcBorders>
              <w:bottom w:val="single" w:sz="8" w:color="auto"/>
            </w:tcBorders>
            <w:shd w:val="clear" w:color="auto" w:fill="CEFFE7"/>
          </w:tcPr>
          <w:p>
            <w:pPr>
              <w:spacing w:after="0"/>
              <w:rPr>
                <w:sz w:val="20"/>
                <w:szCs w:val="20"/>
                <w:color w:val="auto"/>
              </w:rPr>
            </w:pPr>
          </w:p>
        </w:tc>
        <w:tc>
          <w:tcPr>
            <w:tcW w:w="1120" w:type="dxa"/>
            <w:vAlign w:val="bottom"/>
            <w:tcBorders>
              <w:bottom w:val="single" w:sz="8" w:color="auto"/>
            </w:tcBorders>
            <w:shd w:val="clear" w:color="auto" w:fill="CEFFE7"/>
          </w:tcPr>
          <w:p>
            <w:pPr>
              <w:spacing w:after="0"/>
              <w:rPr>
                <w:sz w:val="20"/>
                <w:szCs w:val="20"/>
                <w:color w:val="auto"/>
              </w:rPr>
            </w:pPr>
          </w:p>
        </w:tc>
      </w:tr>
      <w:tr>
        <w:trPr>
          <w:trHeight w:val="223"/>
        </w:trPr>
        <w:tc>
          <w:tcPr>
            <w:tcW w:w="444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 Basic</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8"/>
        </w:trPr>
        <w:tc>
          <w:tcPr>
            <w:tcW w:w="44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620" w:type="dxa"/>
            <w:vAlign w:val="bottom"/>
            <w:tcBorders>
              <w:bottom w:val="single" w:sz="8" w:color="auto"/>
            </w:tcBorders>
            <w:shd w:val="clear" w:color="auto" w:fill="CEFFE7"/>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620" w:type="dxa"/>
            <w:vAlign w:val="bottom"/>
            <w:tcBorders>
              <w:bottom w:val="single" w:sz="8" w:color="auto"/>
            </w:tcBorders>
            <w:shd w:val="clear" w:color="auto" w:fill="CEFFE7"/>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80" w:type="dxa"/>
            <w:vAlign w:val="bottom"/>
            <w:tcBorders>
              <w:bottom w:val="single" w:sz="8" w:color="auto"/>
            </w:tcBorders>
            <w:shd w:val="clear" w:color="auto" w:fill="CEFFE7"/>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580" w:type="dxa"/>
            <w:vAlign w:val="bottom"/>
            <w:tcBorders>
              <w:bottom w:val="single" w:sz="8" w:color="auto"/>
            </w:tcBorders>
            <w:shd w:val="clear" w:color="auto" w:fill="CEFFE7"/>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4440" w:type="dxa"/>
            <w:vAlign w:val="bottom"/>
            <w:tcBorders>
              <w:top w:val="single" w:sz="8" w:color="CEFFE7"/>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58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58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ind w:left="340" w:right="60" w:hanging="332"/>
        <w:spacing w:after="0" w:line="257" w:lineRule="auto"/>
        <w:tabs>
          <w:tab w:leader="none" w:pos="3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Three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variance to the prior year included the following:</w:t>
      </w:r>
    </w:p>
    <w:p>
      <w:pPr>
        <w:spacing w:after="0" w:line="252" w:lineRule="exact"/>
        <w:rPr>
          <w:sz w:val="20"/>
          <w:szCs w:val="20"/>
          <w:color w:val="auto"/>
        </w:rPr>
      </w:pPr>
    </w:p>
    <w:p>
      <w:pPr>
        <w:jc w:val="both"/>
        <w:ind w:left="660" w:right="80" w:hanging="328"/>
        <w:spacing w:after="0" w:line="25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related impacts to consolidated results included $1.0 million of lower gross margin driven primarily by waived customer late payment fees, $1.7 million of additional bad debt expense and $0.5 million of costs due to sequestration of mission-critical and essential employees which were partially offset by $1.1 million of lower travel, training, and employee related expenses;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Utilities’ adjusted operating income increased $1.4 million primarily due to rider revenues and benefits from the release of TCJA revenue reserves partially offset by higher operating expenses and mark-to-market losses on wholesale energy contracts;</w:t>
      </w:r>
    </w:p>
    <w:p>
      <w:pPr>
        <w:ind w:left="660" w:right="8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 Utilities’ adjusted operating income increased $13 million primarily due to drier summer weather favorably impacting our Nebraska service territory irrigation loads, new customer rates in Wyoming and Nebraska and mark-to-market gains on non-utility natural gas commodity contracts partially offset by higher operating expenses;</w:t>
      </w:r>
    </w:p>
    <w:p>
      <w:pPr>
        <w:spacing w:after="0" w:line="1"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adjusted operating income decreased $3.1 million primarily due to higher operating expenses driven by the early retirement of certain assets;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$2.6 million primarily due to higher debt balances partially offset by lower rates;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1" w:name="page42"/>
    <w:bookmarkEnd w:id="41"/>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year $20 million pre-tax non-cash impairment of our investment in equity securities of a privately held oil and gas company;</w:t>
      </w:r>
    </w:p>
    <w:p>
      <w:pPr>
        <w:spacing w:after="0" w:line="27"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increased $1.8 million primarily due to increased costs for our non-qualified benefit plan driven by market performance on plan assets and increased non-service pension costs resulting from a change in accounting principle for our defined benefit pension plan effective January 1, 2020;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increased $2.1 million primarily due to higher pre-tax earnings partially offset by a lower effective tax rate.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Nine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variance to the prior year included the following:</w:t>
      </w:r>
    </w:p>
    <w:p>
      <w:pPr>
        <w:spacing w:after="0" w:line="252" w:lineRule="exact"/>
        <w:rPr>
          <w:sz w:val="20"/>
          <w:szCs w:val="20"/>
          <w:color w:val="auto"/>
        </w:rPr>
      </w:pPr>
    </w:p>
    <w:p>
      <w:pPr>
        <w:ind w:left="660" w:right="200" w:hanging="328"/>
        <w:spacing w:after="0" w:line="272"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COVID-19 related impacts to consolidated results included $3.4 million of lower gross margin driven primarily by lower volumes and waived customer late payment fees, $2.6 million of costs due to sequestration of mission-critical and essential employees and $3.7 million of additional bad debt expense which were partially offset by $4.6 million of lower travel, training, outside services and employee related expenses;</w:t>
      </w:r>
    </w:p>
    <w:p>
      <w:pPr>
        <w:spacing w:after="0" w:line="1" w:lineRule="exact"/>
        <w:rPr>
          <w:rFonts w:ascii="Times New Roman" w:cs="Times New Roman" w:eastAsia="Times New Roman" w:hAnsi="Times New Roman"/>
          <w:sz w:val="17"/>
          <w:szCs w:val="17"/>
          <w:color w:val="auto"/>
        </w:rPr>
      </w:pPr>
    </w:p>
    <w:p>
      <w:pPr>
        <w:ind w:left="660" w:right="14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Utilities’ adjusted operating income decreased $3.5 million primarily due to higher operating expenses and COVID-19 impacts partially offset by benefits from the release of TCJA revenue reserves, rider revenues and favorable weather;</w:t>
      </w:r>
    </w:p>
    <w:p>
      <w:pPr>
        <w:jc w:val="both"/>
        <w:ind w:left="660" w:right="2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 Utilities’ adjusted operating income increased $23 million primarily due to new customer rates in Wyoming, mark-to-market gains on non-utility natural gas commodity contracts, prior year amortization of excess deferred income taxes and customer growth partially offset by higher operating expenses and COVID-19 impacts;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adjusted operating income decreased $2.5 million primarily due to higher operating expenses driven by the early retirement of certain assets;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$4.6 million primarily due to higher debt balances partially offset by lower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year $20 million pre-tax non-cash impairment of our investment in equity securities of a privately held oil and gas company compared to a current year $6.9 million impairment on the same investment; and</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increased $3.4 million primarily due to higher pre-tax earnings with similar effective tax rates.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56" w:lineRule="exact"/>
        <w:rPr>
          <w:sz w:val="20"/>
          <w:szCs w:val="20"/>
          <w:color w:val="auto"/>
        </w:rPr>
      </w:pPr>
    </w:p>
    <w:p>
      <w:pPr>
        <w:ind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discussion of operating results from our segments and Corporate activities follows in the sections below. Revenues for operating segments in the following sections are presented in total and by retail class. For disaggregation of revenue by contract type and operating segment, see </w:t>
      </w:r>
      <w:hyperlink w:anchor="page16">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for more information.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9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gross margin measure may not be comparable to other companies’ gross margin measures.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2" w:name="page43"/>
    <w:bookmarkEnd w:id="42"/>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 Utilities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67"/>
        </w:trPr>
        <w:tc>
          <w:tcPr>
            <w:tcW w:w="122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24"/>
                <w:szCs w:val="24"/>
                <w:color w:val="auto"/>
              </w:rPr>
            </w:pPr>
          </w:p>
        </w:tc>
        <w:tc>
          <w:tcPr>
            <w:tcW w:w="3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1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Variance</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Variance</w:t>
            </w:r>
          </w:p>
        </w:tc>
      </w:tr>
      <w:tr>
        <w:trPr>
          <w:trHeight w:val="223"/>
        </w:trPr>
        <w:tc>
          <w:tcPr>
            <w:tcW w:w="1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0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200,842</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191,384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538,181</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540,665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EFFE7"/>
          </w:tcPr>
          <w:p>
            <w:pPr>
              <w:jc w:val="center"/>
              <w:ind w:left="270"/>
              <w:spacing w:after="0"/>
              <w:rPr>
                <w:sz w:val="20"/>
                <w:szCs w:val="20"/>
                <w:color w:val="auto"/>
              </w:rPr>
            </w:pPr>
            <w:r>
              <w:rPr>
                <w:rFonts w:ascii="Times New Roman" w:cs="Times New Roman" w:eastAsia="Times New Roman" w:hAnsi="Times New Roman"/>
                <w:sz w:val="18"/>
                <w:szCs w:val="18"/>
                <w:color w:val="auto"/>
              </w:rPr>
              <w:t>(2,484)</w:t>
            </w:r>
          </w:p>
        </w:tc>
      </w:tr>
      <w:tr>
        <w:trPr>
          <w:trHeight w:val="250"/>
        </w:trPr>
        <w:tc>
          <w:tcPr>
            <w:tcW w:w="12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460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 fuel and purchased power</w:t>
            </w:r>
          </w:p>
        </w:tc>
        <w:tc>
          <w:tcPr>
            <w:tcW w:w="24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77,885</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71,593</w:t>
            </w:r>
          </w:p>
        </w:tc>
        <w:tc>
          <w:tcPr>
            <w:tcW w:w="200" w:type="dxa"/>
            <w:vAlign w:val="bottom"/>
            <w:tcBorders>
              <w:bottom w:val="single" w:sz="8" w:color="auto"/>
            </w:tcBorders>
            <w:shd w:val="clear" w:color="auto" w:fill="CEFFE7"/>
          </w:tcPr>
          <w:p>
            <w:pPr>
              <w:spacing w:after="0"/>
              <w:rPr>
                <w:sz w:val="19"/>
                <w:szCs w:val="19"/>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201,398</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207,004</w:t>
            </w:r>
          </w:p>
        </w:tc>
        <w:tc>
          <w:tcPr>
            <w:tcW w:w="200" w:type="dxa"/>
            <w:vAlign w:val="bottom"/>
            <w:tcBorders>
              <w:bottom w:val="single" w:sz="8" w:color="auto"/>
            </w:tcBorders>
            <w:shd w:val="clear" w:color="auto" w:fill="CEFFE7"/>
          </w:tcPr>
          <w:p>
            <w:pPr>
              <w:spacing w:after="0"/>
              <w:rPr>
                <w:sz w:val="19"/>
                <w:szCs w:val="19"/>
                <w:color w:val="auto"/>
              </w:rPr>
            </w:pPr>
          </w:p>
        </w:tc>
        <w:tc>
          <w:tcPr>
            <w:tcW w:w="940" w:type="dxa"/>
            <w:vAlign w:val="bottom"/>
            <w:tcBorders>
              <w:bottom w:val="single" w:sz="8" w:color="auto"/>
            </w:tcBorders>
            <w:shd w:val="clear" w:color="auto" w:fill="CEFFE7"/>
          </w:tcPr>
          <w:p>
            <w:pPr>
              <w:jc w:val="center"/>
              <w:ind w:left="270"/>
              <w:spacing w:after="0"/>
              <w:rPr>
                <w:sz w:val="20"/>
                <w:szCs w:val="20"/>
                <w:color w:val="auto"/>
              </w:rPr>
            </w:pPr>
            <w:r>
              <w:rPr>
                <w:rFonts w:ascii="Times New Roman" w:cs="Times New Roman" w:eastAsia="Times New Roman" w:hAnsi="Times New Roman"/>
                <w:sz w:val="18"/>
                <w:szCs w:val="18"/>
                <w:color w:val="auto"/>
              </w:rPr>
              <w:t>(5,606)</w:t>
            </w:r>
          </w:p>
        </w:tc>
      </w:tr>
      <w:tr>
        <w:trPr>
          <w:trHeight w:val="250"/>
        </w:trPr>
        <w:tc>
          <w:tcPr>
            <w:tcW w:w="1220" w:type="dxa"/>
            <w:vAlign w:val="bottom"/>
            <w:tcBorders>
              <w:bottom w:val="single" w:sz="8" w:color="CEFFE7"/>
            </w:tcBorders>
          </w:tcPr>
          <w:p>
            <w:pPr>
              <w:spacing w:after="0"/>
              <w:rPr>
                <w:sz w:val="21"/>
                <w:szCs w:val="21"/>
                <w:color w:val="auto"/>
              </w:rPr>
            </w:pPr>
          </w:p>
        </w:tc>
        <w:tc>
          <w:tcPr>
            <w:tcW w:w="3380" w:type="dxa"/>
            <w:vAlign w:val="bottom"/>
            <w:tcBorders>
              <w:bottom w:val="single" w:sz="8" w:color="CEFFE7"/>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3"/>
        </w:trPr>
        <w:tc>
          <w:tcPr>
            <w:tcW w:w="460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Gross margin (non-GAAP)</w:t>
            </w:r>
          </w:p>
        </w:tc>
        <w:tc>
          <w:tcPr>
            <w:tcW w:w="24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122,957</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119,791</w:t>
            </w:r>
          </w:p>
        </w:tc>
        <w:tc>
          <w:tcPr>
            <w:tcW w:w="200" w:type="dxa"/>
            <w:vAlign w:val="bottom"/>
            <w:tcBorders>
              <w:bottom w:val="single" w:sz="8" w:color="auto"/>
            </w:tcBorders>
            <w:shd w:val="clear" w:color="auto" w:fill="CEFFE7"/>
          </w:tcPr>
          <w:p>
            <w:pPr>
              <w:spacing w:after="0"/>
              <w:rPr>
                <w:sz w:val="19"/>
                <w:szCs w:val="19"/>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336,783</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333,661</w:t>
            </w:r>
          </w:p>
        </w:tc>
        <w:tc>
          <w:tcPr>
            <w:tcW w:w="200" w:type="dxa"/>
            <w:vAlign w:val="bottom"/>
            <w:tcBorders>
              <w:bottom w:val="single" w:sz="8" w:color="auto"/>
            </w:tcBorders>
            <w:shd w:val="clear" w:color="auto" w:fill="CEFFE7"/>
          </w:tcPr>
          <w:p>
            <w:pPr>
              <w:spacing w:after="0"/>
              <w:rPr>
                <w:sz w:val="19"/>
                <w:szCs w:val="19"/>
                <w:color w:val="auto"/>
              </w:rPr>
            </w:pPr>
          </w:p>
        </w:tc>
        <w:tc>
          <w:tcPr>
            <w:tcW w:w="940" w:type="dxa"/>
            <w:vAlign w:val="bottom"/>
            <w:tcBorders>
              <w:bottom w:val="single" w:sz="8" w:color="auto"/>
            </w:tcBorders>
            <w:shd w:val="clear" w:color="auto" w:fill="CEFFE7"/>
          </w:tcPr>
          <w:p>
            <w:pPr>
              <w:jc w:val="center"/>
              <w:ind w:left="290"/>
              <w:spacing w:after="0"/>
              <w:rPr>
                <w:sz w:val="20"/>
                <w:szCs w:val="20"/>
                <w:color w:val="auto"/>
              </w:rPr>
            </w:pPr>
            <w:r>
              <w:rPr>
                <w:rFonts w:ascii="Times New Roman" w:cs="Times New Roman" w:eastAsia="Times New Roman" w:hAnsi="Times New Roman"/>
                <w:sz w:val="18"/>
                <w:szCs w:val="18"/>
                <w:color w:val="auto"/>
                <w:w w:val="98"/>
              </w:rPr>
              <w:t>3,122</w:t>
            </w:r>
          </w:p>
        </w:tc>
      </w:tr>
      <w:tr>
        <w:trPr>
          <w:trHeight w:val="250"/>
        </w:trPr>
        <w:tc>
          <w:tcPr>
            <w:tcW w:w="12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460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4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47,426</w:t>
            </w:r>
          </w:p>
        </w:tc>
        <w:tc>
          <w:tcPr>
            <w:tcW w:w="2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47,172</w:t>
            </w:r>
          </w:p>
        </w:tc>
        <w:tc>
          <w:tcPr>
            <w:tcW w:w="200" w:type="dxa"/>
            <w:vAlign w:val="bottom"/>
            <w:shd w:val="clear" w:color="auto" w:fill="CEFFE7"/>
          </w:tcPr>
          <w:p>
            <w:pPr>
              <w:spacing w:after="0"/>
              <w:rPr>
                <w:sz w:val="19"/>
                <w:szCs w:val="19"/>
                <w:color w:val="auto"/>
              </w:rPr>
            </w:pP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144,956</w:t>
            </w:r>
          </w:p>
        </w:tc>
        <w:tc>
          <w:tcPr>
            <w:tcW w:w="2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143,049</w:t>
            </w: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center"/>
              <w:ind w:left="290"/>
              <w:spacing w:after="0"/>
              <w:rPr>
                <w:sz w:val="20"/>
                <w:szCs w:val="20"/>
                <w:color w:val="auto"/>
              </w:rPr>
            </w:pPr>
            <w:r>
              <w:rPr>
                <w:rFonts w:ascii="Times New Roman" w:cs="Times New Roman" w:eastAsia="Times New Roman" w:hAnsi="Times New Roman"/>
                <w:sz w:val="18"/>
                <w:szCs w:val="18"/>
                <w:color w:val="auto"/>
                <w:w w:val="98"/>
              </w:rPr>
              <w:t>1,907</w:t>
            </w:r>
          </w:p>
        </w:tc>
      </w:tr>
      <w:tr>
        <w:trPr>
          <w:trHeight w:val="229"/>
        </w:trPr>
        <w:tc>
          <w:tcPr>
            <w:tcW w:w="4600" w:type="dxa"/>
            <w:vAlign w:val="bottom"/>
            <w:tcBorders>
              <w:bottom w:val="single" w:sz="8" w:color="CEFFE7"/>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21,966</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4,708</w:t>
            </w:r>
          </w:p>
        </w:tc>
      </w:tr>
      <w:tr>
        <w:trPr>
          <w:trHeight w:val="223"/>
        </w:trPr>
        <w:tc>
          <w:tcPr>
            <w:tcW w:w="4600" w:type="dxa"/>
            <w:vAlign w:val="bottom"/>
            <w:gridSpan w:val="2"/>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70,874</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69,138</w:t>
            </w:r>
          </w:p>
        </w:tc>
        <w:tc>
          <w:tcPr>
            <w:tcW w:w="200" w:type="dxa"/>
            <w:vAlign w:val="bottom"/>
            <w:tcBorders>
              <w:bottom w:val="single" w:sz="8" w:color="auto"/>
            </w:tcBorders>
            <w:shd w:val="clear" w:color="auto" w:fill="CEFFE7"/>
          </w:tcPr>
          <w:p>
            <w:pPr>
              <w:spacing w:after="0"/>
              <w:rPr>
                <w:sz w:val="19"/>
                <w:szCs w:val="19"/>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215,057</w:t>
            </w:r>
          </w:p>
        </w:tc>
        <w:tc>
          <w:tcPr>
            <w:tcW w:w="260" w:type="dxa"/>
            <w:vAlign w:val="bottom"/>
            <w:tcBorders>
              <w:bottom w:val="single" w:sz="8" w:color="auto"/>
            </w:tcBorders>
            <w:shd w:val="clear" w:color="auto" w:fill="CEFFE7"/>
          </w:tcPr>
          <w:p>
            <w:pPr>
              <w:spacing w:after="0"/>
              <w:rPr>
                <w:sz w:val="19"/>
                <w:szCs w:val="19"/>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208,442</w:t>
            </w:r>
          </w:p>
        </w:tc>
        <w:tc>
          <w:tcPr>
            <w:tcW w:w="200" w:type="dxa"/>
            <w:vAlign w:val="bottom"/>
            <w:tcBorders>
              <w:bottom w:val="single" w:sz="8" w:color="auto"/>
            </w:tcBorders>
            <w:shd w:val="clear" w:color="auto" w:fill="CEFFE7"/>
          </w:tcPr>
          <w:p>
            <w:pPr>
              <w:spacing w:after="0"/>
              <w:rPr>
                <w:sz w:val="19"/>
                <w:szCs w:val="19"/>
                <w:color w:val="auto"/>
              </w:rPr>
            </w:pPr>
          </w:p>
        </w:tc>
        <w:tc>
          <w:tcPr>
            <w:tcW w:w="940" w:type="dxa"/>
            <w:vAlign w:val="bottom"/>
            <w:tcBorders>
              <w:bottom w:val="single" w:sz="8" w:color="auto"/>
            </w:tcBorders>
            <w:shd w:val="clear" w:color="auto" w:fill="CEFFE7"/>
          </w:tcPr>
          <w:p>
            <w:pPr>
              <w:jc w:val="center"/>
              <w:ind w:left="290"/>
              <w:spacing w:after="0"/>
              <w:rPr>
                <w:sz w:val="20"/>
                <w:szCs w:val="20"/>
                <w:color w:val="auto"/>
              </w:rPr>
            </w:pPr>
            <w:r>
              <w:rPr>
                <w:rFonts w:ascii="Times New Roman" w:cs="Times New Roman" w:eastAsia="Times New Roman" w:hAnsi="Times New Roman"/>
                <w:sz w:val="18"/>
                <w:szCs w:val="18"/>
                <w:color w:val="auto"/>
                <w:w w:val="98"/>
              </w:rPr>
              <w:t>6,615</w:t>
            </w:r>
          </w:p>
        </w:tc>
      </w:tr>
      <w:tr>
        <w:trPr>
          <w:trHeight w:val="250"/>
        </w:trPr>
        <w:tc>
          <w:tcPr>
            <w:tcW w:w="1220" w:type="dxa"/>
            <w:vAlign w:val="bottom"/>
            <w:tcBorders>
              <w:bottom w:val="single" w:sz="8" w:color="CEFFE7"/>
            </w:tcBorders>
          </w:tcPr>
          <w:p>
            <w:pPr>
              <w:spacing w:after="0"/>
              <w:rPr>
                <w:sz w:val="21"/>
                <w:szCs w:val="21"/>
                <w:color w:val="auto"/>
              </w:rPr>
            </w:pPr>
          </w:p>
        </w:tc>
        <w:tc>
          <w:tcPr>
            <w:tcW w:w="3380" w:type="dxa"/>
            <w:vAlign w:val="bottom"/>
            <w:tcBorders>
              <w:bottom w:val="single" w:sz="8" w:color="CEFFE7"/>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48"/>
        </w:trPr>
        <w:tc>
          <w:tcPr>
            <w:tcW w:w="460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4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50,653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121,726</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125,219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EFFE7"/>
          </w:tcPr>
          <w:p>
            <w:pPr>
              <w:jc w:val="center"/>
              <w:ind w:left="270"/>
              <w:spacing w:after="0"/>
              <w:rPr>
                <w:sz w:val="20"/>
                <w:szCs w:val="20"/>
                <w:color w:val="auto"/>
              </w:rPr>
            </w:pPr>
            <w:r>
              <w:rPr>
                <w:rFonts w:ascii="Times New Roman" w:cs="Times New Roman" w:eastAsia="Times New Roman" w:hAnsi="Times New Roman"/>
                <w:sz w:val="18"/>
                <w:szCs w:val="18"/>
                <w:color w:val="auto"/>
              </w:rPr>
              <w:t>(3,493)</w:t>
            </w:r>
          </w:p>
        </w:tc>
      </w:tr>
      <w:tr>
        <w:trPr>
          <w:trHeight w:val="20"/>
        </w:trPr>
        <w:tc>
          <w:tcPr>
            <w:tcW w:w="1220" w:type="dxa"/>
            <w:vAlign w:val="bottom"/>
            <w:tcBorders>
              <w:top w:val="single" w:sz="8" w:color="CEFFE7"/>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the Three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for the three months ended September 30, 2020 increased as a result of the following:</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900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Release of TCJA revenue reserves</w:t>
            </w:r>
          </w:p>
        </w:tc>
        <w:tc>
          <w:tcPr>
            <w:tcW w:w="360" w:type="dxa"/>
            <w:vAlign w:val="bottom"/>
            <w:shd w:val="clear" w:color="auto" w:fill="CEFFE7"/>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EFFE7"/>
          </w:tcPr>
          <w:p>
            <w:pPr>
              <w:jc w:val="center"/>
              <w:ind w:left="1350"/>
              <w:spacing w:after="0"/>
              <w:rPr>
                <w:sz w:val="20"/>
                <w:szCs w:val="20"/>
                <w:color w:val="auto"/>
              </w:rPr>
            </w:pPr>
            <w:r>
              <w:rPr>
                <w:rFonts w:ascii="Times New Roman" w:cs="Times New Roman" w:eastAsia="Times New Roman" w:hAnsi="Times New Roman"/>
                <w:sz w:val="18"/>
                <w:szCs w:val="18"/>
                <w:color w:val="auto"/>
                <w:w w:val="97"/>
              </w:rPr>
              <w:t>1.5</w:t>
            </w: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Rider recovery</w:t>
            </w:r>
          </w:p>
        </w:tc>
        <w:tc>
          <w:tcPr>
            <w:tcW w:w="360" w:type="dxa"/>
            <w:vAlign w:val="bottom"/>
          </w:tcPr>
          <w:p>
            <w:pPr>
              <w:spacing w:after="0"/>
              <w:rPr>
                <w:sz w:val="19"/>
                <w:szCs w:val="19"/>
                <w:color w:val="auto"/>
              </w:rPr>
            </w:pPr>
          </w:p>
        </w:tc>
        <w:tc>
          <w:tcPr>
            <w:tcW w:w="18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7"/>
              </w:rPr>
              <w:t>1.3</w:t>
            </w:r>
          </w:p>
        </w:tc>
      </w:tr>
      <w:tr>
        <w:trPr>
          <w:trHeight w:val="229"/>
        </w:trPr>
        <w:tc>
          <w:tcPr>
            <w:tcW w:w="900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Off-system power marketing</w:t>
            </w:r>
          </w:p>
        </w:tc>
        <w:tc>
          <w:tcPr>
            <w:tcW w:w="360" w:type="dxa"/>
            <w:vAlign w:val="bottom"/>
            <w:shd w:val="clear" w:color="auto" w:fill="CEFFE7"/>
          </w:tcPr>
          <w:p>
            <w:pPr>
              <w:spacing w:after="0"/>
              <w:rPr>
                <w:sz w:val="19"/>
                <w:szCs w:val="19"/>
                <w:color w:val="auto"/>
              </w:rPr>
            </w:pPr>
          </w:p>
        </w:tc>
        <w:tc>
          <w:tcPr>
            <w:tcW w:w="1820" w:type="dxa"/>
            <w:vAlign w:val="bottom"/>
            <w:shd w:val="clear" w:color="auto" w:fill="CEFFE7"/>
          </w:tcPr>
          <w:p>
            <w:pPr>
              <w:jc w:val="center"/>
              <w:ind w:left="1350"/>
              <w:spacing w:after="0"/>
              <w:rPr>
                <w:sz w:val="20"/>
                <w:szCs w:val="20"/>
                <w:color w:val="auto"/>
              </w:rPr>
            </w:pPr>
            <w:r>
              <w:rPr>
                <w:rFonts w:ascii="Times New Roman" w:cs="Times New Roman" w:eastAsia="Times New Roman" w:hAnsi="Times New Roman"/>
                <w:sz w:val="18"/>
                <w:szCs w:val="18"/>
                <w:color w:val="auto"/>
                <w:w w:val="97"/>
              </w:rPr>
              <w:t>0.9</w:t>
            </w: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Weather</w:t>
            </w:r>
          </w:p>
        </w:tc>
        <w:tc>
          <w:tcPr>
            <w:tcW w:w="360" w:type="dxa"/>
            <w:vAlign w:val="bottom"/>
          </w:tcPr>
          <w:p>
            <w:pPr>
              <w:spacing w:after="0"/>
              <w:rPr>
                <w:sz w:val="19"/>
                <w:szCs w:val="19"/>
                <w:color w:val="auto"/>
              </w:rPr>
            </w:pPr>
          </w:p>
        </w:tc>
        <w:tc>
          <w:tcPr>
            <w:tcW w:w="18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7"/>
              </w:rPr>
              <w:t>0.2</w:t>
            </w:r>
          </w:p>
        </w:tc>
      </w:tr>
      <w:tr>
        <w:trPr>
          <w:trHeight w:val="230"/>
        </w:trPr>
        <w:tc>
          <w:tcPr>
            <w:tcW w:w="900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Mark-to-market on wholesale energy contracts</w:t>
            </w:r>
          </w:p>
        </w:tc>
        <w:tc>
          <w:tcPr>
            <w:tcW w:w="360" w:type="dxa"/>
            <w:vAlign w:val="bottom"/>
            <w:shd w:val="clear" w:color="auto" w:fill="CEFFE7"/>
          </w:tcPr>
          <w:p>
            <w:pPr>
              <w:spacing w:after="0"/>
              <w:rPr>
                <w:sz w:val="19"/>
                <w:szCs w:val="19"/>
                <w:color w:val="auto"/>
              </w:rPr>
            </w:pPr>
          </w:p>
        </w:tc>
        <w:tc>
          <w:tcPr>
            <w:tcW w:w="1820" w:type="dxa"/>
            <w:vAlign w:val="bottom"/>
            <w:shd w:val="clear" w:color="auto" w:fill="CEFFE7"/>
          </w:tcPr>
          <w:p>
            <w:pPr>
              <w:jc w:val="center"/>
              <w:ind w:left="13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COVID-19 impacts</w:t>
            </w:r>
          </w:p>
        </w:tc>
        <w:tc>
          <w:tcPr>
            <w:tcW w:w="360" w:type="dxa"/>
            <w:vAlign w:val="bottom"/>
          </w:tcPr>
          <w:p>
            <w:pPr>
              <w:spacing w:after="0"/>
              <w:rPr>
                <w:sz w:val="19"/>
                <w:szCs w:val="19"/>
                <w:color w:val="auto"/>
              </w:rPr>
            </w:pPr>
          </w:p>
        </w:tc>
        <w:tc>
          <w:tcPr>
            <w:tcW w:w="1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900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EFFE7"/>
          </w:tcPr>
          <w:p>
            <w:pPr>
              <w:spacing w:after="0"/>
              <w:rPr>
                <w:sz w:val="19"/>
                <w:szCs w:val="19"/>
                <w:color w:val="auto"/>
              </w:rPr>
            </w:pPr>
          </w:p>
        </w:tc>
        <w:tc>
          <w:tcPr>
            <w:tcW w:w="1820" w:type="dxa"/>
            <w:vAlign w:val="bottom"/>
            <w:tcBorders>
              <w:bottom w:val="single" w:sz="8" w:color="auto"/>
            </w:tcBorders>
            <w:shd w:val="clear" w:color="auto" w:fill="CEFFE7"/>
          </w:tcPr>
          <w:p>
            <w:pPr>
              <w:jc w:val="center"/>
              <w:ind w:left="1350"/>
              <w:spacing w:after="0"/>
              <w:rPr>
                <w:sz w:val="20"/>
                <w:szCs w:val="20"/>
                <w:color w:val="auto"/>
              </w:rPr>
            </w:pPr>
            <w:r>
              <w:rPr>
                <w:rFonts w:ascii="Times New Roman" w:cs="Times New Roman" w:eastAsia="Times New Roman" w:hAnsi="Times New Roman"/>
                <w:sz w:val="18"/>
                <w:szCs w:val="18"/>
                <w:color w:val="auto"/>
                <w:w w:val="97"/>
              </w:rPr>
              <w:t>0.9</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in Gross margin (non-GAAP)</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color w:val="auto"/>
                <w:w w:val="97"/>
              </w:rPr>
              <w:t>3.2</w:t>
            </w: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u w:val="single" w:color="auto"/>
          <w:color w:val="auto"/>
        </w:rPr>
        <w:t>Operations and maintenance expense</w:t>
      </w:r>
      <w:r>
        <w:rPr>
          <w:rFonts w:ascii="Times New Roman" w:cs="Times New Roman" w:eastAsia="Times New Roman" w:hAnsi="Times New Roman"/>
          <w:sz w:val="18"/>
          <w:szCs w:val="18"/>
          <w:color w:val="auto"/>
        </w:rPr>
        <w:t xml:space="preserve"> increased primarily due to COVID-19 related expenses of $0.5 million for the sequestration of essential employees and $0.3 million of additional bad debt expense which were partially offset by $0.4 million of lower travel, training and employee related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increased primarily due to a higher asset base driven by prior year and current year capital expenditures.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the Nine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for the nine months ended September 30, 2020 increased as a result of the following:</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900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Release of TCJA revenue reserves</w:t>
            </w:r>
          </w:p>
        </w:tc>
        <w:tc>
          <w:tcPr>
            <w:tcW w:w="360" w:type="dxa"/>
            <w:vAlign w:val="bottom"/>
            <w:shd w:val="clear" w:color="auto" w:fill="CEFFE7"/>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EFFE7"/>
          </w:tcPr>
          <w:p>
            <w:pPr>
              <w:jc w:val="center"/>
              <w:ind w:left="1350"/>
              <w:spacing w:after="0"/>
              <w:rPr>
                <w:sz w:val="20"/>
                <w:szCs w:val="20"/>
                <w:color w:val="auto"/>
              </w:rPr>
            </w:pPr>
            <w:r>
              <w:rPr>
                <w:rFonts w:ascii="Times New Roman" w:cs="Times New Roman" w:eastAsia="Times New Roman" w:hAnsi="Times New Roman"/>
                <w:sz w:val="18"/>
                <w:szCs w:val="18"/>
                <w:color w:val="auto"/>
                <w:w w:val="97"/>
              </w:rPr>
              <w:t>2.7</w:t>
            </w:r>
          </w:p>
        </w:tc>
      </w:tr>
      <w:tr>
        <w:trPr>
          <w:trHeight w:val="230"/>
        </w:trPr>
        <w:tc>
          <w:tcPr>
            <w:tcW w:w="90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Rider recovery and true-up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8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7"/>
              </w:rPr>
              <w:t>1.0</w:t>
            </w:r>
          </w:p>
        </w:tc>
      </w:tr>
      <w:tr>
        <w:trPr>
          <w:trHeight w:val="229"/>
        </w:trPr>
        <w:tc>
          <w:tcPr>
            <w:tcW w:w="900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Weather</w:t>
            </w:r>
          </w:p>
        </w:tc>
        <w:tc>
          <w:tcPr>
            <w:tcW w:w="360" w:type="dxa"/>
            <w:vAlign w:val="bottom"/>
            <w:shd w:val="clear" w:color="auto" w:fill="CEFFE7"/>
          </w:tcPr>
          <w:p>
            <w:pPr>
              <w:spacing w:after="0"/>
              <w:rPr>
                <w:sz w:val="19"/>
                <w:szCs w:val="19"/>
                <w:color w:val="auto"/>
              </w:rPr>
            </w:pPr>
          </w:p>
        </w:tc>
        <w:tc>
          <w:tcPr>
            <w:tcW w:w="1820" w:type="dxa"/>
            <w:vAlign w:val="bottom"/>
            <w:shd w:val="clear" w:color="auto" w:fill="CEFFE7"/>
          </w:tcPr>
          <w:p>
            <w:pPr>
              <w:jc w:val="center"/>
              <w:ind w:left="1350"/>
              <w:spacing w:after="0"/>
              <w:rPr>
                <w:sz w:val="20"/>
                <w:szCs w:val="20"/>
                <w:color w:val="auto"/>
              </w:rPr>
            </w:pPr>
            <w:r>
              <w:rPr>
                <w:rFonts w:ascii="Times New Roman" w:cs="Times New Roman" w:eastAsia="Times New Roman" w:hAnsi="Times New Roman"/>
                <w:sz w:val="18"/>
                <w:szCs w:val="18"/>
                <w:color w:val="auto"/>
                <w:w w:val="97"/>
              </w:rPr>
              <w:t>0.9</w:t>
            </w:r>
          </w:p>
        </w:tc>
      </w:tr>
      <w:tr>
        <w:trPr>
          <w:trHeight w:val="230"/>
        </w:trPr>
        <w:tc>
          <w:tcPr>
            <w:tcW w:w="90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COVID-19 impacts </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1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000" w:type="dxa"/>
            <w:vAlign w:val="bottom"/>
            <w:shd w:val="clear" w:color="auto" w:fill="CEFFE7"/>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EFFE7"/>
          </w:tcPr>
          <w:p>
            <w:pPr>
              <w:spacing w:after="0"/>
              <w:rPr>
                <w:sz w:val="19"/>
                <w:szCs w:val="19"/>
                <w:color w:val="auto"/>
              </w:rPr>
            </w:pPr>
          </w:p>
        </w:tc>
        <w:tc>
          <w:tcPr>
            <w:tcW w:w="1820" w:type="dxa"/>
            <w:vAlign w:val="bottom"/>
            <w:tcBorders>
              <w:bottom w:val="single" w:sz="8" w:color="auto"/>
            </w:tcBorders>
            <w:shd w:val="clear" w:color="auto" w:fill="CEFFE7"/>
          </w:tcPr>
          <w:p>
            <w:pPr>
              <w:jc w:val="center"/>
              <w:ind w:left="1350"/>
              <w:spacing w:after="0"/>
              <w:rPr>
                <w:sz w:val="20"/>
                <w:szCs w:val="20"/>
                <w:color w:val="auto"/>
              </w:rPr>
            </w:pPr>
            <w:r>
              <w:rPr>
                <w:rFonts w:ascii="Times New Roman" w:cs="Times New Roman" w:eastAsia="Times New Roman" w:hAnsi="Times New Roman"/>
                <w:sz w:val="18"/>
                <w:szCs w:val="18"/>
                <w:color w:val="auto"/>
                <w:w w:val="97"/>
              </w:rPr>
              <w:t>0.2</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in Gross margin (non-GAAP)</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margin increased due to $2.6 million of rider revenues, which was partially offset by a $1.6 million rider true-up.</w:t>
      </w:r>
    </w:p>
    <w:p>
      <w:pPr>
        <w:spacing w:after="0" w:line="5" w:lineRule="exact"/>
        <w:rPr>
          <w:rFonts w:ascii="Times New Roman" w:cs="Times New Roman" w:eastAsia="Times New Roman" w:hAnsi="Times New Roman"/>
          <w:sz w:val="16"/>
          <w:szCs w:val="16"/>
          <w:color w:val="auto"/>
        </w:rPr>
      </w:pPr>
    </w:p>
    <w:p>
      <w:pPr>
        <w:ind w:left="340" w:right="560" w:hanging="332"/>
        <w:spacing w:after="0" w:line="257" w:lineRule="auto"/>
        <w:tabs>
          <w:tab w:leader="none" w:pos="36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to Electric Utilities’ gross margin from COVID-19 were primarily driven by reduced commercial volumes and waived customer late payment fees partially offset by higher residential usage.</w:t>
      </w:r>
    </w:p>
    <w:p>
      <w:pPr>
        <w:spacing w:after="0" w:line="2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Operations and maintenance expense</w:t>
      </w:r>
      <w:r>
        <w:rPr>
          <w:rFonts w:ascii="Times New Roman" w:cs="Times New Roman" w:eastAsia="Times New Roman" w:hAnsi="Times New Roman"/>
          <w:sz w:val="18"/>
          <w:szCs w:val="18"/>
          <w:color w:val="auto"/>
        </w:rPr>
        <w:t xml:space="preserve"> increased primarily due to $1.4 million of expenses related to the efforts to retain our franchise privileges in Pueblo, Colorado. COVID-19 impacts to operations and maintenance expense included $2.2 million of expenses related to the sequestration of essential employees and $0.9 million of additional bad debt expense which were partially offset by $2.4 million of lower travel, training, outside services and employee related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increased primarily due to a higher asset base driven by prior year and current year capital expenditures.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Statistics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Electric Revenue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Quantities Sold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(MWh)</w:t>
            </w: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ind w:right="259"/>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13"/>
                <w:szCs w:val="13"/>
                <w:color w:val="auto"/>
              </w:rPr>
            </w:pPr>
          </w:p>
        </w:tc>
        <w:tc>
          <w:tcPr>
            <w:tcW w:w="1860" w:type="dxa"/>
            <w:vAlign w:val="bottom"/>
            <w:gridSpan w:val="3"/>
          </w:tcPr>
          <w:p>
            <w:pPr>
              <w:jc w:val="right"/>
              <w:ind w:right="319"/>
              <w:spacing w:after="0" w:line="158" w:lineRule="exact"/>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3"/>
                <w:szCs w:val="13"/>
                <w:color w:val="auto"/>
              </w:rPr>
            </w:pPr>
          </w:p>
        </w:tc>
        <w:tc>
          <w:tcPr>
            <w:tcW w:w="2360" w:type="dxa"/>
            <w:vAlign w:val="bottom"/>
            <w:gridSpan w:val="2"/>
          </w:tcPr>
          <w:p>
            <w:pPr>
              <w:jc w:val="right"/>
              <w:ind w:right="559"/>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1800" w:type="dxa"/>
            <w:vAlign w:val="bottom"/>
            <w:gridSpan w:val="2"/>
          </w:tcPr>
          <w:p>
            <w:pPr>
              <w:jc w:val="right"/>
              <w:ind w:right="299"/>
              <w:spacing w:after="0" w:line="158" w:lineRule="exact"/>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186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color w:val="auto"/>
              </w:rPr>
              <w:t>September 30,</w:t>
            </w:r>
          </w:p>
        </w:tc>
        <w:tc>
          <w:tcPr>
            <w:tcW w:w="100" w:type="dxa"/>
            <w:vAlign w:val="bottom"/>
          </w:tcPr>
          <w:p>
            <w:pPr>
              <w:spacing w:after="0"/>
              <w:rPr>
                <w:sz w:val="18"/>
                <w:szCs w:val="18"/>
                <w:color w:val="auto"/>
              </w:rPr>
            </w:pPr>
          </w:p>
        </w:tc>
        <w:tc>
          <w:tcPr>
            <w:tcW w:w="236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September 30,</w:t>
            </w:r>
          </w:p>
        </w:tc>
        <w:tc>
          <w:tcPr>
            <w:tcW w:w="180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2019</w:t>
            </w:r>
          </w:p>
        </w:tc>
        <w:tc>
          <w:tcPr>
            <w:tcW w:w="126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2020</w:t>
            </w: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2019</w:t>
            </w: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2020</w:t>
            </w: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13"/>
        </w:trPr>
        <w:tc>
          <w:tcPr>
            <w:tcW w:w="28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2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62,395</w:t>
            </w:r>
          </w:p>
        </w:tc>
        <w:tc>
          <w:tcPr>
            <w:tcW w:w="24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58,919</w:t>
            </w:r>
          </w:p>
        </w:tc>
        <w:tc>
          <w:tcPr>
            <w:tcW w:w="24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167,048</w:t>
            </w:r>
          </w:p>
        </w:tc>
        <w:tc>
          <w:tcPr>
            <w:tcW w:w="26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162,257</w:t>
            </w:r>
          </w:p>
        </w:tc>
        <w:tc>
          <w:tcPr>
            <w:tcW w:w="126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405,989</w:t>
            </w:r>
          </w:p>
        </w:tc>
        <w:tc>
          <w:tcPr>
            <w:tcW w:w="1200" w:type="dxa"/>
            <w:vAlign w:val="bottom"/>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384,735</w:t>
            </w:r>
          </w:p>
        </w:tc>
        <w:tc>
          <w:tcPr>
            <w:tcW w:w="88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1,113,821</w:t>
            </w: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1,075,394</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64,756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178,979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186,434</w:t>
            </w: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538,299</w:t>
            </w: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560,547</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1,492,239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1,556,449</w:t>
            </w:r>
          </w:p>
        </w:tc>
        <w:tc>
          <w:tcPr>
            <w:tcW w:w="0" w:type="dxa"/>
            <w:vAlign w:val="bottom"/>
          </w:tcPr>
          <w:p>
            <w:pPr>
              <w:spacing w:after="0"/>
              <w:rPr>
                <w:sz w:val="1"/>
                <w:szCs w:val="1"/>
                <w:color w:val="auto"/>
              </w:rPr>
            </w:pPr>
          </w:p>
        </w:tc>
      </w:tr>
      <w:tr>
        <w:trPr>
          <w:trHeight w:val="219"/>
        </w:trPr>
        <w:tc>
          <w:tcPr>
            <w:tcW w:w="28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35,660</w:t>
            </w:r>
          </w:p>
        </w:tc>
        <w:tc>
          <w:tcPr>
            <w:tcW w:w="24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33,937</w:t>
            </w:r>
          </w:p>
        </w:tc>
        <w:tc>
          <w:tcPr>
            <w:tcW w:w="24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99,725</w:t>
            </w:r>
          </w:p>
        </w:tc>
        <w:tc>
          <w:tcPr>
            <w:tcW w:w="26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98,074</w:t>
            </w:r>
          </w:p>
        </w:tc>
        <w:tc>
          <w:tcPr>
            <w:tcW w:w="126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462,545</w:t>
            </w:r>
          </w:p>
        </w:tc>
        <w:tc>
          <w:tcPr>
            <w:tcW w:w="1200" w:type="dxa"/>
            <w:vAlign w:val="bottom"/>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462,809</w:t>
            </w:r>
          </w:p>
        </w:tc>
        <w:tc>
          <w:tcPr>
            <w:tcW w:w="88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1,382,710</w:t>
            </w: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1,335,260</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12,732</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13,184</w:t>
            </w: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46,256</w:t>
            </w: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46,106</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121,027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121,025</w:t>
            </w:r>
          </w:p>
        </w:tc>
        <w:tc>
          <w:tcPr>
            <w:tcW w:w="0" w:type="dxa"/>
            <w:vAlign w:val="bottom"/>
          </w:tcPr>
          <w:p>
            <w:pPr>
              <w:spacing w:after="0"/>
              <w:rPr>
                <w:sz w:val="1"/>
                <w:szCs w:val="1"/>
                <w:color w:val="auto"/>
              </w:rPr>
            </w:pPr>
          </w:p>
        </w:tc>
      </w:tr>
      <w:tr>
        <w:trPr>
          <w:trHeight w:val="212"/>
        </w:trPr>
        <w:tc>
          <w:tcPr>
            <w:tcW w:w="2820" w:type="dxa"/>
            <w:vAlign w:val="bottom"/>
            <w:tcBorders>
              <w:top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6"/>
                <w:szCs w:val="16"/>
                <w:color w:val="auto"/>
              </w:rPr>
              <w:t>Subtotal Retail Revenue - Electric</w:t>
            </w:r>
          </w:p>
        </w:tc>
        <w:tc>
          <w:tcPr>
            <w:tcW w:w="220" w:type="dxa"/>
            <w:vAlign w:val="bottom"/>
            <w:tcBorders>
              <w:top w:val="single" w:sz="8" w:color="auto"/>
              <w:bottom w:val="single" w:sz="8" w:color="auto"/>
            </w:tcBorders>
            <w:shd w:val="clear" w:color="auto" w:fill="CEFFE7"/>
          </w:tcPr>
          <w:p>
            <w:pPr>
              <w:spacing w:after="0"/>
              <w:rPr>
                <w:sz w:val="18"/>
                <w:szCs w:val="18"/>
                <w:color w:val="auto"/>
              </w:rPr>
            </w:pPr>
          </w:p>
        </w:tc>
        <w:tc>
          <w:tcPr>
            <w:tcW w:w="8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167,645</w:t>
            </w:r>
          </w:p>
        </w:tc>
        <w:tc>
          <w:tcPr>
            <w:tcW w:w="240" w:type="dxa"/>
            <w:vAlign w:val="bottom"/>
            <w:tcBorders>
              <w:top w:val="single" w:sz="8" w:color="auto"/>
              <w:bottom w:val="single" w:sz="8" w:color="auto"/>
            </w:tcBorders>
            <w:shd w:val="clear" w:color="auto" w:fill="CEFFE7"/>
          </w:tcPr>
          <w:p>
            <w:pPr>
              <w:spacing w:after="0"/>
              <w:rPr>
                <w:sz w:val="18"/>
                <w:szCs w:val="18"/>
                <w:color w:val="auto"/>
              </w:rPr>
            </w:pPr>
          </w:p>
        </w:tc>
        <w:tc>
          <w:tcPr>
            <w:tcW w:w="8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163,380</w:t>
            </w:r>
          </w:p>
        </w:tc>
        <w:tc>
          <w:tcPr>
            <w:tcW w:w="240" w:type="dxa"/>
            <w:vAlign w:val="bottom"/>
            <w:tcBorders>
              <w:top w:val="single" w:sz="8" w:color="auto"/>
              <w:bottom w:val="single" w:sz="8" w:color="auto"/>
            </w:tcBorders>
            <w:shd w:val="clear" w:color="auto" w:fill="CEFFE7"/>
          </w:tcPr>
          <w:p>
            <w:pPr>
              <w:spacing w:after="0"/>
              <w:rPr>
                <w:sz w:val="18"/>
                <w:szCs w:val="18"/>
                <w:color w:val="auto"/>
              </w:rPr>
            </w:pPr>
          </w:p>
        </w:tc>
        <w:tc>
          <w:tcPr>
            <w:tcW w:w="7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458,484</w:t>
            </w:r>
          </w:p>
        </w:tc>
        <w:tc>
          <w:tcPr>
            <w:tcW w:w="260" w:type="dxa"/>
            <w:vAlign w:val="bottom"/>
            <w:tcBorders>
              <w:top w:val="single" w:sz="8" w:color="auto"/>
              <w:bottom w:val="single" w:sz="8" w:color="auto"/>
            </w:tcBorders>
            <w:shd w:val="clear" w:color="auto" w:fill="CEFFE7"/>
          </w:tcPr>
          <w:p>
            <w:pPr>
              <w:spacing w:after="0"/>
              <w:rPr>
                <w:sz w:val="18"/>
                <w:szCs w:val="18"/>
                <w:color w:val="auto"/>
              </w:rPr>
            </w:pPr>
          </w:p>
        </w:tc>
        <w:tc>
          <w:tcPr>
            <w:tcW w:w="8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459,949</w:t>
            </w:r>
          </w:p>
        </w:tc>
        <w:tc>
          <w:tcPr>
            <w:tcW w:w="100" w:type="dxa"/>
            <w:vAlign w:val="bottom"/>
            <w:tcBorders>
              <w:top w:val="single" w:sz="8" w:color="CEFFE7"/>
            </w:tcBorders>
            <w:shd w:val="clear" w:color="auto" w:fill="CEFFE7"/>
          </w:tcPr>
          <w:p>
            <w:pPr>
              <w:spacing w:after="0"/>
              <w:rPr>
                <w:sz w:val="18"/>
                <w:szCs w:val="18"/>
                <w:color w:val="auto"/>
              </w:rPr>
            </w:pPr>
          </w:p>
        </w:tc>
        <w:tc>
          <w:tcPr>
            <w:tcW w:w="116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1,453,089</w:t>
            </w:r>
          </w:p>
        </w:tc>
        <w:tc>
          <w:tcPr>
            <w:tcW w:w="1200" w:type="dxa"/>
            <w:vAlign w:val="bottom"/>
            <w:tcBorders>
              <w:top w:val="single" w:sz="8" w:color="auto"/>
              <w:bottom w:val="single" w:sz="8" w:color="auto"/>
            </w:tcBorders>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1,454,197</w:t>
            </w:r>
          </w:p>
        </w:tc>
        <w:tc>
          <w:tcPr>
            <w:tcW w:w="88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4,109,797</w:t>
            </w:r>
          </w:p>
        </w:tc>
        <w:tc>
          <w:tcPr>
            <w:tcW w:w="9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4,088,128</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Contract Wholesale </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23,335</w:t>
            </w:r>
          </w:p>
        </w:tc>
        <w:tc>
          <w:tcPr>
            <w:tcW w:w="1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129,960</w:t>
            </w: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229,369</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348,991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646,611</w:t>
            </w:r>
          </w:p>
        </w:tc>
        <w:tc>
          <w:tcPr>
            <w:tcW w:w="0" w:type="dxa"/>
            <w:vAlign w:val="bottom"/>
          </w:tcPr>
          <w:p>
            <w:pPr>
              <w:spacing w:after="0"/>
              <w:rPr>
                <w:sz w:val="1"/>
                <w:szCs w:val="1"/>
                <w:color w:val="auto"/>
              </w:rPr>
            </w:pPr>
          </w:p>
        </w:tc>
      </w:tr>
      <w:tr>
        <w:trPr>
          <w:trHeight w:val="216"/>
        </w:trPr>
        <w:tc>
          <w:tcPr>
            <w:tcW w:w="28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Off-system/Power Marketing Wholesale</w:t>
            </w:r>
          </w:p>
        </w:tc>
        <w:tc>
          <w:tcPr>
            <w:tcW w:w="22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24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24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17,939</w:t>
            </w:r>
          </w:p>
        </w:tc>
        <w:tc>
          <w:tcPr>
            <w:tcW w:w="26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16,592</w:t>
            </w:r>
          </w:p>
        </w:tc>
        <w:tc>
          <w:tcPr>
            <w:tcW w:w="126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167,494</w:t>
            </w:r>
          </w:p>
        </w:tc>
        <w:tc>
          <w:tcPr>
            <w:tcW w:w="1200" w:type="dxa"/>
            <w:vAlign w:val="bottom"/>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160,357</w:t>
            </w:r>
          </w:p>
        </w:tc>
        <w:tc>
          <w:tcPr>
            <w:tcW w:w="88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469,590</w:t>
            </w: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436,298</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46,811</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40,789</w:t>
            </w:r>
          </w:p>
        </w:tc>
        <w:tc>
          <w:tcPr>
            <w:tcW w:w="100" w:type="dxa"/>
            <w:vAlign w:val="bottom"/>
            <w:tcBorders>
              <w:bottom w:val="single" w:sz="8" w:color="CEFFE7"/>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20" w:type="dxa"/>
            <w:vAlign w:val="bottom"/>
            <w:shd w:val="clear" w:color="auto" w:fill="CEFFE7"/>
          </w:tcPr>
          <w:p>
            <w:pPr>
              <w:ind w:left="220"/>
              <w:spacing w:after="0"/>
              <w:rPr>
                <w:sz w:val="20"/>
                <w:szCs w:val="20"/>
                <w:color w:val="auto"/>
              </w:rPr>
            </w:pPr>
            <w:r>
              <w:rPr>
                <w:rFonts w:ascii="Times New Roman" w:cs="Times New Roman" w:eastAsia="Times New Roman" w:hAnsi="Times New Roman"/>
                <w:sz w:val="16"/>
                <w:szCs w:val="16"/>
                <w:color w:val="auto"/>
              </w:rPr>
              <w:t>Total Revenue and Energy Sold</w:t>
            </w:r>
          </w:p>
        </w:tc>
        <w:tc>
          <w:tcPr>
            <w:tcW w:w="22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200,842</w:t>
            </w:r>
          </w:p>
        </w:tc>
        <w:tc>
          <w:tcPr>
            <w:tcW w:w="24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191,384</w:t>
            </w:r>
          </w:p>
        </w:tc>
        <w:tc>
          <w:tcPr>
            <w:tcW w:w="24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538,181</w:t>
            </w:r>
          </w:p>
        </w:tc>
        <w:tc>
          <w:tcPr>
            <w:tcW w:w="26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540,665</w:t>
            </w:r>
          </w:p>
        </w:tc>
        <w:tc>
          <w:tcPr>
            <w:tcW w:w="100" w:type="dxa"/>
            <w:vAlign w:val="bottom"/>
            <w:shd w:val="clear" w:color="auto" w:fill="CEFFE7"/>
          </w:tcPr>
          <w:p>
            <w:pPr>
              <w:spacing w:after="0"/>
              <w:rPr>
                <w:sz w:val="18"/>
                <w:szCs w:val="18"/>
                <w:color w:val="auto"/>
              </w:rPr>
            </w:pPr>
          </w:p>
        </w:tc>
        <w:tc>
          <w:tcPr>
            <w:tcW w:w="116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1,750,543</w:t>
            </w:r>
          </w:p>
        </w:tc>
        <w:tc>
          <w:tcPr>
            <w:tcW w:w="1200" w:type="dxa"/>
            <w:vAlign w:val="bottom"/>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1,843,923</w:t>
            </w:r>
          </w:p>
        </w:tc>
        <w:tc>
          <w:tcPr>
            <w:tcW w:w="88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4,928,378</w:t>
            </w: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5,171,037</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Uses, Losses or Generation, net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118,410</w:t>
            </w: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112,172</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294,466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299,038</w:t>
            </w:r>
          </w:p>
        </w:tc>
        <w:tc>
          <w:tcPr>
            <w:tcW w:w="0" w:type="dxa"/>
            <w:vAlign w:val="bottom"/>
          </w:tcPr>
          <w:p>
            <w:pPr>
              <w:spacing w:after="0"/>
              <w:rPr>
                <w:sz w:val="1"/>
                <w:szCs w:val="1"/>
                <w:color w:val="auto"/>
              </w:rPr>
            </w:pPr>
          </w:p>
        </w:tc>
      </w:tr>
      <w:tr>
        <w:trPr>
          <w:trHeight w:val="235"/>
        </w:trPr>
        <w:tc>
          <w:tcPr>
            <w:tcW w:w="2820" w:type="dxa"/>
            <w:vAlign w:val="bottom"/>
            <w:tcBorders>
              <w:top w:val="single" w:sz="8" w:color="CEFFE7"/>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6"/>
                <w:szCs w:val="16"/>
                <w:color w:val="auto"/>
              </w:rPr>
              <w:t>Total Revenue and Energy</w:t>
            </w:r>
          </w:p>
        </w:tc>
        <w:tc>
          <w:tcPr>
            <w:tcW w:w="220" w:type="dxa"/>
            <w:vAlign w:val="bottom"/>
            <w:tcBorders>
              <w:top w:val="single" w:sz="8" w:color="auto"/>
              <w:bottom w:val="single" w:sz="8" w:color="CEFFE7"/>
            </w:tcBorders>
            <w:shd w:val="clear" w:color="auto" w:fill="CEFFE7"/>
          </w:tcPr>
          <w:p>
            <w:pPr>
              <w:spacing w:after="0"/>
              <w:rPr>
                <w:sz w:val="19"/>
                <w:szCs w:val="19"/>
                <w:color w:val="auto"/>
              </w:rPr>
            </w:pPr>
          </w:p>
        </w:tc>
        <w:tc>
          <w:tcPr>
            <w:tcW w:w="8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200,842</w:t>
            </w:r>
          </w:p>
        </w:tc>
        <w:tc>
          <w:tcPr>
            <w:tcW w:w="240" w:type="dxa"/>
            <w:vAlign w:val="bottom"/>
            <w:tcBorders>
              <w:top w:val="single" w:sz="8" w:color="auto"/>
              <w:bottom w:val="single" w:sz="8" w:color="CEFFE7"/>
            </w:tcBorders>
            <w:shd w:val="clear" w:color="auto" w:fill="CEFFE7"/>
          </w:tcPr>
          <w:p>
            <w:pPr>
              <w:spacing w:after="0"/>
              <w:rPr>
                <w:sz w:val="19"/>
                <w:szCs w:val="19"/>
                <w:color w:val="auto"/>
              </w:rPr>
            </w:pPr>
          </w:p>
        </w:tc>
        <w:tc>
          <w:tcPr>
            <w:tcW w:w="80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191,384</w:t>
            </w:r>
          </w:p>
        </w:tc>
        <w:tc>
          <w:tcPr>
            <w:tcW w:w="240" w:type="dxa"/>
            <w:vAlign w:val="bottom"/>
            <w:tcBorders>
              <w:top w:val="single" w:sz="8" w:color="auto"/>
              <w:bottom w:val="single" w:sz="8" w:color="CEFFE7"/>
            </w:tcBorders>
            <w:shd w:val="clear" w:color="auto" w:fill="CEFFE7"/>
          </w:tcPr>
          <w:p>
            <w:pPr>
              <w:spacing w:after="0"/>
              <w:rPr>
                <w:sz w:val="19"/>
                <w:szCs w:val="19"/>
                <w:color w:val="auto"/>
              </w:rPr>
            </w:pPr>
          </w:p>
        </w:tc>
        <w:tc>
          <w:tcPr>
            <w:tcW w:w="7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538,181</w:t>
            </w:r>
          </w:p>
        </w:tc>
        <w:tc>
          <w:tcPr>
            <w:tcW w:w="260" w:type="dxa"/>
            <w:vAlign w:val="bottom"/>
            <w:tcBorders>
              <w:top w:val="single" w:sz="8" w:color="auto"/>
              <w:bottom w:val="single" w:sz="8" w:color="CEFFE7"/>
            </w:tcBorders>
            <w:shd w:val="clear" w:color="auto" w:fill="CEFFE7"/>
          </w:tcPr>
          <w:p>
            <w:pPr>
              <w:spacing w:after="0"/>
              <w:rPr>
                <w:sz w:val="19"/>
                <w:szCs w:val="19"/>
                <w:color w:val="auto"/>
              </w:rPr>
            </w:pPr>
          </w:p>
        </w:tc>
        <w:tc>
          <w:tcPr>
            <w:tcW w:w="82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540,665</w:t>
            </w:r>
          </w:p>
        </w:tc>
        <w:tc>
          <w:tcPr>
            <w:tcW w:w="100" w:type="dxa"/>
            <w:vAlign w:val="bottom"/>
            <w:tcBorders>
              <w:top w:val="single" w:sz="8" w:color="CEFFE7"/>
              <w:bottom w:val="single" w:sz="8" w:color="CEFFE7"/>
            </w:tcBorders>
            <w:shd w:val="clear" w:color="auto" w:fill="CEFFE7"/>
          </w:tcPr>
          <w:p>
            <w:pPr>
              <w:spacing w:after="0"/>
              <w:rPr>
                <w:sz w:val="19"/>
                <w:szCs w:val="19"/>
                <w:color w:val="auto"/>
              </w:rPr>
            </w:pPr>
          </w:p>
        </w:tc>
        <w:tc>
          <w:tcPr>
            <w:tcW w:w="116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1,868,953</w:t>
            </w:r>
          </w:p>
        </w:tc>
        <w:tc>
          <w:tcPr>
            <w:tcW w:w="1200" w:type="dxa"/>
            <w:vAlign w:val="bottom"/>
            <w:tcBorders>
              <w:top w:val="single" w:sz="8" w:color="auto"/>
              <w:bottom w:val="single" w:sz="8" w:color="auto"/>
            </w:tcBorders>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1,956,095</w:t>
            </w:r>
          </w:p>
        </w:tc>
        <w:tc>
          <w:tcPr>
            <w:tcW w:w="88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5,222,844</w:t>
            </w:r>
          </w:p>
        </w:tc>
        <w:tc>
          <w:tcPr>
            <w:tcW w:w="9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5,470,075</w:t>
            </w:r>
          </w:p>
        </w:tc>
        <w:tc>
          <w:tcPr>
            <w:tcW w:w="0" w:type="dxa"/>
            <w:vAlign w:val="bottom"/>
          </w:tcPr>
          <w:p>
            <w:pPr>
              <w:spacing w:after="0"/>
              <w:rPr>
                <w:sz w:val="1"/>
                <w:szCs w:val="1"/>
                <w:color w:val="auto"/>
              </w:rPr>
            </w:pPr>
          </w:p>
        </w:tc>
      </w:tr>
      <w:tr>
        <w:trPr>
          <w:trHeight w:val="20"/>
        </w:trPr>
        <w:tc>
          <w:tcPr>
            <w:tcW w:w="2820" w:type="dxa"/>
            <w:vAlign w:val="bottom"/>
            <w:tcBorders>
              <w:top w:val="single" w:sz="8" w:color="CEFFE7"/>
              <w:bottom w:val="single" w:sz="8" w:color="CEFFE7"/>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cost of fuel and purchased power</w:t>
            </w:r>
          </w:p>
        </w:tc>
        <w:tc>
          <w:tcPr>
            <w:tcW w:w="220" w:type="dxa"/>
            <w:vAlign w:val="bottom"/>
            <w:tcBorders>
              <w:top w:val="single" w:sz="8" w:color="CEFFE7"/>
            </w:tcBorders>
          </w:tcPr>
          <w:p>
            <w:pPr>
              <w:spacing w:after="0" w:line="20" w:lineRule="exact"/>
              <w:rPr>
                <w:sz w:val="1"/>
                <w:szCs w:val="1"/>
                <w:color w:val="auto"/>
              </w:rPr>
            </w:pPr>
          </w:p>
        </w:tc>
        <w:tc>
          <w:tcPr>
            <w:tcW w:w="800" w:type="dxa"/>
            <w:vAlign w:val="bottom"/>
            <w:tcBorders>
              <w:top w:val="single" w:sz="8" w:color="CEFFE7"/>
              <w:bottom w:val="single" w:sz="8" w:color="CEFFE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77,885</w:t>
            </w:r>
          </w:p>
        </w:tc>
        <w:tc>
          <w:tcPr>
            <w:tcW w:w="240" w:type="dxa"/>
            <w:vAlign w:val="bottom"/>
            <w:tcBorders>
              <w:top w:val="single" w:sz="8" w:color="CEFFE7"/>
            </w:tcBorders>
          </w:tcPr>
          <w:p>
            <w:pPr>
              <w:spacing w:after="0" w:line="20" w:lineRule="exact"/>
              <w:rPr>
                <w:sz w:val="1"/>
                <w:szCs w:val="1"/>
                <w:color w:val="auto"/>
              </w:rPr>
            </w:pPr>
          </w:p>
        </w:tc>
        <w:tc>
          <w:tcPr>
            <w:tcW w:w="800" w:type="dxa"/>
            <w:vAlign w:val="bottom"/>
            <w:tcBorders>
              <w:top w:val="single" w:sz="8" w:color="CEFFE7"/>
              <w:bottom w:val="single" w:sz="8" w:color="CEFFE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71,593</w:t>
            </w:r>
          </w:p>
        </w:tc>
        <w:tc>
          <w:tcPr>
            <w:tcW w:w="24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bottom w:val="single" w:sz="8" w:color="CEFFE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201,398</w:t>
            </w:r>
          </w:p>
        </w:tc>
        <w:tc>
          <w:tcPr>
            <w:tcW w:w="260" w:type="dxa"/>
            <w:vAlign w:val="bottom"/>
            <w:tcBorders>
              <w:top w:val="single" w:sz="8" w:color="CEFFE7"/>
            </w:tcBorders>
          </w:tcPr>
          <w:p>
            <w:pPr>
              <w:spacing w:after="0" w:line="20" w:lineRule="exact"/>
              <w:rPr>
                <w:sz w:val="1"/>
                <w:szCs w:val="1"/>
                <w:color w:val="auto"/>
              </w:rPr>
            </w:pPr>
          </w:p>
        </w:tc>
        <w:tc>
          <w:tcPr>
            <w:tcW w:w="820" w:type="dxa"/>
            <w:vAlign w:val="bottom"/>
            <w:tcBorders>
              <w:top w:val="single" w:sz="8" w:color="CEFFE7"/>
              <w:bottom w:val="single" w:sz="8" w:color="CEFFE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207,004</w:t>
            </w:r>
          </w:p>
        </w:tc>
        <w:tc>
          <w:tcPr>
            <w:tcW w:w="10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Borders>
              <w:bottom w:val="single" w:sz="8" w:color="CEFFE7"/>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6"/>
                <w:szCs w:val="16"/>
                <w:color w:val="auto"/>
              </w:rPr>
              <w:t>Gross Margin (non-GAAP)</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122,957</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119,791</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336,783</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333,661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6"/>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center"/>
              <w:ind w:right="420"/>
              <w:spacing w:after="0"/>
              <w:rPr>
                <w:sz w:val="20"/>
                <w:szCs w:val="20"/>
                <w:color w:val="auto"/>
              </w:rPr>
            </w:pPr>
            <w:r>
              <w:rPr>
                <w:rFonts w:ascii="Times New Roman" w:cs="Times New Roman" w:eastAsia="Times New Roman" w:hAnsi="Times New Roman"/>
                <w:sz w:val="16"/>
                <w:szCs w:val="16"/>
                <w:color w:val="auto"/>
              </w:rPr>
              <w:t>Electric Revenue</w:t>
            </w:r>
          </w:p>
        </w:tc>
        <w:tc>
          <w:tcPr>
            <w:tcW w:w="140" w:type="dxa"/>
            <w:vAlign w:val="bottom"/>
          </w:tcPr>
          <w:p>
            <w:pPr>
              <w:spacing w:after="0"/>
              <w:rPr>
                <w:sz w:val="24"/>
                <w:szCs w:val="24"/>
                <w:color w:val="auto"/>
              </w:rPr>
            </w:pPr>
          </w:p>
        </w:tc>
        <w:tc>
          <w:tcPr>
            <w:tcW w:w="23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Gross Margin (non-GAAP) (in</w:t>
            </w:r>
          </w:p>
        </w:tc>
        <w:tc>
          <w:tcPr>
            <w:tcW w:w="224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 xml:space="preserve">Quantities Sold (MWh) </w:t>
            </w:r>
            <w:r>
              <w:rPr>
                <w:rFonts w:ascii="Times New Roman" w:cs="Times New Roman" w:eastAsia="Times New Roman" w:hAnsi="Times New Roman"/>
                <w:sz w:val="21"/>
                <w:szCs w:val="21"/>
                <w:color w:val="auto"/>
                <w:vertAlign w:val="superscript"/>
              </w:rPr>
              <w:t>(b)</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420" w:type="dxa"/>
            <w:vAlign w:val="bottom"/>
            <w:gridSpan w:val="2"/>
          </w:tcPr>
          <w:p>
            <w:pPr>
              <w:jc w:val="center"/>
              <w:ind w:left="559"/>
              <w:spacing w:after="0"/>
              <w:rPr>
                <w:sz w:val="20"/>
                <w:szCs w:val="20"/>
                <w:color w:val="auto"/>
              </w:rPr>
            </w:pPr>
            <w:r>
              <w:rPr>
                <w:rFonts w:ascii="Times New Roman" w:cs="Times New Roman" w:eastAsia="Times New Roman" w:hAnsi="Times New Roman"/>
                <w:sz w:val="16"/>
                <w:szCs w:val="16"/>
                <w:color w:val="auto"/>
              </w:rPr>
              <w:t>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Borders>
              <w:bottom w:val="single" w:sz="8" w:color="CEFEE7"/>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Borders>
              <w:bottom w:val="single" w:sz="8" w:color="CEFEE7"/>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09"/>
        </w:trPr>
        <w:tc>
          <w:tcPr>
            <w:tcW w:w="4040" w:type="dxa"/>
            <w:vAlign w:val="bottom"/>
            <w:shd w:val="clear" w:color="auto" w:fill="CEFEE7"/>
          </w:tcPr>
          <w:p>
            <w:pPr>
              <w:ind w:left="20"/>
              <w:spacing w:after="0"/>
              <w:rPr>
                <w:sz w:val="20"/>
                <w:szCs w:val="20"/>
                <w:color w:val="auto"/>
              </w:rPr>
            </w:pPr>
            <w:r>
              <w:rPr>
                <w:rFonts w:ascii="Times New Roman" w:cs="Times New Roman" w:eastAsia="Times New Roman" w:hAnsi="Times New Roman"/>
                <w:sz w:val="16"/>
                <w:szCs w:val="16"/>
                <w:color w:val="auto"/>
              </w:rPr>
              <w:t>Colorado Electric</w:t>
            </w:r>
          </w:p>
        </w:tc>
        <w:tc>
          <w:tcPr>
            <w:tcW w:w="260" w:type="dxa"/>
            <w:vAlign w:val="bottom"/>
            <w:shd w:val="clear" w:color="auto" w:fill="CEFE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74,742</w:t>
            </w:r>
          </w:p>
        </w:tc>
        <w:tc>
          <w:tcPr>
            <w:tcW w:w="300" w:type="dxa"/>
            <w:vAlign w:val="bottom"/>
            <w:shd w:val="clear" w:color="auto" w:fill="CEFEE7"/>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70,771</w:t>
            </w:r>
          </w:p>
        </w:tc>
        <w:tc>
          <w:tcPr>
            <w:tcW w:w="100" w:type="dxa"/>
            <w:vAlign w:val="bottom"/>
            <w:shd w:val="clear" w:color="auto" w:fill="CEFEE7"/>
          </w:tcPr>
          <w:p>
            <w:pPr>
              <w:spacing w:after="0"/>
              <w:rPr>
                <w:sz w:val="18"/>
                <w:szCs w:val="18"/>
                <w:color w:val="auto"/>
              </w:rPr>
            </w:pPr>
          </w:p>
        </w:tc>
        <w:tc>
          <w:tcPr>
            <w:tcW w:w="1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42,236</w:t>
            </w:r>
          </w:p>
        </w:tc>
        <w:tc>
          <w:tcPr>
            <w:tcW w:w="400" w:type="dxa"/>
            <w:vAlign w:val="bottom"/>
            <w:shd w:val="clear" w:color="auto" w:fill="CEFEE7"/>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41,916</w:t>
            </w:r>
          </w:p>
        </w:tc>
        <w:tc>
          <w:tcPr>
            <w:tcW w:w="100" w:type="dxa"/>
            <w:vAlign w:val="bottom"/>
            <w:shd w:val="clear" w:color="auto" w:fill="CEFEE7"/>
          </w:tcPr>
          <w:p>
            <w:pPr>
              <w:spacing w:after="0"/>
              <w:rPr>
                <w:sz w:val="18"/>
                <w:szCs w:val="18"/>
                <w:color w:val="auto"/>
              </w:rPr>
            </w:pPr>
          </w:p>
        </w:tc>
        <w:tc>
          <w:tcPr>
            <w:tcW w:w="1280" w:type="dxa"/>
            <w:vAlign w:val="bottom"/>
            <w:shd w:val="clear" w:color="auto" w:fill="CEFEE7"/>
          </w:tcPr>
          <w:p>
            <w:pPr>
              <w:jc w:val="right"/>
              <w:ind w:right="139"/>
              <w:spacing w:after="0"/>
              <w:rPr>
                <w:sz w:val="20"/>
                <w:szCs w:val="20"/>
                <w:color w:val="auto"/>
              </w:rPr>
            </w:pPr>
            <w:r>
              <w:rPr>
                <w:rFonts w:ascii="Times New Roman" w:cs="Times New Roman" w:eastAsia="Times New Roman" w:hAnsi="Times New Roman"/>
                <w:sz w:val="16"/>
                <w:szCs w:val="16"/>
                <w:color w:val="auto"/>
              </w:rPr>
              <w:t>666,916</w:t>
            </w:r>
          </w:p>
        </w:tc>
        <w:tc>
          <w:tcPr>
            <w:tcW w:w="9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634,098</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South Dakota Electric </w:t>
            </w:r>
            <w:r>
              <w:rPr>
                <w:rFonts w:ascii="Times New Roman" w:cs="Times New Roman" w:eastAsia="Times New Roman" w:hAnsi="Times New Roman"/>
                <w:sz w:val="21"/>
                <w:szCs w:val="21"/>
                <w:color w:val="auto"/>
                <w:vertAlign w:val="superscript"/>
              </w:rPr>
              <w:t>(a)</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55,217</w:t>
            </w:r>
          </w:p>
        </w:tc>
        <w:tc>
          <w:tcPr>
            <w:tcW w:w="10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699,150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835,725</w:t>
            </w:r>
          </w:p>
        </w:tc>
        <w:tc>
          <w:tcPr>
            <w:tcW w:w="0" w:type="dxa"/>
            <w:vAlign w:val="bottom"/>
          </w:tcPr>
          <w:p>
            <w:pPr>
              <w:spacing w:after="0"/>
              <w:rPr>
                <w:sz w:val="1"/>
                <w:szCs w:val="1"/>
                <w:color w:val="auto"/>
              </w:rPr>
            </w:pPr>
          </w:p>
        </w:tc>
      </w:tr>
      <w:tr>
        <w:trPr>
          <w:trHeight w:val="216"/>
        </w:trPr>
        <w:tc>
          <w:tcPr>
            <w:tcW w:w="4040" w:type="dxa"/>
            <w:vAlign w:val="bottom"/>
            <w:shd w:val="clear" w:color="auto" w:fill="CEFEE7"/>
          </w:tcPr>
          <w:p>
            <w:pPr>
              <w:ind w:left="20"/>
              <w:spacing w:after="0"/>
              <w:rPr>
                <w:sz w:val="20"/>
                <w:szCs w:val="20"/>
                <w:color w:val="auto"/>
              </w:rPr>
            </w:pPr>
            <w:r>
              <w:rPr>
                <w:rFonts w:ascii="Times New Roman" w:cs="Times New Roman" w:eastAsia="Times New Roman" w:hAnsi="Times New Roman"/>
                <w:sz w:val="16"/>
                <w:szCs w:val="16"/>
                <w:color w:val="auto"/>
              </w:rPr>
              <w:t>Wyoming Electric</w:t>
            </w:r>
          </w:p>
        </w:tc>
        <w:tc>
          <w:tcPr>
            <w:tcW w:w="260" w:type="dxa"/>
            <w:vAlign w:val="bottom"/>
            <w:tcBorders>
              <w:bottom w:val="single" w:sz="8" w:color="auto"/>
            </w:tcBorders>
            <w:shd w:val="clear" w:color="auto" w:fill="CEFEE7"/>
          </w:tcPr>
          <w:p>
            <w:pPr>
              <w:spacing w:after="0"/>
              <w:rPr>
                <w:sz w:val="18"/>
                <w:szCs w:val="18"/>
                <w:color w:val="auto"/>
              </w:rPr>
            </w:pPr>
          </w:p>
        </w:tc>
        <w:tc>
          <w:tcPr>
            <w:tcW w:w="90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47,239</w:t>
            </w:r>
          </w:p>
        </w:tc>
        <w:tc>
          <w:tcPr>
            <w:tcW w:w="30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43,591</w:t>
            </w:r>
          </w:p>
        </w:tc>
        <w:tc>
          <w:tcPr>
            <w:tcW w:w="100" w:type="dxa"/>
            <w:vAlign w:val="bottom"/>
            <w:shd w:val="clear" w:color="auto" w:fill="CEFEE7"/>
          </w:tcPr>
          <w:p>
            <w:pPr>
              <w:spacing w:after="0"/>
              <w:rPr>
                <w:sz w:val="18"/>
                <w:szCs w:val="18"/>
                <w:color w:val="auto"/>
              </w:rPr>
            </w:pPr>
          </w:p>
        </w:tc>
        <w:tc>
          <w:tcPr>
            <w:tcW w:w="140" w:type="dxa"/>
            <w:vAlign w:val="bottom"/>
            <w:tcBorders>
              <w:bottom w:val="single" w:sz="8" w:color="auto"/>
            </w:tcBorders>
            <w:shd w:val="clear" w:color="auto" w:fill="CEFEE7"/>
          </w:tcPr>
          <w:p>
            <w:pPr>
              <w:spacing w:after="0"/>
              <w:rPr>
                <w:sz w:val="18"/>
                <w:szCs w:val="18"/>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22,659</w:t>
            </w:r>
          </w:p>
        </w:tc>
        <w:tc>
          <w:tcPr>
            <w:tcW w:w="400" w:type="dxa"/>
            <w:vAlign w:val="bottom"/>
            <w:tcBorders>
              <w:bottom w:val="single" w:sz="8" w:color="auto"/>
            </w:tcBorders>
            <w:shd w:val="clear" w:color="auto" w:fill="CEFEE7"/>
          </w:tcPr>
          <w:p>
            <w:pPr>
              <w:spacing w:after="0"/>
              <w:rPr>
                <w:sz w:val="18"/>
                <w:szCs w:val="18"/>
                <w:color w:val="auto"/>
              </w:rPr>
            </w:pPr>
          </w:p>
        </w:tc>
        <w:tc>
          <w:tcPr>
            <w:tcW w:w="80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22,658</w:t>
            </w:r>
          </w:p>
        </w:tc>
        <w:tc>
          <w:tcPr>
            <w:tcW w:w="100" w:type="dxa"/>
            <w:vAlign w:val="bottom"/>
            <w:shd w:val="clear" w:color="auto" w:fill="CEFEE7"/>
          </w:tcPr>
          <w:p>
            <w:pPr>
              <w:spacing w:after="0"/>
              <w:rPr>
                <w:sz w:val="18"/>
                <w:szCs w:val="18"/>
                <w:color w:val="auto"/>
              </w:rPr>
            </w:pPr>
          </w:p>
        </w:tc>
        <w:tc>
          <w:tcPr>
            <w:tcW w:w="1280" w:type="dxa"/>
            <w:vAlign w:val="bottom"/>
            <w:tcBorders>
              <w:bottom w:val="single" w:sz="8" w:color="auto"/>
            </w:tcBorders>
            <w:shd w:val="clear" w:color="auto" w:fill="CEFEE7"/>
          </w:tcPr>
          <w:p>
            <w:pPr>
              <w:jc w:val="right"/>
              <w:ind w:right="139"/>
              <w:spacing w:after="0"/>
              <w:rPr>
                <w:sz w:val="20"/>
                <w:szCs w:val="20"/>
                <w:color w:val="auto"/>
              </w:rPr>
            </w:pPr>
            <w:r>
              <w:rPr>
                <w:rFonts w:ascii="Times New Roman" w:cs="Times New Roman" w:eastAsia="Times New Roman" w:hAnsi="Times New Roman"/>
                <w:sz w:val="16"/>
                <w:szCs w:val="16"/>
                <w:color w:val="auto"/>
              </w:rPr>
              <w:t>502,887</w:t>
            </w:r>
          </w:p>
        </w:tc>
        <w:tc>
          <w:tcPr>
            <w:tcW w:w="9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486,272</w:t>
            </w:r>
          </w:p>
        </w:tc>
        <w:tc>
          <w:tcPr>
            <w:tcW w:w="0" w:type="dxa"/>
            <w:vAlign w:val="bottom"/>
          </w:tcPr>
          <w:p>
            <w:pPr>
              <w:spacing w:after="0"/>
              <w:rPr>
                <w:sz w:val="1"/>
                <w:szCs w:val="1"/>
                <w:color w:val="auto"/>
              </w:rPr>
            </w:pPr>
          </w:p>
        </w:tc>
      </w:tr>
      <w:tr>
        <w:trPr>
          <w:trHeight w:val="142"/>
        </w:trPr>
        <w:tc>
          <w:tcPr>
            <w:tcW w:w="404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Total Electric Revenue, Gross Margin (non-GAAP), and</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200,842</w:t>
            </w:r>
          </w:p>
        </w:tc>
        <w:tc>
          <w:tcPr>
            <w:tcW w:w="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191,384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122,957</w:t>
            </w:r>
          </w:p>
        </w:tc>
        <w:tc>
          <w:tcPr>
            <w:tcW w:w="4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119,791</w:t>
            </w:r>
          </w:p>
        </w:tc>
        <w:tc>
          <w:tcPr>
            <w:tcW w:w="100" w:type="dxa"/>
            <w:vAlign w:val="bottom"/>
          </w:tcPr>
          <w:p>
            <w:pPr>
              <w:spacing w:after="0"/>
              <w:rPr>
                <w:sz w:val="12"/>
                <w:szCs w:val="12"/>
                <w:color w:val="auto"/>
              </w:rPr>
            </w:pPr>
          </w:p>
        </w:tc>
        <w:tc>
          <w:tcPr>
            <w:tcW w:w="12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1,868,953</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1,956,095</w:t>
            </w:r>
          </w:p>
        </w:tc>
        <w:tc>
          <w:tcPr>
            <w:tcW w:w="0" w:type="dxa"/>
            <w:vAlign w:val="bottom"/>
          </w:tcPr>
          <w:p>
            <w:pPr>
              <w:spacing w:after="0"/>
              <w:rPr>
                <w:sz w:val="1"/>
                <w:szCs w:val="1"/>
                <w:color w:val="auto"/>
              </w:rPr>
            </w:pPr>
          </w:p>
        </w:tc>
      </w:tr>
      <w:tr>
        <w:trPr>
          <w:trHeight w:val="194"/>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Quantities Sold</w:t>
            </w:r>
          </w:p>
        </w:tc>
        <w:tc>
          <w:tcPr>
            <w:tcW w:w="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center"/>
              <w:ind w:right="420"/>
              <w:spacing w:after="0"/>
              <w:rPr>
                <w:sz w:val="20"/>
                <w:szCs w:val="20"/>
                <w:color w:val="auto"/>
              </w:rPr>
            </w:pPr>
            <w:r>
              <w:rPr>
                <w:rFonts w:ascii="Times New Roman" w:cs="Times New Roman" w:eastAsia="Times New Roman" w:hAnsi="Times New Roman"/>
                <w:sz w:val="16"/>
                <w:szCs w:val="16"/>
                <w:color w:val="auto"/>
              </w:rPr>
              <w:t>Electric Revenue</w:t>
            </w:r>
          </w:p>
        </w:tc>
        <w:tc>
          <w:tcPr>
            <w:tcW w:w="140" w:type="dxa"/>
            <w:vAlign w:val="bottom"/>
          </w:tcPr>
          <w:p>
            <w:pPr>
              <w:spacing w:after="0"/>
              <w:rPr>
                <w:sz w:val="24"/>
                <w:szCs w:val="24"/>
                <w:color w:val="auto"/>
              </w:rPr>
            </w:pPr>
          </w:p>
        </w:tc>
        <w:tc>
          <w:tcPr>
            <w:tcW w:w="23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Gross Margin (non-GAAP) (in</w:t>
            </w:r>
          </w:p>
        </w:tc>
        <w:tc>
          <w:tcPr>
            <w:tcW w:w="224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 xml:space="preserve">Quantities Sold (MWh) </w:t>
            </w:r>
            <w:r>
              <w:rPr>
                <w:rFonts w:ascii="Times New Roman" w:cs="Times New Roman" w:eastAsia="Times New Roman" w:hAnsi="Times New Roman"/>
                <w:sz w:val="21"/>
                <w:szCs w:val="21"/>
                <w:color w:val="auto"/>
                <w:vertAlign w:val="superscript"/>
              </w:rPr>
              <w:t>(b)</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420" w:type="dxa"/>
            <w:vAlign w:val="bottom"/>
            <w:gridSpan w:val="2"/>
          </w:tcPr>
          <w:p>
            <w:pPr>
              <w:jc w:val="center"/>
              <w:ind w:left="559"/>
              <w:spacing w:after="0"/>
              <w:rPr>
                <w:sz w:val="20"/>
                <w:szCs w:val="20"/>
                <w:color w:val="auto"/>
              </w:rPr>
            </w:pPr>
            <w:r>
              <w:rPr>
                <w:rFonts w:ascii="Times New Roman" w:cs="Times New Roman" w:eastAsia="Times New Roman" w:hAnsi="Times New Roman"/>
                <w:sz w:val="16"/>
                <w:szCs w:val="16"/>
                <w:color w:val="auto"/>
              </w:rPr>
              <w:t>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Borders>
              <w:bottom w:val="single" w:sz="8" w:color="CEFEE7"/>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Borders>
              <w:bottom w:val="single" w:sz="8" w:color="CEFEE7"/>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10"/>
        </w:trPr>
        <w:tc>
          <w:tcPr>
            <w:tcW w:w="4040" w:type="dxa"/>
            <w:vAlign w:val="bottom"/>
            <w:shd w:val="clear" w:color="auto" w:fill="CEFEE7"/>
          </w:tcPr>
          <w:p>
            <w:pPr>
              <w:ind w:left="20"/>
              <w:spacing w:after="0"/>
              <w:rPr>
                <w:sz w:val="20"/>
                <w:szCs w:val="20"/>
                <w:color w:val="auto"/>
              </w:rPr>
            </w:pPr>
            <w:r>
              <w:rPr>
                <w:rFonts w:ascii="Times New Roman" w:cs="Times New Roman" w:eastAsia="Times New Roman" w:hAnsi="Times New Roman"/>
                <w:sz w:val="16"/>
                <w:szCs w:val="16"/>
                <w:color w:val="auto"/>
              </w:rPr>
              <w:t>Colorado Electric</w:t>
            </w:r>
          </w:p>
        </w:tc>
        <w:tc>
          <w:tcPr>
            <w:tcW w:w="260" w:type="dxa"/>
            <w:vAlign w:val="bottom"/>
            <w:shd w:val="clear" w:color="auto" w:fill="CEFE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191,197</w:t>
            </w:r>
          </w:p>
        </w:tc>
        <w:tc>
          <w:tcPr>
            <w:tcW w:w="300" w:type="dxa"/>
            <w:vAlign w:val="bottom"/>
            <w:shd w:val="clear" w:color="auto" w:fill="CEFEE7"/>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186,030</w:t>
            </w:r>
          </w:p>
        </w:tc>
        <w:tc>
          <w:tcPr>
            <w:tcW w:w="100" w:type="dxa"/>
            <w:vAlign w:val="bottom"/>
            <w:shd w:val="clear" w:color="auto" w:fill="CEFEE7"/>
          </w:tcPr>
          <w:p>
            <w:pPr>
              <w:spacing w:after="0"/>
              <w:rPr>
                <w:sz w:val="18"/>
                <w:szCs w:val="18"/>
                <w:color w:val="auto"/>
              </w:rPr>
            </w:pPr>
          </w:p>
        </w:tc>
        <w:tc>
          <w:tcPr>
            <w:tcW w:w="1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106,961</w:t>
            </w:r>
          </w:p>
        </w:tc>
        <w:tc>
          <w:tcPr>
            <w:tcW w:w="400" w:type="dxa"/>
            <w:vAlign w:val="bottom"/>
            <w:shd w:val="clear" w:color="auto" w:fill="CEFEE7"/>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104,411</w:t>
            </w:r>
          </w:p>
        </w:tc>
        <w:tc>
          <w:tcPr>
            <w:tcW w:w="100" w:type="dxa"/>
            <w:vAlign w:val="bottom"/>
            <w:shd w:val="clear" w:color="auto" w:fill="CEFEE7"/>
          </w:tcPr>
          <w:p>
            <w:pPr>
              <w:spacing w:after="0"/>
              <w:rPr>
                <w:sz w:val="18"/>
                <w:szCs w:val="18"/>
                <w:color w:val="auto"/>
              </w:rPr>
            </w:pPr>
          </w:p>
        </w:tc>
        <w:tc>
          <w:tcPr>
            <w:tcW w:w="1280" w:type="dxa"/>
            <w:vAlign w:val="bottom"/>
            <w:shd w:val="clear" w:color="auto" w:fill="CEFEE7"/>
          </w:tcPr>
          <w:p>
            <w:pPr>
              <w:jc w:val="right"/>
              <w:ind w:right="139"/>
              <w:spacing w:after="0"/>
              <w:rPr>
                <w:sz w:val="20"/>
                <w:szCs w:val="20"/>
                <w:color w:val="auto"/>
              </w:rPr>
            </w:pPr>
            <w:r>
              <w:rPr>
                <w:rFonts w:ascii="Times New Roman" w:cs="Times New Roman" w:eastAsia="Times New Roman" w:hAnsi="Times New Roman"/>
                <w:sz w:val="16"/>
                <w:szCs w:val="16"/>
                <w:color w:val="auto"/>
              </w:rPr>
              <w:t>1,765,501</w:t>
            </w:r>
          </w:p>
        </w:tc>
        <w:tc>
          <w:tcPr>
            <w:tcW w:w="9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1,611,126</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South Dakota Electric </w:t>
            </w:r>
            <w:r>
              <w:rPr>
                <w:rFonts w:ascii="Times New Roman" w:cs="Times New Roman" w:eastAsia="Times New Roman" w:hAnsi="Times New Roman"/>
                <w:sz w:val="21"/>
                <w:szCs w:val="21"/>
                <w:color w:val="auto"/>
                <w:vertAlign w:val="superscript"/>
              </w:rPr>
              <w:t>(a)</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213,059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163,659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162,390</w:t>
            </w:r>
          </w:p>
        </w:tc>
        <w:tc>
          <w:tcPr>
            <w:tcW w:w="10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1,954,902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2,438,366</w:t>
            </w:r>
          </w:p>
        </w:tc>
        <w:tc>
          <w:tcPr>
            <w:tcW w:w="0" w:type="dxa"/>
            <w:vAlign w:val="bottom"/>
          </w:tcPr>
          <w:p>
            <w:pPr>
              <w:spacing w:after="0"/>
              <w:rPr>
                <w:sz w:val="1"/>
                <w:szCs w:val="1"/>
                <w:color w:val="auto"/>
              </w:rPr>
            </w:pPr>
          </w:p>
        </w:tc>
      </w:tr>
      <w:tr>
        <w:trPr>
          <w:trHeight w:val="216"/>
        </w:trPr>
        <w:tc>
          <w:tcPr>
            <w:tcW w:w="4040" w:type="dxa"/>
            <w:vAlign w:val="bottom"/>
            <w:shd w:val="clear" w:color="auto" w:fill="CEFEE7"/>
          </w:tcPr>
          <w:p>
            <w:pPr>
              <w:ind w:left="20"/>
              <w:spacing w:after="0"/>
              <w:rPr>
                <w:sz w:val="20"/>
                <w:szCs w:val="20"/>
                <w:color w:val="auto"/>
              </w:rPr>
            </w:pPr>
            <w:r>
              <w:rPr>
                <w:rFonts w:ascii="Times New Roman" w:cs="Times New Roman" w:eastAsia="Times New Roman" w:hAnsi="Times New Roman"/>
                <w:sz w:val="16"/>
                <w:szCs w:val="16"/>
                <w:color w:val="auto"/>
              </w:rPr>
              <w:t>Wyoming Electric</w:t>
            </w:r>
          </w:p>
        </w:tc>
        <w:tc>
          <w:tcPr>
            <w:tcW w:w="260" w:type="dxa"/>
            <w:vAlign w:val="bottom"/>
            <w:tcBorders>
              <w:bottom w:val="single" w:sz="8" w:color="auto"/>
            </w:tcBorders>
            <w:shd w:val="clear" w:color="auto" w:fill="CEFEE7"/>
          </w:tcPr>
          <w:p>
            <w:pPr>
              <w:spacing w:after="0"/>
              <w:rPr>
                <w:sz w:val="18"/>
                <w:szCs w:val="18"/>
                <w:color w:val="auto"/>
              </w:rPr>
            </w:pPr>
          </w:p>
        </w:tc>
        <w:tc>
          <w:tcPr>
            <w:tcW w:w="90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133,925</w:t>
            </w:r>
          </w:p>
        </w:tc>
        <w:tc>
          <w:tcPr>
            <w:tcW w:w="30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129,326</w:t>
            </w:r>
          </w:p>
        </w:tc>
        <w:tc>
          <w:tcPr>
            <w:tcW w:w="100" w:type="dxa"/>
            <w:vAlign w:val="bottom"/>
            <w:shd w:val="clear" w:color="auto" w:fill="CEFEE7"/>
          </w:tcPr>
          <w:p>
            <w:pPr>
              <w:spacing w:after="0"/>
              <w:rPr>
                <w:sz w:val="18"/>
                <w:szCs w:val="18"/>
                <w:color w:val="auto"/>
              </w:rPr>
            </w:pPr>
          </w:p>
        </w:tc>
        <w:tc>
          <w:tcPr>
            <w:tcW w:w="140" w:type="dxa"/>
            <w:vAlign w:val="bottom"/>
            <w:tcBorders>
              <w:bottom w:val="single" w:sz="8" w:color="auto"/>
            </w:tcBorders>
            <w:shd w:val="clear" w:color="auto" w:fill="CEFEE7"/>
          </w:tcPr>
          <w:p>
            <w:pPr>
              <w:spacing w:after="0"/>
              <w:rPr>
                <w:sz w:val="18"/>
                <w:szCs w:val="18"/>
                <w:color w:val="auto"/>
              </w:rPr>
            </w:pPr>
          </w:p>
        </w:tc>
        <w:tc>
          <w:tcPr>
            <w:tcW w:w="102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66,163</w:t>
            </w:r>
          </w:p>
        </w:tc>
        <w:tc>
          <w:tcPr>
            <w:tcW w:w="400" w:type="dxa"/>
            <w:vAlign w:val="bottom"/>
            <w:tcBorders>
              <w:bottom w:val="single" w:sz="8" w:color="auto"/>
            </w:tcBorders>
            <w:shd w:val="clear" w:color="auto" w:fill="CEFEE7"/>
          </w:tcPr>
          <w:p>
            <w:pPr>
              <w:spacing w:after="0"/>
              <w:rPr>
                <w:sz w:val="18"/>
                <w:szCs w:val="18"/>
                <w:color w:val="auto"/>
              </w:rPr>
            </w:pPr>
          </w:p>
        </w:tc>
        <w:tc>
          <w:tcPr>
            <w:tcW w:w="80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66,860</w:t>
            </w:r>
          </w:p>
        </w:tc>
        <w:tc>
          <w:tcPr>
            <w:tcW w:w="100" w:type="dxa"/>
            <w:vAlign w:val="bottom"/>
            <w:shd w:val="clear" w:color="auto" w:fill="CEFEE7"/>
          </w:tcPr>
          <w:p>
            <w:pPr>
              <w:spacing w:after="0"/>
              <w:rPr>
                <w:sz w:val="18"/>
                <w:szCs w:val="18"/>
                <w:color w:val="auto"/>
              </w:rPr>
            </w:pPr>
          </w:p>
        </w:tc>
        <w:tc>
          <w:tcPr>
            <w:tcW w:w="1280" w:type="dxa"/>
            <w:vAlign w:val="bottom"/>
            <w:tcBorders>
              <w:bottom w:val="single" w:sz="8" w:color="auto"/>
            </w:tcBorders>
            <w:shd w:val="clear" w:color="auto" w:fill="CEFEE7"/>
          </w:tcPr>
          <w:p>
            <w:pPr>
              <w:jc w:val="right"/>
              <w:ind w:right="139"/>
              <w:spacing w:after="0"/>
              <w:rPr>
                <w:sz w:val="20"/>
                <w:szCs w:val="20"/>
                <w:color w:val="auto"/>
              </w:rPr>
            </w:pPr>
            <w:r>
              <w:rPr>
                <w:rFonts w:ascii="Times New Roman" w:cs="Times New Roman" w:eastAsia="Times New Roman" w:hAnsi="Times New Roman"/>
                <w:sz w:val="16"/>
                <w:szCs w:val="16"/>
                <w:color w:val="auto"/>
              </w:rPr>
              <w:t>1,502,441</w:t>
            </w:r>
          </w:p>
        </w:tc>
        <w:tc>
          <w:tcPr>
            <w:tcW w:w="9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1,420,583</w:t>
            </w:r>
          </w:p>
        </w:tc>
        <w:tc>
          <w:tcPr>
            <w:tcW w:w="0" w:type="dxa"/>
            <w:vAlign w:val="bottom"/>
          </w:tcPr>
          <w:p>
            <w:pPr>
              <w:spacing w:after="0"/>
              <w:rPr>
                <w:sz w:val="1"/>
                <w:szCs w:val="1"/>
                <w:color w:val="auto"/>
              </w:rPr>
            </w:pPr>
          </w:p>
        </w:tc>
      </w:tr>
      <w:tr>
        <w:trPr>
          <w:trHeight w:val="142"/>
        </w:trPr>
        <w:tc>
          <w:tcPr>
            <w:tcW w:w="404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Total Electric Revenue, Gross Margin (non-GAAP), and</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538,181</w:t>
            </w:r>
          </w:p>
        </w:tc>
        <w:tc>
          <w:tcPr>
            <w:tcW w:w="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540,665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336,783</w:t>
            </w:r>
          </w:p>
        </w:tc>
        <w:tc>
          <w:tcPr>
            <w:tcW w:w="4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333,661</w:t>
            </w:r>
          </w:p>
        </w:tc>
        <w:tc>
          <w:tcPr>
            <w:tcW w:w="100" w:type="dxa"/>
            <w:vAlign w:val="bottom"/>
          </w:tcPr>
          <w:p>
            <w:pPr>
              <w:spacing w:after="0"/>
              <w:rPr>
                <w:sz w:val="12"/>
                <w:szCs w:val="12"/>
                <w:color w:val="auto"/>
              </w:rPr>
            </w:pPr>
          </w:p>
        </w:tc>
        <w:tc>
          <w:tcPr>
            <w:tcW w:w="12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5,222,844</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5,470,075</w:t>
            </w:r>
          </w:p>
        </w:tc>
        <w:tc>
          <w:tcPr>
            <w:tcW w:w="0" w:type="dxa"/>
            <w:vAlign w:val="bottom"/>
          </w:tcPr>
          <w:p>
            <w:pPr>
              <w:spacing w:after="0"/>
              <w:rPr>
                <w:sz w:val="1"/>
                <w:szCs w:val="1"/>
                <w:color w:val="auto"/>
              </w:rPr>
            </w:pPr>
          </w:p>
        </w:tc>
      </w:tr>
      <w:tr>
        <w:trPr>
          <w:trHeight w:val="194"/>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Quantities Sold</w:t>
            </w:r>
          </w:p>
        </w:tc>
        <w:tc>
          <w:tcPr>
            <w:tcW w:w="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340" w:right="140" w:hanging="332"/>
        <w:spacing w:after="0" w:line="248" w:lineRule="auto"/>
        <w:tabs>
          <w:tab w:leader="none" w:pos="35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and purchased power for the three and nine months ended September 30, 2020 as well as associated quantities, for certain wholesale contracts have been presented on a net basis. Amounts for the three and nine months ended September 30, 2019, were presented on a gross basis and, due to their immaterial nature, were not revised. This presentation change has no impact on Gross margin.</w:t>
      </w:r>
    </w:p>
    <w:p>
      <w:pPr>
        <w:ind w:left="360" w:hanging="352"/>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company uses, line losses, and excess exchange production.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96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Three Months Ended</w:t>
            </w:r>
          </w:p>
        </w:tc>
        <w:tc>
          <w:tcPr>
            <w:tcW w:w="250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September 30,</w:t>
            </w:r>
          </w:p>
        </w:tc>
        <w:tc>
          <w:tcPr>
            <w:tcW w:w="1100" w:type="dxa"/>
            <w:vAlign w:val="bottom"/>
          </w:tcPr>
          <w:p>
            <w:pPr>
              <w:spacing w:after="0"/>
              <w:rPr>
                <w:sz w:val="18"/>
                <w:szCs w:val="18"/>
                <w:color w:val="auto"/>
              </w:rPr>
            </w:pPr>
          </w:p>
        </w:tc>
        <w:tc>
          <w:tcPr>
            <w:tcW w:w="164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Quantities Generated and Purchased (MWh)</w:t>
            </w:r>
          </w:p>
        </w:tc>
        <w:tc>
          <w:tcPr>
            <w:tcW w:w="18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2020</w:t>
            </w: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2019</w:t>
            </w:r>
          </w:p>
        </w:tc>
        <w:tc>
          <w:tcPr>
            <w:tcW w:w="16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2020</w:t>
            </w: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2019</w:t>
            </w:r>
          </w:p>
        </w:tc>
        <w:tc>
          <w:tcPr>
            <w:tcW w:w="0" w:type="dxa"/>
            <w:vAlign w:val="bottom"/>
          </w:tcPr>
          <w:p>
            <w:pPr>
              <w:spacing w:after="0"/>
              <w:rPr>
                <w:sz w:val="1"/>
                <w:szCs w:val="1"/>
                <w:color w:val="auto"/>
              </w:rPr>
            </w:pPr>
          </w:p>
        </w:tc>
      </w:tr>
      <w:tr>
        <w:trPr>
          <w:trHeight w:val="145"/>
        </w:trPr>
        <w:tc>
          <w:tcPr>
            <w:tcW w:w="5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Coal-fired</w:t>
            </w:r>
          </w:p>
        </w:tc>
        <w:tc>
          <w:tcPr>
            <w:tcW w:w="1860" w:type="dxa"/>
            <w:vAlign w:val="bottom"/>
            <w:shd w:val="clear" w:color="auto" w:fill="CEFFE7"/>
          </w:tcPr>
          <w:p>
            <w:pPr>
              <w:jc w:val="right"/>
              <w:ind w:right="479"/>
              <w:spacing w:after="0"/>
              <w:rPr>
                <w:sz w:val="20"/>
                <w:szCs w:val="20"/>
                <w:color w:val="auto"/>
              </w:rPr>
            </w:pPr>
            <w:r>
              <w:rPr>
                <w:rFonts w:ascii="Times New Roman" w:cs="Times New Roman" w:eastAsia="Times New Roman" w:hAnsi="Times New Roman"/>
                <w:sz w:val="16"/>
                <w:szCs w:val="16"/>
                <w:color w:val="auto"/>
              </w:rPr>
              <w:t>592,681</w:t>
            </w:r>
          </w:p>
        </w:tc>
        <w:tc>
          <w:tcPr>
            <w:tcW w:w="110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564,220</w:t>
            </w:r>
          </w:p>
        </w:tc>
        <w:tc>
          <w:tcPr>
            <w:tcW w:w="1640" w:type="dxa"/>
            <w:vAlign w:val="bottom"/>
            <w:shd w:val="clear" w:color="auto" w:fill="CEFFE7"/>
          </w:tcPr>
          <w:p>
            <w:pPr>
              <w:jc w:val="right"/>
              <w:ind w:right="499"/>
              <w:spacing w:after="0"/>
              <w:rPr>
                <w:sz w:val="20"/>
                <w:szCs w:val="20"/>
                <w:color w:val="auto"/>
              </w:rPr>
            </w:pPr>
            <w:r>
              <w:rPr>
                <w:rFonts w:ascii="Times New Roman" w:cs="Times New Roman" w:eastAsia="Times New Roman" w:hAnsi="Times New Roman"/>
                <w:sz w:val="16"/>
                <w:szCs w:val="16"/>
                <w:color w:val="auto"/>
              </w:rPr>
              <w:t>1,712,540</w:t>
            </w: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1,621,355</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Natural Gas and Oil</w:t>
            </w:r>
          </w:p>
        </w:tc>
        <w:tc>
          <w:tcPr>
            <w:tcW w:w="18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199,408</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234,366</w:t>
            </w: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453,950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445,498</w:t>
            </w:r>
          </w:p>
        </w:tc>
        <w:tc>
          <w:tcPr>
            <w:tcW w:w="0" w:type="dxa"/>
            <w:vAlign w:val="bottom"/>
          </w:tcPr>
          <w:p>
            <w:pPr>
              <w:spacing w:after="0"/>
              <w:rPr>
                <w:sz w:val="1"/>
                <w:szCs w:val="1"/>
                <w:color w:val="auto"/>
              </w:rPr>
            </w:pPr>
          </w:p>
        </w:tc>
      </w:tr>
      <w:tr>
        <w:trPr>
          <w:trHeight w:val="219"/>
        </w:trPr>
        <w:tc>
          <w:tcPr>
            <w:tcW w:w="57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Wind</w:t>
            </w:r>
          </w:p>
        </w:tc>
        <w:tc>
          <w:tcPr>
            <w:tcW w:w="1860" w:type="dxa"/>
            <w:vAlign w:val="bottom"/>
            <w:tcBorders>
              <w:bottom w:val="single" w:sz="8" w:color="auto"/>
            </w:tcBorders>
            <w:shd w:val="clear" w:color="auto" w:fill="CEFFE7"/>
          </w:tcPr>
          <w:p>
            <w:pPr>
              <w:jc w:val="right"/>
              <w:ind w:right="479"/>
              <w:spacing w:after="0"/>
              <w:rPr>
                <w:sz w:val="20"/>
                <w:szCs w:val="20"/>
                <w:color w:val="auto"/>
              </w:rPr>
            </w:pPr>
            <w:r>
              <w:rPr>
                <w:rFonts w:ascii="Times New Roman" w:cs="Times New Roman" w:eastAsia="Times New Roman" w:hAnsi="Times New Roman"/>
                <w:sz w:val="16"/>
                <w:szCs w:val="16"/>
                <w:color w:val="auto"/>
              </w:rPr>
              <w:t>54,518</w:t>
            </w:r>
          </w:p>
        </w:tc>
        <w:tc>
          <w:tcPr>
            <w:tcW w:w="1100" w:type="dxa"/>
            <w:vAlign w:val="bottom"/>
            <w:tcBorders>
              <w:bottom w:val="single" w:sz="8" w:color="auto"/>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55,407</w:t>
            </w:r>
          </w:p>
        </w:tc>
        <w:tc>
          <w:tcPr>
            <w:tcW w:w="1640" w:type="dxa"/>
            <w:vAlign w:val="bottom"/>
            <w:tcBorders>
              <w:bottom w:val="single" w:sz="8" w:color="auto"/>
            </w:tcBorders>
            <w:shd w:val="clear" w:color="auto" w:fill="CEFFE7"/>
          </w:tcPr>
          <w:p>
            <w:pPr>
              <w:jc w:val="right"/>
              <w:ind w:right="499"/>
              <w:spacing w:after="0"/>
              <w:rPr>
                <w:sz w:val="20"/>
                <w:szCs w:val="20"/>
                <w:color w:val="auto"/>
              </w:rPr>
            </w:pPr>
            <w:r>
              <w:rPr>
                <w:rFonts w:ascii="Times New Roman" w:cs="Times New Roman" w:eastAsia="Times New Roman" w:hAnsi="Times New Roman"/>
                <w:sz w:val="16"/>
                <w:szCs w:val="16"/>
                <w:color w:val="auto"/>
              </w:rPr>
              <w:t>191,696</w:t>
            </w: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167,331</w:t>
            </w:r>
          </w:p>
        </w:tc>
        <w:tc>
          <w:tcPr>
            <w:tcW w:w="0" w:type="dxa"/>
            <w:vAlign w:val="bottom"/>
          </w:tcPr>
          <w:p>
            <w:pPr>
              <w:spacing w:after="0"/>
              <w:rPr>
                <w:sz w:val="1"/>
                <w:szCs w:val="1"/>
                <w:color w:val="auto"/>
              </w:rPr>
            </w:pPr>
          </w:p>
        </w:tc>
      </w:tr>
      <w:tr>
        <w:trPr>
          <w:trHeight w:val="207"/>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Generated</w:t>
            </w:r>
          </w:p>
        </w:tc>
        <w:tc>
          <w:tcPr>
            <w:tcW w:w="18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846,607</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853,993</w:t>
            </w: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2,358,186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2,234,184</w:t>
            </w:r>
          </w:p>
        </w:tc>
        <w:tc>
          <w:tcPr>
            <w:tcW w:w="0" w:type="dxa"/>
            <w:vAlign w:val="bottom"/>
          </w:tcPr>
          <w:p>
            <w:pPr>
              <w:spacing w:after="0"/>
              <w:rPr>
                <w:sz w:val="1"/>
                <w:szCs w:val="1"/>
                <w:color w:val="auto"/>
              </w:rPr>
            </w:pPr>
          </w:p>
        </w:tc>
      </w:tr>
      <w:tr>
        <w:trPr>
          <w:trHeight w:val="219"/>
        </w:trPr>
        <w:tc>
          <w:tcPr>
            <w:tcW w:w="5780" w:type="dxa"/>
            <w:vAlign w:val="bottom"/>
            <w:shd w:val="clear" w:color="auto" w:fill="CEFFE7"/>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Purchased </w:t>
            </w:r>
            <w:r>
              <w:rPr>
                <w:rFonts w:ascii="Times New Roman" w:cs="Times New Roman" w:eastAsia="Times New Roman" w:hAnsi="Times New Roman"/>
                <w:sz w:val="21"/>
                <w:szCs w:val="21"/>
                <w:color w:val="auto"/>
                <w:vertAlign w:val="superscript"/>
              </w:rPr>
              <w:t>(a)</w:t>
            </w:r>
          </w:p>
        </w:tc>
        <w:tc>
          <w:tcPr>
            <w:tcW w:w="1860" w:type="dxa"/>
            <w:vAlign w:val="bottom"/>
            <w:tcBorders>
              <w:bottom w:val="single" w:sz="8" w:color="auto"/>
            </w:tcBorders>
            <w:shd w:val="clear" w:color="auto" w:fill="CEFFE7"/>
          </w:tcPr>
          <w:p>
            <w:pPr>
              <w:jc w:val="right"/>
              <w:ind w:right="479"/>
              <w:spacing w:after="0"/>
              <w:rPr>
                <w:sz w:val="20"/>
                <w:szCs w:val="20"/>
                <w:color w:val="auto"/>
              </w:rPr>
            </w:pPr>
            <w:r>
              <w:rPr>
                <w:rFonts w:ascii="Times New Roman" w:cs="Times New Roman" w:eastAsia="Times New Roman" w:hAnsi="Times New Roman"/>
                <w:sz w:val="16"/>
                <w:szCs w:val="16"/>
                <w:color w:val="auto"/>
              </w:rPr>
              <w:t>1,022,346</w:t>
            </w:r>
          </w:p>
        </w:tc>
        <w:tc>
          <w:tcPr>
            <w:tcW w:w="1100" w:type="dxa"/>
            <w:vAlign w:val="bottom"/>
            <w:tcBorders>
              <w:bottom w:val="single" w:sz="8" w:color="auto"/>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1,102,102</w:t>
            </w:r>
          </w:p>
        </w:tc>
        <w:tc>
          <w:tcPr>
            <w:tcW w:w="1640" w:type="dxa"/>
            <w:vAlign w:val="bottom"/>
            <w:tcBorders>
              <w:bottom w:val="single" w:sz="8" w:color="auto"/>
            </w:tcBorders>
            <w:shd w:val="clear" w:color="auto" w:fill="CEFFE7"/>
          </w:tcPr>
          <w:p>
            <w:pPr>
              <w:jc w:val="right"/>
              <w:ind w:right="499"/>
              <w:spacing w:after="0"/>
              <w:rPr>
                <w:sz w:val="20"/>
                <w:szCs w:val="20"/>
                <w:color w:val="auto"/>
              </w:rPr>
            </w:pPr>
            <w:r>
              <w:rPr>
                <w:rFonts w:ascii="Times New Roman" w:cs="Times New Roman" w:eastAsia="Times New Roman" w:hAnsi="Times New Roman"/>
                <w:sz w:val="16"/>
                <w:szCs w:val="16"/>
                <w:color w:val="auto"/>
              </w:rPr>
              <w:t>2,864,658</w:t>
            </w: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3,235,891</w:t>
            </w:r>
          </w:p>
        </w:tc>
        <w:tc>
          <w:tcPr>
            <w:tcW w:w="0" w:type="dxa"/>
            <w:vAlign w:val="bottom"/>
          </w:tcPr>
          <w:p>
            <w:pPr>
              <w:spacing w:after="0"/>
              <w:rPr>
                <w:sz w:val="1"/>
                <w:szCs w:val="1"/>
                <w:color w:val="auto"/>
              </w:rPr>
            </w:pPr>
          </w:p>
        </w:tc>
      </w:tr>
      <w:tr>
        <w:trPr>
          <w:trHeight w:val="210"/>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Generated and Purchased</w:t>
            </w:r>
          </w:p>
        </w:tc>
        <w:tc>
          <w:tcPr>
            <w:tcW w:w="1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1,868,953</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1,956,095</w:t>
            </w:r>
          </w:p>
        </w:tc>
        <w:tc>
          <w:tcPr>
            <w:tcW w:w="16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5,222,844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5,470,075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960" w:type="dxa"/>
            <w:vAlign w:val="bottom"/>
            <w:tcBorders>
              <w:bottom w:val="single" w:sz="8" w:color="auto"/>
            </w:tcBorders>
            <w:gridSpan w:val="2"/>
          </w:tcPr>
          <w:p>
            <w:pPr>
              <w:spacing w:after="0" w:line="20" w:lineRule="exact"/>
              <w:rPr>
                <w:sz w:val="1"/>
                <w:szCs w:val="1"/>
                <w:color w:val="auto"/>
              </w:rPr>
            </w:pPr>
          </w:p>
        </w:tc>
        <w:tc>
          <w:tcPr>
            <w:tcW w:w="2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780" w:type="dxa"/>
            <w:vAlign w:val="bottom"/>
          </w:tcPr>
          <w:p>
            <w:pPr>
              <w:spacing w:after="0"/>
              <w:rPr>
                <w:sz w:val="24"/>
                <w:szCs w:val="24"/>
                <w:color w:val="auto"/>
              </w:rPr>
            </w:pPr>
          </w:p>
        </w:tc>
        <w:tc>
          <w:tcPr>
            <w:tcW w:w="296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Three Months Ended</w:t>
            </w:r>
          </w:p>
        </w:tc>
        <w:tc>
          <w:tcPr>
            <w:tcW w:w="250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6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September 30,</w:t>
            </w:r>
          </w:p>
        </w:tc>
        <w:tc>
          <w:tcPr>
            <w:tcW w:w="1100" w:type="dxa"/>
            <w:vAlign w:val="bottom"/>
          </w:tcPr>
          <w:p>
            <w:pPr>
              <w:spacing w:after="0"/>
              <w:rPr>
                <w:sz w:val="18"/>
                <w:szCs w:val="18"/>
                <w:color w:val="auto"/>
              </w:rPr>
            </w:pPr>
          </w:p>
        </w:tc>
        <w:tc>
          <w:tcPr>
            <w:tcW w:w="164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Quantities Generated and Purchased (MWh)</w:t>
            </w:r>
          </w:p>
        </w:tc>
        <w:tc>
          <w:tcPr>
            <w:tcW w:w="18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2020</w:t>
            </w: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2019</w:t>
            </w:r>
          </w:p>
        </w:tc>
        <w:tc>
          <w:tcPr>
            <w:tcW w:w="16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2020</w:t>
            </w: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2019</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Generated:</w:t>
            </w: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EFFE7"/>
          </w:tcPr>
          <w:p>
            <w:pPr>
              <w:ind w:left="220"/>
              <w:spacing w:after="0"/>
              <w:rPr>
                <w:sz w:val="20"/>
                <w:szCs w:val="20"/>
                <w:color w:val="auto"/>
              </w:rPr>
            </w:pPr>
            <w:r>
              <w:rPr>
                <w:rFonts w:ascii="Times New Roman" w:cs="Times New Roman" w:eastAsia="Times New Roman" w:hAnsi="Times New Roman"/>
                <w:sz w:val="16"/>
                <w:szCs w:val="16"/>
                <w:color w:val="auto"/>
              </w:rPr>
              <w:t>Colorado Electric</w:t>
            </w:r>
          </w:p>
        </w:tc>
        <w:tc>
          <w:tcPr>
            <w:tcW w:w="1860" w:type="dxa"/>
            <w:vAlign w:val="bottom"/>
            <w:shd w:val="clear" w:color="auto" w:fill="CEFFE7"/>
          </w:tcPr>
          <w:p>
            <w:pPr>
              <w:jc w:val="right"/>
              <w:ind w:right="479"/>
              <w:spacing w:after="0"/>
              <w:rPr>
                <w:sz w:val="20"/>
                <w:szCs w:val="20"/>
                <w:color w:val="auto"/>
              </w:rPr>
            </w:pPr>
            <w:r>
              <w:rPr>
                <w:rFonts w:ascii="Times New Roman" w:cs="Times New Roman" w:eastAsia="Times New Roman" w:hAnsi="Times New Roman"/>
                <w:sz w:val="16"/>
                <w:szCs w:val="16"/>
                <w:color w:val="auto"/>
              </w:rPr>
              <w:t>97,450</w:t>
            </w:r>
          </w:p>
        </w:tc>
        <w:tc>
          <w:tcPr>
            <w:tcW w:w="110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149,509</w:t>
            </w:r>
          </w:p>
        </w:tc>
        <w:tc>
          <w:tcPr>
            <w:tcW w:w="1640" w:type="dxa"/>
            <w:vAlign w:val="bottom"/>
            <w:shd w:val="clear" w:color="auto" w:fill="CEFFE7"/>
          </w:tcPr>
          <w:p>
            <w:pPr>
              <w:jc w:val="right"/>
              <w:ind w:right="499"/>
              <w:spacing w:after="0"/>
              <w:rPr>
                <w:sz w:val="20"/>
                <w:szCs w:val="20"/>
                <w:color w:val="auto"/>
              </w:rPr>
            </w:pPr>
            <w:r>
              <w:rPr>
                <w:rFonts w:ascii="Times New Roman" w:cs="Times New Roman" w:eastAsia="Times New Roman" w:hAnsi="Times New Roman"/>
                <w:sz w:val="16"/>
                <w:szCs w:val="16"/>
                <w:color w:val="auto"/>
              </w:rPr>
              <w:t>271,957</w:t>
            </w: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341,925</w:t>
            </w:r>
          </w:p>
        </w:tc>
        <w:tc>
          <w:tcPr>
            <w:tcW w:w="0" w:type="dxa"/>
            <w:vAlign w:val="bottom"/>
          </w:tcPr>
          <w:p>
            <w:pPr>
              <w:spacing w:after="0"/>
              <w:rPr>
                <w:sz w:val="1"/>
                <w:szCs w:val="1"/>
                <w:color w:val="auto"/>
              </w:rPr>
            </w:pPr>
          </w:p>
        </w:tc>
      </w:tr>
      <w:tr>
        <w:trPr>
          <w:trHeight w:val="21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 Dakota Electric</w:t>
            </w:r>
          </w:p>
        </w:tc>
        <w:tc>
          <w:tcPr>
            <w:tcW w:w="18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518,821</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489,042</w:t>
            </w: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1,434,353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1,262,336</w:t>
            </w:r>
          </w:p>
        </w:tc>
        <w:tc>
          <w:tcPr>
            <w:tcW w:w="0" w:type="dxa"/>
            <w:vAlign w:val="bottom"/>
          </w:tcPr>
          <w:p>
            <w:pPr>
              <w:spacing w:after="0"/>
              <w:rPr>
                <w:sz w:val="1"/>
                <w:szCs w:val="1"/>
                <w:color w:val="auto"/>
              </w:rPr>
            </w:pPr>
          </w:p>
        </w:tc>
      </w:tr>
      <w:tr>
        <w:trPr>
          <w:trHeight w:val="219"/>
        </w:trPr>
        <w:tc>
          <w:tcPr>
            <w:tcW w:w="5780" w:type="dxa"/>
            <w:vAlign w:val="bottom"/>
            <w:shd w:val="clear" w:color="auto" w:fill="CEFFE7"/>
          </w:tcPr>
          <w:p>
            <w:pPr>
              <w:ind w:left="220"/>
              <w:spacing w:after="0"/>
              <w:rPr>
                <w:sz w:val="20"/>
                <w:szCs w:val="20"/>
                <w:color w:val="auto"/>
              </w:rPr>
            </w:pPr>
            <w:r>
              <w:rPr>
                <w:rFonts w:ascii="Times New Roman" w:cs="Times New Roman" w:eastAsia="Times New Roman" w:hAnsi="Times New Roman"/>
                <w:sz w:val="16"/>
                <w:szCs w:val="16"/>
                <w:color w:val="auto"/>
              </w:rPr>
              <w:t>Wyoming Electric</w:t>
            </w:r>
          </w:p>
        </w:tc>
        <w:tc>
          <w:tcPr>
            <w:tcW w:w="1860" w:type="dxa"/>
            <w:vAlign w:val="bottom"/>
            <w:tcBorders>
              <w:bottom w:val="single" w:sz="8" w:color="auto"/>
            </w:tcBorders>
            <w:shd w:val="clear" w:color="auto" w:fill="CEFFE7"/>
          </w:tcPr>
          <w:p>
            <w:pPr>
              <w:jc w:val="right"/>
              <w:ind w:right="479"/>
              <w:spacing w:after="0"/>
              <w:rPr>
                <w:sz w:val="20"/>
                <w:szCs w:val="20"/>
                <w:color w:val="auto"/>
              </w:rPr>
            </w:pPr>
            <w:r>
              <w:rPr>
                <w:rFonts w:ascii="Times New Roman" w:cs="Times New Roman" w:eastAsia="Times New Roman" w:hAnsi="Times New Roman"/>
                <w:sz w:val="16"/>
                <w:szCs w:val="16"/>
                <w:color w:val="auto"/>
              </w:rPr>
              <w:t>230,336</w:t>
            </w:r>
          </w:p>
        </w:tc>
        <w:tc>
          <w:tcPr>
            <w:tcW w:w="1100" w:type="dxa"/>
            <w:vAlign w:val="bottom"/>
            <w:tcBorders>
              <w:bottom w:val="single" w:sz="8" w:color="auto"/>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215,442</w:t>
            </w:r>
          </w:p>
        </w:tc>
        <w:tc>
          <w:tcPr>
            <w:tcW w:w="1640" w:type="dxa"/>
            <w:vAlign w:val="bottom"/>
            <w:tcBorders>
              <w:bottom w:val="single" w:sz="8" w:color="auto"/>
            </w:tcBorders>
            <w:shd w:val="clear" w:color="auto" w:fill="CEFFE7"/>
          </w:tcPr>
          <w:p>
            <w:pPr>
              <w:jc w:val="right"/>
              <w:ind w:right="499"/>
              <w:spacing w:after="0"/>
              <w:rPr>
                <w:sz w:val="20"/>
                <w:szCs w:val="20"/>
                <w:color w:val="auto"/>
              </w:rPr>
            </w:pPr>
            <w:r>
              <w:rPr>
                <w:rFonts w:ascii="Times New Roman" w:cs="Times New Roman" w:eastAsia="Times New Roman" w:hAnsi="Times New Roman"/>
                <w:sz w:val="16"/>
                <w:szCs w:val="16"/>
                <w:color w:val="auto"/>
              </w:rPr>
              <w:t>651,876</w:t>
            </w: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629,923</w:t>
            </w:r>
          </w:p>
        </w:tc>
        <w:tc>
          <w:tcPr>
            <w:tcW w:w="0" w:type="dxa"/>
            <w:vAlign w:val="bottom"/>
          </w:tcPr>
          <w:p>
            <w:pPr>
              <w:spacing w:after="0"/>
              <w:rPr>
                <w:sz w:val="1"/>
                <w:szCs w:val="1"/>
                <w:color w:val="auto"/>
              </w:rPr>
            </w:pPr>
          </w:p>
        </w:tc>
      </w:tr>
      <w:tr>
        <w:trPr>
          <w:trHeight w:val="207"/>
        </w:trPr>
        <w:tc>
          <w:tcPr>
            <w:tcW w:w="5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Generated</w:t>
            </w:r>
          </w:p>
        </w:tc>
        <w:tc>
          <w:tcPr>
            <w:tcW w:w="18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846,607</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853,993</w:t>
            </w: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2,358,186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2,234,184</w:t>
            </w:r>
          </w:p>
        </w:tc>
        <w:tc>
          <w:tcPr>
            <w:tcW w:w="0" w:type="dxa"/>
            <w:vAlign w:val="bottom"/>
          </w:tcPr>
          <w:p>
            <w:pPr>
              <w:spacing w:after="0"/>
              <w:rPr>
                <w:sz w:val="1"/>
                <w:szCs w:val="1"/>
                <w:color w:val="auto"/>
              </w:rPr>
            </w:pPr>
          </w:p>
        </w:tc>
      </w:tr>
      <w:tr>
        <w:trPr>
          <w:trHeight w:val="219"/>
        </w:trPr>
        <w:tc>
          <w:tcPr>
            <w:tcW w:w="578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Purchased:</w:t>
            </w:r>
          </w:p>
        </w:tc>
        <w:tc>
          <w:tcPr>
            <w:tcW w:w="1860" w:type="dxa"/>
            <w:vAlign w:val="bottom"/>
            <w:shd w:val="clear" w:color="auto" w:fill="CEFFE7"/>
          </w:tcPr>
          <w:p>
            <w:pPr>
              <w:spacing w:after="0"/>
              <w:rPr>
                <w:sz w:val="19"/>
                <w:szCs w:val="19"/>
                <w:color w:val="auto"/>
              </w:rPr>
            </w:pPr>
          </w:p>
        </w:tc>
        <w:tc>
          <w:tcPr>
            <w:tcW w:w="1100" w:type="dxa"/>
            <w:vAlign w:val="bottom"/>
            <w:shd w:val="clear" w:color="auto" w:fill="CEFFE7"/>
          </w:tcPr>
          <w:p>
            <w:pPr>
              <w:spacing w:after="0"/>
              <w:rPr>
                <w:sz w:val="19"/>
                <w:szCs w:val="19"/>
                <w:color w:val="auto"/>
              </w:rPr>
            </w:pPr>
          </w:p>
        </w:tc>
        <w:tc>
          <w:tcPr>
            <w:tcW w:w="164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Colorado Electric</w:t>
            </w:r>
          </w:p>
        </w:tc>
        <w:tc>
          <w:tcPr>
            <w:tcW w:w="18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569,466</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484,589</w:t>
            </w: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1,493,544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1,269,201</w:t>
            </w:r>
          </w:p>
        </w:tc>
        <w:tc>
          <w:tcPr>
            <w:tcW w:w="0" w:type="dxa"/>
            <w:vAlign w:val="bottom"/>
          </w:tcPr>
          <w:p>
            <w:pPr>
              <w:spacing w:after="0"/>
              <w:rPr>
                <w:sz w:val="1"/>
                <w:szCs w:val="1"/>
                <w:color w:val="auto"/>
              </w:rPr>
            </w:pPr>
          </w:p>
        </w:tc>
      </w:tr>
      <w:tr>
        <w:trPr>
          <w:trHeight w:val="219"/>
        </w:trPr>
        <w:tc>
          <w:tcPr>
            <w:tcW w:w="5780" w:type="dxa"/>
            <w:vAlign w:val="bottom"/>
            <w:shd w:val="clear" w:color="auto" w:fill="CEFFE7"/>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South Dakota Electric </w:t>
            </w:r>
            <w:r>
              <w:rPr>
                <w:rFonts w:ascii="Times New Roman" w:cs="Times New Roman" w:eastAsia="Times New Roman" w:hAnsi="Times New Roman"/>
                <w:sz w:val="21"/>
                <w:szCs w:val="21"/>
                <w:color w:val="auto"/>
                <w:vertAlign w:val="superscript"/>
              </w:rPr>
              <w:t>(a)</w:t>
            </w:r>
          </w:p>
        </w:tc>
        <w:tc>
          <w:tcPr>
            <w:tcW w:w="1860" w:type="dxa"/>
            <w:vAlign w:val="bottom"/>
            <w:shd w:val="clear" w:color="auto" w:fill="CEFFE7"/>
          </w:tcPr>
          <w:p>
            <w:pPr>
              <w:jc w:val="right"/>
              <w:ind w:right="479"/>
              <w:spacing w:after="0"/>
              <w:rPr>
                <w:sz w:val="20"/>
                <w:szCs w:val="20"/>
                <w:color w:val="auto"/>
              </w:rPr>
            </w:pPr>
            <w:r>
              <w:rPr>
                <w:rFonts w:ascii="Times New Roman" w:cs="Times New Roman" w:eastAsia="Times New Roman" w:hAnsi="Times New Roman"/>
                <w:sz w:val="16"/>
                <w:szCs w:val="16"/>
                <w:color w:val="auto"/>
              </w:rPr>
              <w:t>180,329</w:t>
            </w:r>
          </w:p>
        </w:tc>
        <w:tc>
          <w:tcPr>
            <w:tcW w:w="110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346,683</w:t>
            </w:r>
          </w:p>
        </w:tc>
        <w:tc>
          <w:tcPr>
            <w:tcW w:w="1640" w:type="dxa"/>
            <w:vAlign w:val="bottom"/>
            <w:shd w:val="clear" w:color="auto" w:fill="CEFFE7"/>
          </w:tcPr>
          <w:p>
            <w:pPr>
              <w:jc w:val="right"/>
              <w:ind w:right="499"/>
              <w:spacing w:after="0"/>
              <w:rPr>
                <w:sz w:val="20"/>
                <w:szCs w:val="20"/>
                <w:color w:val="auto"/>
              </w:rPr>
            </w:pPr>
            <w:r>
              <w:rPr>
                <w:rFonts w:ascii="Times New Roman" w:cs="Times New Roman" w:eastAsia="Times New Roman" w:hAnsi="Times New Roman"/>
                <w:sz w:val="16"/>
                <w:szCs w:val="16"/>
                <w:color w:val="auto"/>
              </w:rPr>
              <w:t>520,549</w:t>
            </w: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1,176,030</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EFFE7"/>
            </w:tcBorders>
          </w:tcPr>
          <w:p>
            <w:pPr>
              <w:ind w:left="220"/>
              <w:spacing w:after="0"/>
              <w:rPr>
                <w:sz w:val="20"/>
                <w:szCs w:val="20"/>
                <w:color w:val="auto"/>
              </w:rPr>
            </w:pPr>
            <w:r>
              <w:rPr>
                <w:rFonts w:ascii="Times New Roman" w:cs="Times New Roman" w:eastAsia="Times New Roman" w:hAnsi="Times New Roman"/>
                <w:sz w:val="16"/>
                <w:szCs w:val="16"/>
                <w:color w:val="auto"/>
              </w:rPr>
              <w:t>Wyoming Electric</w:t>
            </w:r>
          </w:p>
        </w:tc>
        <w:tc>
          <w:tcPr>
            <w:tcW w:w="1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272,551</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270,830</w:t>
            </w:r>
          </w:p>
        </w:tc>
        <w:tc>
          <w:tcPr>
            <w:tcW w:w="16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850,565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790,660</w:t>
            </w:r>
          </w:p>
        </w:tc>
        <w:tc>
          <w:tcPr>
            <w:tcW w:w="0" w:type="dxa"/>
            <w:vAlign w:val="bottom"/>
          </w:tcPr>
          <w:p>
            <w:pPr>
              <w:spacing w:after="0"/>
              <w:rPr>
                <w:sz w:val="1"/>
                <w:szCs w:val="1"/>
                <w:color w:val="auto"/>
              </w:rPr>
            </w:pPr>
          </w:p>
        </w:tc>
      </w:tr>
      <w:tr>
        <w:trPr>
          <w:trHeight w:val="212"/>
        </w:trPr>
        <w:tc>
          <w:tcPr>
            <w:tcW w:w="5780" w:type="dxa"/>
            <w:vAlign w:val="bottom"/>
            <w:shd w:val="clear" w:color="auto" w:fill="CEFFE7"/>
          </w:tcPr>
          <w:p>
            <w:pPr>
              <w:ind w:left="460"/>
              <w:spacing w:after="0"/>
              <w:rPr>
                <w:sz w:val="20"/>
                <w:szCs w:val="20"/>
                <w:color w:val="auto"/>
              </w:rPr>
            </w:pPr>
            <w:r>
              <w:rPr>
                <w:rFonts w:ascii="Times New Roman" w:cs="Times New Roman" w:eastAsia="Times New Roman" w:hAnsi="Times New Roman"/>
                <w:sz w:val="16"/>
                <w:szCs w:val="16"/>
                <w:color w:val="auto"/>
              </w:rPr>
              <w:t>Total Purchased</w:t>
            </w:r>
          </w:p>
        </w:tc>
        <w:tc>
          <w:tcPr>
            <w:tcW w:w="1860" w:type="dxa"/>
            <w:vAlign w:val="bottom"/>
            <w:shd w:val="clear" w:color="auto" w:fill="CEFFE7"/>
          </w:tcPr>
          <w:p>
            <w:pPr>
              <w:jc w:val="right"/>
              <w:ind w:right="479"/>
              <w:spacing w:after="0"/>
              <w:rPr>
                <w:sz w:val="20"/>
                <w:szCs w:val="20"/>
                <w:color w:val="auto"/>
              </w:rPr>
            </w:pPr>
            <w:r>
              <w:rPr>
                <w:rFonts w:ascii="Times New Roman" w:cs="Times New Roman" w:eastAsia="Times New Roman" w:hAnsi="Times New Roman"/>
                <w:sz w:val="16"/>
                <w:szCs w:val="16"/>
                <w:color w:val="auto"/>
              </w:rPr>
              <w:t>1,022,346</w:t>
            </w:r>
          </w:p>
        </w:tc>
        <w:tc>
          <w:tcPr>
            <w:tcW w:w="110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1,102,102</w:t>
            </w:r>
          </w:p>
        </w:tc>
        <w:tc>
          <w:tcPr>
            <w:tcW w:w="1640" w:type="dxa"/>
            <w:vAlign w:val="bottom"/>
            <w:shd w:val="clear" w:color="auto" w:fill="CEFFE7"/>
          </w:tcPr>
          <w:p>
            <w:pPr>
              <w:jc w:val="right"/>
              <w:ind w:right="499"/>
              <w:spacing w:after="0"/>
              <w:rPr>
                <w:sz w:val="20"/>
                <w:szCs w:val="20"/>
                <w:color w:val="auto"/>
              </w:rPr>
            </w:pPr>
            <w:r>
              <w:rPr>
                <w:rFonts w:ascii="Times New Roman" w:cs="Times New Roman" w:eastAsia="Times New Roman" w:hAnsi="Times New Roman"/>
                <w:sz w:val="16"/>
                <w:szCs w:val="16"/>
                <w:color w:val="auto"/>
              </w:rPr>
              <w:t>2,864,658</w:t>
            </w:r>
          </w:p>
        </w:tc>
        <w:tc>
          <w:tcPr>
            <w:tcW w:w="8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3,235,891</w:t>
            </w:r>
          </w:p>
        </w:tc>
        <w:tc>
          <w:tcPr>
            <w:tcW w:w="0" w:type="dxa"/>
            <w:vAlign w:val="bottom"/>
          </w:tcPr>
          <w:p>
            <w:pPr>
              <w:spacing w:after="0"/>
              <w:rPr>
                <w:sz w:val="1"/>
                <w:szCs w:val="1"/>
                <w:color w:val="auto"/>
              </w:rPr>
            </w:pPr>
          </w:p>
        </w:tc>
      </w:tr>
      <w:tr>
        <w:trPr>
          <w:trHeight w:val="162"/>
        </w:trPr>
        <w:tc>
          <w:tcPr>
            <w:tcW w:w="5780" w:type="dxa"/>
            <w:vAlign w:val="bottom"/>
            <w:tcBorders>
              <w:bottom w:val="single" w:sz="8" w:color="CEFFE7"/>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78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6"/>
                <w:szCs w:val="16"/>
                <w:color w:val="auto"/>
              </w:rPr>
              <w:t>Total Generated and Purchased</w:t>
            </w:r>
          </w:p>
        </w:tc>
        <w:tc>
          <w:tcPr>
            <w:tcW w:w="1860" w:type="dxa"/>
            <w:vAlign w:val="bottom"/>
            <w:tcBorders>
              <w:bottom w:val="single" w:sz="8" w:color="auto"/>
            </w:tcBorders>
            <w:shd w:val="clear" w:color="auto" w:fill="CEFFE7"/>
          </w:tcPr>
          <w:p>
            <w:pPr>
              <w:jc w:val="right"/>
              <w:ind w:right="479"/>
              <w:spacing w:after="0"/>
              <w:rPr>
                <w:sz w:val="20"/>
                <w:szCs w:val="20"/>
                <w:color w:val="auto"/>
              </w:rPr>
            </w:pPr>
            <w:r>
              <w:rPr>
                <w:rFonts w:ascii="Times New Roman" w:cs="Times New Roman" w:eastAsia="Times New Roman" w:hAnsi="Times New Roman"/>
                <w:sz w:val="16"/>
                <w:szCs w:val="16"/>
                <w:color w:val="auto"/>
              </w:rPr>
              <w:t>1,868,953</w:t>
            </w:r>
          </w:p>
        </w:tc>
        <w:tc>
          <w:tcPr>
            <w:tcW w:w="1100" w:type="dxa"/>
            <w:vAlign w:val="bottom"/>
            <w:tcBorders>
              <w:bottom w:val="single" w:sz="8" w:color="auto"/>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1,956,095</w:t>
            </w:r>
          </w:p>
        </w:tc>
        <w:tc>
          <w:tcPr>
            <w:tcW w:w="1640" w:type="dxa"/>
            <w:vAlign w:val="bottom"/>
            <w:tcBorders>
              <w:bottom w:val="single" w:sz="8" w:color="auto"/>
            </w:tcBorders>
            <w:shd w:val="clear" w:color="auto" w:fill="CEFFE7"/>
          </w:tcPr>
          <w:p>
            <w:pPr>
              <w:jc w:val="right"/>
              <w:ind w:right="499"/>
              <w:spacing w:after="0"/>
              <w:rPr>
                <w:sz w:val="20"/>
                <w:szCs w:val="20"/>
                <w:color w:val="auto"/>
              </w:rPr>
            </w:pPr>
            <w:r>
              <w:rPr>
                <w:rFonts w:ascii="Times New Roman" w:cs="Times New Roman" w:eastAsia="Times New Roman" w:hAnsi="Times New Roman"/>
                <w:sz w:val="16"/>
                <w:szCs w:val="16"/>
                <w:color w:val="auto"/>
              </w:rPr>
              <w:t>5,222,844</w:t>
            </w:r>
          </w:p>
        </w:tc>
        <w:tc>
          <w:tcPr>
            <w:tcW w:w="8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5,470,075</w:t>
            </w:r>
          </w:p>
        </w:tc>
        <w:tc>
          <w:tcPr>
            <w:tcW w:w="0" w:type="dxa"/>
            <w:vAlign w:val="bottom"/>
          </w:tcPr>
          <w:p>
            <w:pPr>
              <w:spacing w:after="0"/>
              <w:rPr>
                <w:sz w:val="1"/>
                <w:szCs w:val="1"/>
                <w:color w:val="auto"/>
              </w:rPr>
            </w:pPr>
          </w:p>
        </w:tc>
      </w:tr>
      <w:tr>
        <w:trPr>
          <w:trHeight w:val="20"/>
        </w:trPr>
        <w:tc>
          <w:tcPr>
            <w:tcW w:w="5780" w:type="dxa"/>
            <w:vAlign w:val="bottom"/>
            <w:tcBorders>
              <w:top w:val="single" w:sz="8" w:color="CEFFE7"/>
              <w:bottom w:val="single" w:sz="8" w:color="CEFFE7"/>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86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164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8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20" w:hanging="332"/>
        <w:spacing w:after="0" w:line="254" w:lineRule="auto"/>
        <w:tabs>
          <w:tab w:leader="none" w:pos="35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Purchased power quantities for the three and nine months ended September 30, 2020, for certain wholesale contracts have been presented on a net basis. Amounts for the three and nine months ended September 30, 2019, were presented on a gross basis and, due to their immaterial nature, were not revised. This presentation change has no impact on Gross margin.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Degree days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700" w:type="dxa"/>
            <w:vAlign w:val="bottom"/>
          </w:tcPr>
          <w:p>
            <w:pPr>
              <w:spacing w:after="0"/>
              <w:rPr>
                <w:sz w:val="13"/>
                <w:szCs w:val="13"/>
                <w:color w:val="auto"/>
              </w:rPr>
            </w:pP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w w:val="98"/>
              </w:rPr>
              <w:t>Actual</w:t>
            </w:r>
          </w:p>
        </w:tc>
        <w:tc>
          <w:tcPr>
            <w:tcW w:w="680" w:type="dxa"/>
            <w:vAlign w:val="bottom"/>
          </w:tcPr>
          <w:p>
            <w:pPr>
              <w:spacing w:after="0"/>
              <w:rPr>
                <w:sz w:val="13"/>
                <w:szCs w:val="13"/>
                <w:color w:val="auto"/>
              </w:rPr>
            </w:pPr>
          </w:p>
        </w:tc>
        <w:tc>
          <w:tcPr>
            <w:tcW w:w="1420" w:type="dxa"/>
            <w:vAlign w:val="bottom"/>
          </w:tcPr>
          <w:p>
            <w:pPr>
              <w:jc w:val="center"/>
              <w:ind w:right="419"/>
              <w:spacing w:after="0" w:line="158" w:lineRule="exact"/>
              <w:rPr>
                <w:sz w:val="20"/>
                <w:szCs w:val="20"/>
                <w:color w:val="auto"/>
              </w:rPr>
            </w:pPr>
            <w:r>
              <w:rPr>
                <w:rFonts w:ascii="Times New Roman" w:cs="Times New Roman" w:eastAsia="Times New Roman" w:hAnsi="Times New Roman"/>
                <w:sz w:val="16"/>
                <w:szCs w:val="16"/>
                <w:color w:val="auto"/>
                <w:w w:val="99"/>
              </w:rPr>
              <w:t>Variance from</w:t>
            </w: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color w:val="auto"/>
              </w:rPr>
              <w:t>Actual</w:t>
            </w:r>
          </w:p>
        </w:tc>
        <w:tc>
          <w:tcPr>
            <w:tcW w:w="122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color w:val="auto"/>
              </w:rPr>
              <w:t>Variance from</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Normal</w:t>
            </w:r>
          </w:p>
        </w:tc>
        <w:tc>
          <w:tcPr>
            <w:tcW w:w="1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Normal</w:t>
            </w:r>
          </w:p>
        </w:tc>
        <w:tc>
          <w:tcPr>
            <w:tcW w:w="0" w:type="dxa"/>
            <w:vAlign w:val="bottom"/>
          </w:tcPr>
          <w:p>
            <w:pPr>
              <w:spacing w:after="0"/>
              <w:rPr>
                <w:sz w:val="1"/>
                <w:szCs w:val="1"/>
                <w:color w:val="auto"/>
              </w:rPr>
            </w:pPr>
          </w:p>
        </w:tc>
      </w:tr>
      <w:tr>
        <w:trPr>
          <w:trHeight w:val="19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Heating Degree Days:</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80" w:type="dxa"/>
            <w:vAlign w:val="bottom"/>
            <w:gridSpan w:val="2"/>
            <w:shd w:val="clear" w:color="auto" w:fill="CEFFE7"/>
          </w:tcPr>
          <w:p>
            <w:pPr>
              <w:ind w:left="260"/>
              <w:spacing w:after="0"/>
              <w:rPr>
                <w:sz w:val="20"/>
                <w:szCs w:val="20"/>
                <w:color w:val="auto"/>
              </w:rPr>
            </w:pPr>
            <w:r>
              <w:rPr>
                <w:rFonts w:ascii="Times New Roman" w:cs="Times New Roman" w:eastAsia="Times New Roman" w:hAnsi="Times New Roman"/>
                <w:sz w:val="16"/>
                <w:szCs w:val="16"/>
                <w:color w:val="auto"/>
              </w:rPr>
              <w:t>Colorado Electric</w:t>
            </w:r>
          </w:p>
        </w:tc>
        <w:tc>
          <w:tcPr>
            <w:tcW w:w="68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99</w:t>
            </w:r>
          </w:p>
        </w:tc>
        <w:tc>
          <w:tcPr>
            <w:tcW w:w="142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1 %</w:t>
            </w:r>
          </w:p>
        </w:tc>
        <w:tc>
          <w:tcPr>
            <w:tcW w:w="134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South Dakota Electric</w:t>
            </w: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202</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6580" w:type="dxa"/>
            <w:vAlign w:val="bottom"/>
            <w:gridSpan w:val="2"/>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Wyoming Electric</w:t>
            </w:r>
          </w:p>
        </w:tc>
        <w:tc>
          <w:tcPr>
            <w:tcW w:w="68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208</w:t>
            </w:r>
          </w:p>
        </w:tc>
        <w:tc>
          <w:tcPr>
            <w:tcW w:w="142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(29)%</w:t>
            </w:r>
          </w:p>
        </w:tc>
        <w:tc>
          <w:tcPr>
            <w:tcW w:w="134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120</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6"/>
        </w:trPr>
        <w:tc>
          <w:tcPr>
            <w:tcW w:w="658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6"/>
                <w:szCs w:val="16"/>
                <w:color w:val="auto"/>
              </w:rPr>
              <w:t xml:space="preserve">Combined </w:t>
            </w:r>
            <w:r>
              <w:rPr>
                <w:rFonts w:ascii="Times New Roman" w:cs="Times New Roman" w:eastAsia="Times New Roman" w:hAnsi="Times New Roman"/>
                <w:sz w:val="21"/>
                <w:szCs w:val="21"/>
                <w:color w:val="auto"/>
                <w:vertAlign w:val="superscript"/>
              </w:rPr>
              <w:t>(a)</w:t>
            </w: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156</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70"/>
        </w:trPr>
        <w:tc>
          <w:tcPr>
            <w:tcW w:w="5700" w:type="dxa"/>
            <w:vAlign w:val="bottom"/>
            <w:shd w:val="clear" w:color="auto" w:fill="CEFFE7"/>
          </w:tcPr>
          <w:p>
            <w:pPr>
              <w:spacing w:after="0"/>
              <w:rPr>
                <w:sz w:val="23"/>
                <w:szCs w:val="23"/>
                <w:color w:val="auto"/>
              </w:rPr>
            </w:pPr>
          </w:p>
        </w:tc>
        <w:tc>
          <w:tcPr>
            <w:tcW w:w="880" w:type="dxa"/>
            <w:vAlign w:val="bottom"/>
            <w:shd w:val="clear" w:color="auto" w:fill="CEFFE7"/>
          </w:tcPr>
          <w:p>
            <w:pPr>
              <w:spacing w:after="0"/>
              <w:rPr>
                <w:sz w:val="23"/>
                <w:szCs w:val="23"/>
                <w:color w:val="auto"/>
              </w:rPr>
            </w:pPr>
          </w:p>
        </w:tc>
        <w:tc>
          <w:tcPr>
            <w:tcW w:w="6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c>
          <w:tcPr>
            <w:tcW w:w="13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Cooling Degree Days:</w:t>
            </w: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gridSpan w:val="2"/>
            <w:shd w:val="clear" w:color="auto" w:fill="CEFFE7"/>
          </w:tcPr>
          <w:p>
            <w:pPr>
              <w:ind w:left="260"/>
              <w:spacing w:after="0"/>
              <w:rPr>
                <w:sz w:val="20"/>
                <w:szCs w:val="20"/>
                <w:color w:val="auto"/>
              </w:rPr>
            </w:pPr>
            <w:r>
              <w:rPr>
                <w:rFonts w:ascii="Times New Roman" w:cs="Times New Roman" w:eastAsia="Times New Roman" w:hAnsi="Times New Roman"/>
                <w:sz w:val="16"/>
                <w:szCs w:val="16"/>
                <w:color w:val="auto"/>
              </w:rPr>
              <w:t>Colorado Electric</w:t>
            </w:r>
          </w:p>
        </w:tc>
        <w:tc>
          <w:tcPr>
            <w:tcW w:w="68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987</w:t>
            </w:r>
          </w:p>
        </w:tc>
        <w:tc>
          <w:tcPr>
            <w:tcW w:w="142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44 %</w:t>
            </w:r>
          </w:p>
        </w:tc>
        <w:tc>
          <w:tcPr>
            <w:tcW w:w="134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1,079</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13"/>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South Dakota Electric</w:t>
            </w: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561</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5 %</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366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6580" w:type="dxa"/>
            <w:vAlign w:val="bottom"/>
            <w:gridSpan w:val="2"/>
            <w:shd w:val="clear" w:color="auto" w:fill="CEFFE7"/>
          </w:tcPr>
          <w:p>
            <w:pPr>
              <w:ind w:left="260"/>
              <w:spacing w:after="0"/>
              <w:rPr>
                <w:sz w:val="20"/>
                <w:szCs w:val="20"/>
                <w:color w:val="auto"/>
              </w:rPr>
            </w:pPr>
            <w:r>
              <w:rPr>
                <w:rFonts w:ascii="Times New Roman" w:cs="Times New Roman" w:eastAsia="Times New Roman" w:hAnsi="Times New Roman"/>
                <w:sz w:val="16"/>
                <w:szCs w:val="16"/>
                <w:color w:val="auto"/>
              </w:rPr>
              <w:t>Wyoming Electric</w:t>
            </w:r>
          </w:p>
        </w:tc>
        <w:tc>
          <w:tcPr>
            <w:tcW w:w="68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492</w:t>
            </w:r>
          </w:p>
        </w:tc>
        <w:tc>
          <w:tcPr>
            <w:tcW w:w="142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65 %</w:t>
            </w:r>
          </w:p>
        </w:tc>
        <w:tc>
          <w:tcPr>
            <w:tcW w:w="134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433</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79"/>
        </w:trPr>
        <w:tc>
          <w:tcPr>
            <w:tcW w:w="65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xml:space="preserve">Combined </w:t>
            </w:r>
            <w:r>
              <w:rPr>
                <w:rFonts w:ascii="Times New Roman" w:cs="Times New Roman" w:eastAsia="Times New Roman" w:hAnsi="Times New Roman"/>
                <w:sz w:val="21"/>
                <w:szCs w:val="21"/>
                <w:color w:val="auto"/>
                <w:vertAlign w:val="superscript"/>
              </w:rPr>
              <w:t>(a)</w:t>
            </w: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742</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34 %</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593"/>
        </w:trPr>
        <w:tc>
          <w:tcPr>
            <w:tcW w:w="5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6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Degree days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5700" w:type="dxa"/>
            <w:vAlign w:val="bottom"/>
          </w:tcPr>
          <w:p>
            <w:pPr>
              <w:spacing w:after="0"/>
              <w:rPr>
                <w:sz w:val="13"/>
                <w:szCs w:val="13"/>
                <w:color w:val="auto"/>
              </w:rPr>
            </w:pP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w w:val="98"/>
              </w:rPr>
              <w:t>Actual</w:t>
            </w:r>
          </w:p>
        </w:tc>
        <w:tc>
          <w:tcPr>
            <w:tcW w:w="680" w:type="dxa"/>
            <w:vAlign w:val="bottom"/>
          </w:tcPr>
          <w:p>
            <w:pPr>
              <w:spacing w:after="0"/>
              <w:rPr>
                <w:sz w:val="13"/>
                <w:szCs w:val="13"/>
                <w:color w:val="auto"/>
              </w:rPr>
            </w:pPr>
          </w:p>
        </w:tc>
        <w:tc>
          <w:tcPr>
            <w:tcW w:w="1420" w:type="dxa"/>
            <w:vAlign w:val="bottom"/>
          </w:tcPr>
          <w:p>
            <w:pPr>
              <w:jc w:val="center"/>
              <w:ind w:right="419"/>
              <w:spacing w:after="0" w:line="158" w:lineRule="exact"/>
              <w:rPr>
                <w:sz w:val="20"/>
                <w:szCs w:val="20"/>
                <w:color w:val="auto"/>
              </w:rPr>
            </w:pPr>
            <w:r>
              <w:rPr>
                <w:rFonts w:ascii="Times New Roman" w:cs="Times New Roman" w:eastAsia="Times New Roman" w:hAnsi="Times New Roman"/>
                <w:sz w:val="16"/>
                <w:szCs w:val="16"/>
                <w:color w:val="auto"/>
                <w:w w:val="99"/>
              </w:rPr>
              <w:t>Variance from</w:t>
            </w: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color w:val="auto"/>
              </w:rPr>
              <w:t>Actual</w:t>
            </w:r>
          </w:p>
        </w:tc>
        <w:tc>
          <w:tcPr>
            <w:tcW w:w="122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color w:val="auto"/>
              </w:rPr>
              <w:t>Variance from</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Normal</w:t>
            </w:r>
          </w:p>
        </w:tc>
        <w:tc>
          <w:tcPr>
            <w:tcW w:w="1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Normal</w:t>
            </w:r>
          </w:p>
        </w:tc>
        <w:tc>
          <w:tcPr>
            <w:tcW w:w="0" w:type="dxa"/>
            <w:vAlign w:val="bottom"/>
          </w:tcPr>
          <w:p>
            <w:pPr>
              <w:spacing w:after="0"/>
              <w:rPr>
                <w:sz w:val="1"/>
                <w:szCs w:val="1"/>
                <w:color w:val="auto"/>
              </w:rPr>
            </w:pPr>
          </w:p>
        </w:tc>
      </w:tr>
      <w:tr>
        <w:trPr>
          <w:trHeight w:val="19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Heating Degree Days:</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80" w:type="dxa"/>
            <w:vAlign w:val="bottom"/>
            <w:gridSpan w:val="2"/>
            <w:shd w:val="clear" w:color="auto" w:fill="CEFFE7"/>
          </w:tcPr>
          <w:p>
            <w:pPr>
              <w:ind w:left="260"/>
              <w:spacing w:after="0"/>
              <w:rPr>
                <w:sz w:val="20"/>
                <w:szCs w:val="20"/>
                <w:color w:val="auto"/>
              </w:rPr>
            </w:pPr>
            <w:r>
              <w:rPr>
                <w:rFonts w:ascii="Times New Roman" w:cs="Times New Roman" w:eastAsia="Times New Roman" w:hAnsi="Times New Roman"/>
                <w:sz w:val="16"/>
                <w:szCs w:val="16"/>
                <w:color w:val="auto"/>
              </w:rPr>
              <w:t>Colorado Electric</w:t>
            </w:r>
          </w:p>
        </w:tc>
        <w:tc>
          <w:tcPr>
            <w:tcW w:w="68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w w:val="94"/>
              </w:rPr>
              <w:t>3,073</w:t>
            </w:r>
          </w:p>
        </w:tc>
        <w:tc>
          <w:tcPr>
            <w:tcW w:w="142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134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3,156</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South Dakota Electric</w:t>
            </w: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4"/>
              </w:rPr>
              <w:t>4,440</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5,370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9"/>
        </w:trPr>
        <w:tc>
          <w:tcPr>
            <w:tcW w:w="6580" w:type="dxa"/>
            <w:vAlign w:val="bottom"/>
            <w:gridSpan w:val="2"/>
            <w:shd w:val="clear" w:color="auto" w:fill="CEFFE7"/>
          </w:tcPr>
          <w:p>
            <w:pPr>
              <w:ind w:left="260"/>
              <w:spacing w:after="0"/>
              <w:rPr>
                <w:sz w:val="20"/>
                <w:szCs w:val="20"/>
                <w:color w:val="auto"/>
              </w:rPr>
            </w:pPr>
            <w:r>
              <w:rPr>
                <w:rFonts w:ascii="Times New Roman" w:cs="Times New Roman" w:eastAsia="Times New Roman" w:hAnsi="Times New Roman"/>
                <w:sz w:val="16"/>
                <w:szCs w:val="16"/>
                <w:color w:val="auto"/>
              </w:rPr>
              <w:t>Wyoming Electric</w:t>
            </w:r>
          </w:p>
        </w:tc>
        <w:tc>
          <w:tcPr>
            <w:tcW w:w="68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w w:val="94"/>
              </w:rPr>
              <w:t>4,356</w:t>
            </w:r>
          </w:p>
        </w:tc>
        <w:tc>
          <w:tcPr>
            <w:tcW w:w="142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34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4,677</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6"/>
        </w:trPr>
        <w:tc>
          <w:tcPr>
            <w:tcW w:w="658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6"/>
                <w:szCs w:val="16"/>
                <w:color w:val="auto"/>
              </w:rPr>
              <w:t xml:space="preserve">Combined </w:t>
            </w:r>
            <w:r>
              <w:rPr>
                <w:rFonts w:ascii="Times New Roman" w:cs="Times New Roman" w:eastAsia="Times New Roman" w:hAnsi="Times New Roman"/>
                <w:sz w:val="21"/>
                <w:szCs w:val="21"/>
                <w:color w:val="auto"/>
                <w:vertAlign w:val="superscript"/>
              </w:rPr>
              <w:t>(a)</w:t>
            </w: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4"/>
              </w:rPr>
              <w:t>3,799</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4,198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CEFFE7"/>
          </w:tcPr>
          <w:p>
            <w:pPr>
              <w:spacing w:after="0"/>
              <w:rPr>
                <w:sz w:val="23"/>
                <w:szCs w:val="23"/>
                <w:color w:val="auto"/>
              </w:rPr>
            </w:pPr>
          </w:p>
        </w:tc>
        <w:tc>
          <w:tcPr>
            <w:tcW w:w="6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c>
          <w:tcPr>
            <w:tcW w:w="13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Cooling Degree Days:</w:t>
            </w: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gridSpan w:val="2"/>
            <w:shd w:val="clear" w:color="auto" w:fill="CEFFE7"/>
          </w:tcPr>
          <w:p>
            <w:pPr>
              <w:ind w:left="260"/>
              <w:spacing w:after="0"/>
              <w:rPr>
                <w:sz w:val="20"/>
                <w:szCs w:val="20"/>
                <w:color w:val="auto"/>
              </w:rPr>
            </w:pPr>
            <w:r>
              <w:rPr>
                <w:rFonts w:ascii="Times New Roman" w:cs="Times New Roman" w:eastAsia="Times New Roman" w:hAnsi="Times New Roman"/>
                <w:sz w:val="16"/>
                <w:szCs w:val="16"/>
                <w:color w:val="auto"/>
              </w:rPr>
              <w:t>Colorado Electric</w:t>
            </w:r>
          </w:p>
        </w:tc>
        <w:tc>
          <w:tcPr>
            <w:tcW w:w="68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w w:val="94"/>
              </w:rPr>
              <w:t>1,369</w:t>
            </w:r>
          </w:p>
        </w:tc>
        <w:tc>
          <w:tcPr>
            <w:tcW w:w="142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53 %</w:t>
            </w:r>
          </w:p>
        </w:tc>
        <w:tc>
          <w:tcPr>
            <w:tcW w:w="134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1,226</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3"/>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South Dakota Electric</w:t>
            </w: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681</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8 %</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404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6580" w:type="dxa"/>
            <w:vAlign w:val="bottom"/>
            <w:gridSpan w:val="2"/>
            <w:shd w:val="clear" w:color="auto" w:fill="CEFFE7"/>
          </w:tcPr>
          <w:p>
            <w:pPr>
              <w:ind w:left="260"/>
              <w:spacing w:after="0"/>
              <w:rPr>
                <w:sz w:val="20"/>
                <w:szCs w:val="20"/>
                <w:color w:val="auto"/>
              </w:rPr>
            </w:pPr>
            <w:r>
              <w:rPr>
                <w:rFonts w:ascii="Times New Roman" w:cs="Times New Roman" w:eastAsia="Times New Roman" w:hAnsi="Times New Roman"/>
                <w:sz w:val="16"/>
                <w:szCs w:val="16"/>
                <w:color w:val="auto"/>
              </w:rPr>
              <w:t>Wyoming Electric</w:t>
            </w:r>
          </w:p>
        </w:tc>
        <w:tc>
          <w:tcPr>
            <w:tcW w:w="68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593</w:t>
            </w:r>
          </w:p>
        </w:tc>
        <w:tc>
          <w:tcPr>
            <w:tcW w:w="142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70 %</w:t>
            </w:r>
          </w:p>
        </w:tc>
        <w:tc>
          <w:tcPr>
            <w:tcW w:w="1340" w:type="dxa"/>
            <w:vAlign w:val="bottom"/>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462</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81"/>
        </w:trPr>
        <w:tc>
          <w:tcPr>
            <w:tcW w:w="65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xml:space="preserve">Combined </w:t>
            </w:r>
            <w:r>
              <w:rPr>
                <w:rFonts w:ascii="Times New Roman" w:cs="Times New Roman" w:eastAsia="Times New Roman" w:hAnsi="Times New Roman"/>
                <w:sz w:val="21"/>
                <w:szCs w:val="21"/>
                <w:color w:val="auto"/>
                <w:vertAlign w:val="superscript"/>
              </w:rPr>
              <w:t>(a)</w:t>
            </w: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977</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41 %</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791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Combined actuals are calculated based on the weighted average number of total customers by state.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41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02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22"/>
        </w:trPr>
        <w:tc>
          <w:tcPr>
            <w:tcW w:w="4060" w:type="dxa"/>
            <w:vAlign w:val="bottom"/>
            <w:tcBorders>
              <w:bottom w:val="single" w:sz="8" w:color="auto"/>
            </w:tcBorders>
          </w:tcPr>
          <w:p>
            <w:pPr>
              <w:ind w:left="20"/>
              <w:spacing w:after="0" w:line="222" w:lineRule="exact"/>
              <w:rPr>
                <w:sz w:val="20"/>
                <w:szCs w:val="20"/>
                <w:color w:val="auto"/>
              </w:rPr>
            </w:pPr>
            <w:r>
              <w:rPr>
                <w:rFonts w:ascii="Times New Roman" w:cs="Times New Roman" w:eastAsia="Times New Roman" w:hAnsi="Times New Roman"/>
                <w:sz w:val="16"/>
                <w:szCs w:val="16"/>
                <w:color w:val="auto"/>
              </w:rPr>
              <w:t xml:space="preserve">Contracted Power Plant Fleet Availability </w:t>
            </w:r>
            <w:r>
              <w:rPr>
                <w:rFonts w:ascii="Times New Roman" w:cs="Times New Roman" w:eastAsia="Times New Roman" w:hAnsi="Times New Roman"/>
                <w:sz w:val="21"/>
                <w:szCs w:val="21"/>
                <w:color w:val="auto"/>
                <w:vertAlign w:val="superscript"/>
              </w:rPr>
              <w:t>(a)</w:t>
            </w:r>
          </w:p>
        </w:tc>
        <w:tc>
          <w:tcPr>
            <w:tcW w:w="26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rPr>
              <w:t>2020</w:t>
            </w:r>
          </w:p>
        </w:tc>
        <w:tc>
          <w:tcPr>
            <w:tcW w:w="15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rPr>
              <w:t>2019</w:t>
            </w:r>
          </w:p>
        </w:tc>
        <w:tc>
          <w:tcPr>
            <w:tcW w:w="17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2020</w:t>
            </w: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2019</w:t>
            </w:r>
          </w:p>
        </w:tc>
      </w:tr>
      <w:tr>
        <w:trPr>
          <w:trHeight w:val="209"/>
        </w:trPr>
        <w:tc>
          <w:tcPr>
            <w:tcW w:w="4060" w:type="dxa"/>
            <w:vAlign w:val="bottom"/>
            <w:shd w:val="clear" w:color="auto" w:fill="CEFFE7"/>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Coal-fired plants </w:t>
            </w:r>
            <w:r>
              <w:rPr>
                <w:rFonts w:ascii="Times New Roman" w:cs="Times New Roman" w:eastAsia="Times New Roman" w:hAnsi="Times New Roman"/>
                <w:sz w:val="21"/>
                <w:szCs w:val="21"/>
                <w:color w:val="auto"/>
                <w:vertAlign w:val="superscript"/>
              </w:rPr>
              <w:t>(b)</w:t>
            </w:r>
          </w:p>
        </w:tc>
        <w:tc>
          <w:tcPr>
            <w:tcW w:w="2600" w:type="dxa"/>
            <w:vAlign w:val="bottom"/>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97.4 %</w:t>
            </w:r>
          </w:p>
        </w:tc>
        <w:tc>
          <w:tcPr>
            <w:tcW w:w="1560" w:type="dxa"/>
            <w:vAlign w:val="bottom"/>
            <w:shd w:val="clear" w:color="auto" w:fill="CEFFE7"/>
          </w:tcPr>
          <w:p>
            <w:pPr>
              <w:jc w:val="right"/>
              <w:ind w:right="179"/>
              <w:spacing w:after="0"/>
              <w:rPr>
                <w:sz w:val="20"/>
                <w:szCs w:val="20"/>
                <w:color w:val="auto"/>
              </w:rPr>
            </w:pPr>
            <w:r>
              <w:rPr>
                <w:rFonts w:ascii="Times New Roman" w:cs="Times New Roman" w:eastAsia="Times New Roman" w:hAnsi="Times New Roman"/>
                <w:sz w:val="16"/>
                <w:szCs w:val="16"/>
                <w:color w:val="auto"/>
              </w:rPr>
              <w:t>94.6 %</w:t>
            </w:r>
          </w:p>
        </w:tc>
        <w:tc>
          <w:tcPr>
            <w:tcW w:w="1700" w:type="dxa"/>
            <w:vAlign w:val="bottom"/>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94.1 %</w:t>
            </w:r>
          </w:p>
        </w:tc>
        <w:tc>
          <w:tcPr>
            <w:tcW w:w="13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90.0 %</w:t>
            </w:r>
          </w:p>
        </w:tc>
      </w:tr>
      <w:tr>
        <w:trPr>
          <w:trHeight w:val="216"/>
        </w:trPr>
        <w:tc>
          <w:tcPr>
            <w:tcW w:w="4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Natural gas-fired plants and Other plants </w:t>
            </w:r>
            <w:r>
              <w:rPr>
                <w:rFonts w:ascii="Times New Roman" w:cs="Times New Roman" w:eastAsia="Times New Roman" w:hAnsi="Times New Roman"/>
                <w:sz w:val="21"/>
                <w:szCs w:val="21"/>
                <w:color w:val="auto"/>
                <w:vertAlign w:val="superscript"/>
              </w:rPr>
              <w:t>(c)(d)</w:t>
            </w:r>
          </w:p>
        </w:tc>
        <w:tc>
          <w:tcPr>
            <w:tcW w:w="26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79.7 %</w:t>
            </w: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89.6 %</w:t>
            </w:r>
          </w:p>
        </w:tc>
        <w:tc>
          <w:tcPr>
            <w:tcW w:w="17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80.5 %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89.8 %</w:t>
            </w:r>
          </w:p>
        </w:tc>
      </w:tr>
      <w:tr>
        <w:trPr>
          <w:trHeight w:val="216"/>
        </w:trPr>
        <w:tc>
          <w:tcPr>
            <w:tcW w:w="40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Wind</w:t>
            </w:r>
          </w:p>
        </w:tc>
        <w:tc>
          <w:tcPr>
            <w:tcW w:w="2600" w:type="dxa"/>
            <w:vAlign w:val="bottom"/>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97.7 %</w:t>
            </w:r>
          </w:p>
        </w:tc>
        <w:tc>
          <w:tcPr>
            <w:tcW w:w="1560" w:type="dxa"/>
            <w:vAlign w:val="bottom"/>
            <w:shd w:val="clear" w:color="auto" w:fill="CEFFE7"/>
          </w:tcPr>
          <w:p>
            <w:pPr>
              <w:jc w:val="right"/>
              <w:ind w:right="179"/>
              <w:spacing w:after="0"/>
              <w:rPr>
                <w:sz w:val="20"/>
                <w:szCs w:val="20"/>
                <w:color w:val="auto"/>
              </w:rPr>
            </w:pPr>
            <w:r>
              <w:rPr>
                <w:rFonts w:ascii="Times New Roman" w:cs="Times New Roman" w:eastAsia="Times New Roman" w:hAnsi="Times New Roman"/>
                <w:sz w:val="16"/>
                <w:szCs w:val="16"/>
                <w:color w:val="auto"/>
              </w:rPr>
              <w:t>93.7 %</w:t>
            </w:r>
          </w:p>
        </w:tc>
        <w:tc>
          <w:tcPr>
            <w:tcW w:w="1700" w:type="dxa"/>
            <w:vAlign w:val="bottom"/>
            <w:shd w:val="clear" w:color="auto" w:fill="CEFFE7"/>
          </w:tcPr>
          <w:p>
            <w:pPr>
              <w:jc w:val="right"/>
              <w:ind w:right="259"/>
              <w:spacing w:after="0"/>
              <w:rPr>
                <w:sz w:val="20"/>
                <w:szCs w:val="20"/>
                <w:color w:val="auto"/>
              </w:rPr>
            </w:pPr>
            <w:r>
              <w:rPr>
                <w:rFonts w:ascii="Times New Roman" w:cs="Times New Roman" w:eastAsia="Times New Roman" w:hAnsi="Times New Roman"/>
                <w:sz w:val="16"/>
                <w:szCs w:val="16"/>
                <w:color w:val="auto"/>
              </w:rPr>
              <w:t>98.3 %</w:t>
            </w:r>
          </w:p>
        </w:tc>
        <w:tc>
          <w:tcPr>
            <w:tcW w:w="13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95.0 %</w:t>
            </w: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Availability</w:t>
            </w:r>
          </w:p>
        </w:tc>
        <w:tc>
          <w:tcPr>
            <w:tcW w:w="26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86.8 %</w:t>
            </w: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91.5 %</w:t>
            </w:r>
          </w:p>
        </w:tc>
        <w:tc>
          <w:tcPr>
            <w:tcW w:w="17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86.3 %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90.3 %</w:t>
            </w:r>
          </w:p>
        </w:tc>
      </w:tr>
      <w:tr>
        <w:trPr>
          <w:trHeight w:val="165"/>
        </w:trPr>
        <w:tc>
          <w:tcPr>
            <w:tcW w:w="4060" w:type="dxa"/>
            <w:vAlign w:val="bottom"/>
            <w:shd w:val="clear" w:color="auto" w:fill="CEFFE7"/>
          </w:tcPr>
          <w:p>
            <w:pPr>
              <w:spacing w:after="0"/>
              <w:rPr>
                <w:sz w:val="14"/>
                <w:szCs w:val="14"/>
                <w:color w:val="auto"/>
              </w:rPr>
            </w:pPr>
          </w:p>
        </w:tc>
        <w:tc>
          <w:tcPr>
            <w:tcW w:w="2600" w:type="dxa"/>
            <w:vAlign w:val="bottom"/>
            <w:shd w:val="clear" w:color="auto" w:fill="CEFFE7"/>
          </w:tcPr>
          <w:p>
            <w:pPr>
              <w:spacing w:after="0"/>
              <w:rPr>
                <w:sz w:val="14"/>
                <w:szCs w:val="14"/>
                <w:color w:val="auto"/>
              </w:rPr>
            </w:pPr>
          </w:p>
        </w:tc>
        <w:tc>
          <w:tcPr>
            <w:tcW w:w="1560" w:type="dxa"/>
            <w:vAlign w:val="bottom"/>
            <w:shd w:val="clear" w:color="auto" w:fill="CEFFE7"/>
          </w:tcPr>
          <w:p>
            <w:pPr>
              <w:spacing w:after="0"/>
              <w:rPr>
                <w:sz w:val="14"/>
                <w:szCs w:val="14"/>
                <w:color w:val="auto"/>
              </w:rPr>
            </w:pPr>
          </w:p>
        </w:tc>
        <w:tc>
          <w:tcPr>
            <w:tcW w:w="1700" w:type="dxa"/>
            <w:vAlign w:val="bottom"/>
            <w:shd w:val="clear" w:color="auto" w:fill="CEFFE7"/>
          </w:tcPr>
          <w:p>
            <w:pPr>
              <w:spacing w:after="0"/>
              <w:rPr>
                <w:sz w:val="14"/>
                <w:szCs w:val="14"/>
                <w:color w:val="auto"/>
              </w:rPr>
            </w:pPr>
          </w:p>
        </w:tc>
        <w:tc>
          <w:tcPr>
            <w:tcW w:w="1320" w:type="dxa"/>
            <w:vAlign w:val="bottom"/>
            <w:shd w:val="clear" w:color="auto" w:fill="CEFFE7"/>
          </w:tcPr>
          <w:p>
            <w:pPr>
              <w:spacing w:after="0"/>
              <w:rPr>
                <w:sz w:val="14"/>
                <w:szCs w:val="14"/>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Wind Capacity Factor</w:t>
            </w:r>
          </w:p>
        </w:tc>
        <w:tc>
          <w:tcPr>
            <w:tcW w:w="26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33.2 %</w:t>
            </w: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33.8 %</w:t>
            </w:r>
          </w:p>
        </w:tc>
        <w:tc>
          <w:tcPr>
            <w:tcW w:w="17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39.3 %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37.1 %</w:t>
            </w:r>
          </w:p>
        </w:tc>
      </w:tr>
      <w:tr>
        <w:trPr>
          <w:trHeight w:val="29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ind w:left="340" w:hanging="332"/>
        <w:spacing w:after="0"/>
        <w:tabs>
          <w:tab w:leader="none" w:pos="3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and Wind Capacity Factor are calculated using a weighted average based on capacity of our generating fleet.</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2019 included planned outages at Neil Simpson II and Wygen III and unplanned outages at Wyodak Plant and Wygen III.</w:t>
      </w:r>
    </w:p>
    <w:p>
      <w:pPr>
        <w:spacing w:after="0" w:line="5"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2020 included a planned outage at Cheyenne Prairie and unplanned outages at Pueblo Airport Generation and Lange CT.</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2019 included planned outages at Neil Simpson CT and Lange CT.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Gas Utilities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10"/>
        </w:trPr>
        <w:tc>
          <w:tcPr>
            <w:tcW w:w="4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2019</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Variance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2019</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Variance</w:t>
            </w:r>
          </w:p>
        </w:tc>
      </w:tr>
      <w:tr>
        <w:trPr>
          <w:trHeight w:val="210"/>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520" w:type="dxa"/>
            <w:vAlign w:val="bottom"/>
            <w:shd w:val="clear" w:color="auto" w:fill="CEFEE7"/>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EFEE7"/>
          </w:tcPr>
          <w:p>
            <w:pPr>
              <w:spacing w:after="0"/>
              <w:rPr>
                <w:sz w:val="19"/>
                <w:szCs w:val="19"/>
                <w:color w:val="auto"/>
              </w:rPr>
            </w:pPr>
          </w:p>
        </w:tc>
        <w:tc>
          <w:tcPr>
            <w:tcW w:w="860" w:type="dxa"/>
            <w:vAlign w:val="bottom"/>
            <w:shd w:val="clear" w:color="auto" w:fill="CEFEE7"/>
          </w:tcPr>
          <w:p>
            <w:pPr>
              <w:spacing w:after="0"/>
              <w:rPr>
                <w:sz w:val="19"/>
                <w:szCs w:val="19"/>
                <w:color w:val="auto"/>
              </w:rPr>
            </w:pPr>
          </w:p>
        </w:tc>
        <w:tc>
          <w:tcPr>
            <w:tcW w:w="260" w:type="dxa"/>
            <w:vAlign w:val="bottom"/>
            <w:shd w:val="clear" w:color="auto" w:fill="CEFEE7"/>
          </w:tcPr>
          <w:p>
            <w:pPr>
              <w:spacing w:after="0"/>
              <w:rPr>
                <w:sz w:val="19"/>
                <w:szCs w:val="19"/>
                <w:color w:val="auto"/>
              </w:rPr>
            </w:pPr>
          </w:p>
        </w:tc>
        <w:tc>
          <w:tcPr>
            <w:tcW w:w="860" w:type="dxa"/>
            <w:vAlign w:val="bottom"/>
            <w:shd w:val="clear" w:color="auto" w:fill="CEFEE7"/>
          </w:tcPr>
          <w:p>
            <w:pPr>
              <w:spacing w:after="0"/>
              <w:rPr>
                <w:sz w:val="19"/>
                <w:szCs w:val="19"/>
                <w:color w:val="auto"/>
              </w:rPr>
            </w:pPr>
          </w:p>
        </w:tc>
        <w:tc>
          <w:tcPr>
            <w:tcW w:w="200" w:type="dxa"/>
            <w:vAlign w:val="bottom"/>
            <w:shd w:val="clear" w:color="auto" w:fill="CEFEE7"/>
          </w:tcPr>
          <w:p>
            <w:pPr>
              <w:spacing w:after="0"/>
              <w:rPr>
                <w:sz w:val="19"/>
                <w:szCs w:val="19"/>
                <w:color w:val="auto"/>
              </w:rPr>
            </w:pPr>
          </w:p>
        </w:tc>
        <w:tc>
          <w:tcPr>
            <w:tcW w:w="940" w:type="dxa"/>
            <w:vAlign w:val="bottom"/>
            <w:shd w:val="clear" w:color="auto" w:fill="CEFEE7"/>
          </w:tcPr>
          <w:p>
            <w:pPr>
              <w:spacing w:after="0"/>
              <w:rPr>
                <w:sz w:val="19"/>
                <w:szCs w:val="19"/>
                <w:color w:val="auto"/>
              </w:rPr>
            </w:pPr>
          </w:p>
        </w:tc>
        <w:tc>
          <w:tcPr>
            <w:tcW w:w="240" w:type="dxa"/>
            <w:vAlign w:val="bottom"/>
            <w:shd w:val="clear" w:color="auto" w:fill="CEFEE7"/>
          </w:tcPr>
          <w:p>
            <w:pPr>
              <w:spacing w:after="0"/>
              <w:rPr>
                <w:sz w:val="19"/>
                <w:szCs w:val="19"/>
                <w:color w:val="auto"/>
              </w:rPr>
            </w:pPr>
          </w:p>
        </w:tc>
        <w:tc>
          <w:tcPr>
            <w:tcW w:w="860" w:type="dxa"/>
            <w:vAlign w:val="bottom"/>
            <w:shd w:val="clear" w:color="auto" w:fill="CEFEE7"/>
          </w:tcPr>
          <w:p>
            <w:pPr>
              <w:spacing w:after="0"/>
              <w:rPr>
                <w:sz w:val="19"/>
                <w:szCs w:val="19"/>
                <w:color w:val="auto"/>
              </w:rPr>
            </w:pPr>
          </w:p>
        </w:tc>
        <w:tc>
          <w:tcPr>
            <w:tcW w:w="260" w:type="dxa"/>
            <w:vAlign w:val="bottom"/>
            <w:shd w:val="clear" w:color="auto" w:fill="CEFEE7"/>
          </w:tcPr>
          <w:p>
            <w:pPr>
              <w:spacing w:after="0"/>
              <w:rPr>
                <w:sz w:val="19"/>
                <w:szCs w:val="19"/>
                <w:color w:val="auto"/>
              </w:rPr>
            </w:pPr>
          </w:p>
        </w:tc>
        <w:tc>
          <w:tcPr>
            <w:tcW w:w="860" w:type="dxa"/>
            <w:vAlign w:val="bottom"/>
            <w:shd w:val="clear" w:color="auto" w:fill="CEFEE7"/>
          </w:tcPr>
          <w:p>
            <w:pPr>
              <w:spacing w:after="0"/>
              <w:rPr>
                <w:sz w:val="19"/>
                <w:szCs w:val="19"/>
                <w:color w:val="auto"/>
              </w:rPr>
            </w:pPr>
          </w:p>
        </w:tc>
        <w:tc>
          <w:tcPr>
            <w:tcW w:w="200" w:type="dxa"/>
            <w:vAlign w:val="bottom"/>
            <w:shd w:val="clear" w:color="auto" w:fill="CEFEE7"/>
          </w:tcPr>
          <w:p>
            <w:pPr>
              <w:spacing w:after="0"/>
              <w:rPr>
                <w:sz w:val="19"/>
                <w:szCs w:val="19"/>
                <w:color w:val="auto"/>
              </w:rPr>
            </w:pPr>
          </w:p>
        </w:tc>
        <w:tc>
          <w:tcPr>
            <w:tcW w:w="940" w:type="dxa"/>
            <w:vAlign w:val="bottom"/>
            <w:shd w:val="clear" w:color="auto" w:fill="CEFEE7"/>
          </w:tcPr>
          <w:p>
            <w:pPr>
              <w:spacing w:after="0"/>
              <w:rPr>
                <w:sz w:val="19"/>
                <w:szCs w:val="19"/>
                <w:color w:val="auto"/>
              </w:rPr>
            </w:pPr>
          </w:p>
        </w:tc>
      </w:tr>
      <w:tr>
        <w:trPr>
          <w:trHeight w:val="213"/>
        </w:trPr>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Natural gas - regulated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128,468</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117,549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10,919</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612,797</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651,366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(38,569)</w:t>
            </w:r>
          </w:p>
        </w:tc>
      </w:tr>
      <w:tr>
        <w:trPr>
          <w:trHeight w:val="219"/>
        </w:trPr>
        <w:tc>
          <w:tcPr>
            <w:tcW w:w="4520" w:type="dxa"/>
            <w:vAlign w:val="bottom"/>
            <w:shd w:val="clear" w:color="auto" w:fill="CEFEE7"/>
          </w:tcPr>
          <w:p>
            <w:pPr>
              <w:ind w:left="120"/>
              <w:spacing w:after="0"/>
              <w:rPr>
                <w:sz w:val="20"/>
                <w:szCs w:val="20"/>
                <w:color w:val="auto"/>
              </w:rPr>
            </w:pPr>
            <w:r>
              <w:rPr>
                <w:rFonts w:ascii="Times New Roman" w:cs="Times New Roman" w:eastAsia="Times New Roman" w:hAnsi="Times New Roman"/>
                <w:sz w:val="16"/>
                <w:szCs w:val="16"/>
                <w:color w:val="auto"/>
              </w:rPr>
              <w:t>Other - non-regulated services</w:t>
            </w:r>
          </w:p>
        </w:tc>
        <w:tc>
          <w:tcPr>
            <w:tcW w:w="240" w:type="dxa"/>
            <w:vAlign w:val="bottom"/>
            <w:tcBorders>
              <w:bottom w:val="single" w:sz="8" w:color="auto"/>
            </w:tcBorders>
            <w:shd w:val="clear" w:color="auto" w:fill="CEFEE7"/>
          </w:tcPr>
          <w:p>
            <w:pPr>
              <w:spacing w:after="0"/>
              <w:rPr>
                <w:sz w:val="19"/>
                <w:szCs w:val="19"/>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15,461</w:t>
            </w:r>
          </w:p>
        </w:tc>
        <w:tc>
          <w:tcPr>
            <w:tcW w:w="260" w:type="dxa"/>
            <w:vAlign w:val="bottom"/>
            <w:tcBorders>
              <w:bottom w:val="single" w:sz="8" w:color="auto"/>
            </w:tcBorders>
            <w:shd w:val="clear" w:color="auto" w:fill="CEFEE7"/>
          </w:tcPr>
          <w:p>
            <w:pPr>
              <w:spacing w:after="0"/>
              <w:rPr>
                <w:sz w:val="19"/>
                <w:szCs w:val="19"/>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13,195</w:t>
            </w:r>
          </w:p>
        </w:tc>
        <w:tc>
          <w:tcPr>
            <w:tcW w:w="200" w:type="dxa"/>
            <w:vAlign w:val="bottom"/>
            <w:tcBorders>
              <w:bottom w:val="single" w:sz="8" w:color="auto"/>
            </w:tcBorders>
            <w:shd w:val="clear" w:color="auto" w:fill="CEFEE7"/>
          </w:tcPr>
          <w:p>
            <w:pPr>
              <w:spacing w:after="0"/>
              <w:rPr>
                <w:sz w:val="19"/>
                <w:szCs w:val="19"/>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240" w:type="dxa"/>
            <w:vAlign w:val="bottom"/>
            <w:tcBorders>
              <w:bottom w:val="single" w:sz="8" w:color="auto"/>
            </w:tcBorders>
            <w:shd w:val="clear" w:color="auto" w:fill="CEFEE7"/>
          </w:tcPr>
          <w:p>
            <w:pPr>
              <w:spacing w:after="0"/>
              <w:rPr>
                <w:sz w:val="19"/>
                <w:szCs w:val="19"/>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53,015</w:t>
            </w:r>
          </w:p>
        </w:tc>
        <w:tc>
          <w:tcPr>
            <w:tcW w:w="260" w:type="dxa"/>
            <w:vAlign w:val="bottom"/>
            <w:tcBorders>
              <w:bottom w:val="single" w:sz="8" w:color="auto"/>
            </w:tcBorders>
            <w:shd w:val="clear" w:color="auto" w:fill="CEFEE7"/>
          </w:tcPr>
          <w:p>
            <w:pPr>
              <w:spacing w:after="0"/>
              <w:rPr>
                <w:sz w:val="19"/>
                <w:szCs w:val="19"/>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55,927</w:t>
            </w:r>
          </w:p>
        </w:tc>
        <w:tc>
          <w:tcPr>
            <w:tcW w:w="200" w:type="dxa"/>
            <w:vAlign w:val="bottom"/>
            <w:tcBorders>
              <w:bottom w:val="single" w:sz="8" w:color="auto"/>
            </w:tcBorders>
            <w:shd w:val="clear" w:color="auto" w:fill="CEFEE7"/>
          </w:tcPr>
          <w:p>
            <w:pPr>
              <w:spacing w:after="0"/>
              <w:rPr>
                <w:sz w:val="19"/>
                <w:szCs w:val="19"/>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(2,912)</w:t>
            </w:r>
          </w:p>
        </w:tc>
      </w:tr>
      <w:tr>
        <w:trPr>
          <w:trHeight w:val="207"/>
        </w:trPr>
        <w:tc>
          <w:tcPr>
            <w:tcW w:w="4520" w:type="dxa"/>
            <w:vAlign w:val="bottom"/>
            <w:tcBorders>
              <w:bottom w:val="single" w:sz="8" w:color="CEFEE7"/>
            </w:tcBorders>
          </w:tcPr>
          <w:p>
            <w:pPr>
              <w:ind w:left="5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143,929</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130,744</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665,812</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707,293</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(41,481)</w:t>
            </w:r>
          </w:p>
        </w:tc>
      </w:tr>
      <w:tr>
        <w:trPr>
          <w:trHeight w:val="239"/>
        </w:trPr>
        <w:tc>
          <w:tcPr>
            <w:tcW w:w="4520" w:type="dxa"/>
            <w:vAlign w:val="bottom"/>
            <w:shd w:val="clear" w:color="auto" w:fill="CEFEE7"/>
          </w:tcPr>
          <w:p>
            <w:pPr>
              <w:spacing w:after="0"/>
              <w:rPr>
                <w:sz w:val="20"/>
                <w:szCs w:val="20"/>
                <w:color w:val="auto"/>
              </w:rPr>
            </w:pPr>
          </w:p>
        </w:tc>
        <w:tc>
          <w:tcPr>
            <w:tcW w:w="240" w:type="dxa"/>
            <w:vAlign w:val="bottom"/>
            <w:shd w:val="clear" w:color="auto" w:fill="CEFEE7"/>
          </w:tcPr>
          <w:p>
            <w:pPr>
              <w:spacing w:after="0"/>
              <w:rPr>
                <w:sz w:val="20"/>
                <w:szCs w:val="20"/>
                <w:color w:val="auto"/>
              </w:rPr>
            </w:pPr>
          </w:p>
        </w:tc>
        <w:tc>
          <w:tcPr>
            <w:tcW w:w="860" w:type="dxa"/>
            <w:vAlign w:val="bottom"/>
            <w:shd w:val="clear" w:color="auto" w:fill="CEFEE7"/>
          </w:tcPr>
          <w:p>
            <w:pPr>
              <w:spacing w:after="0"/>
              <w:rPr>
                <w:sz w:val="20"/>
                <w:szCs w:val="20"/>
                <w:color w:val="auto"/>
              </w:rPr>
            </w:pPr>
          </w:p>
        </w:tc>
        <w:tc>
          <w:tcPr>
            <w:tcW w:w="260" w:type="dxa"/>
            <w:vAlign w:val="bottom"/>
            <w:shd w:val="clear" w:color="auto" w:fill="CEFEE7"/>
          </w:tcPr>
          <w:p>
            <w:pPr>
              <w:spacing w:after="0"/>
              <w:rPr>
                <w:sz w:val="20"/>
                <w:szCs w:val="20"/>
                <w:color w:val="auto"/>
              </w:rPr>
            </w:pPr>
          </w:p>
        </w:tc>
        <w:tc>
          <w:tcPr>
            <w:tcW w:w="860" w:type="dxa"/>
            <w:vAlign w:val="bottom"/>
            <w:shd w:val="clear" w:color="auto" w:fill="CEFEE7"/>
          </w:tcPr>
          <w:p>
            <w:pPr>
              <w:spacing w:after="0"/>
              <w:rPr>
                <w:sz w:val="20"/>
                <w:szCs w:val="20"/>
                <w:color w:val="auto"/>
              </w:rPr>
            </w:pPr>
          </w:p>
        </w:tc>
        <w:tc>
          <w:tcPr>
            <w:tcW w:w="200" w:type="dxa"/>
            <w:vAlign w:val="bottom"/>
            <w:shd w:val="clear" w:color="auto" w:fill="CEFEE7"/>
          </w:tcPr>
          <w:p>
            <w:pPr>
              <w:spacing w:after="0"/>
              <w:rPr>
                <w:sz w:val="20"/>
                <w:szCs w:val="20"/>
                <w:color w:val="auto"/>
              </w:rPr>
            </w:pPr>
          </w:p>
        </w:tc>
        <w:tc>
          <w:tcPr>
            <w:tcW w:w="940" w:type="dxa"/>
            <w:vAlign w:val="bottom"/>
            <w:shd w:val="clear" w:color="auto" w:fill="CEFEE7"/>
          </w:tcPr>
          <w:p>
            <w:pPr>
              <w:spacing w:after="0"/>
              <w:rPr>
                <w:sz w:val="20"/>
                <w:szCs w:val="20"/>
                <w:color w:val="auto"/>
              </w:rPr>
            </w:pPr>
          </w:p>
        </w:tc>
        <w:tc>
          <w:tcPr>
            <w:tcW w:w="240" w:type="dxa"/>
            <w:vAlign w:val="bottom"/>
            <w:shd w:val="clear" w:color="auto" w:fill="CEFEE7"/>
          </w:tcPr>
          <w:p>
            <w:pPr>
              <w:spacing w:after="0"/>
              <w:rPr>
                <w:sz w:val="20"/>
                <w:szCs w:val="20"/>
                <w:color w:val="auto"/>
              </w:rPr>
            </w:pPr>
          </w:p>
        </w:tc>
        <w:tc>
          <w:tcPr>
            <w:tcW w:w="860" w:type="dxa"/>
            <w:vAlign w:val="bottom"/>
            <w:shd w:val="clear" w:color="auto" w:fill="CEFEE7"/>
          </w:tcPr>
          <w:p>
            <w:pPr>
              <w:spacing w:after="0"/>
              <w:rPr>
                <w:sz w:val="20"/>
                <w:szCs w:val="20"/>
                <w:color w:val="auto"/>
              </w:rPr>
            </w:pPr>
          </w:p>
        </w:tc>
        <w:tc>
          <w:tcPr>
            <w:tcW w:w="260" w:type="dxa"/>
            <w:vAlign w:val="bottom"/>
            <w:shd w:val="clear" w:color="auto" w:fill="CEFEE7"/>
          </w:tcPr>
          <w:p>
            <w:pPr>
              <w:spacing w:after="0"/>
              <w:rPr>
                <w:sz w:val="20"/>
                <w:szCs w:val="20"/>
                <w:color w:val="auto"/>
              </w:rPr>
            </w:pPr>
          </w:p>
        </w:tc>
        <w:tc>
          <w:tcPr>
            <w:tcW w:w="860" w:type="dxa"/>
            <w:vAlign w:val="bottom"/>
            <w:shd w:val="clear" w:color="auto" w:fill="CEFEE7"/>
          </w:tcPr>
          <w:p>
            <w:pPr>
              <w:spacing w:after="0"/>
              <w:rPr>
                <w:sz w:val="20"/>
                <w:szCs w:val="20"/>
                <w:color w:val="auto"/>
              </w:rPr>
            </w:pPr>
          </w:p>
        </w:tc>
        <w:tc>
          <w:tcPr>
            <w:tcW w:w="200" w:type="dxa"/>
            <w:vAlign w:val="bottom"/>
            <w:shd w:val="clear" w:color="auto" w:fill="CEFEE7"/>
          </w:tcPr>
          <w:p>
            <w:pPr>
              <w:spacing w:after="0"/>
              <w:rPr>
                <w:sz w:val="20"/>
                <w:szCs w:val="20"/>
                <w:color w:val="auto"/>
              </w:rPr>
            </w:pPr>
          </w:p>
        </w:tc>
        <w:tc>
          <w:tcPr>
            <w:tcW w:w="940" w:type="dxa"/>
            <w:vAlign w:val="bottom"/>
            <w:shd w:val="clear" w:color="auto" w:fill="CEFEE7"/>
          </w:tcPr>
          <w:p>
            <w:pPr>
              <w:spacing w:after="0"/>
              <w:rPr>
                <w:sz w:val="20"/>
                <w:szCs w:val="20"/>
                <w:color w:val="auto"/>
              </w:rPr>
            </w:pP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520" w:type="dxa"/>
            <w:vAlign w:val="bottom"/>
            <w:shd w:val="clear" w:color="auto" w:fill="CEFEE7"/>
          </w:tcPr>
          <w:p>
            <w:pPr>
              <w:ind w:left="120"/>
              <w:spacing w:after="0"/>
              <w:rPr>
                <w:sz w:val="20"/>
                <w:szCs w:val="20"/>
                <w:color w:val="auto"/>
              </w:rPr>
            </w:pPr>
            <w:r>
              <w:rPr>
                <w:rFonts w:ascii="Times New Roman" w:cs="Times New Roman" w:eastAsia="Times New Roman" w:hAnsi="Times New Roman"/>
                <w:sz w:val="16"/>
                <w:szCs w:val="16"/>
                <w:color w:val="auto"/>
              </w:rPr>
              <w:t>Natural gas - regulated</w:t>
            </w:r>
          </w:p>
        </w:tc>
        <w:tc>
          <w:tcPr>
            <w:tcW w:w="240" w:type="dxa"/>
            <w:vAlign w:val="bottom"/>
            <w:shd w:val="clear" w:color="auto" w:fill="CEFEE7"/>
          </w:tcPr>
          <w:p>
            <w:pPr>
              <w:spacing w:after="0"/>
              <w:rPr>
                <w:sz w:val="19"/>
                <w:szCs w:val="19"/>
                <w:color w:val="auto"/>
              </w:rPr>
            </w:pPr>
          </w:p>
        </w:tc>
        <w:tc>
          <w:tcPr>
            <w:tcW w:w="8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25,235</w:t>
            </w:r>
          </w:p>
        </w:tc>
        <w:tc>
          <w:tcPr>
            <w:tcW w:w="260" w:type="dxa"/>
            <w:vAlign w:val="bottom"/>
            <w:shd w:val="clear" w:color="auto" w:fill="CEFEE7"/>
          </w:tcPr>
          <w:p>
            <w:pPr>
              <w:spacing w:after="0"/>
              <w:rPr>
                <w:sz w:val="19"/>
                <w:szCs w:val="19"/>
                <w:color w:val="auto"/>
              </w:rPr>
            </w:pPr>
          </w:p>
        </w:tc>
        <w:tc>
          <w:tcPr>
            <w:tcW w:w="8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28,154</w:t>
            </w:r>
          </w:p>
        </w:tc>
        <w:tc>
          <w:tcPr>
            <w:tcW w:w="200" w:type="dxa"/>
            <w:vAlign w:val="bottom"/>
            <w:shd w:val="clear" w:color="auto" w:fill="CEFEE7"/>
          </w:tcPr>
          <w:p>
            <w:pPr>
              <w:spacing w:after="0"/>
              <w:rPr>
                <w:sz w:val="19"/>
                <w:szCs w:val="19"/>
                <w:color w:val="auto"/>
              </w:rPr>
            </w:pPr>
          </w:p>
        </w:tc>
        <w:tc>
          <w:tcPr>
            <w:tcW w:w="9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240" w:type="dxa"/>
            <w:vAlign w:val="bottom"/>
            <w:shd w:val="clear" w:color="auto" w:fill="CEFEE7"/>
          </w:tcPr>
          <w:p>
            <w:pPr>
              <w:spacing w:after="0"/>
              <w:rPr>
                <w:sz w:val="19"/>
                <w:szCs w:val="19"/>
                <w:color w:val="auto"/>
              </w:rPr>
            </w:pPr>
          </w:p>
        </w:tc>
        <w:tc>
          <w:tcPr>
            <w:tcW w:w="8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222,144</w:t>
            </w:r>
          </w:p>
        </w:tc>
        <w:tc>
          <w:tcPr>
            <w:tcW w:w="260" w:type="dxa"/>
            <w:vAlign w:val="bottom"/>
            <w:shd w:val="clear" w:color="auto" w:fill="CEFEE7"/>
          </w:tcPr>
          <w:p>
            <w:pPr>
              <w:spacing w:after="0"/>
              <w:rPr>
                <w:sz w:val="19"/>
                <w:szCs w:val="19"/>
                <w:color w:val="auto"/>
              </w:rPr>
            </w:pPr>
          </w:p>
        </w:tc>
        <w:tc>
          <w:tcPr>
            <w:tcW w:w="8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280,312</w:t>
            </w:r>
          </w:p>
        </w:tc>
        <w:tc>
          <w:tcPr>
            <w:tcW w:w="200" w:type="dxa"/>
            <w:vAlign w:val="bottom"/>
            <w:shd w:val="clear" w:color="auto" w:fill="CEFEE7"/>
          </w:tcPr>
          <w:p>
            <w:pPr>
              <w:spacing w:after="0"/>
              <w:rPr>
                <w:sz w:val="19"/>
                <w:szCs w:val="19"/>
                <w:color w:val="auto"/>
              </w:rPr>
            </w:pPr>
          </w:p>
        </w:tc>
        <w:tc>
          <w:tcPr>
            <w:tcW w:w="9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(58,168)</w:t>
            </w:r>
          </w:p>
        </w:tc>
      </w:tr>
      <w:tr>
        <w:trPr>
          <w:trHeight w:val="213"/>
        </w:trPr>
        <w:tc>
          <w:tcPr>
            <w:tcW w:w="4520" w:type="dxa"/>
            <w:vAlign w:val="bottom"/>
            <w:tcBorders>
              <w:bottom w:val="single" w:sz="8" w:color="CEFEE7"/>
            </w:tcBorders>
          </w:tcPr>
          <w:p>
            <w:pPr>
              <w:ind w:left="120"/>
              <w:spacing w:after="0"/>
              <w:rPr>
                <w:sz w:val="20"/>
                <w:szCs w:val="20"/>
                <w:color w:val="auto"/>
              </w:rPr>
            </w:pPr>
            <w:r>
              <w:rPr>
                <w:rFonts w:ascii="Times New Roman" w:cs="Times New Roman" w:eastAsia="Times New Roman" w:hAnsi="Times New Roman"/>
                <w:sz w:val="16"/>
                <w:szCs w:val="16"/>
                <w:color w:val="auto"/>
              </w:rPr>
              <w:t>Other - non-regulated services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16,975</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(12,101)</w:t>
            </w:r>
          </w:p>
        </w:tc>
      </w:tr>
      <w:tr>
        <w:trPr>
          <w:trHeight w:val="210"/>
        </w:trPr>
        <w:tc>
          <w:tcPr>
            <w:tcW w:w="4520" w:type="dxa"/>
            <w:vAlign w:val="bottom"/>
            <w:shd w:val="clear" w:color="auto" w:fill="CEFEE7"/>
          </w:tcPr>
          <w:p>
            <w:pPr>
              <w:ind w:left="540"/>
              <w:spacing w:after="0"/>
              <w:rPr>
                <w:sz w:val="20"/>
                <w:szCs w:val="20"/>
                <w:color w:val="auto"/>
              </w:rPr>
            </w:pPr>
            <w:r>
              <w:rPr>
                <w:rFonts w:ascii="Times New Roman" w:cs="Times New Roman" w:eastAsia="Times New Roman" w:hAnsi="Times New Roman"/>
                <w:sz w:val="16"/>
                <w:szCs w:val="16"/>
                <w:color w:val="auto"/>
              </w:rPr>
              <w:t>Total cost of sales</w:t>
            </w:r>
          </w:p>
        </w:tc>
        <w:tc>
          <w:tcPr>
            <w:tcW w:w="240" w:type="dxa"/>
            <w:vAlign w:val="bottom"/>
            <w:tcBorders>
              <w:bottom w:val="single" w:sz="8" w:color="auto"/>
            </w:tcBorders>
            <w:shd w:val="clear" w:color="auto" w:fill="CEFEE7"/>
          </w:tcPr>
          <w:p>
            <w:pPr>
              <w:spacing w:after="0"/>
              <w:rPr>
                <w:sz w:val="18"/>
                <w:szCs w:val="18"/>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27,035</w:t>
            </w:r>
          </w:p>
        </w:tc>
        <w:tc>
          <w:tcPr>
            <w:tcW w:w="260" w:type="dxa"/>
            <w:vAlign w:val="bottom"/>
            <w:tcBorders>
              <w:bottom w:val="single" w:sz="8" w:color="auto"/>
            </w:tcBorders>
            <w:shd w:val="clear" w:color="auto" w:fill="CEFEE7"/>
          </w:tcPr>
          <w:p>
            <w:pPr>
              <w:spacing w:after="0"/>
              <w:rPr>
                <w:sz w:val="18"/>
                <w:szCs w:val="18"/>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33,024</w:t>
            </w:r>
          </w:p>
        </w:tc>
        <w:tc>
          <w:tcPr>
            <w:tcW w:w="20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240" w:type="dxa"/>
            <w:vAlign w:val="bottom"/>
            <w:tcBorders>
              <w:bottom w:val="single" w:sz="8" w:color="auto"/>
            </w:tcBorders>
            <w:shd w:val="clear" w:color="auto" w:fill="CEFEE7"/>
          </w:tcPr>
          <w:p>
            <w:pPr>
              <w:spacing w:after="0"/>
              <w:rPr>
                <w:sz w:val="18"/>
                <w:szCs w:val="18"/>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227,018</w:t>
            </w:r>
          </w:p>
        </w:tc>
        <w:tc>
          <w:tcPr>
            <w:tcW w:w="260" w:type="dxa"/>
            <w:vAlign w:val="bottom"/>
            <w:tcBorders>
              <w:bottom w:val="single" w:sz="8" w:color="auto"/>
            </w:tcBorders>
            <w:shd w:val="clear" w:color="auto" w:fill="CEFEE7"/>
          </w:tcPr>
          <w:p>
            <w:pPr>
              <w:spacing w:after="0"/>
              <w:rPr>
                <w:sz w:val="18"/>
                <w:szCs w:val="18"/>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297,287</w:t>
            </w:r>
          </w:p>
        </w:tc>
        <w:tc>
          <w:tcPr>
            <w:tcW w:w="20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(70,269)</w:t>
            </w:r>
          </w:p>
        </w:tc>
      </w:tr>
      <w:tr>
        <w:trPr>
          <w:trHeight w:val="239"/>
        </w:trPr>
        <w:tc>
          <w:tcPr>
            <w:tcW w:w="4520" w:type="dxa"/>
            <w:vAlign w:val="bottom"/>
            <w:tcBorders>
              <w:bottom w:val="single" w:sz="8" w:color="CEFEE7"/>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7"/>
        </w:trPr>
        <w:tc>
          <w:tcPr>
            <w:tcW w:w="4520" w:type="dxa"/>
            <w:vAlign w:val="bottom"/>
            <w:shd w:val="clear" w:color="auto" w:fill="CEFEE7"/>
          </w:tcPr>
          <w:p>
            <w:pPr>
              <w:ind w:left="20"/>
              <w:spacing w:after="0"/>
              <w:rPr>
                <w:sz w:val="20"/>
                <w:szCs w:val="20"/>
                <w:color w:val="auto"/>
              </w:rPr>
            </w:pPr>
            <w:r>
              <w:rPr>
                <w:rFonts w:ascii="Times New Roman" w:cs="Times New Roman" w:eastAsia="Times New Roman" w:hAnsi="Times New Roman"/>
                <w:sz w:val="16"/>
                <w:szCs w:val="16"/>
                <w:color w:val="auto"/>
              </w:rPr>
              <w:t>Gross margin (non-GAAP)</w:t>
            </w:r>
          </w:p>
        </w:tc>
        <w:tc>
          <w:tcPr>
            <w:tcW w:w="240" w:type="dxa"/>
            <w:vAlign w:val="bottom"/>
            <w:tcBorders>
              <w:bottom w:val="single" w:sz="8" w:color="auto"/>
            </w:tcBorders>
            <w:shd w:val="clear" w:color="auto" w:fill="CEFEE7"/>
          </w:tcPr>
          <w:p>
            <w:pPr>
              <w:spacing w:after="0"/>
              <w:rPr>
                <w:sz w:val="17"/>
                <w:szCs w:val="17"/>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116,894</w:t>
            </w:r>
          </w:p>
        </w:tc>
        <w:tc>
          <w:tcPr>
            <w:tcW w:w="260" w:type="dxa"/>
            <w:vAlign w:val="bottom"/>
            <w:tcBorders>
              <w:bottom w:val="single" w:sz="8" w:color="auto"/>
            </w:tcBorders>
            <w:shd w:val="clear" w:color="auto" w:fill="CEFEE7"/>
          </w:tcPr>
          <w:p>
            <w:pPr>
              <w:spacing w:after="0"/>
              <w:rPr>
                <w:sz w:val="17"/>
                <w:szCs w:val="17"/>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97,720</w:t>
            </w:r>
          </w:p>
        </w:tc>
        <w:tc>
          <w:tcPr>
            <w:tcW w:w="200" w:type="dxa"/>
            <w:vAlign w:val="bottom"/>
            <w:tcBorders>
              <w:bottom w:val="single" w:sz="8" w:color="auto"/>
            </w:tcBorders>
            <w:shd w:val="clear" w:color="auto" w:fill="CEFEE7"/>
          </w:tcPr>
          <w:p>
            <w:pPr>
              <w:spacing w:after="0"/>
              <w:rPr>
                <w:sz w:val="17"/>
                <w:szCs w:val="17"/>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19,174</w:t>
            </w:r>
          </w:p>
        </w:tc>
        <w:tc>
          <w:tcPr>
            <w:tcW w:w="240" w:type="dxa"/>
            <w:vAlign w:val="bottom"/>
            <w:tcBorders>
              <w:bottom w:val="single" w:sz="8" w:color="auto"/>
            </w:tcBorders>
            <w:shd w:val="clear" w:color="auto" w:fill="CEFEE7"/>
          </w:tcPr>
          <w:p>
            <w:pPr>
              <w:spacing w:after="0"/>
              <w:rPr>
                <w:sz w:val="17"/>
                <w:szCs w:val="17"/>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438,794</w:t>
            </w:r>
          </w:p>
        </w:tc>
        <w:tc>
          <w:tcPr>
            <w:tcW w:w="260" w:type="dxa"/>
            <w:vAlign w:val="bottom"/>
            <w:tcBorders>
              <w:bottom w:val="single" w:sz="8" w:color="auto"/>
            </w:tcBorders>
            <w:shd w:val="clear" w:color="auto" w:fill="CEFEE7"/>
          </w:tcPr>
          <w:p>
            <w:pPr>
              <w:spacing w:after="0"/>
              <w:rPr>
                <w:sz w:val="17"/>
                <w:szCs w:val="17"/>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410,006</w:t>
            </w:r>
          </w:p>
        </w:tc>
        <w:tc>
          <w:tcPr>
            <w:tcW w:w="200" w:type="dxa"/>
            <w:vAlign w:val="bottom"/>
            <w:tcBorders>
              <w:bottom w:val="single" w:sz="8" w:color="auto"/>
            </w:tcBorders>
            <w:shd w:val="clear" w:color="auto" w:fill="CEFEE7"/>
          </w:tcPr>
          <w:p>
            <w:pPr>
              <w:spacing w:after="0"/>
              <w:rPr>
                <w:sz w:val="17"/>
                <w:szCs w:val="17"/>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28,788</w:t>
            </w:r>
          </w:p>
        </w:tc>
      </w:tr>
      <w:tr>
        <w:trPr>
          <w:trHeight w:val="239"/>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4520" w:type="dxa"/>
            <w:vAlign w:val="bottom"/>
            <w:shd w:val="clear" w:color="auto" w:fill="CEFEE7"/>
          </w:tcPr>
          <w:p>
            <w:pPr>
              <w:ind w:left="2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40" w:type="dxa"/>
            <w:vAlign w:val="bottom"/>
            <w:shd w:val="clear" w:color="auto" w:fill="CEFEE7"/>
          </w:tcPr>
          <w:p>
            <w:pPr>
              <w:spacing w:after="0"/>
              <w:rPr>
                <w:sz w:val="18"/>
                <w:szCs w:val="18"/>
                <w:color w:val="auto"/>
              </w:rPr>
            </w:pPr>
          </w:p>
        </w:tc>
        <w:tc>
          <w:tcPr>
            <w:tcW w:w="8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73,642</w:t>
            </w:r>
          </w:p>
        </w:tc>
        <w:tc>
          <w:tcPr>
            <w:tcW w:w="260" w:type="dxa"/>
            <w:vAlign w:val="bottom"/>
            <w:shd w:val="clear" w:color="auto" w:fill="CEFEE7"/>
          </w:tcPr>
          <w:p>
            <w:pPr>
              <w:spacing w:after="0"/>
              <w:rPr>
                <w:sz w:val="18"/>
                <w:szCs w:val="18"/>
                <w:color w:val="auto"/>
              </w:rPr>
            </w:pPr>
          </w:p>
        </w:tc>
        <w:tc>
          <w:tcPr>
            <w:tcW w:w="8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70,170</w:t>
            </w:r>
          </w:p>
        </w:tc>
        <w:tc>
          <w:tcPr>
            <w:tcW w:w="200" w:type="dxa"/>
            <w:vAlign w:val="bottom"/>
            <w:shd w:val="clear" w:color="auto" w:fill="CEFEE7"/>
          </w:tcPr>
          <w:p>
            <w:pPr>
              <w:spacing w:after="0"/>
              <w:rPr>
                <w:sz w:val="18"/>
                <w:szCs w:val="18"/>
                <w:color w:val="auto"/>
              </w:rPr>
            </w:pPr>
          </w:p>
        </w:tc>
        <w:tc>
          <w:tcPr>
            <w:tcW w:w="9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240" w:type="dxa"/>
            <w:vAlign w:val="bottom"/>
            <w:shd w:val="clear" w:color="auto" w:fill="CEFEE7"/>
          </w:tcPr>
          <w:p>
            <w:pPr>
              <w:spacing w:after="0"/>
              <w:rPr>
                <w:sz w:val="18"/>
                <w:szCs w:val="18"/>
                <w:color w:val="auto"/>
              </w:rPr>
            </w:pPr>
          </w:p>
        </w:tc>
        <w:tc>
          <w:tcPr>
            <w:tcW w:w="8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223,351</w:t>
            </w:r>
          </w:p>
        </w:tc>
        <w:tc>
          <w:tcPr>
            <w:tcW w:w="260" w:type="dxa"/>
            <w:vAlign w:val="bottom"/>
            <w:shd w:val="clear" w:color="auto" w:fill="CEFEE7"/>
          </w:tcPr>
          <w:p>
            <w:pPr>
              <w:spacing w:after="0"/>
              <w:rPr>
                <w:sz w:val="18"/>
                <w:szCs w:val="18"/>
                <w:color w:val="auto"/>
              </w:rPr>
            </w:pPr>
          </w:p>
        </w:tc>
        <w:tc>
          <w:tcPr>
            <w:tcW w:w="86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225,239</w:t>
            </w:r>
          </w:p>
        </w:tc>
        <w:tc>
          <w:tcPr>
            <w:tcW w:w="200" w:type="dxa"/>
            <w:vAlign w:val="bottom"/>
            <w:shd w:val="clear" w:color="auto" w:fill="CEFEE7"/>
          </w:tcPr>
          <w:p>
            <w:pPr>
              <w:spacing w:after="0"/>
              <w:rPr>
                <w:sz w:val="18"/>
                <w:szCs w:val="18"/>
                <w:color w:val="auto"/>
              </w:rPr>
            </w:pPr>
          </w:p>
        </w:tc>
        <w:tc>
          <w:tcPr>
            <w:tcW w:w="940" w:type="dxa"/>
            <w:vAlign w:val="bottom"/>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(1,888)</w:t>
            </w:r>
          </w:p>
        </w:tc>
      </w:tr>
      <w:tr>
        <w:trPr>
          <w:trHeight w:val="213"/>
        </w:trPr>
        <w:tc>
          <w:tcPr>
            <w:tcW w:w="4520" w:type="dxa"/>
            <w:vAlign w:val="bottom"/>
            <w:tcBorders>
              <w:bottom w:val="single" w:sz="8" w:color="CEFEE7"/>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76,190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68,160</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8,030</w:t>
            </w:r>
          </w:p>
        </w:tc>
      </w:tr>
      <w:tr>
        <w:trPr>
          <w:trHeight w:val="209"/>
        </w:trPr>
        <w:tc>
          <w:tcPr>
            <w:tcW w:w="4520" w:type="dxa"/>
            <w:vAlign w:val="bottom"/>
            <w:shd w:val="clear" w:color="auto" w:fill="CEFEE7"/>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EFEE7"/>
          </w:tcPr>
          <w:p>
            <w:pPr>
              <w:spacing w:after="0"/>
              <w:rPr>
                <w:sz w:val="18"/>
                <w:szCs w:val="18"/>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98,747</w:t>
            </w:r>
          </w:p>
        </w:tc>
        <w:tc>
          <w:tcPr>
            <w:tcW w:w="260" w:type="dxa"/>
            <w:vAlign w:val="bottom"/>
            <w:tcBorders>
              <w:bottom w:val="single" w:sz="8" w:color="auto"/>
            </w:tcBorders>
            <w:shd w:val="clear" w:color="auto" w:fill="CEFEE7"/>
          </w:tcPr>
          <w:p>
            <w:pPr>
              <w:spacing w:after="0"/>
              <w:rPr>
                <w:sz w:val="18"/>
                <w:szCs w:val="18"/>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92,984</w:t>
            </w:r>
          </w:p>
        </w:tc>
        <w:tc>
          <w:tcPr>
            <w:tcW w:w="20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240" w:type="dxa"/>
            <w:vAlign w:val="bottom"/>
            <w:tcBorders>
              <w:bottom w:val="single" w:sz="8" w:color="auto"/>
            </w:tcBorders>
            <w:shd w:val="clear" w:color="auto" w:fill="CEFEE7"/>
          </w:tcPr>
          <w:p>
            <w:pPr>
              <w:spacing w:after="0"/>
              <w:rPr>
                <w:sz w:val="18"/>
                <w:szCs w:val="18"/>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299,541</w:t>
            </w:r>
          </w:p>
        </w:tc>
        <w:tc>
          <w:tcPr>
            <w:tcW w:w="260" w:type="dxa"/>
            <w:vAlign w:val="bottom"/>
            <w:tcBorders>
              <w:bottom w:val="single" w:sz="8" w:color="auto"/>
            </w:tcBorders>
            <w:shd w:val="clear" w:color="auto" w:fill="CEFEE7"/>
          </w:tcPr>
          <w:p>
            <w:pPr>
              <w:spacing w:after="0"/>
              <w:rPr>
                <w:sz w:val="18"/>
                <w:szCs w:val="18"/>
                <w:color w:val="auto"/>
              </w:rPr>
            </w:pP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293,399</w:t>
            </w:r>
          </w:p>
        </w:tc>
        <w:tc>
          <w:tcPr>
            <w:tcW w:w="200" w:type="dxa"/>
            <w:vAlign w:val="bottom"/>
            <w:tcBorders>
              <w:bottom w:val="single" w:sz="8" w:color="auto"/>
            </w:tcBorders>
            <w:shd w:val="clear" w:color="auto" w:fill="CEFEE7"/>
          </w:tcPr>
          <w:p>
            <w:pPr>
              <w:spacing w:after="0"/>
              <w:rPr>
                <w:sz w:val="18"/>
                <w:szCs w:val="18"/>
                <w:color w:val="auto"/>
              </w:rPr>
            </w:pP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6,142</w:t>
            </w:r>
          </w:p>
        </w:tc>
      </w:tr>
      <w:tr>
        <w:trPr>
          <w:trHeight w:val="239"/>
        </w:trPr>
        <w:tc>
          <w:tcPr>
            <w:tcW w:w="4520" w:type="dxa"/>
            <w:vAlign w:val="bottom"/>
            <w:tcBorders>
              <w:bottom w:val="single" w:sz="8" w:color="CEFEE7"/>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4"/>
        </w:trPr>
        <w:tc>
          <w:tcPr>
            <w:tcW w:w="4520" w:type="dxa"/>
            <w:vAlign w:val="bottom"/>
            <w:tcBorders>
              <w:bottom w:val="single" w:sz="8" w:color="CEFEE7"/>
            </w:tcBorders>
            <w:shd w:val="clear" w:color="auto" w:fill="CEFEE7"/>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40" w:type="dxa"/>
            <w:vAlign w:val="bottom"/>
            <w:tcBorders>
              <w:bottom w:val="single" w:sz="8" w:color="auto"/>
            </w:tcBorders>
            <w:shd w:val="clear" w:color="auto" w:fill="CEFEE7"/>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18,147</w:t>
            </w:r>
          </w:p>
        </w:tc>
        <w:tc>
          <w:tcPr>
            <w:tcW w:w="260" w:type="dxa"/>
            <w:vAlign w:val="bottom"/>
            <w:tcBorders>
              <w:bottom w:val="single" w:sz="8" w:color="auto"/>
            </w:tcBorders>
            <w:shd w:val="clear" w:color="auto" w:fill="CEFEE7"/>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20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13,411</w:t>
            </w:r>
          </w:p>
        </w:tc>
        <w:tc>
          <w:tcPr>
            <w:tcW w:w="240" w:type="dxa"/>
            <w:vAlign w:val="bottom"/>
            <w:tcBorders>
              <w:bottom w:val="single" w:sz="8" w:color="auto"/>
            </w:tcBorders>
            <w:shd w:val="clear" w:color="auto" w:fill="CEFEE7"/>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139,253</w:t>
            </w:r>
          </w:p>
        </w:tc>
        <w:tc>
          <w:tcPr>
            <w:tcW w:w="260" w:type="dxa"/>
            <w:vAlign w:val="bottom"/>
            <w:tcBorders>
              <w:bottom w:val="single" w:sz="8" w:color="auto"/>
            </w:tcBorders>
            <w:shd w:val="clear" w:color="auto" w:fill="CEFEE7"/>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116,607</w:t>
            </w:r>
          </w:p>
        </w:tc>
        <w:tc>
          <w:tcPr>
            <w:tcW w:w="20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EFEE7"/>
          </w:tcPr>
          <w:p>
            <w:pPr>
              <w:jc w:val="right"/>
              <w:spacing w:after="0"/>
              <w:rPr>
                <w:sz w:val="20"/>
                <w:szCs w:val="20"/>
                <w:color w:val="auto"/>
              </w:rPr>
            </w:pPr>
            <w:r>
              <w:rPr>
                <w:rFonts w:ascii="Times New Roman" w:cs="Times New Roman" w:eastAsia="Times New Roman" w:hAnsi="Times New Roman"/>
                <w:sz w:val="16"/>
                <w:szCs w:val="16"/>
                <w:color w:val="auto"/>
              </w:rPr>
              <w:t>22,646</w:t>
            </w:r>
          </w:p>
        </w:tc>
      </w:tr>
      <w:tr>
        <w:trPr>
          <w:trHeight w:val="20"/>
        </w:trPr>
        <w:tc>
          <w:tcPr>
            <w:tcW w:w="4520" w:type="dxa"/>
            <w:vAlign w:val="bottom"/>
            <w:tcBorders>
              <w:top w:val="single" w:sz="8" w:color="CEFEE7"/>
            </w:tcBorders>
          </w:tcPr>
          <w:p>
            <w:pPr>
              <w:spacing w:after="0" w:line="20" w:lineRule="exact"/>
              <w:rPr>
                <w:sz w:val="1"/>
                <w:szCs w:val="1"/>
                <w:color w:val="auto"/>
              </w:rPr>
            </w:pPr>
          </w:p>
        </w:tc>
        <w:tc>
          <w:tcPr>
            <w:tcW w:w="240" w:type="dxa"/>
            <w:vAlign w:val="bottom"/>
            <w:tcBorders>
              <w:top w:val="single" w:sz="8" w:color="CEFEE7"/>
              <w:bottom w:val="single" w:sz="8" w:color="auto"/>
            </w:tcBorders>
          </w:tcPr>
          <w:p>
            <w:pPr>
              <w:spacing w:after="0" w:line="20" w:lineRule="exact"/>
              <w:rPr>
                <w:sz w:val="1"/>
                <w:szCs w:val="1"/>
                <w:color w:val="auto"/>
              </w:rPr>
            </w:pPr>
          </w:p>
        </w:tc>
        <w:tc>
          <w:tcPr>
            <w:tcW w:w="860" w:type="dxa"/>
            <w:vAlign w:val="bottom"/>
            <w:tcBorders>
              <w:top w:val="single" w:sz="8" w:color="CEFEE7"/>
              <w:bottom w:val="single" w:sz="8" w:color="auto"/>
            </w:tcBorders>
          </w:tcPr>
          <w:p>
            <w:pPr>
              <w:spacing w:after="0" w:line="20" w:lineRule="exact"/>
              <w:rPr>
                <w:sz w:val="1"/>
                <w:szCs w:val="1"/>
                <w:color w:val="auto"/>
              </w:rPr>
            </w:pPr>
          </w:p>
        </w:tc>
        <w:tc>
          <w:tcPr>
            <w:tcW w:w="260" w:type="dxa"/>
            <w:vAlign w:val="bottom"/>
            <w:tcBorders>
              <w:top w:val="single" w:sz="8" w:color="CEFEE7"/>
              <w:bottom w:val="single" w:sz="8" w:color="auto"/>
            </w:tcBorders>
          </w:tcPr>
          <w:p>
            <w:pPr>
              <w:spacing w:after="0" w:line="20" w:lineRule="exact"/>
              <w:rPr>
                <w:sz w:val="1"/>
                <w:szCs w:val="1"/>
                <w:color w:val="auto"/>
              </w:rPr>
            </w:pPr>
          </w:p>
        </w:tc>
        <w:tc>
          <w:tcPr>
            <w:tcW w:w="860" w:type="dxa"/>
            <w:vAlign w:val="bottom"/>
            <w:tcBorders>
              <w:top w:val="single" w:sz="8" w:color="CEFEE7"/>
              <w:bottom w:val="single" w:sz="8" w:color="auto"/>
            </w:tcBorders>
          </w:tcPr>
          <w:p>
            <w:pPr>
              <w:spacing w:after="0" w:line="20" w:lineRule="exact"/>
              <w:rPr>
                <w:sz w:val="1"/>
                <w:szCs w:val="1"/>
                <w:color w:val="auto"/>
              </w:rPr>
            </w:pPr>
          </w:p>
        </w:tc>
        <w:tc>
          <w:tcPr>
            <w:tcW w:w="200" w:type="dxa"/>
            <w:vAlign w:val="bottom"/>
            <w:tcBorders>
              <w:top w:val="single" w:sz="8" w:color="CEFEE7"/>
              <w:bottom w:val="single" w:sz="8" w:color="auto"/>
            </w:tcBorders>
          </w:tcPr>
          <w:p>
            <w:pPr>
              <w:spacing w:after="0" w:line="20" w:lineRule="exact"/>
              <w:rPr>
                <w:sz w:val="1"/>
                <w:szCs w:val="1"/>
                <w:color w:val="auto"/>
              </w:rPr>
            </w:pPr>
          </w:p>
        </w:tc>
        <w:tc>
          <w:tcPr>
            <w:tcW w:w="940" w:type="dxa"/>
            <w:vAlign w:val="bottom"/>
            <w:tcBorders>
              <w:top w:val="single" w:sz="8" w:color="CEFEE7"/>
              <w:bottom w:val="single" w:sz="8" w:color="auto"/>
            </w:tcBorders>
          </w:tcPr>
          <w:p>
            <w:pPr>
              <w:spacing w:after="0" w:line="20" w:lineRule="exact"/>
              <w:rPr>
                <w:sz w:val="1"/>
                <w:szCs w:val="1"/>
                <w:color w:val="auto"/>
              </w:rPr>
            </w:pPr>
          </w:p>
        </w:tc>
        <w:tc>
          <w:tcPr>
            <w:tcW w:w="240" w:type="dxa"/>
            <w:vAlign w:val="bottom"/>
            <w:tcBorders>
              <w:top w:val="single" w:sz="8" w:color="CEFEE7"/>
              <w:bottom w:val="single" w:sz="8" w:color="auto"/>
            </w:tcBorders>
          </w:tcPr>
          <w:p>
            <w:pPr>
              <w:spacing w:after="0" w:line="20" w:lineRule="exact"/>
              <w:rPr>
                <w:sz w:val="1"/>
                <w:szCs w:val="1"/>
                <w:color w:val="auto"/>
              </w:rPr>
            </w:pPr>
          </w:p>
        </w:tc>
        <w:tc>
          <w:tcPr>
            <w:tcW w:w="860" w:type="dxa"/>
            <w:vAlign w:val="bottom"/>
            <w:tcBorders>
              <w:top w:val="single" w:sz="8" w:color="CEFEE7"/>
              <w:bottom w:val="single" w:sz="8" w:color="auto"/>
            </w:tcBorders>
          </w:tcPr>
          <w:p>
            <w:pPr>
              <w:spacing w:after="0" w:line="20" w:lineRule="exact"/>
              <w:rPr>
                <w:sz w:val="1"/>
                <w:szCs w:val="1"/>
                <w:color w:val="auto"/>
              </w:rPr>
            </w:pPr>
          </w:p>
        </w:tc>
        <w:tc>
          <w:tcPr>
            <w:tcW w:w="260" w:type="dxa"/>
            <w:vAlign w:val="bottom"/>
            <w:tcBorders>
              <w:top w:val="single" w:sz="8" w:color="CEFEE7"/>
              <w:bottom w:val="single" w:sz="8" w:color="auto"/>
            </w:tcBorders>
          </w:tcPr>
          <w:p>
            <w:pPr>
              <w:spacing w:after="0" w:line="20" w:lineRule="exact"/>
              <w:rPr>
                <w:sz w:val="1"/>
                <w:szCs w:val="1"/>
                <w:color w:val="auto"/>
              </w:rPr>
            </w:pPr>
          </w:p>
        </w:tc>
        <w:tc>
          <w:tcPr>
            <w:tcW w:w="860" w:type="dxa"/>
            <w:vAlign w:val="bottom"/>
            <w:tcBorders>
              <w:top w:val="single" w:sz="8" w:color="CEFEE7"/>
              <w:bottom w:val="single" w:sz="8" w:color="auto"/>
            </w:tcBorders>
          </w:tcPr>
          <w:p>
            <w:pPr>
              <w:spacing w:after="0" w:line="20" w:lineRule="exact"/>
              <w:rPr>
                <w:sz w:val="1"/>
                <w:szCs w:val="1"/>
                <w:color w:val="auto"/>
              </w:rPr>
            </w:pPr>
          </w:p>
        </w:tc>
        <w:tc>
          <w:tcPr>
            <w:tcW w:w="200" w:type="dxa"/>
            <w:vAlign w:val="bottom"/>
            <w:tcBorders>
              <w:top w:val="single" w:sz="8" w:color="CEFEE7"/>
              <w:bottom w:val="single" w:sz="8" w:color="auto"/>
            </w:tcBorders>
          </w:tcPr>
          <w:p>
            <w:pPr>
              <w:spacing w:after="0" w:line="20" w:lineRule="exact"/>
              <w:rPr>
                <w:sz w:val="1"/>
                <w:szCs w:val="1"/>
                <w:color w:val="auto"/>
              </w:rPr>
            </w:pPr>
          </w:p>
        </w:tc>
        <w:tc>
          <w:tcPr>
            <w:tcW w:w="940" w:type="dxa"/>
            <w:vAlign w:val="bottom"/>
            <w:tcBorders>
              <w:top w:val="single" w:sz="8" w:color="CEFE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the Three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for the three months ended September 30, 2020 increased as a result of:</w:t>
      </w:r>
    </w:p>
    <w:p>
      <w:pPr>
        <w:spacing w:after="0" w:line="104"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Weather </w:t>
      </w:r>
      <w:r>
        <w:rPr>
          <w:rFonts w:ascii="Times New Roman" w:cs="Times New Roman" w:eastAsia="Times New Roman" w:hAnsi="Times New Roman"/>
          <w:sz w:val="23"/>
          <w:szCs w:val="23"/>
          <w:color w:val="auto"/>
          <w:vertAlign w:val="superscript"/>
        </w:rPr>
        <w:t>(a)</w:t>
      </w:r>
    </w:p>
    <w:p>
      <w:pPr>
        <w:ind w:left="20"/>
        <w:spacing w:after="0"/>
        <w:rPr>
          <w:sz w:val="20"/>
          <w:szCs w:val="20"/>
          <w:color w:val="auto"/>
        </w:rPr>
      </w:pPr>
      <w:r>
        <w:rPr>
          <w:rFonts w:ascii="Times New Roman" w:cs="Times New Roman" w:eastAsia="Times New Roman" w:hAnsi="Times New Roman"/>
          <w:sz w:val="18"/>
          <w:szCs w:val="18"/>
          <w:color w:val="auto"/>
        </w:rPr>
        <w:t>New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0628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Mark-to-market on non-utility natural gas commodity contracts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growth -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Non-Utility - Tech Services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COVID-19 impacts </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628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increase in Gross margin (non-GAAP)</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4"/>
        </w:trPr>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3887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8300" w:space="720"/>
            <w:col w:w="2220"/>
          </w:cols>
          <w:pgMar w:left="320" w:top="1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-107315</wp:posOffset>
            </wp:positionV>
            <wp:extent cx="1388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ind w:left="340" w:right="600" w:hanging="332"/>
        <w:spacing w:after="0" w:line="246" w:lineRule="auto"/>
        <w:tabs>
          <w:tab w:leader="none" w:pos="35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Weather impacts for the three months ended September 30, 2020 compared to the same period in the prior year include increased irrigation loads to agriculture customers in 2020 in our Nebraska Gas service territory as 2019 was a record precipitation year and increased heating demand due to cooler temperatures.</w:t>
      </w:r>
    </w:p>
    <w:p>
      <w:pPr>
        <w:ind w:left="360" w:hanging="352"/>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to Gas Utilities’ gross margin from COVID-19 were primarily driven by waived customer late payment fees.</w:t>
      </w:r>
    </w:p>
    <w:p>
      <w:pPr>
        <w:spacing w:after="0" w:line="22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u w:val="single" w:color="auto"/>
          <w:color w:val="auto"/>
        </w:rPr>
        <w:t>Operations and maintenance expense</w:t>
      </w:r>
      <w:r>
        <w:rPr>
          <w:rFonts w:ascii="Times New Roman" w:cs="Times New Roman" w:eastAsia="Times New Roman" w:hAnsi="Times New Roman"/>
          <w:sz w:val="18"/>
          <w:szCs w:val="18"/>
          <w:color w:val="auto"/>
        </w:rPr>
        <w:t xml:space="preserve"> increased primarily due to higher employee costs. COVID-19 impacts to operations and maintenance expense included $1.4 million of additional bad debt expense which was partially offset by $0.7 million of lower travel and training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increased primarily due to a higher asset base driven by prior year and current year capital expenditures.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7" w:name="page48"/>
    <w:bookmarkEnd w:id="47"/>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the Nine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for the nine months ended September 30, 2020 increased as a result of:</w:t>
      </w:r>
    </w:p>
    <w:p>
      <w:pPr>
        <w:spacing w:after="0" w:line="14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New rates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Mark-to-market on non-utility natural gas commodity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Customer growth - distribution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Prior year amortization of excess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Non-Utility - Tech Services and Gas Supply Services</w:t>
      </w:r>
    </w:p>
    <w:p>
      <w:pPr>
        <w:ind w:left="40"/>
        <w:spacing w:after="0" w:line="232" w:lineRule="auto"/>
        <w:rPr>
          <w:sz w:val="20"/>
          <w:szCs w:val="20"/>
          <w:color w:val="auto"/>
        </w:rPr>
      </w:pPr>
      <w:r>
        <w:rPr>
          <w:rFonts w:ascii="Times New Roman" w:cs="Times New Roman" w:eastAsia="Times New Roman" w:hAnsi="Times New Roman"/>
          <w:sz w:val="18"/>
          <w:szCs w:val="18"/>
          <w:color w:val="auto"/>
        </w:rPr>
        <w:t xml:space="preserve">Weather </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710628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40"/>
        <w:spacing w:after="0" w:line="218" w:lineRule="auto"/>
        <w:rPr>
          <w:sz w:val="20"/>
          <w:szCs w:val="20"/>
          <w:color w:val="auto"/>
        </w:rPr>
      </w:pPr>
      <w:r>
        <w:rPr>
          <w:rFonts w:ascii="Times New Roman" w:cs="Times New Roman" w:eastAsia="Times New Roman" w:hAnsi="Times New Roman"/>
          <w:sz w:val="18"/>
          <w:szCs w:val="18"/>
          <w:color w:val="auto"/>
        </w:rPr>
        <w:t xml:space="preserve">COVID-19 impacts </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increase in Gross margin (non-GAAP)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ectPr>
          <w:pgSz w:w="11900" w:h="16838" w:orient="portrait"/>
          <w:cols w:equalWidth="0" w:num="2">
            <w:col w:w="8320" w:space="720"/>
            <w:col w:w="2180"/>
          </w:cols>
          <w:pgMar w:left="320" w:top="124" w:right="359" w:bottom="1440" w:gutter="0" w:footer="0" w:header="0"/>
          <w:type w:val="continuous"/>
        </w:sectPr>
      </w:pPr>
    </w:p>
    <w:p>
      <w:pPr>
        <w:ind w:left="340" w:right="140" w:hanging="332"/>
        <w:spacing w:after="0" w:line="246" w:lineRule="auto"/>
        <w:tabs>
          <w:tab w:leader="none" w:pos="35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Weather impacts for the nine months ended September 30, 2020 compared to the same period in the prior year include increased irrigation loads to agriculture customers in the third quarter of 2020 in our Nebraska Gas service territory as 2019 was a record precipitation year mostly offset by lower heating demand in the first quarter of 2020 due to warmer temperatures.</w:t>
      </w:r>
    </w:p>
    <w:p>
      <w:pPr>
        <w:spacing w:after="0" w:line="1" w:lineRule="exact"/>
        <w:rPr>
          <w:rFonts w:ascii="Times New Roman" w:cs="Times New Roman" w:eastAsia="Times New Roman" w:hAnsi="Times New Roman"/>
          <w:sz w:val="16"/>
          <w:szCs w:val="16"/>
          <w:color w:val="auto"/>
        </w:rPr>
      </w:pPr>
    </w:p>
    <w:p>
      <w:pPr>
        <w:ind w:left="340" w:right="340" w:hanging="332"/>
        <w:spacing w:after="0" w:line="257" w:lineRule="auto"/>
        <w:tabs>
          <w:tab w:leader="none" w:pos="36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to Gas Utilities’ gross margin from COVID-19 were primarily driven by reduced volumes from certain transport customers and waived customer late payment fees.</w:t>
      </w:r>
    </w:p>
    <w:p>
      <w:pPr>
        <w:spacing w:after="0" w:line="2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Operations and maintenance expense</w:t>
      </w:r>
      <w:r>
        <w:rPr>
          <w:rFonts w:ascii="Times New Roman" w:cs="Times New Roman" w:eastAsia="Times New Roman" w:hAnsi="Times New Roman"/>
          <w:sz w:val="18"/>
          <w:szCs w:val="18"/>
          <w:color w:val="auto"/>
        </w:rPr>
        <w:t xml:space="preserve"> decreased primarily due to $2.7 million of lower outside services expenses and $1.2 million of lower employee costs partially offset by $1.0 million of higher property taxes due to a higher asset base. COVID-19 impacts to operations and maintenance expense included $2.8 million of additional bad debt expense which was partially offset by $2.2 million of lower travel, training, outside services and employee related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increased primarily due to a higher asset base driven by prior year and current year capital expenditures.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Statistics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color w:val="auto"/>
              </w:rPr>
              <w:t>Gas Revenue</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color w:val="auto"/>
                <w:w w:val="99"/>
              </w:rPr>
              <w:t>Gross Margin (non-GAAP)</w:t>
            </w:r>
          </w:p>
        </w:tc>
        <w:tc>
          <w:tcPr>
            <w:tcW w:w="100" w:type="dxa"/>
            <w:vAlign w:val="bottom"/>
          </w:tcPr>
          <w:p>
            <w:pPr>
              <w:spacing w:after="0"/>
              <w:rPr>
                <w:sz w:val="16"/>
                <w:szCs w:val="16"/>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Gas Utilities Quantities Sold &amp;</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ind w:right="11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Transported (Dth)</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center"/>
              <w:ind w:right="380"/>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3"/>
                <w:szCs w:val="13"/>
                <w:color w:val="auto"/>
              </w:rPr>
            </w:pPr>
          </w:p>
        </w:tc>
        <w:tc>
          <w:tcPr>
            <w:tcW w:w="2200" w:type="dxa"/>
            <w:vAlign w:val="bottom"/>
            <w:gridSpan w:val="3"/>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3"/>
                <w:szCs w:val="13"/>
                <w:color w:val="auto"/>
              </w:rPr>
            </w:pPr>
          </w:p>
        </w:tc>
        <w:tc>
          <w:tcPr>
            <w:tcW w:w="24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8"/>
                <w:szCs w:val="18"/>
                <w:color w:val="auto"/>
              </w:rPr>
            </w:pPr>
          </w:p>
        </w:tc>
        <w:tc>
          <w:tcPr>
            <w:tcW w:w="22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September 30,</w:t>
            </w:r>
          </w:p>
        </w:tc>
        <w:tc>
          <w:tcPr>
            <w:tcW w:w="100" w:type="dxa"/>
            <w:vAlign w:val="bottom"/>
          </w:tcPr>
          <w:p>
            <w:pPr>
              <w:spacing w:after="0"/>
              <w:rPr>
                <w:sz w:val="18"/>
                <w:szCs w:val="18"/>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19"/>
        </w:trPr>
        <w:tc>
          <w:tcPr>
            <w:tcW w:w="3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2020</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148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6"/>
                <w:szCs w:val="16"/>
                <w:color w:val="auto"/>
              </w:rPr>
              <w:t>2020</w:t>
            </w: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45"/>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8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57,244</w:t>
            </w: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48,165</w:t>
            </w:r>
          </w:p>
        </w:tc>
        <w:tc>
          <w:tcPr>
            <w:tcW w:w="30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43,441</w:t>
            </w:r>
          </w:p>
        </w:tc>
        <w:tc>
          <w:tcPr>
            <w:tcW w:w="1480" w:type="dxa"/>
            <w:vAlign w:val="bottom"/>
            <w:gridSpan w:val="2"/>
            <w:shd w:val="clear" w:color="auto" w:fill="CEFFE7"/>
          </w:tcPr>
          <w:p>
            <w:pPr>
              <w:jc w:val="right"/>
              <w:ind w:right="159"/>
              <w:spacing w:after="0"/>
              <w:rPr>
                <w:sz w:val="20"/>
                <w:szCs w:val="20"/>
                <w:color w:val="auto"/>
              </w:rPr>
            </w:pPr>
            <w:r>
              <w:rPr>
                <w:rFonts w:ascii="Times New Roman" w:cs="Times New Roman" w:eastAsia="Times New Roman" w:hAnsi="Times New Roman"/>
                <w:sz w:val="16"/>
                <w:szCs w:val="16"/>
                <w:color w:val="auto"/>
              </w:rPr>
              <w:t>4,058,040</w:t>
            </w:r>
          </w:p>
        </w:tc>
        <w:tc>
          <w:tcPr>
            <w:tcW w:w="10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3,599,549</w:t>
            </w:r>
          </w:p>
        </w:tc>
        <w:tc>
          <w:tcPr>
            <w:tcW w:w="0" w:type="dxa"/>
            <w:vAlign w:val="bottom"/>
          </w:tcPr>
          <w:p>
            <w:pPr>
              <w:spacing w:after="0"/>
              <w:rPr>
                <w:sz w:val="1"/>
                <w:szCs w:val="1"/>
                <w:color w:val="auto"/>
              </w:rPr>
            </w:pPr>
          </w:p>
        </w:tc>
      </w:tr>
      <w:tr>
        <w:trPr>
          <w:trHeight w:val="21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19,940</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11,589</w:t>
            </w:r>
          </w:p>
        </w:tc>
        <w:tc>
          <w:tcPr>
            <w:tcW w:w="14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2,354,719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2,298,919</w:t>
            </w: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8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44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8,770</w:t>
            </w:r>
          </w:p>
        </w:tc>
        <w:tc>
          <w:tcPr>
            <w:tcW w:w="1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1480" w:type="dxa"/>
            <w:vAlign w:val="bottom"/>
            <w:gridSpan w:val="2"/>
            <w:shd w:val="clear" w:color="auto" w:fill="CEFFE7"/>
          </w:tcPr>
          <w:p>
            <w:pPr>
              <w:jc w:val="right"/>
              <w:ind w:right="159"/>
              <w:spacing w:after="0"/>
              <w:rPr>
                <w:sz w:val="20"/>
                <w:szCs w:val="20"/>
                <w:color w:val="auto"/>
              </w:rPr>
            </w:pPr>
            <w:r>
              <w:rPr>
                <w:rFonts w:ascii="Times New Roman" w:cs="Times New Roman" w:eastAsia="Times New Roman" w:hAnsi="Times New Roman"/>
                <w:sz w:val="16"/>
                <w:szCs w:val="16"/>
                <w:color w:val="auto"/>
              </w:rPr>
              <w:t>2,674,127</w:t>
            </w:r>
          </w:p>
        </w:tc>
        <w:tc>
          <w:tcPr>
            <w:tcW w:w="10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2,960,930</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EFFE7"/>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2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Borders>
              <w:bottom w:val="single" w:sz="8" w:color="CEFFE7"/>
            </w:tcBorders>
          </w:tcPr>
          <w:p>
            <w:pPr>
              <w:spacing w:after="0"/>
              <w:rPr>
                <w:sz w:val="18"/>
                <w:szCs w:val="18"/>
                <w:color w:val="auto"/>
              </w:rPr>
            </w:pP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EFFE7"/>
          </w:tcPr>
          <w:p>
            <w:pPr>
              <w:ind w:left="200"/>
              <w:spacing w:after="0"/>
              <w:rPr>
                <w:sz w:val="20"/>
                <w:szCs w:val="20"/>
                <w:color w:val="auto"/>
              </w:rPr>
            </w:pPr>
            <w:r>
              <w:rPr>
                <w:rFonts w:ascii="Times New Roman" w:cs="Times New Roman" w:eastAsia="Times New Roman" w:hAnsi="Times New Roman"/>
                <w:sz w:val="16"/>
                <w:szCs w:val="16"/>
                <w:color w:val="auto"/>
              </w:rPr>
              <w:t>Total Distribution</w:t>
            </w:r>
          </w:p>
        </w:tc>
        <w:tc>
          <w:tcPr>
            <w:tcW w:w="28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90,006</w:t>
            </w:r>
          </w:p>
        </w:tc>
        <w:tc>
          <w:tcPr>
            <w:tcW w:w="4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88,142</w:t>
            </w:r>
          </w:p>
        </w:tc>
        <w:tc>
          <w:tcPr>
            <w:tcW w:w="120" w:type="dxa"/>
            <w:vAlign w:val="bottom"/>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64,771</w:t>
            </w:r>
          </w:p>
        </w:tc>
        <w:tc>
          <w:tcPr>
            <w:tcW w:w="3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60,022</w:t>
            </w:r>
          </w:p>
        </w:tc>
        <w:tc>
          <w:tcPr>
            <w:tcW w:w="100" w:type="dxa"/>
            <w:vAlign w:val="bottom"/>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159"/>
              <w:spacing w:after="0"/>
              <w:rPr>
                <w:sz w:val="20"/>
                <w:szCs w:val="20"/>
                <w:color w:val="auto"/>
              </w:rPr>
            </w:pPr>
            <w:r>
              <w:rPr>
                <w:rFonts w:ascii="Times New Roman" w:cs="Times New Roman" w:eastAsia="Times New Roman" w:hAnsi="Times New Roman"/>
                <w:sz w:val="16"/>
                <w:szCs w:val="16"/>
                <w:color w:val="auto"/>
              </w:rPr>
              <w:t>9,086,886</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8,859,398</w:t>
            </w:r>
          </w:p>
        </w:tc>
        <w:tc>
          <w:tcPr>
            <w:tcW w:w="0" w:type="dxa"/>
            <w:vAlign w:val="bottom"/>
          </w:tcPr>
          <w:p>
            <w:pPr>
              <w:spacing w:after="0"/>
              <w:rPr>
                <w:sz w:val="1"/>
                <w:szCs w:val="1"/>
                <w:color w:val="auto"/>
              </w:rPr>
            </w:pPr>
          </w:p>
        </w:tc>
      </w:tr>
      <w:tr>
        <w:trPr>
          <w:trHeight w:val="145"/>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Transportation and Transmission</w:t>
            </w:r>
          </w:p>
        </w:tc>
        <w:tc>
          <w:tcPr>
            <w:tcW w:w="28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38,462</w:t>
            </w:r>
          </w:p>
        </w:tc>
        <w:tc>
          <w:tcPr>
            <w:tcW w:w="440" w:type="dxa"/>
            <w:vAlign w:val="bottom"/>
            <w:shd w:val="clear" w:color="auto" w:fill="CEFFE7"/>
          </w:tcPr>
          <w:p>
            <w:pPr>
              <w:spacing w:after="0"/>
              <w:rPr>
                <w:sz w:val="18"/>
                <w:szCs w:val="18"/>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29,407</w:t>
            </w: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38,462</w:t>
            </w:r>
          </w:p>
        </w:tc>
        <w:tc>
          <w:tcPr>
            <w:tcW w:w="30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29,373</w:t>
            </w:r>
          </w:p>
        </w:tc>
        <w:tc>
          <w:tcPr>
            <w:tcW w:w="1480" w:type="dxa"/>
            <w:vAlign w:val="bottom"/>
            <w:gridSpan w:val="2"/>
            <w:shd w:val="clear" w:color="auto" w:fill="CEFFE7"/>
          </w:tcPr>
          <w:p>
            <w:pPr>
              <w:jc w:val="right"/>
              <w:ind w:right="159"/>
              <w:spacing w:after="0"/>
              <w:rPr>
                <w:sz w:val="20"/>
                <w:szCs w:val="20"/>
                <w:color w:val="auto"/>
              </w:rPr>
            </w:pPr>
            <w:r>
              <w:rPr>
                <w:rFonts w:ascii="Times New Roman" w:cs="Times New Roman" w:eastAsia="Times New Roman" w:hAnsi="Times New Roman"/>
                <w:sz w:val="16"/>
                <w:szCs w:val="16"/>
                <w:color w:val="auto"/>
              </w:rPr>
              <w:t>33,668,174</w:t>
            </w:r>
          </w:p>
        </w:tc>
        <w:tc>
          <w:tcPr>
            <w:tcW w:w="10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31,538,815</w:t>
            </w:r>
          </w:p>
        </w:tc>
        <w:tc>
          <w:tcPr>
            <w:tcW w:w="0" w:type="dxa"/>
            <w:vAlign w:val="bottom"/>
          </w:tcPr>
          <w:p>
            <w:pPr>
              <w:spacing w:after="0"/>
              <w:rPr>
                <w:sz w:val="1"/>
                <w:szCs w:val="1"/>
                <w:color w:val="auto"/>
              </w:rPr>
            </w:pPr>
          </w:p>
        </w:tc>
      </w:tr>
      <w:tr>
        <w:trPr>
          <w:trHeight w:val="162"/>
        </w:trPr>
        <w:tc>
          <w:tcPr>
            <w:tcW w:w="3620" w:type="dxa"/>
            <w:vAlign w:val="bottom"/>
            <w:tcBorders>
              <w:bottom w:val="single" w:sz="8" w:color="CEFFE7"/>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3720" w:type="dxa"/>
            <w:vAlign w:val="bottom"/>
            <w:tcBorders>
              <w:bottom w:val="single" w:sz="8" w:color="CEFFE7"/>
            </w:tcBorders>
            <w:gridSpan w:val="2"/>
            <w:shd w:val="clear" w:color="auto" w:fill="CEFFE7"/>
          </w:tcPr>
          <w:p>
            <w:pPr>
              <w:ind w:left="200"/>
              <w:spacing w:after="0"/>
              <w:rPr>
                <w:sz w:val="20"/>
                <w:szCs w:val="20"/>
                <w:color w:val="auto"/>
              </w:rPr>
            </w:pPr>
            <w:r>
              <w:rPr>
                <w:rFonts w:ascii="Times New Roman" w:cs="Times New Roman" w:eastAsia="Times New Roman" w:hAnsi="Times New Roman"/>
                <w:sz w:val="16"/>
                <w:szCs w:val="16"/>
                <w:color w:val="auto"/>
              </w:rPr>
              <w:t>Total Regulated</w:t>
            </w:r>
          </w:p>
        </w:tc>
        <w:tc>
          <w:tcPr>
            <w:tcW w:w="28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128,468</w:t>
            </w:r>
          </w:p>
        </w:tc>
        <w:tc>
          <w:tcPr>
            <w:tcW w:w="44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117,549</w:t>
            </w:r>
          </w:p>
        </w:tc>
        <w:tc>
          <w:tcPr>
            <w:tcW w:w="12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103,233</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89,395</w:t>
            </w:r>
          </w:p>
        </w:tc>
        <w:tc>
          <w:tcPr>
            <w:tcW w:w="10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auto"/>
            </w:tcBorders>
            <w:shd w:val="clear" w:color="auto" w:fill="CEFFE7"/>
          </w:tcPr>
          <w:p>
            <w:pPr>
              <w:jc w:val="right"/>
              <w:ind w:right="159"/>
              <w:spacing w:after="0"/>
              <w:rPr>
                <w:sz w:val="20"/>
                <w:szCs w:val="20"/>
                <w:color w:val="auto"/>
              </w:rPr>
            </w:pPr>
            <w:r>
              <w:rPr>
                <w:rFonts w:ascii="Times New Roman" w:cs="Times New Roman" w:eastAsia="Times New Roman" w:hAnsi="Times New Roman"/>
                <w:sz w:val="16"/>
                <w:szCs w:val="16"/>
                <w:color w:val="auto"/>
              </w:rPr>
              <w:t>42,755,060</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40,398,213</w:t>
            </w:r>
          </w:p>
        </w:tc>
        <w:tc>
          <w:tcPr>
            <w:tcW w:w="0" w:type="dxa"/>
            <w:vAlign w:val="bottom"/>
          </w:tcPr>
          <w:p>
            <w:pPr>
              <w:spacing w:after="0"/>
              <w:rPr>
                <w:sz w:val="1"/>
                <w:szCs w:val="1"/>
                <w:color w:val="auto"/>
              </w:rPr>
            </w:pPr>
          </w:p>
        </w:tc>
      </w:tr>
      <w:tr>
        <w:trPr>
          <w:trHeight w:val="109"/>
        </w:trPr>
        <w:tc>
          <w:tcPr>
            <w:tcW w:w="3620" w:type="dxa"/>
            <w:vAlign w:val="bottom"/>
            <w:tcBorders>
              <w:top w:val="single" w:sz="8" w:color="CEFFE7"/>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CEFFE7"/>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Non-regulated Services</w:t>
            </w:r>
          </w:p>
        </w:tc>
        <w:tc>
          <w:tcPr>
            <w:tcW w:w="28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15,461</w:t>
            </w:r>
          </w:p>
        </w:tc>
        <w:tc>
          <w:tcPr>
            <w:tcW w:w="440" w:type="dxa"/>
            <w:vAlign w:val="bottom"/>
            <w:shd w:val="clear" w:color="auto" w:fill="CEFFE7"/>
          </w:tcPr>
          <w:p>
            <w:pPr>
              <w:spacing w:after="0"/>
              <w:rPr>
                <w:sz w:val="18"/>
                <w:szCs w:val="18"/>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13,195</w:t>
            </w: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13,661</w:t>
            </w:r>
          </w:p>
        </w:tc>
        <w:tc>
          <w:tcPr>
            <w:tcW w:w="30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8,325</w:t>
            </w:r>
          </w:p>
        </w:tc>
        <w:tc>
          <w:tcPr>
            <w:tcW w:w="100" w:type="dxa"/>
            <w:vAlign w:val="bottom"/>
            <w:shd w:val="clear" w:color="auto" w:fill="CEFFE7"/>
          </w:tcPr>
          <w:p>
            <w:pPr>
              <w:spacing w:after="0"/>
              <w:rPr>
                <w:sz w:val="18"/>
                <w:szCs w:val="18"/>
                <w:color w:val="auto"/>
              </w:rPr>
            </w:pPr>
          </w:p>
        </w:tc>
        <w:tc>
          <w:tcPr>
            <w:tcW w:w="138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tcBorders>
              <w:bottom w:val="single" w:sz="8" w:color="CEFFE7"/>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380" w:type="dxa"/>
            <w:vAlign w:val="bottom"/>
            <w:tcBorders>
              <w:bottom w:val="single" w:sz="8" w:color="CEFFE7"/>
            </w:tcBorders>
          </w:tcPr>
          <w:p>
            <w:pPr>
              <w:spacing w:after="0"/>
              <w:rPr>
                <w:sz w:val="14"/>
                <w:szCs w:val="14"/>
                <w:color w:val="auto"/>
              </w:rPr>
            </w:pPr>
          </w:p>
        </w:tc>
        <w:tc>
          <w:tcPr>
            <w:tcW w:w="1020" w:type="dxa"/>
            <w:vAlign w:val="bottom"/>
            <w:tcBorders>
              <w:bottom w:val="single" w:sz="8" w:color="CEFFE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gridSpan w:val="2"/>
            <w:shd w:val="clear" w:color="auto" w:fill="CEFFE7"/>
          </w:tcPr>
          <w:p>
            <w:pPr>
              <w:ind w:left="200"/>
              <w:spacing w:after="0" w:line="142" w:lineRule="exact"/>
              <w:rPr>
                <w:sz w:val="20"/>
                <w:szCs w:val="20"/>
                <w:color w:val="auto"/>
              </w:rPr>
            </w:pPr>
            <w:r>
              <w:rPr>
                <w:rFonts w:ascii="Times New Roman" w:cs="Times New Roman" w:eastAsia="Times New Roman" w:hAnsi="Times New Roman"/>
                <w:sz w:val="16"/>
                <w:szCs w:val="16"/>
                <w:color w:val="auto"/>
              </w:rPr>
              <w:t>Total Gas Revenue &amp; Gross Margin</w:t>
            </w:r>
          </w:p>
        </w:tc>
        <w:tc>
          <w:tcPr>
            <w:tcW w:w="280" w:type="dxa"/>
            <w:vAlign w:val="bottom"/>
            <w:vMerge w:val="restart"/>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143,929</w:t>
            </w:r>
          </w:p>
        </w:tc>
        <w:tc>
          <w:tcPr>
            <w:tcW w:w="440" w:type="dxa"/>
            <w:vAlign w:val="bottom"/>
            <w:vMerge w:val="restart"/>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130,744</w:t>
            </w:r>
          </w:p>
        </w:tc>
        <w:tc>
          <w:tcPr>
            <w:tcW w:w="120" w:type="dxa"/>
            <w:vAlign w:val="bottom"/>
            <w:shd w:val="clear" w:color="auto" w:fill="CEFFE7"/>
          </w:tcPr>
          <w:p>
            <w:pPr>
              <w:spacing w:after="0"/>
              <w:rPr>
                <w:sz w:val="12"/>
                <w:szCs w:val="12"/>
                <w:color w:val="auto"/>
              </w:rPr>
            </w:pPr>
          </w:p>
        </w:tc>
        <w:tc>
          <w:tcPr>
            <w:tcW w:w="200" w:type="dxa"/>
            <w:vAlign w:val="bottom"/>
            <w:vMerge w:val="restart"/>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116,894</w:t>
            </w:r>
          </w:p>
        </w:tc>
        <w:tc>
          <w:tcPr>
            <w:tcW w:w="300" w:type="dxa"/>
            <w:vAlign w:val="bottom"/>
            <w:vMerge w:val="restart"/>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97,720</w:t>
            </w:r>
          </w:p>
        </w:tc>
        <w:tc>
          <w:tcPr>
            <w:tcW w:w="100" w:type="dxa"/>
            <w:vAlign w:val="bottom"/>
            <w:shd w:val="clear" w:color="auto" w:fill="CEFFE7"/>
          </w:tcPr>
          <w:p>
            <w:pPr>
              <w:spacing w:after="0"/>
              <w:rPr>
                <w:sz w:val="12"/>
                <w:szCs w:val="12"/>
                <w:color w:val="auto"/>
              </w:rPr>
            </w:pPr>
          </w:p>
        </w:tc>
        <w:tc>
          <w:tcPr>
            <w:tcW w:w="1380" w:type="dxa"/>
            <w:vAlign w:val="bottom"/>
            <w:shd w:val="clear" w:color="auto" w:fill="CEFFE7"/>
          </w:tcPr>
          <w:p>
            <w:pPr>
              <w:spacing w:after="0"/>
              <w:rPr>
                <w:sz w:val="12"/>
                <w:szCs w:val="12"/>
                <w:color w:val="auto"/>
              </w:rPr>
            </w:pPr>
          </w:p>
        </w:tc>
        <w:tc>
          <w:tcPr>
            <w:tcW w:w="1020" w:type="dxa"/>
            <w:vAlign w:val="bottom"/>
            <w:shd w:val="clear" w:color="auto" w:fill="CEFFE7"/>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EFFE7"/>
            </w:tcBorders>
            <w:gridSpan w:val="2"/>
            <w:shd w:val="clear" w:color="auto" w:fill="CEFFE7"/>
          </w:tcPr>
          <w:p>
            <w:pPr>
              <w:ind w:left="200"/>
              <w:spacing w:after="0"/>
              <w:rPr>
                <w:sz w:val="20"/>
                <w:szCs w:val="20"/>
                <w:color w:val="auto"/>
              </w:rPr>
            </w:pPr>
            <w:r>
              <w:rPr>
                <w:rFonts w:ascii="Times New Roman" w:cs="Times New Roman" w:eastAsia="Times New Roman" w:hAnsi="Times New Roman"/>
                <w:sz w:val="16"/>
                <w:szCs w:val="16"/>
                <w:color w:val="auto"/>
              </w:rPr>
              <w:t>(non-GAAP)</w:t>
            </w:r>
          </w:p>
        </w:tc>
        <w:tc>
          <w:tcPr>
            <w:tcW w:w="280" w:type="dxa"/>
            <w:vAlign w:val="bottom"/>
            <w:tcBorders>
              <w:bottom w:val="single" w:sz="8" w:color="auto"/>
            </w:tcBorders>
            <w:vMerge w:val="continue"/>
            <w:shd w:val="clear" w:color="auto" w:fill="CEFFE7"/>
          </w:tcPr>
          <w:p>
            <w:pPr>
              <w:spacing w:after="0"/>
              <w:rPr>
                <w:sz w:val="18"/>
                <w:szCs w:val="18"/>
                <w:color w:val="auto"/>
              </w:rPr>
            </w:pPr>
          </w:p>
        </w:tc>
        <w:tc>
          <w:tcPr>
            <w:tcW w:w="900" w:type="dxa"/>
            <w:vAlign w:val="bottom"/>
            <w:tcBorders>
              <w:bottom w:val="single" w:sz="8" w:color="auto"/>
            </w:tcBorders>
            <w:vMerge w:val="continue"/>
            <w:shd w:val="clear" w:color="auto" w:fill="CEFFE7"/>
          </w:tcPr>
          <w:p>
            <w:pPr>
              <w:spacing w:after="0"/>
              <w:rPr>
                <w:sz w:val="18"/>
                <w:szCs w:val="18"/>
                <w:color w:val="auto"/>
              </w:rPr>
            </w:pPr>
          </w:p>
        </w:tc>
        <w:tc>
          <w:tcPr>
            <w:tcW w:w="440" w:type="dxa"/>
            <w:vAlign w:val="bottom"/>
            <w:tcBorders>
              <w:bottom w:val="single" w:sz="8" w:color="auto"/>
            </w:tcBorders>
            <w:vMerge w:val="continue"/>
            <w:shd w:val="clear" w:color="auto" w:fill="CEFFE7"/>
          </w:tcPr>
          <w:p>
            <w:pPr>
              <w:spacing w:after="0"/>
              <w:rPr>
                <w:sz w:val="18"/>
                <w:szCs w:val="18"/>
                <w:color w:val="auto"/>
              </w:rPr>
            </w:pPr>
          </w:p>
        </w:tc>
        <w:tc>
          <w:tcPr>
            <w:tcW w:w="760" w:type="dxa"/>
            <w:vAlign w:val="bottom"/>
            <w:tcBorders>
              <w:bottom w:val="single" w:sz="8" w:color="auto"/>
            </w:tcBorders>
            <w:vMerge w:val="continue"/>
            <w:shd w:val="clear" w:color="auto" w:fill="CEFFE7"/>
          </w:tcPr>
          <w:p>
            <w:pPr>
              <w:spacing w:after="0"/>
              <w:rPr>
                <w:sz w:val="18"/>
                <w:szCs w:val="18"/>
                <w:color w:val="auto"/>
              </w:rPr>
            </w:pPr>
          </w:p>
        </w:tc>
        <w:tc>
          <w:tcPr>
            <w:tcW w:w="120" w:type="dxa"/>
            <w:vAlign w:val="bottom"/>
            <w:tcBorders>
              <w:bottom w:val="single" w:sz="8" w:color="CEFFE7"/>
            </w:tcBorders>
            <w:shd w:val="clear" w:color="auto" w:fill="CEFFE7"/>
          </w:tcPr>
          <w:p>
            <w:pPr>
              <w:spacing w:after="0"/>
              <w:rPr>
                <w:sz w:val="18"/>
                <w:szCs w:val="18"/>
                <w:color w:val="auto"/>
              </w:rPr>
            </w:pPr>
          </w:p>
        </w:tc>
        <w:tc>
          <w:tcPr>
            <w:tcW w:w="200" w:type="dxa"/>
            <w:vAlign w:val="bottom"/>
            <w:tcBorders>
              <w:bottom w:val="single" w:sz="8" w:color="auto"/>
            </w:tcBorders>
            <w:vMerge w:val="continue"/>
            <w:shd w:val="clear" w:color="auto" w:fill="CEFFE7"/>
          </w:tcPr>
          <w:p>
            <w:pPr>
              <w:spacing w:after="0"/>
              <w:rPr>
                <w:sz w:val="18"/>
                <w:szCs w:val="18"/>
                <w:color w:val="auto"/>
              </w:rPr>
            </w:pPr>
          </w:p>
        </w:tc>
        <w:tc>
          <w:tcPr>
            <w:tcW w:w="960" w:type="dxa"/>
            <w:vAlign w:val="bottom"/>
            <w:tcBorders>
              <w:bottom w:val="single" w:sz="8" w:color="auto"/>
            </w:tcBorders>
            <w:vMerge w:val="continue"/>
            <w:shd w:val="clear" w:color="auto" w:fill="CEFFE7"/>
          </w:tcPr>
          <w:p>
            <w:pPr>
              <w:spacing w:after="0"/>
              <w:rPr>
                <w:sz w:val="18"/>
                <w:szCs w:val="18"/>
                <w:color w:val="auto"/>
              </w:rPr>
            </w:pPr>
          </w:p>
        </w:tc>
        <w:tc>
          <w:tcPr>
            <w:tcW w:w="300" w:type="dxa"/>
            <w:vAlign w:val="bottom"/>
            <w:tcBorders>
              <w:bottom w:val="single" w:sz="8" w:color="auto"/>
            </w:tcBorders>
            <w:vMerge w:val="continue"/>
            <w:shd w:val="clear" w:color="auto" w:fill="CEFFE7"/>
          </w:tcPr>
          <w:p>
            <w:pPr>
              <w:spacing w:after="0"/>
              <w:rPr>
                <w:sz w:val="18"/>
                <w:szCs w:val="18"/>
                <w:color w:val="auto"/>
              </w:rPr>
            </w:pPr>
          </w:p>
        </w:tc>
        <w:tc>
          <w:tcPr>
            <w:tcW w:w="940" w:type="dxa"/>
            <w:vAlign w:val="bottom"/>
            <w:tcBorders>
              <w:bottom w:val="single" w:sz="8" w:color="auto"/>
            </w:tcBorders>
            <w:vMerge w:val="continue"/>
            <w:shd w:val="clear" w:color="auto" w:fill="CEFFE7"/>
          </w:tcPr>
          <w:p>
            <w:pPr>
              <w:spacing w:after="0"/>
              <w:rPr>
                <w:sz w:val="18"/>
                <w:szCs w:val="18"/>
                <w:color w:val="auto"/>
              </w:rPr>
            </w:pPr>
          </w:p>
        </w:tc>
        <w:tc>
          <w:tcPr>
            <w:tcW w:w="100" w:type="dxa"/>
            <w:vAlign w:val="bottom"/>
            <w:tcBorders>
              <w:bottom w:val="single" w:sz="8" w:color="CEFFE7"/>
            </w:tcBorders>
            <w:shd w:val="clear" w:color="auto" w:fill="CEFFE7"/>
          </w:tcPr>
          <w:p>
            <w:pPr>
              <w:spacing w:after="0"/>
              <w:rPr>
                <w:sz w:val="18"/>
                <w:szCs w:val="18"/>
                <w:color w:val="auto"/>
              </w:rPr>
            </w:pPr>
          </w:p>
        </w:tc>
        <w:tc>
          <w:tcPr>
            <w:tcW w:w="1380" w:type="dxa"/>
            <w:vAlign w:val="bottom"/>
            <w:tcBorders>
              <w:bottom w:val="single" w:sz="8" w:color="CEFFE7"/>
            </w:tcBorders>
            <w:shd w:val="clear" w:color="auto" w:fill="CEFFE7"/>
          </w:tcPr>
          <w:p>
            <w:pPr>
              <w:spacing w:after="0"/>
              <w:rPr>
                <w:sz w:val="18"/>
                <w:szCs w:val="18"/>
                <w:color w:val="auto"/>
              </w:rPr>
            </w:pPr>
          </w:p>
        </w:tc>
        <w:tc>
          <w:tcPr>
            <w:tcW w:w="1020" w:type="dxa"/>
            <w:vAlign w:val="bottom"/>
            <w:tcBorders>
              <w:bottom w:val="single" w:sz="8" w:color="CEFFE7"/>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380" w:type="dxa"/>
            <w:vAlign w:val="bottom"/>
            <w:tcBorders>
              <w:top w:val="single" w:sz="8" w:color="CEFFE7"/>
            </w:tcBorders>
          </w:tcPr>
          <w:p>
            <w:pPr>
              <w:spacing w:after="0" w:line="20" w:lineRule="exact"/>
              <w:rPr>
                <w:sz w:val="1"/>
                <w:szCs w:val="1"/>
                <w:color w:val="auto"/>
              </w:rPr>
            </w:pPr>
          </w:p>
        </w:tc>
        <w:tc>
          <w:tcPr>
            <w:tcW w:w="102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12"/>
        </w:trPr>
        <w:tc>
          <w:tcPr>
            <w:tcW w:w="3800" w:type="dxa"/>
            <w:vAlign w:val="bottom"/>
            <w:gridSpan w:val="4"/>
          </w:tcPr>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0"/>
        </w:trPr>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color w:val="auto"/>
              </w:rPr>
              <w:t>Gas Revenue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Gross Margin (non-GAAP)</w:t>
            </w:r>
          </w:p>
        </w:tc>
        <w:tc>
          <w:tcPr>
            <w:tcW w:w="10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Gas Utilities Quantities Sold &amp;</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ind w:right="15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Transported (Dth)</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center"/>
              <w:ind w:right="400"/>
              <w:spacing w:after="0" w:line="158" w:lineRule="exact"/>
              <w:rPr>
                <w:sz w:val="20"/>
                <w:szCs w:val="20"/>
                <w:color w:val="auto"/>
              </w:rPr>
            </w:pPr>
            <w:r>
              <w:rPr>
                <w:rFonts w:ascii="Times New Roman" w:cs="Times New Roman" w:eastAsia="Times New Roman" w:hAnsi="Times New Roman"/>
                <w:sz w:val="16"/>
                <w:szCs w:val="16"/>
                <w:color w:val="auto"/>
              </w:rPr>
              <w:t>Nine Months Ended</w:t>
            </w:r>
          </w:p>
        </w:tc>
        <w:tc>
          <w:tcPr>
            <w:tcW w:w="200" w:type="dxa"/>
            <w:vAlign w:val="bottom"/>
          </w:tcPr>
          <w:p>
            <w:pPr>
              <w:spacing w:after="0"/>
              <w:rPr>
                <w:sz w:val="13"/>
                <w:szCs w:val="13"/>
                <w:color w:val="auto"/>
              </w:rPr>
            </w:pPr>
          </w:p>
        </w:tc>
        <w:tc>
          <w:tcPr>
            <w:tcW w:w="2200" w:type="dxa"/>
            <w:vAlign w:val="bottom"/>
            <w:gridSpan w:val="3"/>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3"/>
                <w:szCs w:val="13"/>
                <w:color w:val="auto"/>
              </w:rPr>
            </w:pPr>
          </w:p>
        </w:tc>
        <w:tc>
          <w:tcPr>
            <w:tcW w:w="24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8"/>
                <w:szCs w:val="18"/>
                <w:color w:val="auto"/>
              </w:rPr>
            </w:pPr>
          </w:p>
        </w:tc>
        <w:tc>
          <w:tcPr>
            <w:tcW w:w="22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September 30,</w:t>
            </w:r>
          </w:p>
        </w:tc>
        <w:tc>
          <w:tcPr>
            <w:tcW w:w="100" w:type="dxa"/>
            <w:vAlign w:val="bottom"/>
          </w:tcPr>
          <w:p>
            <w:pPr>
              <w:spacing w:after="0"/>
              <w:rPr>
                <w:sz w:val="18"/>
                <w:szCs w:val="18"/>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2019</w:t>
            </w:r>
          </w:p>
        </w:tc>
        <w:tc>
          <w:tcPr>
            <w:tcW w:w="142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Residential</w:t>
            </w:r>
          </w:p>
        </w:tc>
        <w:tc>
          <w:tcPr>
            <w:tcW w:w="26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351,986</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383,466</w:t>
            </w: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207,654</w:t>
            </w:r>
          </w:p>
        </w:tc>
        <w:tc>
          <w:tcPr>
            <w:tcW w:w="30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201,168</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40,790,670</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44,356,725</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127,617</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61,676</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61,673</w:t>
            </w: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19,155,051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21,484,646</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Industrial</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18,539</w:t>
            </w:r>
          </w:p>
        </w:tc>
        <w:tc>
          <w:tcPr>
            <w:tcW w:w="44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18,764</w:t>
            </w:r>
          </w:p>
        </w:tc>
        <w:tc>
          <w:tcPr>
            <w:tcW w:w="1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5,771,732</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5,141,399</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20" w:type="dxa"/>
            <w:vAlign w:val="bottom"/>
            <w:tcBorders>
              <w:bottom w:val="single" w:sz="8" w:color="CEFFE7"/>
            </w:tcBorders>
            <w:gridSpan w:val="3"/>
          </w:tcPr>
          <w:p>
            <w:pPr>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Borders>
              <w:bottom w:val="single" w:sz="8" w:color="CEFFE7"/>
            </w:tcBorders>
          </w:tcPr>
          <w:p>
            <w:pPr>
              <w:spacing w:after="0"/>
              <w:rPr>
                <w:sz w:val="18"/>
                <w:szCs w:val="18"/>
                <w:color w:val="auto"/>
              </w:rPr>
            </w:pPr>
          </w:p>
        </w:tc>
        <w:tc>
          <w:tcPr>
            <w:tcW w:w="1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720" w:type="dxa"/>
            <w:vAlign w:val="bottom"/>
            <w:gridSpan w:val="3"/>
            <w:shd w:val="clear" w:color="auto" w:fill="CEFFE7"/>
          </w:tcPr>
          <w:p>
            <w:pPr>
              <w:ind w:left="200"/>
              <w:spacing w:after="0"/>
              <w:rPr>
                <w:sz w:val="20"/>
                <w:szCs w:val="20"/>
                <w:color w:val="auto"/>
              </w:rPr>
            </w:pPr>
            <w:r>
              <w:rPr>
                <w:rFonts w:ascii="Times New Roman" w:cs="Times New Roman" w:eastAsia="Times New Roman" w:hAnsi="Times New Roman"/>
                <w:sz w:val="16"/>
                <w:szCs w:val="16"/>
                <w:color w:val="auto"/>
              </w:rPr>
              <w:t>Total Distribution</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498,998</w:t>
            </w:r>
          </w:p>
        </w:tc>
        <w:tc>
          <w:tcPr>
            <w:tcW w:w="4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548,014</w:t>
            </w:r>
          </w:p>
        </w:tc>
        <w:tc>
          <w:tcPr>
            <w:tcW w:w="120" w:type="dxa"/>
            <w:vAlign w:val="bottom"/>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276,883</w:t>
            </w:r>
          </w:p>
        </w:tc>
        <w:tc>
          <w:tcPr>
            <w:tcW w:w="3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267,703</w:t>
            </w:r>
          </w:p>
        </w:tc>
        <w:tc>
          <w:tcPr>
            <w:tcW w:w="100" w:type="dxa"/>
            <w:vAlign w:val="bottom"/>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65,717,453</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70,982,770</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Transportation and Transmission</w:t>
            </w: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113,799</w:t>
            </w:r>
          </w:p>
        </w:tc>
        <w:tc>
          <w:tcPr>
            <w:tcW w:w="440" w:type="dxa"/>
            <w:vAlign w:val="bottom"/>
            <w:shd w:val="clear" w:color="auto" w:fill="CEFFE7"/>
          </w:tcPr>
          <w:p>
            <w:pPr>
              <w:spacing w:after="0"/>
              <w:rPr>
                <w:sz w:val="18"/>
                <w:szCs w:val="18"/>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103,352</w:t>
            </w: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113,770</w:t>
            </w:r>
          </w:p>
        </w:tc>
        <w:tc>
          <w:tcPr>
            <w:tcW w:w="30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103,351</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108,967,182</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110,622,285</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620" w:type="dxa"/>
            <w:vAlign w:val="bottom"/>
            <w:tcBorders>
              <w:bottom w:val="single" w:sz="8" w:color="CEFFE7"/>
            </w:tcBorders>
          </w:tcPr>
          <w:p>
            <w:pPr>
              <w:spacing w:after="0"/>
              <w:rPr>
                <w:sz w:val="14"/>
                <w:szCs w:val="14"/>
                <w:color w:val="auto"/>
              </w:rPr>
            </w:pPr>
          </w:p>
        </w:tc>
        <w:tc>
          <w:tcPr>
            <w:tcW w:w="8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3720" w:type="dxa"/>
            <w:vAlign w:val="bottom"/>
            <w:tcBorders>
              <w:bottom w:val="single" w:sz="8" w:color="CEFFE7"/>
            </w:tcBorders>
            <w:gridSpan w:val="3"/>
            <w:shd w:val="clear" w:color="auto" w:fill="CEFFE7"/>
          </w:tcPr>
          <w:p>
            <w:pPr>
              <w:ind w:left="200"/>
              <w:spacing w:after="0"/>
              <w:rPr>
                <w:sz w:val="20"/>
                <w:szCs w:val="20"/>
                <w:color w:val="auto"/>
              </w:rPr>
            </w:pPr>
            <w:r>
              <w:rPr>
                <w:rFonts w:ascii="Times New Roman" w:cs="Times New Roman" w:eastAsia="Times New Roman" w:hAnsi="Times New Roman"/>
                <w:sz w:val="16"/>
                <w:szCs w:val="16"/>
                <w:color w:val="auto"/>
              </w:rPr>
              <w:t>Total Regulated</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612,797</w:t>
            </w:r>
          </w:p>
        </w:tc>
        <w:tc>
          <w:tcPr>
            <w:tcW w:w="44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651,366</w:t>
            </w:r>
          </w:p>
        </w:tc>
        <w:tc>
          <w:tcPr>
            <w:tcW w:w="12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390,653</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371,054</w:t>
            </w:r>
          </w:p>
        </w:tc>
        <w:tc>
          <w:tcPr>
            <w:tcW w:w="10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174,684,635</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181,605,055</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620" w:type="dxa"/>
            <w:vAlign w:val="bottom"/>
            <w:tcBorders>
              <w:top w:val="single" w:sz="8" w:color="CEFFE7"/>
            </w:tcBorders>
          </w:tcPr>
          <w:p>
            <w:pPr>
              <w:spacing w:after="0"/>
              <w:rPr>
                <w:sz w:val="9"/>
                <w:szCs w:val="9"/>
                <w:color w:val="auto"/>
              </w:rPr>
            </w:pPr>
          </w:p>
        </w:tc>
        <w:tc>
          <w:tcPr>
            <w:tcW w:w="80" w:type="dxa"/>
            <w:vAlign w:val="bottom"/>
            <w:tcBorders>
              <w:top w:val="single" w:sz="8" w:color="CEFFE7"/>
            </w:tcBorders>
          </w:tcPr>
          <w:p>
            <w:pPr>
              <w:spacing w:after="0"/>
              <w:rPr>
                <w:sz w:val="9"/>
                <w:szCs w:val="9"/>
                <w:color w:val="auto"/>
              </w:rPr>
            </w:pPr>
          </w:p>
        </w:tc>
        <w:tc>
          <w:tcPr>
            <w:tcW w:w="20" w:type="dxa"/>
            <w:vAlign w:val="bottom"/>
            <w:tcBorders>
              <w:top w:val="single" w:sz="8" w:color="CEFFE7"/>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CEFFE7"/>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Non-regulated Services</w:t>
            </w: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53,015</w:t>
            </w:r>
          </w:p>
        </w:tc>
        <w:tc>
          <w:tcPr>
            <w:tcW w:w="440" w:type="dxa"/>
            <w:vAlign w:val="bottom"/>
            <w:shd w:val="clear" w:color="auto" w:fill="CEFFE7"/>
          </w:tcPr>
          <w:p>
            <w:pPr>
              <w:spacing w:after="0"/>
              <w:rPr>
                <w:sz w:val="18"/>
                <w:szCs w:val="18"/>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55,927</w:t>
            </w: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48,141</w:t>
            </w:r>
          </w:p>
        </w:tc>
        <w:tc>
          <w:tcPr>
            <w:tcW w:w="30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38,952</w:t>
            </w:r>
          </w:p>
        </w:tc>
        <w:tc>
          <w:tcPr>
            <w:tcW w:w="100" w:type="dxa"/>
            <w:vAlign w:val="bottom"/>
            <w:shd w:val="clear" w:color="auto" w:fill="CEFFE7"/>
          </w:tcPr>
          <w:p>
            <w:pPr>
              <w:spacing w:after="0"/>
              <w:rPr>
                <w:sz w:val="18"/>
                <w:szCs w:val="18"/>
                <w:color w:val="auto"/>
              </w:rPr>
            </w:pPr>
          </w:p>
        </w:tc>
        <w:tc>
          <w:tcPr>
            <w:tcW w:w="132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620" w:type="dxa"/>
            <w:vAlign w:val="bottom"/>
            <w:tcBorders>
              <w:bottom w:val="single" w:sz="8" w:color="CEFFE7"/>
            </w:tcBorders>
          </w:tcPr>
          <w:p>
            <w:pPr>
              <w:spacing w:after="0"/>
              <w:rPr>
                <w:sz w:val="14"/>
                <w:szCs w:val="14"/>
                <w:color w:val="auto"/>
              </w:rPr>
            </w:pPr>
          </w:p>
        </w:tc>
        <w:tc>
          <w:tcPr>
            <w:tcW w:w="80" w:type="dxa"/>
            <w:vAlign w:val="bottom"/>
            <w:tcBorders>
              <w:bottom w:val="single" w:sz="8" w:color="CEFFE7"/>
            </w:tcBorders>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320" w:type="dxa"/>
            <w:vAlign w:val="bottom"/>
            <w:tcBorders>
              <w:bottom w:val="single" w:sz="8" w:color="CEFFE7"/>
            </w:tcBorders>
          </w:tcPr>
          <w:p>
            <w:pPr>
              <w:spacing w:after="0"/>
              <w:rPr>
                <w:sz w:val="14"/>
                <w:szCs w:val="14"/>
                <w:color w:val="auto"/>
              </w:rPr>
            </w:pPr>
          </w:p>
        </w:tc>
        <w:tc>
          <w:tcPr>
            <w:tcW w:w="1080" w:type="dxa"/>
            <w:vAlign w:val="bottom"/>
            <w:tcBorders>
              <w:bottom w:val="single" w:sz="8" w:color="CEFFE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20" w:type="dxa"/>
            <w:vAlign w:val="bottom"/>
            <w:gridSpan w:val="3"/>
            <w:shd w:val="clear" w:color="auto" w:fill="CEFFE7"/>
          </w:tcPr>
          <w:p>
            <w:pPr>
              <w:ind w:left="200"/>
              <w:spacing w:after="0" w:line="142" w:lineRule="exact"/>
              <w:rPr>
                <w:sz w:val="20"/>
                <w:szCs w:val="20"/>
                <w:color w:val="auto"/>
              </w:rPr>
            </w:pPr>
            <w:r>
              <w:rPr>
                <w:rFonts w:ascii="Times New Roman" w:cs="Times New Roman" w:eastAsia="Times New Roman" w:hAnsi="Times New Roman"/>
                <w:sz w:val="16"/>
                <w:szCs w:val="16"/>
                <w:color w:val="auto"/>
              </w:rPr>
              <w:t>Total Gas Revenue &amp; Gross Margin</w:t>
            </w:r>
          </w:p>
        </w:tc>
        <w:tc>
          <w:tcPr>
            <w:tcW w:w="260" w:type="dxa"/>
            <w:vAlign w:val="bottom"/>
            <w:vMerge w:val="restart"/>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665,812</w:t>
            </w:r>
          </w:p>
        </w:tc>
        <w:tc>
          <w:tcPr>
            <w:tcW w:w="440" w:type="dxa"/>
            <w:vAlign w:val="bottom"/>
            <w:vMerge w:val="restart"/>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707,293</w:t>
            </w:r>
          </w:p>
        </w:tc>
        <w:tc>
          <w:tcPr>
            <w:tcW w:w="120" w:type="dxa"/>
            <w:vAlign w:val="bottom"/>
            <w:shd w:val="clear" w:color="auto" w:fill="CEFFE7"/>
          </w:tcPr>
          <w:p>
            <w:pPr>
              <w:spacing w:after="0"/>
              <w:rPr>
                <w:sz w:val="12"/>
                <w:szCs w:val="12"/>
                <w:color w:val="auto"/>
              </w:rPr>
            </w:pPr>
          </w:p>
        </w:tc>
        <w:tc>
          <w:tcPr>
            <w:tcW w:w="200" w:type="dxa"/>
            <w:vAlign w:val="bottom"/>
            <w:vMerge w:val="restart"/>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438,794</w:t>
            </w:r>
          </w:p>
        </w:tc>
        <w:tc>
          <w:tcPr>
            <w:tcW w:w="300" w:type="dxa"/>
            <w:vAlign w:val="bottom"/>
            <w:vMerge w:val="restart"/>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410,006</w:t>
            </w:r>
          </w:p>
        </w:tc>
        <w:tc>
          <w:tcPr>
            <w:tcW w:w="100" w:type="dxa"/>
            <w:vAlign w:val="bottom"/>
            <w:shd w:val="clear" w:color="auto" w:fill="CEFFE7"/>
          </w:tcPr>
          <w:p>
            <w:pPr>
              <w:spacing w:after="0"/>
              <w:rPr>
                <w:sz w:val="12"/>
                <w:szCs w:val="12"/>
                <w:color w:val="auto"/>
              </w:rPr>
            </w:pPr>
          </w:p>
        </w:tc>
        <w:tc>
          <w:tcPr>
            <w:tcW w:w="1320" w:type="dxa"/>
            <w:vAlign w:val="bottom"/>
            <w:shd w:val="clear" w:color="auto" w:fill="CEFFE7"/>
          </w:tcPr>
          <w:p>
            <w:pPr>
              <w:spacing w:after="0"/>
              <w:rPr>
                <w:sz w:val="12"/>
                <w:szCs w:val="12"/>
                <w:color w:val="auto"/>
              </w:rPr>
            </w:pPr>
          </w:p>
        </w:tc>
        <w:tc>
          <w:tcPr>
            <w:tcW w:w="1080" w:type="dxa"/>
            <w:vAlign w:val="bottom"/>
            <w:shd w:val="clear" w:color="auto" w:fill="CEFFE7"/>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720" w:type="dxa"/>
            <w:vAlign w:val="bottom"/>
            <w:tcBorders>
              <w:bottom w:val="single" w:sz="8" w:color="CEFFE7"/>
            </w:tcBorders>
            <w:gridSpan w:val="3"/>
            <w:shd w:val="clear" w:color="auto" w:fill="CEFFE7"/>
          </w:tcPr>
          <w:p>
            <w:pPr>
              <w:ind w:left="200"/>
              <w:spacing w:after="0"/>
              <w:rPr>
                <w:sz w:val="20"/>
                <w:szCs w:val="20"/>
                <w:color w:val="auto"/>
              </w:rPr>
            </w:pPr>
            <w:r>
              <w:rPr>
                <w:rFonts w:ascii="Times New Roman" w:cs="Times New Roman" w:eastAsia="Times New Roman" w:hAnsi="Times New Roman"/>
                <w:sz w:val="16"/>
                <w:szCs w:val="16"/>
                <w:color w:val="auto"/>
              </w:rPr>
              <w:t>(non-GAAP)</w:t>
            </w:r>
          </w:p>
        </w:tc>
        <w:tc>
          <w:tcPr>
            <w:tcW w:w="260" w:type="dxa"/>
            <w:vAlign w:val="bottom"/>
            <w:tcBorders>
              <w:bottom w:val="single" w:sz="8" w:color="auto"/>
            </w:tcBorders>
            <w:vMerge w:val="continue"/>
            <w:shd w:val="clear" w:color="auto" w:fill="CEFFE7"/>
          </w:tcPr>
          <w:p>
            <w:pPr>
              <w:spacing w:after="0"/>
              <w:rPr>
                <w:sz w:val="18"/>
                <w:szCs w:val="18"/>
                <w:color w:val="auto"/>
              </w:rPr>
            </w:pPr>
          </w:p>
        </w:tc>
        <w:tc>
          <w:tcPr>
            <w:tcW w:w="900" w:type="dxa"/>
            <w:vAlign w:val="bottom"/>
            <w:tcBorders>
              <w:bottom w:val="single" w:sz="8" w:color="auto"/>
            </w:tcBorders>
            <w:vMerge w:val="continue"/>
            <w:shd w:val="clear" w:color="auto" w:fill="CEFFE7"/>
          </w:tcPr>
          <w:p>
            <w:pPr>
              <w:spacing w:after="0"/>
              <w:rPr>
                <w:sz w:val="18"/>
                <w:szCs w:val="18"/>
                <w:color w:val="auto"/>
              </w:rPr>
            </w:pPr>
          </w:p>
        </w:tc>
        <w:tc>
          <w:tcPr>
            <w:tcW w:w="440" w:type="dxa"/>
            <w:vAlign w:val="bottom"/>
            <w:tcBorders>
              <w:bottom w:val="single" w:sz="8" w:color="auto"/>
            </w:tcBorders>
            <w:vMerge w:val="continue"/>
            <w:shd w:val="clear" w:color="auto" w:fill="CEFFE7"/>
          </w:tcPr>
          <w:p>
            <w:pPr>
              <w:spacing w:after="0"/>
              <w:rPr>
                <w:sz w:val="18"/>
                <w:szCs w:val="18"/>
                <w:color w:val="auto"/>
              </w:rPr>
            </w:pPr>
          </w:p>
        </w:tc>
        <w:tc>
          <w:tcPr>
            <w:tcW w:w="760" w:type="dxa"/>
            <w:vAlign w:val="bottom"/>
            <w:tcBorders>
              <w:bottom w:val="single" w:sz="8" w:color="auto"/>
            </w:tcBorders>
            <w:vMerge w:val="continue"/>
            <w:shd w:val="clear" w:color="auto" w:fill="CEFFE7"/>
          </w:tcPr>
          <w:p>
            <w:pPr>
              <w:spacing w:after="0"/>
              <w:rPr>
                <w:sz w:val="18"/>
                <w:szCs w:val="18"/>
                <w:color w:val="auto"/>
              </w:rPr>
            </w:pPr>
          </w:p>
        </w:tc>
        <w:tc>
          <w:tcPr>
            <w:tcW w:w="120" w:type="dxa"/>
            <w:vAlign w:val="bottom"/>
            <w:tcBorders>
              <w:bottom w:val="single" w:sz="8" w:color="CEFFE7"/>
            </w:tcBorders>
            <w:shd w:val="clear" w:color="auto" w:fill="CEFFE7"/>
          </w:tcPr>
          <w:p>
            <w:pPr>
              <w:spacing w:after="0"/>
              <w:rPr>
                <w:sz w:val="18"/>
                <w:szCs w:val="18"/>
                <w:color w:val="auto"/>
              </w:rPr>
            </w:pPr>
          </w:p>
        </w:tc>
        <w:tc>
          <w:tcPr>
            <w:tcW w:w="200" w:type="dxa"/>
            <w:vAlign w:val="bottom"/>
            <w:tcBorders>
              <w:bottom w:val="single" w:sz="8" w:color="auto"/>
            </w:tcBorders>
            <w:vMerge w:val="continue"/>
            <w:shd w:val="clear" w:color="auto" w:fill="CEFFE7"/>
          </w:tcPr>
          <w:p>
            <w:pPr>
              <w:spacing w:after="0"/>
              <w:rPr>
                <w:sz w:val="18"/>
                <w:szCs w:val="18"/>
                <w:color w:val="auto"/>
              </w:rPr>
            </w:pPr>
          </w:p>
        </w:tc>
        <w:tc>
          <w:tcPr>
            <w:tcW w:w="960" w:type="dxa"/>
            <w:vAlign w:val="bottom"/>
            <w:tcBorders>
              <w:bottom w:val="single" w:sz="8" w:color="auto"/>
            </w:tcBorders>
            <w:vMerge w:val="continue"/>
            <w:shd w:val="clear" w:color="auto" w:fill="CEFFE7"/>
          </w:tcPr>
          <w:p>
            <w:pPr>
              <w:spacing w:after="0"/>
              <w:rPr>
                <w:sz w:val="18"/>
                <w:szCs w:val="18"/>
                <w:color w:val="auto"/>
              </w:rPr>
            </w:pPr>
          </w:p>
        </w:tc>
        <w:tc>
          <w:tcPr>
            <w:tcW w:w="300" w:type="dxa"/>
            <w:vAlign w:val="bottom"/>
            <w:tcBorders>
              <w:bottom w:val="single" w:sz="8" w:color="auto"/>
            </w:tcBorders>
            <w:vMerge w:val="continue"/>
            <w:shd w:val="clear" w:color="auto" w:fill="CEFFE7"/>
          </w:tcPr>
          <w:p>
            <w:pPr>
              <w:spacing w:after="0"/>
              <w:rPr>
                <w:sz w:val="18"/>
                <w:szCs w:val="18"/>
                <w:color w:val="auto"/>
              </w:rPr>
            </w:pPr>
          </w:p>
        </w:tc>
        <w:tc>
          <w:tcPr>
            <w:tcW w:w="940" w:type="dxa"/>
            <w:vAlign w:val="bottom"/>
            <w:tcBorders>
              <w:bottom w:val="single" w:sz="8" w:color="auto"/>
            </w:tcBorders>
            <w:vMerge w:val="continue"/>
            <w:shd w:val="clear" w:color="auto" w:fill="CEFFE7"/>
          </w:tcPr>
          <w:p>
            <w:pPr>
              <w:spacing w:after="0"/>
              <w:rPr>
                <w:sz w:val="18"/>
                <w:szCs w:val="18"/>
                <w:color w:val="auto"/>
              </w:rPr>
            </w:pPr>
          </w:p>
        </w:tc>
        <w:tc>
          <w:tcPr>
            <w:tcW w:w="100" w:type="dxa"/>
            <w:vAlign w:val="bottom"/>
            <w:tcBorders>
              <w:bottom w:val="single" w:sz="8" w:color="CEFFE7"/>
            </w:tcBorders>
            <w:shd w:val="clear" w:color="auto" w:fill="CEFFE7"/>
          </w:tcPr>
          <w:p>
            <w:pPr>
              <w:spacing w:after="0"/>
              <w:rPr>
                <w:sz w:val="18"/>
                <w:szCs w:val="18"/>
                <w:color w:val="auto"/>
              </w:rPr>
            </w:pPr>
          </w:p>
        </w:tc>
        <w:tc>
          <w:tcPr>
            <w:tcW w:w="1320" w:type="dxa"/>
            <w:vAlign w:val="bottom"/>
            <w:tcBorders>
              <w:bottom w:val="single" w:sz="8" w:color="CEFFE7"/>
            </w:tcBorders>
            <w:shd w:val="clear" w:color="auto" w:fill="CEFFE7"/>
          </w:tcPr>
          <w:p>
            <w:pPr>
              <w:spacing w:after="0"/>
              <w:rPr>
                <w:sz w:val="18"/>
                <w:szCs w:val="18"/>
                <w:color w:val="auto"/>
              </w:rPr>
            </w:pPr>
          </w:p>
        </w:tc>
        <w:tc>
          <w:tcPr>
            <w:tcW w:w="1080" w:type="dxa"/>
            <w:vAlign w:val="bottom"/>
            <w:tcBorders>
              <w:bottom w:val="single" w:sz="8" w:color="CEFFE7"/>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2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gridSpan w:val="2"/>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2200" w:type="dxa"/>
            <w:vAlign w:val="bottom"/>
            <w:tcBorders>
              <w:top w:val="single" w:sz="8" w:color="CEFFE7"/>
              <w:bottom w:val="single" w:sz="8" w:color="auto"/>
            </w:tcBorders>
            <w:gridSpan w:val="3"/>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400" w:type="dxa"/>
            <w:vAlign w:val="bottom"/>
            <w:tcBorders>
              <w:top w:val="single" w:sz="8" w:color="CEFFE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color w:val="auto"/>
              </w:rPr>
              <w:t>Gas Revenue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Gross Margin (non-GAAP)</w:t>
            </w:r>
          </w:p>
        </w:tc>
        <w:tc>
          <w:tcPr>
            <w:tcW w:w="10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Gas Utilities Quantities Sold &amp;</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ind w:right="11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Transported (Dth)</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center"/>
              <w:ind w:right="380"/>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3"/>
                <w:szCs w:val="13"/>
                <w:color w:val="auto"/>
              </w:rPr>
            </w:pPr>
          </w:p>
        </w:tc>
        <w:tc>
          <w:tcPr>
            <w:tcW w:w="2200" w:type="dxa"/>
            <w:vAlign w:val="bottom"/>
            <w:gridSpan w:val="3"/>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3"/>
                <w:szCs w:val="13"/>
                <w:color w:val="auto"/>
              </w:rPr>
            </w:pPr>
          </w:p>
        </w:tc>
        <w:tc>
          <w:tcPr>
            <w:tcW w:w="24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8"/>
                <w:szCs w:val="18"/>
                <w:color w:val="auto"/>
              </w:rPr>
            </w:pPr>
          </w:p>
        </w:tc>
        <w:tc>
          <w:tcPr>
            <w:tcW w:w="22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September 30,</w:t>
            </w:r>
          </w:p>
        </w:tc>
        <w:tc>
          <w:tcPr>
            <w:tcW w:w="100" w:type="dxa"/>
            <w:vAlign w:val="bottom"/>
          </w:tcPr>
          <w:p>
            <w:pPr>
              <w:spacing w:after="0"/>
              <w:rPr>
                <w:sz w:val="18"/>
                <w:szCs w:val="18"/>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2020</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142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Borders>
              <w:right w:val="single" w:sz="8" w:color="CEFFE7"/>
            </w:tcBorders>
          </w:tcPr>
          <w:p>
            <w:pPr>
              <w:spacing w:after="0"/>
              <w:rPr>
                <w:sz w:val="18"/>
                <w:szCs w:val="18"/>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Arkansas Gas</w:t>
            </w:r>
          </w:p>
        </w:tc>
        <w:tc>
          <w:tcPr>
            <w:tcW w:w="26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21,043</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21,387</w:t>
            </w: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17,400</w:t>
            </w:r>
          </w:p>
        </w:tc>
        <w:tc>
          <w:tcPr>
            <w:tcW w:w="30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16,249</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3,925,893</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4,094,454</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Colorado Gas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16,972</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w:t>
            </w: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3,702,666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3,806,360</w:t>
            </w:r>
          </w:p>
        </w:tc>
        <w:tc>
          <w:tcPr>
            <w:tcW w:w="0" w:type="dxa"/>
            <w:vAlign w:val="bottom"/>
          </w:tcPr>
          <w:p>
            <w:pPr>
              <w:spacing w:after="0"/>
              <w:rPr>
                <w:sz w:val="1"/>
                <w:szCs w:val="1"/>
                <w:color w:val="auto"/>
              </w:rPr>
            </w:pPr>
          </w:p>
        </w:tc>
      </w:tr>
      <w:tr>
        <w:trPr>
          <w:trHeight w:val="219"/>
        </w:trPr>
        <w:tc>
          <w:tcPr>
            <w:tcW w:w="80" w:type="dxa"/>
            <w:vAlign w:val="bottom"/>
            <w:tcBorders>
              <w:right w:val="single" w:sz="8" w:color="CEFFE7"/>
            </w:tcBorders>
          </w:tcPr>
          <w:p>
            <w:pPr>
              <w:spacing w:after="0"/>
              <w:rPr>
                <w:sz w:val="19"/>
                <w:szCs w:val="19"/>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Iowa Gas</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18,155</w:t>
            </w:r>
          </w:p>
        </w:tc>
        <w:tc>
          <w:tcPr>
            <w:tcW w:w="44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1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14,672</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13,135</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5,628,110</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5,686,772</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Kansas Gas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18,591</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12,309</w:t>
            </w: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8,564,408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7,602,758</w:t>
            </w:r>
          </w:p>
        </w:tc>
        <w:tc>
          <w:tcPr>
            <w:tcW w:w="0" w:type="dxa"/>
            <w:vAlign w:val="bottom"/>
          </w:tcPr>
          <w:p>
            <w:pPr>
              <w:spacing w:after="0"/>
              <w:rPr>
                <w:sz w:val="1"/>
                <w:szCs w:val="1"/>
                <w:color w:val="auto"/>
              </w:rPr>
            </w:pPr>
          </w:p>
        </w:tc>
      </w:tr>
      <w:tr>
        <w:trPr>
          <w:trHeight w:val="219"/>
        </w:trPr>
        <w:tc>
          <w:tcPr>
            <w:tcW w:w="80" w:type="dxa"/>
            <w:vAlign w:val="bottom"/>
            <w:tcBorders>
              <w:right w:val="single" w:sz="8" w:color="CEFFE7"/>
            </w:tcBorders>
          </w:tcPr>
          <w:p>
            <w:pPr>
              <w:spacing w:after="0"/>
              <w:rPr>
                <w:sz w:val="19"/>
                <w:szCs w:val="19"/>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Nebraska Gas</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46,315</w:t>
            </w:r>
          </w:p>
        </w:tc>
        <w:tc>
          <w:tcPr>
            <w:tcW w:w="44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35,715</w:t>
            </w:r>
          </w:p>
        </w:tc>
        <w:tc>
          <w:tcPr>
            <w:tcW w:w="1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39,755</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28,046</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16,525,547</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13,999,302</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00" w:type="dxa"/>
            <w:vAlign w:val="bottom"/>
            <w:tcBorders>
              <w:bottom w:val="single" w:sz="8" w:color="CEFFE7"/>
            </w:tcBorders>
            <w:gridSpan w:val="2"/>
          </w:tcPr>
          <w:p>
            <w:pPr>
              <w:spacing w:after="0"/>
              <w:rPr>
                <w:sz w:val="20"/>
                <w:szCs w:val="20"/>
                <w:color w:val="auto"/>
              </w:rPr>
            </w:pPr>
            <w:r>
              <w:rPr>
                <w:rFonts w:ascii="Times New Roman" w:cs="Times New Roman" w:eastAsia="Times New Roman" w:hAnsi="Times New Roman"/>
                <w:sz w:val="16"/>
                <w:szCs w:val="16"/>
                <w:color w:val="auto"/>
              </w:rPr>
              <w:t>Wyoming Gas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17,101</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15,616</w:t>
            </w:r>
          </w:p>
        </w:tc>
        <w:tc>
          <w:tcPr>
            <w:tcW w:w="12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14,996</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12,314</w:t>
            </w:r>
          </w:p>
        </w:tc>
        <w:tc>
          <w:tcPr>
            <w:tcW w:w="100" w:type="dxa"/>
            <w:vAlign w:val="bottom"/>
            <w:tcBorders>
              <w:bottom w:val="single" w:sz="8" w:color="CEFFE7"/>
            </w:tcBorders>
          </w:tcPr>
          <w:p>
            <w:pPr>
              <w:spacing w:after="0"/>
              <w:rPr>
                <w:sz w:val="18"/>
                <w:szCs w:val="18"/>
                <w:color w:val="auto"/>
              </w:rPr>
            </w:pPr>
          </w:p>
        </w:tc>
        <w:tc>
          <w:tcPr>
            <w:tcW w:w="1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4,408,436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5,208,567</w:t>
            </w:r>
          </w:p>
        </w:tc>
        <w:tc>
          <w:tcPr>
            <w:tcW w:w="0" w:type="dxa"/>
            <w:vAlign w:val="bottom"/>
          </w:tcPr>
          <w:p>
            <w:pPr>
              <w:spacing w:after="0"/>
              <w:rPr>
                <w:sz w:val="1"/>
                <w:szCs w:val="1"/>
                <w:color w:val="auto"/>
              </w:rPr>
            </w:pPr>
          </w:p>
        </w:tc>
      </w:tr>
      <w:tr>
        <w:trPr>
          <w:trHeight w:val="232"/>
        </w:trPr>
        <w:tc>
          <w:tcPr>
            <w:tcW w:w="80" w:type="dxa"/>
            <w:vAlign w:val="bottom"/>
            <w:tcBorders>
              <w:right w:val="single" w:sz="8" w:color="CEFFE7"/>
            </w:tcBorders>
          </w:tcPr>
          <w:p>
            <w:pPr>
              <w:spacing w:after="0"/>
              <w:rPr>
                <w:sz w:val="20"/>
                <w:szCs w:val="20"/>
                <w:color w:val="auto"/>
              </w:rPr>
            </w:pPr>
          </w:p>
        </w:tc>
        <w:tc>
          <w:tcPr>
            <w:tcW w:w="3720" w:type="dxa"/>
            <w:vAlign w:val="bottom"/>
            <w:gridSpan w:val="3"/>
            <w:shd w:val="clear" w:color="auto" w:fill="CEFFE7"/>
          </w:tcPr>
          <w:p>
            <w:pPr>
              <w:ind w:left="180"/>
              <w:spacing w:after="0"/>
              <w:rPr>
                <w:sz w:val="20"/>
                <w:szCs w:val="20"/>
                <w:color w:val="auto"/>
              </w:rPr>
            </w:pPr>
            <w:r>
              <w:rPr>
                <w:rFonts w:ascii="Times New Roman" w:cs="Times New Roman" w:eastAsia="Times New Roman" w:hAnsi="Times New Roman"/>
                <w:sz w:val="16"/>
                <w:szCs w:val="16"/>
                <w:color w:val="auto"/>
              </w:rPr>
              <w:t>Total Gas Revenue &amp; Gross Margin (non-GAAP)</w:t>
            </w:r>
          </w:p>
        </w:tc>
        <w:tc>
          <w:tcPr>
            <w:tcW w:w="26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143,929</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130,744</w:t>
            </w:r>
          </w:p>
        </w:tc>
        <w:tc>
          <w:tcPr>
            <w:tcW w:w="120" w:type="dxa"/>
            <w:vAlign w:val="bottom"/>
            <w:shd w:val="clear" w:color="auto" w:fill="CEFFE7"/>
          </w:tcPr>
          <w:p>
            <w:pPr>
              <w:spacing w:after="0"/>
              <w:rPr>
                <w:sz w:val="20"/>
                <w:szCs w:val="20"/>
                <w:color w:val="auto"/>
              </w:rPr>
            </w:pPr>
          </w:p>
        </w:tc>
        <w:tc>
          <w:tcPr>
            <w:tcW w:w="2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116,894</w:t>
            </w:r>
          </w:p>
        </w:tc>
        <w:tc>
          <w:tcPr>
            <w:tcW w:w="30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97,720</w:t>
            </w:r>
          </w:p>
        </w:tc>
        <w:tc>
          <w:tcPr>
            <w:tcW w:w="100" w:type="dxa"/>
            <w:vAlign w:val="bottom"/>
            <w:shd w:val="clear" w:color="auto" w:fill="CEFFE7"/>
          </w:tcPr>
          <w:p>
            <w:pPr>
              <w:spacing w:after="0"/>
              <w:rPr>
                <w:sz w:val="20"/>
                <w:szCs w:val="20"/>
                <w:color w:val="auto"/>
              </w:rPr>
            </w:pPr>
          </w:p>
        </w:tc>
        <w:tc>
          <w:tcPr>
            <w:tcW w:w="132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42,755,060</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40,398,213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2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4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color w:val="auto"/>
              </w:rPr>
              <w:t>Gas Revenue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Gross Margin (non-GAAP)</w:t>
            </w:r>
          </w:p>
        </w:tc>
        <w:tc>
          <w:tcPr>
            <w:tcW w:w="10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Gas Utilities Quantities Sold &amp;</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ind w:right="15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Transported (Dth)</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center"/>
              <w:ind w:right="400"/>
              <w:spacing w:after="0" w:line="158" w:lineRule="exact"/>
              <w:rPr>
                <w:sz w:val="20"/>
                <w:szCs w:val="20"/>
                <w:color w:val="auto"/>
              </w:rPr>
            </w:pPr>
            <w:r>
              <w:rPr>
                <w:rFonts w:ascii="Times New Roman" w:cs="Times New Roman" w:eastAsia="Times New Roman" w:hAnsi="Times New Roman"/>
                <w:sz w:val="16"/>
                <w:szCs w:val="16"/>
                <w:color w:val="auto"/>
              </w:rPr>
              <w:t>Nine Months Ended</w:t>
            </w:r>
          </w:p>
        </w:tc>
        <w:tc>
          <w:tcPr>
            <w:tcW w:w="200" w:type="dxa"/>
            <w:vAlign w:val="bottom"/>
          </w:tcPr>
          <w:p>
            <w:pPr>
              <w:spacing w:after="0"/>
              <w:rPr>
                <w:sz w:val="13"/>
                <w:szCs w:val="13"/>
                <w:color w:val="auto"/>
              </w:rPr>
            </w:pPr>
          </w:p>
        </w:tc>
        <w:tc>
          <w:tcPr>
            <w:tcW w:w="2200" w:type="dxa"/>
            <w:vAlign w:val="bottom"/>
            <w:gridSpan w:val="3"/>
          </w:tcPr>
          <w:p>
            <w:pPr>
              <w:jc w:val="center"/>
              <w:ind w:right="139"/>
              <w:spacing w:after="0" w:line="158" w:lineRule="exact"/>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3"/>
                <w:szCs w:val="13"/>
                <w:color w:val="auto"/>
              </w:rPr>
            </w:pPr>
          </w:p>
        </w:tc>
        <w:tc>
          <w:tcPr>
            <w:tcW w:w="24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8"/>
                <w:szCs w:val="18"/>
                <w:color w:val="auto"/>
              </w:rPr>
            </w:pPr>
          </w:p>
        </w:tc>
        <w:tc>
          <w:tcPr>
            <w:tcW w:w="22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September 30,</w:t>
            </w:r>
          </w:p>
        </w:tc>
        <w:tc>
          <w:tcPr>
            <w:tcW w:w="100" w:type="dxa"/>
            <w:vAlign w:val="bottom"/>
          </w:tcPr>
          <w:p>
            <w:pPr>
              <w:spacing w:after="0"/>
              <w:rPr>
                <w:sz w:val="18"/>
                <w:szCs w:val="18"/>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2019</w:t>
            </w:r>
          </w:p>
        </w:tc>
        <w:tc>
          <w:tcPr>
            <w:tcW w:w="142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Arkansas Gas</w:t>
            </w:r>
          </w:p>
        </w:tc>
        <w:tc>
          <w:tcPr>
            <w:tcW w:w="260" w:type="dxa"/>
            <w:vAlign w:val="bottom"/>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124,621</w:t>
            </w:r>
          </w:p>
        </w:tc>
        <w:tc>
          <w:tcPr>
            <w:tcW w:w="440" w:type="dxa"/>
            <w:vAlign w:val="bottom"/>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127,014</w:t>
            </w: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88,161</w:t>
            </w:r>
          </w:p>
        </w:tc>
        <w:tc>
          <w:tcPr>
            <w:tcW w:w="300" w:type="dxa"/>
            <w:vAlign w:val="bottom"/>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79,148</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19,795,077</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21,061,567</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Colorado Gas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123,943</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73,785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73,022</w:t>
            </w: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21,845,915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23,050,638</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Iowa Gas</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94,386</w:t>
            </w:r>
          </w:p>
        </w:tc>
        <w:tc>
          <w:tcPr>
            <w:tcW w:w="44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105,736</w:t>
            </w:r>
          </w:p>
        </w:tc>
        <w:tc>
          <w:tcPr>
            <w:tcW w:w="1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50,355</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50,773</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25,429,502</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28,834,731</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Kansas Gas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70,571</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44,162</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42,385</w:t>
            </w: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25,202,180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24,336,744</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720" w:type="dxa"/>
            <w:vAlign w:val="bottom"/>
            <w:gridSpan w:val="3"/>
            <w:shd w:val="clear" w:color="auto" w:fill="CEFFE7"/>
          </w:tcPr>
          <w:p>
            <w:pPr>
              <w:spacing w:after="0"/>
              <w:rPr>
                <w:sz w:val="20"/>
                <w:szCs w:val="20"/>
                <w:color w:val="auto"/>
              </w:rPr>
            </w:pPr>
            <w:r>
              <w:rPr>
                <w:rFonts w:ascii="Times New Roman" w:cs="Times New Roman" w:eastAsia="Times New Roman" w:hAnsi="Times New Roman"/>
                <w:sz w:val="16"/>
                <w:szCs w:val="16"/>
                <w:color w:val="auto"/>
              </w:rPr>
              <w:t>Nebraska Gas</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170,447</w:t>
            </w:r>
          </w:p>
        </w:tc>
        <w:tc>
          <w:tcPr>
            <w:tcW w:w="44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183,827</w:t>
            </w:r>
          </w:p>
        </w:tc>
        <w:tc>
          <w:tcPr>
            <w:tcW w:w="1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122,140</w:t>
            </w:r>
          </w:p>
        </w:tc>
        <w:tc>
          <w:tcPr>
            <w:tcW w:w="3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111,828</w:t>
            </w:r>
          </w:p>
        </w:tc>
        <w:tc>
          <w:tcPr>
            <w:tcW w:w="1420" w:type="dxa"/>
            <w:vAlign w:val="bottom"/>
            <w:gridSpan w:val="2"/>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56,857,061</w:t>
            </w:r>
          </w:p>
        </w:tc>
        <w:tc>
          <w:tcPr>
            <w:tcW w:w="10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57,815,316</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Wyoming Gas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81,844</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52,850</w:t>
            </w: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25,554,900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26,506,059</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720" w:type="dxa"/>
            <w:vAlign w:val="bottom"/>
            <w:tcBorders>
              <w:top w:val="single" w:sz="8" w:color="CEFFE7"/>
              <w:bottom w:val="single" w:sz="8" w:color="CEFFE7"/>
            </w:tcBorders>
            <w:gridSpan w:val="3"/>
            <w:shd w:val="clear" w:color="auto" w:fill="CEFFE7"/>
          </w:tcPr>
          <w:p>
            <w:pPr>
              <w:ind w:left="200"/>
              <w:spacing w:after="0"/>
              <w:rPr>
                <w:sz w:val="20"/>
                <w:szCs w:val="20"/>
                <w:color w:val="auto"/>
              </w:rPr>
            </w:pPr>
            <w:r>
              <w:rPr>
                <w:rFonts w:ascii="Times New Roman" w:cs="Times New Roman" w:eastAsia="Times New Roman" w:hAnsi="Times New Roman"/>
                <w:sz w:val="16"/>
                <w:szCs w:val="16"/>
                <w:color w:val="auto"/>
              </w:rPr>
              <w:t>Total Gas Revenue &amp; Gross Margin (non-GAAP)</w:t>
            </w:r>
          </w:p>
        </w:tc>
        <w:tc>
          <w:tcPr>
            <w:tcW w:w="260" w:type="dxa"/>
            <w:vAlign w:val="bottom"/>
            <w:tcBorders>
              <w:top w:val="single" w:sz="8" w:color="auto"/>
              <w:bottom w:val="single" w:sz="8" w:color="auto"/>
            </w:tcBorders>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665,812</w:t>
            </w:r>
          </w:p>
        </w:tc>
        <w:tc>
          <w:tcPr>
            <w:tcW w:w="440" w:type="dxa"/>
            <w:vAlign w:val="bottom"/>
            <w:tcBorders>
              <w:top w:val="single" w:sz="8" w:color="auto"/>
              <w:bottom w:val="single" w:sz="8" w:color="auto"/>
            </w:tcBorders>
            <w:shd w:val="clear" w:color="auto" w:fill="CEFFE7"/>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707,293</w:t>
            </w:r>
          </w:p>
        </w:tc>
        <w:tc>
          <w:tcPr>
            <w:tcW w:w="120" w:type="dxa"/>
            <w:vAlign w:val="bottom"/>
            <w:tcBorders>
              <w:top w:val="single" w:sz="8" w:color="CEFFE7"/>
              <w:bottom w:val="single" w:sz="8" w:color="CEFFE7"/>
            </w:tcBorders>
            <w:shd w:val="clear" w:color="auto" w:fill="CEFFE7"/>
          </w:tcPr>
          <w:p>
            <w:pPr>
              <w:spacing w:after="0"/>
              <w:rPr>
                <w:sz w:val="20"/>
                <w:szCs w:val="20"/>
                <w:color w:val="auto"/>
              </w:rPr>
            </w:pPr>
          </w:p>
        </w:tc>
        <w:tc>
          <w:tcPr>
            <w:tcW w:w="20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438,794</w:t>
            </w:r>
          </w:p>
        </w:tc>
        <w:tc>
          <w:tcPr>
            <w:tcW w:w="30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410,006</w:t>
            </w:r>
          </w:p>
        </w:tc>
        <w:tc>
          <w:tcPr>
            <w:tcW w:w="100" w:type="dxa"/>
            <w:vAlign w:val="bottom"/>
            <w:tcBorders>
              <w:top w:val="single" w:sz="8" w:color="CEFFE7"/>
              <w:bottom w:val="single" w:sz="8" w:color="CEFFE7"/>
            </w:tcBorders>
            <w:shd w:val="clear" w:color="auto" w:fill="CEFFE7"/>
          </w:tcPr>
          <w:p>
            <w:pPr>
              <w:spacing w:after="0"/>
              <w:rPr>
                <w:sz w:val="20"/>
                <w:szCs w:val="20"/>
                <w:color w:val="auto"/>
              </w:rPr>
            </w:pPr>
          </w:p>
        </w:tc>
        <w:tc>
          <w:tcPr>
            <w:tcW w:w="132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174,684,635</w:t>
            </w:r>
          </w:p>
        </w:tc>
        <w:tc>
          <w:tcPr>
            <w:tcW w:w="10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181,605,055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2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49" w:name="page50"/>
    <w:bookmarkEnd w:id="49"/>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4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2020</w:t>
            </w: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6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Heating Degree Days</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Actual</w:t>
            </w:r>
          </w:p>
        </w:tc>
        <w:tc>
          <w:tcPr>
            <w:tcW w:w="1820" w:type="dxa"/>
            <w:vAlign w:val="bottom"/>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5"/>
              </w:rPr>
              <w:t>Variance</w:t>
            </w:r>
          </w:p>
        </w:tc>
        <w:tc>
          <w:tcPr>
            <w:tcW w:w="10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Actual</w:t>
            </w:r>
          </w:p>
        </w:tc>
        <w:tc>
          <w:tcPr>
            <w:tcW w:w="1720" w:type="dxa"/>
            <w:vAlign w:val="bottom"/>
          </w:tcPr>
          <w:p>
            <w:pPr>
              <w:jc w:val="center"/>
              <w:ind w:left="250"/>
              <w:spacing w:after="0" w:line="169" w:lineRule="exact"/>
              <w:rPr>
                <w:sz w:val="20"/>
                <w:szCs w:val="20"/>
                <w:color w:val="auto"/>
              </w:rPr>
            </w:pPr>
            <w:r>
              <w:rPr>
                <w:rFonts w:ascii="Times New Roman" w:cs="Times New Roman" w:eastAsia="Times New Roman" w:hAnsi="Times New Roman"/>
                <w:sz w:val="18"/>
                <w:szCs w:val="18"/>
                <w:color w:val="auto"/>
                <w:w w:val="95"/>
              </w:rPr>
              <w:t>Variance</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from Normal</w:t>
            </w:r>
          </w:p>
        </w:tc>
        <w:tc>
          <w:tcPr>
            <w:tcW w:w="100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from Normal</w:t>
            </w:r>
          </w:p>
        </w:tc>
        <w:tc>
          <w:tcPr>
            <w:tcW w:w="0" w:type="dxa"/>
            <w:vAlign w:val="bottom"/>
          </w:tcPr>
          <w:p>
            <w:pPr>
              <w:spacing w:after="0"/>
              <w:rPr>
                <w:sz w:val="1"/>
                <w:szCs w:val="1"/>
                <w:color w:val="auto"/>
              </w:rPr>
            </w:pPr>
          </w:p>
        </w:tc>
      </w:tr>
      <w:tr>
        <w:trPr>
          <w:trHeight w:val="223"/>
        </w:trPr>
        <w:tc>
          <w:tcPr>
            <w:tcW w:w="5700" w:type="dxa"/>
            <w:vAlign w:val="bottom"/>
            <w:shd w:val="clear" w:color="auto" w:fill="CEFFE7"/>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Arkansas Gas </w:t>
            </w:r>
            <w:r>
              <w:rPr>
                <w:rFonts w:ascii="Times New Roman" w:cs="Times New Roman" w:eastAsia="Times New Roman" w:hAnsi="Times New Roman"/>
                <w:sz w:val="23"/>
                <w:szCs w:val="23"/>
                <w:color w:val="auto"/>
                <w:vertAlign w:val="superscript"/>
              </w:rPr>
              <w:t>(a)</w:t>
            </w:r>
          </w:p>
        </w:tc>
        <w:tc>
          <w:tcPr>
            <w:tcW w:w="1000" w:type="dxa"/>
            <w:vAlign w:val="bottom"/>
            <w:shd w:val="clear" w:color="auto" w:fill="CEFFE7"/>
          </w:tcPr>
          <w:p>
            <w:pPr>
              <w:jc w:val="center"/>
              <w:ind w:left="130"/>
              <w:spacing w:after="0"/>
              <w:rPr>
                <w:sz w:val="20"/>
                <w:szCs w:val="20"/>
                <w:color w:val="auto"/>
              </w:rPr>
            </w:pPr>
            <w:r>
              <w:rPr>
                <w:rFonts w:ascii="Times New Roman" w:cs="Times New Roman" w:eastAsia="Times New Roman" w:hAnsi="Times New Roman"/>
                <w:sz w:val="18"/>
                <w:szCs w:val="18"/>
                <w:color w:val="auto"/>
                <w:w w:val="99"/>
              </w:rPr>
              <w:t>24</w:t>
            </w:r>
          </w:p>
        </w:tc>
        <w:tc>
          <w:tcPr>
            <w:tcW w:w="1820" w:type="dxa"/>
            <w:vAlign w:val="bottom"/>
            <w:shd w:val="clear" w:color="auto" w:fill="CEFFE7"/>
          </w:tcPr>
          <w:p>
            <w:pPr>
              <w:jc w:val="center"/>
              <w:ind w:left="11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EFFE7"/>
          </w:tcPr>
          <w:p>
            <w:pPr>
              <w:jc w:val="center"/>
              <w:ind w:left="2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Colorado Gas</w:t>
            </w:r>
          </w:p>
        </w:tc>
        <w:tc>
          <w:tcPr>
            <w:tcW w:w="10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159</w:t>
            </w:r>
          </w:p>
        </w:tc>
        <w:tc>
          <w:tcPr>
            <w:tcW w:w="1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68</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(68)%</w:t>
            </w:r>
          </w:p>
        </w:tc>
        <w:tc>
          <w:tcPr>
            <w:tcW w:w="0" w:type="dxa"/>
            <w:vAlign w:val="bottom"/>
          </w:tcPr>
          <w:p>
            <w:pPr>
              <w:spacing w:after="0"/>
              <w:rPr>
                <w:sz w:val="1"/>
                <w:szCs w:val="1"/>
                <w:color w:val="auto"/>
              </w:rPr>
            </w:pPr>
          </w:p>
        </w:tc>
      </w:tr>
      <w:tr>
        <w:trPr>
          <w:trHeight w:val="230"/>
        </w:trPr>
        <w:tc>
          <w:tcPr>
            <w:tcW w:w="57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Iowa Gas</w:t>
            </w:r>
          </w:p>
        </w:tc>
        <w:tc>
          <w:tcPr>
            <w:tcW w:w="1000" w:type="dxa"/>
            <w:vAlign w:val="bottom"/>
            <w:shd w:val="clear" w:color="auto" w:fill="CEFFE7"/>
          </w:tcPr>
          <w:p>
            <w:pPr>
              <w:jc w:val="center"/>
              <w:ind w:left="130"/>
              <w:spacing w:after="0"/>
              <w:rPr>
                <w:sz w:val="20"/>
                <w:szCs w:val="20"/>
                <w:color w:val="auto"/>
              </w:rPr>
            </w:pPr>
            <w:r>
              <w:rPr>
                <w:rFonts w:ascii="Times New Roman" w:cs="Times New Roman" w:eastAsia="Times New Roman" w:hAnsi="Times New Roman"/>
                <w:sz w:val="18"/>
                <w:szCs w:val="18"/>
                <w:color w:val="auto"/>
                <w:w w:val="96"/>
              </w:rPr>
              <w:t>140</w:t>
            </w:r>
          </w:p>
        </w:tc>
        <w:tc>
          <w:tcPr>
            <w:tcW w:w="182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1%</w:t>
            </w:r>
          </w:p>
        </w:tc>
        <w:tc>
          <w:tcPr>
            <w:tcW w:w="100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43</w:t>
            </w:r>
          </w:p>
        </w:tc>
        <w:tc>
          <w:tcPr>
            <w:tcW w:w="1720" w:type="dxa"/>
            <w:vAlign w:val="bottom"/>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7"/>
              </w:rPr>
              <w:t>(69)%</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Kansas Gas </w:t>
            </w:r>
            <w:r>
              <w:rPr>
                <w:rFonts w:ascii="Times New Roman" w:cs="Times New Roman" w:eastAsia="Times New Roman" w:hAnsi="Times New Roman"/>
                <w:sz w:val="23"/>
                <w:szCs w:val="23"/>
                <w:color w:val="auto"/>
                <w:vertAlign w:val="superscript"/>
              </w:rPr>
              <w:t>(a)</w:t>
            </w:r>
          </w:p>
        </w:tc>
        <w:tc>
          <w:tcPr>
            <w:tcW w:w="10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70</w:t>
            </w:r>
          </w:p>
        </w:tc>
        <w:tc>
          <w:tcPr>
            <w:tcW w:w="1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(101)%</w:t>
            </w:r>
          </w:p>
        </w:tc>
        <w:tc>
          <w:tcPr>
            <w:tcW w:w="0" w:type="dxa"/>
            <w:vAlign w:val="bottom"/>
          </w:tcPr>
          <w:p>
            <w:pPr>
              <w:spacing w:after="0"/>
              <w:rPr>
                <w:sz w:val="1"/>
                <w:szCs w:val="1"/>
                <w:color w:val="auto"/>
              </w:rPr>
            </w:pPr>
          </w:p>
        </w:tc>
      </w:tr>
      <w:tr>
        <w:trPr>
          <w:trHeight w:val="229"/>
        </w:trPr>
        <w:tc>
          <w:tcPr>
            <w:tcW w:w="57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Nebraska Gas</w:t>
            </w:r>
          </w:p>
        </w:tc>
        <w:tc>
          <w:tcPr>
            <w:tcW w:w="1000" w:type="dxa"/>
            <w:vAlign w:val="bottom"/>
            <w:shd w:val="clear" w:color="auto" w:fill="CEFFE7"/>
          </w:tcPr>
          <w:p>
            <w:pPr>
              <w:jc w:val="center"/>
              <w:ind w:left="130"/>
              <w:spacing w:after="0"/>
              <w:rPr>
                <w:sz w:val="20"/>
                <w:szCs w:val="20"/>
                <w:color w:val="auto"/>
              </w:rPr>
            </w:pPr>
            <w:r>
              <w:rPr>
                <w:rFonts w:ascii="Times New Roman" w:cs="Times New Roman" w:eastAsia="Times New Roman" w:hAnsi="Times New Roman"/>
                <w:sz w:val="18"/>
                <w:szCs w:val="18"/>
                <w:color w:val="auto"/>
                <w:w w:val="96"/>
              </w:rPr>
              <w:t>109</w:t>
            </w:r>
          </w:p>
        </w:tc>
        <w:tc>
          <w:tcPr>
            <w:tcW w:w="182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(1)%</w:t>
            </w:r>
          </w:p>
        </w:tc>
        <w:tc>
          <w:tcPr>
            <w:tcW w:w="100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22</w:t>
            </w:r>
          </w:p>
        </w:tc>
        <w:tc>
          <w:tcPr>
            <w:tcW w:w="1720" w:type="dxa"/>
            <w:vAlign w:val="bottom"/>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7"/>
              </w:rPr>
              <w:t>(80)%</w:t>
            </w:r>
          </w:p>
        </w:tc>
        <w:tc>
          <w:tcPr>
            <w:tcW w:w="0" w:type="dxa"/>
            <w:vAlign w:val="bottom"/>
          </w:tcPr>
          <w:p>
            <w:pPr>
              <w:spacing w:after="0"/>
              <w:rPr>
                <w:sz w:val="1"/>
                <w:szCs w:val="1"/>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Wyoming Gas</w:t>
            </w:r>
          </w:p>
        </w:tc>
        <w:tc>
          <w:tcPr>
            <w:tcW w:w="10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245</w:t>
            </w:r>
          </w:p>
        </w:tc>
        <w:tc>
          <w:tcPr>
            <w:tcW w:w="1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183</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29"/>
        </w:trPr>
        <w:tc>
          <w:tcPr>
            <w:tcW w:w="5700" w:type="dxa"/>
            <w:vAlign w:val="bottom"/>
            <w:shd w:val="clear" w:color="auto" w:fill="CEFFE7"/>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Combined </w:t>
            </w:r>
            <w:r>
              <w:rPr>
                <w:rFonts w:ascii="Times New Roman" w:cs="Times New Roman" w:eastAsia="Times New Roman" w:hAnsi="Times New Roman"/>
                <w:sz w:val="23"/>
                <w:szCs w:val="23"/>
                <w:color w:val="auto"/>
                <w:vertAlign w:val="superscript"/>
              </w:rPr>
              <w:t>(b)</w:t>
            </w:r>
          </w:p>
        </w:tc>
        <w:tc>
          <w:tcPr>
            <w:tcW w:w="1000" w:type="dxa"/>
            <w:vAlign w:val="bottom"/>
            <w:shd w:val="clear" w:color="auto" w:fill="CEFFE7"/>
          </w:tcPr>
          <w:p>
            <w:pPr>
              <w:jc w:val="center"/>
              <w:ind w:left="130"/>
              <w:spacing w:after="0"/>
              <w:rPr>
                <w:sz w:val="20"/>
                <w:szCs w:val="20"/>
                <w:color w:val="auto"/>
              </w:rPr>
            </w:pPr>
            <w:r>
              <w:rPr>
                <w:rFonts w:ascii="Times New Roman" w:cs="Times New Roman" w:eastAsia="Times New Roman" w:hAnsi="Times New Roman"/>
                <w:sz w:val="18"/>
                <w:szCs w:val="18"/>
                <w:color w:val="auto"/>
                <w:w w:val="96"/>
              </w:rPr>
              <w:t>125</w:t>
            </w:r>
          </w:p>
        </w:tc>
        <w:tc>
          <w:tcPr>
            <w:tcW w:w="1820" w:type="dxa"/>
            <w:vAlign w:val="bottom"/>
            <w:shd w:val="clear" w:color="auto" w:fill="CEFFE7"/>
          </w:tcPr>
          <w:p>
            <w:pPr>
              <w:jc w:val="center"/>
              <w:ind w:left="11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1720" w:type="dxa"/>
            <w:vAlign w:val="bottom"/>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387"/>
        </w:trPr>
        <w:tc>
          <w:tcPr>
            <w:tcW w:w="5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40" w:type="dxa"/>
            <w:vAlign w:val="bottom"/>
            <w:gridSpan w:val="3"/>
          </w:tcPr>
          <w:p>
            <w:pPr>
              <w:jc w:val="right"/>
              <w:ind w:right="14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2020</w:t>
            </w: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6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Heating Degree Days</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Actual</w:t>
            </w:r>
          </w:p>
        </w:tc>
        <w:tc>
          <w:tcPr>
            <w:tcW w:w="1820" w:type="dxa"/>
            <w:vAlign w:val="bottom"/>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5"/>
              </w:rPr>
              <w:t>Variance</w:t>
            </w:r>
          </w:p>
        </w:tc>
        <w:tc>
          <w:tcPr>
            <w:tcW w:w="10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Actual</w:t>
            </w:r>
          </w:p>
        </w:tc>
        <w:tc>
          <w:tcPr>
            <w:tcW w:w="1720" w:type="dxa"/>
            <w:vAlign w:val="bottom"/>
          </w:tcPr>
          <w:p>
            <w:pPr>
              <w:jc w:val="center"/>
              <w:ind w:left="250"/>
              <w:spacing w:after="0" w:line="169" w:lineRule="exact"/>
              <w:rPr>
                <w:sz w:val="20"/>
                <w:szCs w:val="20"/>
                <w:color w:val="auto"/>
              </w:rPr>
            </w:pPr>
            <w:r>
              <w:rPr>
                <w:rFonts w:ascii="Times New Roman" w:cs="Times New Roman" w:eastAsia="Times New Roman" w:hAnsi="Times New Roman"/>
                <w:sz w:val="18"/>
                <w:szCs w:val="18"/>
                <w:color w:val="auto"/>
                <w:w w:val="95"/>
              </w:rPr>
              <w:t>Variance</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from Normal</w:t>
            </w:r>
          </w:p>
        </w:tc>
        <w:tc>
          <w:tcPr>
            <w:tcW w:w="100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from Normal</w:t>
            </w:r>
          </w:p>
        </w:tc>
        <w:tc>
          <w:tcPr>
            <w:tcW w:w="0" w:type="dxa"/>
            <w:vAlign w:val="bottom"/>
          </w:tcPr>
          <w:p>
            <w:pPr>
              <w:spacing w:after="0"/>
              <w:rPr>
                <w:sz w:val="1"/>
                <w:szCs w:val="1"/>
                <w:color w:val="auto"/>
              </w:rPr>
            </w:pPr>
          </w:p>
        </w:tc>
      </w:tr>
      <w:tr>
        <w:trPr>
          <w:trHeight w:val="223"/>
        </w:trPr>
        <w:tc>
          <w:tcPr>
            <w:tcW w:w="5700" w:type="dxa"/>
            <w:vAlign w:val="bottom"/>
            <w:shd w:val="clear" w:color="auto" w:fill="CEFFE7"/>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Arkansas Gas </w:t>
            </w:r>
            <w:r>
              <w:rPr>
                <w:rFonts w:ascii="Times New Roman" w:cs="Times New Roman" w:eastAsia="Times New Roman" w:hAnsi="Times New Roman"/>
                <w:sz w:val="23"/>
                <w:szCs w:val="23"/>
                <w:color w:val="auto"/>
                <w:vertAlign w:val="superscript"/>
              </w:rPr>
              <w:t>(a)</w:t>
            </w:r>
          </w:p>
        </w:tc>
        <w:tc>
          <w:tcPr>
            <w:tcW w:w="1000" w:type="dxa"/>
            <w:vAlign w:val="bottom"/>
            <w:shd w:val="clear" w:color="auto" w:fill="CEFFE7"/>
          </w:tcPr>
          <w:p>
            <w:pPr>
              <w:jc w:val="center"/>
              <w:ind w:left="150"/>
              <w:spacing w:after="0"/>
              <w:rPr>
                <w:sz w:val="20"/>
                <w:szCs w:val="20"/>
                <w:color w:val="auto"/>
              </w:rPr>
            </w:pPr>
            <w:r>
              <w:rPr>
                <w:rFonts w:ascii="Times New Roman" w:cs="Times New Roman" w:eastAsia="Times New Roman" w:hAnsi="Times New Roman"/>
                <w:sz w:val="18"/>
                <w:szCs w:val="18"/>
                <w:color w:val="auto"/>
                <w:w w:val="98"/>
              </w:rPr>
              <w:t>2,036</w:t>
            </w:r>
          </w:p>
        </w:tc>
        <w:tc>
          <w:tcPr>
            <w:tcW w:w="1820" w:type="dxa"/>
            <w:vAlign w:val="bottom"/>
            <w:shd w:val="clear" w:color="auto" w:fill="CEFFE7"/>
          </w:tcPr>
          <w:p>
            <w:pPr>
              <w:jc w:val="center"/>
              <w:ind w:left="11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shd w:val="clear" w:color="auto" w:fill="CEFFE7"/>
          </w:tcPr>
          <w:p>
            <w:pPr>
              <w:jc w:val="center"/>
              <w:ind w:left="110"/>
              <w:spacing w:after="0"/>
              <w:rPr>
                <w:sz w:val="20"/>
                <w:szCs w:val="20"/>
                <w:color w:val="auto"/>
              </w:rPr>
            </w:pPr>
            <w:r>
              <w:rPr>
                <w:rFonts w:ascii="Times New Roman" w:cs="Times New Roman" w:eastAsia="Times New Roman" w:hAnsi="Times New Roman"/>
                <w:sz w:val="18"/>
                <w:szCs w:val="18"/>
                <w:color w:val="auto"/>
                <w:w w:val="98"/>
              </w:rPr>
              <w:t>2,347</w:t>
            </w:r>
          </w:p>
        </w:tc>
        <w:tc>
          <w:tcPr>
            <w:tcW w:w="1720" w:type="dxa"/>
            <w:vAlign w:val="bottom"/>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Colorado Gas</w:t>
            </w:r>
          </w:p>
        </w:tc>
        <w:tc>
          <w:tcPr>
            <w:tcW w:w="10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3,797</w:t>
            </w:r>
          </w:p>
        </w:tc>
        <w:tc>
          <w:tcPr>
            <w:tcW w:w="1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(7)%</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4,115</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57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Iowa Gas</w:t>
            </w:r>
          </w:p>
        </w:tc>
        <w:tc>
          <w:tcPr>
            <w:tcW w:w="1000" w:type="dxa"/>
            <w:vAlign w:val="bottom"/>
            <w:shd w:val="clear" w:color="auto" w:fill="CEFFE7"/>
          </w:tcPr>
          <w:p>
            <w:pPr>
              <w:jc w:val="center"/>
              <w:ind w:left="150"/>
              <w:spacing w:after="0"/>
              <w:rPr>
                <w:sz w:val="20"/>
                <w:szCs w:val="20"/>
                <w:color w:val="auto"/>
              </w:rPr>
            </w:pPr>
            <w:r>
              <w:rPr>
                <w:rFonts w:ascii="Times New Roman" w:cs="Times New Roman" w:eastAsia="Times New Roman" w:hAnsi="Times New Roman"/>
                <w:sz w:val="18"/>
                <w:szCs w:val="18"/>
                <w:color w:val="auto"/>
                <w:w w:val="98"/>
              </w:rPr>
              <w:t>4,104</w:t>
            </w:r>
          </w:p>
        </w:tc>
        <w:tc>
          <w:tcPr>
            <w:tcW w:w="182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(2)%</w:t>
            </w:r>
          </w:p>
        </w:tc>
        <w:tc>
          <w:tcPr>
            <w:tcW w:w="1000" w:type="dxa"/>
            <w:vAlign w:val="bottom"/>
            <w:shd w:val="clear" w:color="auto" w:fill="CEFFE7"/>
          </w:tcPr>
          <w:p>
            <w:pPr>
              <w:jc w:val="center"/>
              <w:ind w:left="110"/>
              <w:spacing w:after="0"/>
              <w:rPr>
                <w:sz w:val="20"/>
                <w:szCs w:val="20"/>
                <w:color w:val="auto"/>
              </w:rPr>
            </w:pPr>
            <w:r>
              <w:rPr>
                <w:rFonts w:ascii="Times New Roman" w:cs="Times New Roman" w:eastAsia="Times New Roman" w:hAnsi="Times New Roman"/>
                <w:sz w:val="18"/>
                <w:szCs w:val="18"/>
                <w:color w:val="auto"/>
                <w:w w:val="98"/>
              </w:rPr>
              <w:t>4,611</w:t>
            </w:r>
          </w:p>
        </w:tc>
        <w:tc>
          <w:tcPr>
            <w:tcW w:w="1720" w:type="dxa"/>
            <w:vAlign w:val="bottom"/>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Kansas Gas </w:t>
            </w:r>
            <w:r>
              <w:rPr>
                <w:rFonts w:ascii="Times New Roman" w:cs="Times New Roman" w:eastAsia="Times New Roman" w:hAnsi="Times New Roman"/>
                <w:sz w:val="23"/>
                <w:szCs w:val="23"/>
                <w:color w:val="auto"/>
                <w:vertAlign w:val="superscript"/>
              </w:rPr>
              <w:t>(a)</w:t>
            </w:r>
          </w:p>
        </w:tc>
        <w:tc>
          <w:tcPr>
            <w:tcW w:w="10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2,851</w:t>
            </w:r>
          </w:p>
        </w:tc>
        <w:tc>
          <w:tcPr>
            <w:tcW w:w="1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3,204</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570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Nebraska Gas</w:t>
            </w:r>
          </w:p>
        </w:tc>
        <w:tc>
          <w:tcPr>
            <w:tcW w:w="1000" w:type="dxa"/>
            <w:vAlign w:val="bottom"/>
            <w:shd w:val="clear" w:color="auto" w:fill="CEFFE7"/>
          </w:tcPr>
          <w:p>
            <w:pPr>
              <w:jc w:val="center"/>
              <w:ind w:left="150"/>
              <w:spacing w:after="0"/>
              <w:rPr>
                <w:sz w:val="20"/>
                <w:szCs w:val="20"/>
                <w:color w:val="auto"/>
              </w:rPr>
            </w:pPr>
            <w:r>
              <w:rPr>
                <w:rFonts w:ascii="Times New Roman" w:cs="Times New Roman" w:eastAsia="Times New Roman" w:hAnsi="Times New Roman"/>
                <w:sz w:val="18"/>
                <w:szCs w:val="18"/>
                <w:color w:val="auto"/>
                <w:w w:val="98"/>
              </w:rPr>
              <w:t>3,636</w:t>
            </w:r>
          </w:p>
        </w:tc>
        <w:tc>
          <w:tcPr>
            <w:tcW w:w="182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(4)%</w:t>
            </w:r>
          </w:p>
        </w:tc>
        <w:tc>
          <w:tcPr>
            <w:tcW w:w="1000" w:type="dxa"/>
            <w:vAlign w:val="bottom"/>
            <w:shd w:val="clear" w:color="auto" w:fill="CEFFE7"/>
          </w:tcPr>
          <w:p>
            <w:pPr>
              <w:jc w:val="center"/>
              <w:ind w:left="110"/>
              <w:spacing w:after="0"/>
              <w:rPr>
                <w:sz w:val="20"/>
                <w:szCs w:val="20"/>
                <w:color w:val="auto"/>
              </w:rPr>
            </w:pPr>
            <w:r>
              <w:rPr>
                <w:rFonts w:ascii="Times New Roman" w:cs="Times New Roman" w:eastAsia="Times New Roman" w:hAnsi="Times New Roman"/>
                <w:sz w:val="18"/>
                <w:szCs w:val="18"/>
                <w:color w:val="auto"/>
                <w:w w:val="98"/>
              </w:rPr>
              <w:t>4,169</w:t>
            </w:r>
          </w:p>
        </w:tc>
        <w:tc>
          <w:tcPr>
            <w:tcW w:w="1720" w:type="dxa"/>
            <w:vAlign w:val="bottom"/>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2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Wyoming Gas</w:t>
            </w:r>
          </w:p>
        </w:tc>
        <w:tc>
          <w:tcPr>
            <w:tcW w:w="10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4,678</w:t>
            </w:r>
          </w:p>
        </w:tc>
        <w:tc>
          <w:tcPr>
            <w:tcW w:w="1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w:t>
            </w: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5,093</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9"/>
        </w:trPr>
        <w:tc>
          <w:tcPr>
            <w:tcW w:w="5700" w:type="dxa"/>
            <w:vAlign w:val="bottom"/>
            <w:shd w:val="clear" w:color="auto" w:fill="CEFFE7"/>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Combined </w:t>
            </w:r>
            <w:r>
              <w:rPr>
                <w:rFonts w:ascii="Times New Roman" w:cs="Times New Roman" w:eastAsia="Times New Roman" w:hAnsi="Times New Roman"/>
                <w:sz w:val="23"/>
                <w:szCs w:val="23"/>
                <w:color w:val="auto"/>
                <w:vertAlign w:val="superscript"/>
              </w:rPr>
              <w:t>(b)</w:t>
            </w:r>
          </w:p>
        </w:tc>
        <w:tc>
          <w:tcPr>
            <w:tcW w:w="1000" w:type="dxa"/>
            <w:vAlign w:val="bottom"/>
            <w:shd w:val="clear" w:color="auto" w:fill="CEFFE7"/>
          </w:tcPr>
          <w:p>
            <w:pPr>
              <w:jc w:val="center"/>
              <w:ind w:left="150"/>
              <w:spacing w:after="0"/>
              <w:rPr>
                <w:sz w:val="20"/>
                <w:szCs w:val="20"/>
                <w:color w:val="auto"/>
              </w:rPr>
            </w:pPr>
            <w:r>
              <w:rPr>
                <w:rFonts w:ascii="Times New Roman" w:cs="Times New Roman" w:eastAsia="Times New Roman" w:hAnsi="Times New Roman"/>
                <w:sz w:val="18"/>
                <w:szCs w:val="18"/>
                <w:color w:val="auto"/>
                <w:w w:val="98"/>
              </w:rPr>
              <w:t>3,731</w:t>
            </w:r>
          </w:p>
        </w:tc>
        <w:tc>
          <w:tcPr>
            <w:tcW w:w="1820" w:type="dxa"/>
            <w:vAlign w:val="bottom"/>
            <w:shd w:val="clear" w:color="auto" w:fill="CEFFE7"/>
          </w:tcPr>
          <w:p>
            <w:pPr>
              <w:jc w:val="center"/>
              <w:ind w:left="90"/>
              <w:spacing w:after="0"/>
              <w:rPr>
                <w:sz w:val="20"/>
                <w:szCs w:val="20"/>
                <w:color w:val="auto"/>
              </w:rPr>
            </w:pPr>
            <w:r>
              <w:rPr>
                <w:rFonts w:ascii="Times New Roman" w:cs="Times New Roman" w:eastAsia="Times New Roman" w:hAnsi="Times New Roman"/>
                <w:sz w:val="18"/>
                <w:szCs w:val="18"/>
                <w:color w:val="auto"/>
                <w:w w:val="99"/>
              </w:rPr>
              <w:t>(4)%</w:t>
            </w:r>
          </w:p>
        </w:tc>
        <w:tc>
          <w:tcPr>
            <w:tcW w:w="1000" w:type="dxa"/>
            <w:vAlign w:val="bottom"/>
            <w:shd w:val="clear" w:color="auto" w:fill="CEFFE7"/>
          </w:tcPr>
          <w:p>
            <w:pPr>
              <w:jc w:val="center"/>
              <w:ind w:left="110"/>
              <w:spacing w:after="0"/>
              <w:rPr>
                <w:sz w:val="20"/>
                <w:szCs w:val="20"/>
                <w:color w:val="auto"/>
              </w:rPr>
            </w:pPr>
            <w:r>
              <w:rPr>
                <w:rFonts w:ascii="Times New Roman" w:cs="Times New Roman" w:eastAsia="Times New Roman" w:hAnsi="Times New Roman"/>
                <w:sz w:val="18"/>
                <w:szCs w:val="18"/>
                <w:color w:val="auto"/>
                <w:w w:val="98"/>
              </w:rPr>
              <w:t>4,297</w:t>
            </w:r>
          </w:p>
        </w:tc>
        <w:tc>
          <w:tcPr>
            <w:tcW w:w="1720" w:type="dxa"/>
            <w:vAlign w:val="bottom"/>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Arkansas and Kansas have weather normalization mechanisms that mitigate the weather impact on gross margins.</w:t>
      </w:r>
    </w:p>
    <w:p>
      <w:pPr>
        <w:spacing w:after="0" w:line="9" w:lineRule="exact"/>
        <w:rPr>
          <w:rFonts w:ascii="Times New Roman" w:cs="Times New Roman" w:eastAsia="Times New Roman" w:hAnsi="Times New Roman"/>
          <w:sz w:val="16"/>
          <w:szCs w:val="16"/>
          <w:color w:val="auto"/>
        </w:rPr>
      </w:pPr>
    </w:p>
    <w:p>
      <w:pPr>
        <w:ind w:left="340" w:right="720" w:hanging="332"/>
        <w:spacing w:after="0" w:line="257" w:lineRule="auto"/>
        <w:tabs>
          <w:tab w:leader="none" w:pos="36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heating degree days are calculated based on a weighted average of total customers by state excluding Kansas due to its weather normalization mechanism. Arkansas is excluded based on the weather normalization mechanism in effect from November through April.</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256" w:lineRule="exact"/>
        <w:rPr>
          <w:sz w:val="20"/>
          <w:szCs w:val="20"/>
          <w:color w:val="auto"/>
        </w:rPr>
      </w:pPr>
    </w:p>
    <w:p>
      <w:pPr>
        <w:ind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more information on recent regulatory activity and enacted regulatory provisions with respect to the states in which our Utilities operate, see </w:t>
      </w:r>
      <w:hyperlink w:anchor="page21">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and Part I, Items 1 and 2 and Part II, Item 8 of our 2019 Annual Report on Form 10-K filed with the SEC.</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Power Generation</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67"/>
        </w:trPr>
        <w:tc>
          <w:tcPr>
            <w:tcW w:w="136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40" w:type="dxa"/>
            <w:vAlign w:val="bottom"/>
          </w:tcPr>
          <w:p>
            <w:pPr>
              <w:spacing w:after="0"/>
              <w:rPr>
                <w:sz w:val="24"/>
                <w:szCs w:val="24"/>
                <w:color w:val="auto"/>
              </w:rPr>
            </w:pPr>
          </w:p>
        </w:tc>
        <w:tc>
          <w:tcPr>
            <w:tcW w:w="27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13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Variance</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Variance</w:t>
            </w:r>
          </w:p>
        </w:tc>
      </w:tr>
      <w:tr>
        <w:trPr>
          <w:trHeight w:val="223"/>
        </w:trPr>
        <w:tc>
          <w:tcPr>
            <w:tcW w:w="13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48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78,606</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75,764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50"/>
        </w:trPr>
        <w:tc>
          <w:tcPr>
            <w:tcW w:w="136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48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Fuel expense</w:t>
            </w:r>
          </w:p>
        </w:tc>
        <w:tc>
          <w:tcPr>
            <w:tcW w:w="14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2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40" w:type="dxa"/>
            <w:vAlign w:val="bottom"/>
            <w:shd w:val="clear" w:color="auto" w:fill="CEFFE7"/>
          </w:tcPr>
          <w:p>
            <w:pPr>
              <w:spacing w:after="0"/>
              <w:rPr>
                <w:sz w:val="19"/>
                <w:szCs w:val="19"/>
                <w:color w:val="auto"/>
              </w:rPr>
            </w:pPr>
          </w:p>
        </w:tc>
        <w:tc>
          <w:tcPr>
            <w:tcW w:w="7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29"/>
        </w:trPr>
        <w:tc>
          <w:tcPr>
            <w:tcW w:w="548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20" w:type="dxa"/>
            <w:vAlign w:val="bottom"/>
            <w:tcBorders>
              <w:bottom w:val="single" w:sz="8" w:color="auto"/>
            </w:tcBorders>
            <w:shd w:val="clear" w:color="auto" w:fill="CEFFE7"/>
          </w:tcPr>
          <w:p>
            <w:pPr>
              <w:spacing w:after="0"/>
              <w:rPr>
                <w:sz w:val="19"/>
                <w:szCs w:val="19"/>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8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bottom w:val="single" w:sz="8" w:color="auto"/>
            </w:tcBorders>
            <w:shd w:val="clear" w:color="auto" w:fill="CEFFE7"/>
          </w:tcPr>
          <w:p>
            <w:pPr>
              <w:spacing w:after="0"/>
              <w:rPr>
                <w:sz w:val="19"/>
                <w:szCs w:val="19"/>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240" w:type="dxa"/>
            <w:vAlign w:val="bottom"/>
            <w:tcBorders>
              <w:bottom w:val="single" w:sz="8" w:color="auto"/>
            </w:tcBorders>
            <w:shd w:val="clear" w:color="auto" w:fill="CEFFE7"/>
          </w:tcPr>
          <w:p>
            <w:pPr>
              <w:spacing w:after="0"/>
              <w:rPr>
                <w:sz w:val="19"/>
                <w:szCs w:val="19"/>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160" w:type="dxa"/>
            <w:vAlign w:val="bottom"/>
            <w:tcBorders>
              <w:bottom w:val="single" w:sz="8" w:color="auto"/>
            </w:tcBorders>
            <w:shd w:val="clear" w:color="auto" w:fill="CEFFE7"/>
          </w:tcPr>
          <w:p>
            <w:pPr>
              <w:spacing w:after="0"/>
              <w:rPr>
                <w:sz w:val="19"/>
                <w:szCs w:val="19"/>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3"/>
        </w:trPr>
        <w:tc>
          <w:tcPr>
            <w:tcW w:w="5480" w:type="dxa"/>
            <w:vAlign w:val="bottom"/>
            <w:tcBorders>
              <w:bottom w:val="single" w:sz="8" w:color="CEFFE7"/>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operating expense</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50"/>
        </w:trPr>
        <w:tc>
          <w:tcPr>
            <w:tcW w:w="1360" w:type="dxa"/>
            <w:vAlign w:val="bottom"/>
            <w:shd w:val="clear" w:color="auto" w:fill="CEFFE7"/>
          </w:tcPr>
          <w:p>
            <w:pPr>
              <w:spacing w:after="0"/>
              <w:rPr>
                <w:sz w:val="21"/>
                <w:szCs w:val="21"/>
                <w:color w:val="auto"/>
              </w:rPr>
            </w:pPr>
          </w:p>
        </w:tc>
        <w:tc>
          <w:tcPr>
            <w:tcW w:w="4120" w:type="dxa"/>
            <w:vAlign w:val="bottom"/>
            <w:shd w:val="clear" w:color="auto" w:fill="CEFFE7"/>
          </w:tcPr>
          <w:p>
            <w:pPr>
              <w:spacing w:after="0"/>
              <w:rPr>
                <w:sz w:val="21"/>
                <w:szCs w:val="21"/>
                <w:color w:val="auto"/>
              </w:rPr>
            </w:pPr>
          </w:p>
        </w:tc>
        <w:tc>
          <w:tcPr>
            <w:tcW w:w="140" w:type="dxa"/>
            <w:vAlign w:val="bottom"/>
            <w:tcBorders>
              <w:bottom w:val="single" w:sz="8" w:color="auto"/>
            </w:tcBorders>
            <w:shd w:val="clear" w:color="auto" w:fill="CEFFE7"/>
          </w:tcPr>
          <w:p>
            <w:pPr>
              <w:spacing w:after="0"/>
              <w:rPr>
                <w:sz w:val="21"/>
                <w:szCs w:val="21"/>
                <w:color w:val="auto"/>
              </w:rPr>
            </w:pPr>
          </w:p>
        </w:tc>
        <w:tc>
          <w:tcPr>
            <w:tcW w:w="820" w:type="dxa"/>
            <w:vAlign w:val="bottom"/>
            <w:tcBorders>
              <w:bottom w:val="single" w:sz="8" w:color="auto"/>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spacing w:after="0"/>
              <w:rPr>
                <w:sz w:val="21"/>
                <w:szCs w:val="21"/>
                <w:color w:val="auto"/>
              </w:rPr>
            </w:pPr>
          </w:p>
        </w:tc>
        <w:tc>
          <w:tcPr>
            <w:tcW w:w="740" w:type="dxa"/>
            <w:vAlign w:val="bottom"/>
            <w:tcBorders>
              <w:bottom w:val="single" w:sz="8" w:color="auto"/>
            </w:tcBorders>
            <w:shd w:val="clear" w:color="auto" w:fill="CEFFE7"/>
          </w:tcPr>
          <w:p>
            <w:pPr>
              <w:spacing w:after="0"/>
              <w:rPr>
                <w:sz w:val="21"/>
                <w:szCs w:val="21"/>
                <w:color w:val="auto"/>
              </w:rPr>
            </w:pPr>
          </w:p>
        </w:tc>
        <w:tc>
          <w:tcPr>
            <w:tcW w:w="180" w:type="dxa"/>
            <w:vAlign w:val="bottom"/>
            <w:tcBorders>
              <w:bottom w:val="single" w:sz="8" w:color="auto"/>
            </w:tcBorders>
            <w:shd w:val="clear" w:color="auto" w:fill="CEFFE7"/>
          </w:tcPr>
          <w:p>
            <w:pPr>
              <w:spacing w:after="0"/>
              <w:rPr>
                <w:sz w:val="21"/>
                <w:szCs w:val="21"/>
                <w:color w:val="auto"/>
              </w:rPr>
            </w:pPr>
          </w:p>
        </w:tc>
        <w:tc>
          <w:tcPr>
            <w:tcW w:w="820" w:type="dxa"/>
            <w:vAlign w:val="bottom"/>
            <w:tcBorders>
              <w:bottom w:val="single" w:sz="8" w:color="auto"/>
            </w:tcBorders>
            <w:shd w:val="clear" w:color="auto" w:fill="CEFFE7"/>
          </w:tcPr>
          <w:p>
            <w:pPr>
              <w:spacing w:after="0"/>
              <w:rPr>
                <w:sz w:val="21"/>
                <w:szCs w:val="21"/>
                <w:color w:val="auto"/>
              </w:rPr>
            </w:pPr>
          </w:p>
        </w:tc>
        <w:tc>
          <w:tcPr>
            <w:tcW w:w="140" w:type="dxa"/>
            <w:vAlign w:val="bottom"/>
            <w:tcBorders>
              <w:bottom w:val="single" w:sz="8" w:color="auto"/>
            </w:tcBorders>
            <w:shd w:val="clear" w:color="auto" w:fill="CEFFE7"/>
          </w:tcPr>
          <w:p>
            <w:pPr>
              <w:spacing w:after="0"/>
              <w:rPr>
                <w:sz w:val="21"/>
                <w:szCs w:val="21"/>
                <w:color w:val="auto"/>
              </w:rPr>
            </w:pPr>
          </w:p>
        </w:tc>
        <w:tc>
          <w:tcPr>
            <w:tcW w:w="780" w:type="dxa"/>
            <w:vAlign w:val="bottom"/>
            <w:tcBorders>
              <w:bottom w:val="single" w:sz="8" w:color="auto"/>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spacing w:after="0"/>
              <w:rPr>
                <w:sz w:val="21"/>
                <w:szCs w:val="21"/>
                <w:color w:val="auto"/>
              </w:rPr>
            </w:pPr>
          </w:p>
        </w:tc>
        <w:tc>
          <w:tcPr>
            <w:tcW w:w="700" w:type="dxa"/>
            <w:vAlign w:val="bottom"/>
            <w:tcBorders>
              <w:bottom w:val="single" w:sz="8" w:color="auto"/>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spacing w:after="0"/>
              <w:rPr>
                <w:sz w:val="21"/>
                <w:szCs w:val="21"/>
                <w:color w:val="auto"/>
              </w:rPr>
            </w:pPr>
          </w:p>
        </w:tc>
        <w:tc>
          <w:tcPr>
            <w:tcW w:w="820" w:type="dxa"/>
            <w:vAlign w:val="bottom"/>
            <w:tcBorders>
              <w:bottom w:val="single" w:sz="8" w:color="auto"/>
            </w:tcBorders>
            <w:shd w:val="clear" w:color="auto" w:fill="CEFFE7"/>
          </w:tcPr>
          <w:p>
            <w:pPr>
              <w:spacing w:after="0"/>
              <w:rPr>
                <w:sz w:val="21"/>
                <w:szCs w:val="21"/>
                <w:color w:val="auto"/>
              </w:rPr>
            </w:pPr>
          </w:p>
        </w:tc>
      </w:tr>
      <w:tr>
        <w:trPr>
          <w:trHeight w:val="22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8"/>
              </w:rPr>
              <w:t>(3,084)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0"/>
        </w:trPr>
        <w:tc>
          <w:tcPr>
            <w:tcW w:w="1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01"/>
        </w:trPr>
        <w:tc>
          <w:tcPr>
            <w:tcW w:w="1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9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8"/>
        </w:trPr>
        <w:tc>
          <w:tcPr>
            <w:tcW w:w="13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the Three Months Ended September 30, 2019:</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in the current year driven primarily by increased MWh sold from new wind assets and additional Black Hills Colorado IPP fired-engine hours. Operating expenses increased primarily due to a $3.1 million expense related to the early retirement of certain assets and higher generation costs and depreciation from new wind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the Nine Months Ended September 30, 2019:</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increased in the current year driven by an increase in MWh sold from new wind assets and additional Black Hills Colorado IPP fired-engine hours. Operating expenses increased primarily due to a $3.1 million expense related to the early retirement of certain assets and higher generation costs and depreciation from new wind assets. COVID-19 impacts to operations and maintenance expense included $0.4 million of expenses related to the sequestration of essential employees.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Statistics</w:t>
            </w: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520" w:type="dxa"/>
            <w:vAlign w:val="bottom"/>
          </w:tcPr>
          <w:p>
            <w:pPr>
              <w:spacing w:after="0"/>
              <w:rPr>
                <w:sz w:val="24"/>
                <w:szCs w:val="24"/>
                <w:color w:val="auto"/>
              </w:rPr>
            </w:pPr>
          </w:p>
        </w:tc>
        <w:tc>
          <w:tcPr>
            <w:tcW w:w="2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4"/>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Quantities Sold, Generated and Purchased</w:t>
            </w:r>
          </w:p>
        </w:tc>
        <w:tc>
          <w:tcPr>
            <w:tcW w:w="16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56"/>
        </w:trPr>
        <w:tc>
          <w:tcPr>
            <w:tcW w:w="552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(MWh) </w:t>
            </w:r>
            <w:r>
              <w:rPr>
                <w:rFonts w:ascii="Times New Roman" w:cs="Times New Roman" w:eastAsia="Times New Roman" w:hAnsi="Times New Roman"/>
                <w:sz w:val="23"/>
                <w:szCs w:val="23"/>
                <w:color w:val="auto"/>
                <w:vertAlign w:val="superscript"/>
              </w:rPr>
              <w:t>(a)</w:t>
            </w:r>
          </w:p>
        </w:tc>
        <w:tc>
          <w:tcPr>
            <w:tcW w:w="1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Sold</w:t>
            </w:r>
          </w:p>
        </w:tc>
        <w:tc>
          <w:tcPr>
            <w:tcW w:w="1640" w:type="dxa"/>
            <w:vAlign w:val="bottom"/>
            <w:shd w:val="clear" w:color="auto" w:fill="CEFFE7"/>
          </w:tcPr>
          <w:p>
            <w:pPr>
              <w:spacing w:after="0"/>
              <w:rPr>
                <w:sz w:val="19"/>
                <w:szCs w:val="19"/>
                <w:color w:val="auto"/>
              </w:rPr>
            </w:pPr>
          </w:p>
        </w:tc>
        <w:tc>
          <w:tcPr>
            <w:tcW w:w="122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Black Hills Colorado IPP</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301,934</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275,867</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830,860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692,156</w:t>
            </w:r>
          </w:p>
        </w:tc>
        <w:tc>
          <w:tcPr>
            <w:tcW w:w="0" w:type="dxa"/>
            <w:vAlign w:val="bottom"/>
          </w:tcPr>
          <w:p>
            <w:pPr>
              <w:spacing w:after="0"/>
              <w:rPr>
                <w:sz w:val="1"/>
                <w:szCs w:val="1"/>
                <w:color w:val="auto"/>
              </w:rPr>
            </w:pPr>
          </w:p>
        </w:tc>
      </w:tr>
      <w:tr>
        <w:trPr>
          <w:trHeight w:val="230"/>
        </w:trPr>
        <w:tc>
          <w:tcPr>
            <w:tcW w:w="5520" w:type="dxa"/>
            <w:vAlign w:val="bottom"/>
            <w:shd w:val="clear" w:color="auto" w:fill="CEFFE7"/>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Black Hills Wyoming </w:t>
            </w:r>
            <w:r>
              <w:rPr>
                <w:rFonts w:ascii="Times New Roman" w:cs="Times New Roman" w:eastAsia="Times New Roman" w:hAnsi="Times New Roman"/>
                <w:sz w:val="23"/>
                <w:szCs w:val="23"/>
                <w:color w:val="auto"/>
                <w:vertAlign w:val="superscript"/>
              </w:rPr>
              <w:t>(b)</w:t>
            </w:r>
          </w:p>
        </w:tc>
        <w:tc>
          <w:tcPr>
            <w:tcW w:w="164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157,855</w:t>
            </w:r>
          </w:p>
        </w:tc>
        <w:tc>
          <w:tcPr>
            <w:tcW w:w="122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162,668</w:t>
            </w:r>
          </w:p>
        </w:tc>
        <w:tc>
          <w:tcPr>
            <w:tcW w:w="158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471,073</w:t>
            </w: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476,430</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EFFE7"/>
            </w:tcBorders>
          </w:tcPr>
          <w:p>
            <w:pPr>
              <w:ind w:left="340"/>
              <w:spacing w:after="0"/>
              <w:rPr>
                <w:sz w:val="20"/>
                <w:szCs w:val="20"/>
                <w:color w:val="auto"/>
              </w:rPr>
            </w:pPr>
            <w:r>
              <w:rPr>
                <w:rFonts w:ascii="Times New Roman" w:cs="Times New Roman" w:eastAsia="Times New Roman" w:hAnsi="Times New Roman"/>
                <w:sz w:val="18"/>
                <w:szCs w:val="18"/>
                <w:color w:val="auto"/>
              </w:rPr>
              <w:t>Black Hills Electric Generation</w:t>
            </w:r>
          </w:p>
        </w:tc>
        <w:tc>
          <w:tcPr>
            <w:tcW w:w="1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65,697</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30,912</w:t>
            </w: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255,605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EFFE7"/>
            </w:tcBorders>
            <w:shd w:val="clear" w:color="auto" w:fill="CEFFE7"/>
          </w:tcPr>
          <w:p>
            <w:pPr>
              <w:ind w:left="780"/>
              <w:spacing w:after="0"/>
              <w:rPr>
                <w:sz w:val="20"/>
                <w:szCs w:val="20"/>
                <w:color w:val="auto"/>
              </w:rPr>
            </w:pPr>
            <w:r>
              <w:rPr>
                <w:rFonts w:ascii="Times New Roman" w:cs="Times New Roman" w:eastAsia="Times New Roman" w:hAnsi="Times New Roman"/>
                <w:sz w:val="18"/>
                <w:szCs w:val="18"/>
                <w:color w:val="auto"/>
              </w:rPr>
              <w:t>Total Sold</w:t>
            </w:r>
          </w:p>
        </w:tc>
        <w:tc>
          <w:tcPr>
            <w:tcW w:w="1640" w:type="dxa"/>
            <w:vAlign w:val="bottom"/>
            <w:tcBorders>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525,486</w:t>
            </w:r>
          </w:p>
        </w:tc>
        <w:tc>
          <w:tcPr>
            <w:tcW w:w="122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469,447</w:t>
            </w:r>
          </w:p>
        </w:tc>
        <w:tc>
          <w:tcPr>
            <w:tcW w:w="1580" w:type="dxa"/>
            <w:vAlign w:val="bottom"/>
            <w:tcBorders>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1,557,538</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1,281,047</w:t>
            </w:r>
          </w:p>
        </w:tc>
        <w:tc>
          <w:tcPr>
            <w:tcW w:w="0" w:type="dxa"/>
            <w:vAlign w:val="bottom"/>
          </w:tcPr>
          <w:p>
            <w:pPr>
              <w:spacing w:after="0"/>
              <w:rPr>
                <w:sz w:val="1"/>
                <w:szCs w:val="1"/>
                <w:color w:val="auto"/>
              </w:rPr>
            </w:pP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64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Generated</w:t>
            </w:r>
          </w:p>
        </w:tc>
        <w:tc>
          <w:tcPr>
            <w:tcW w:w="1640" w:type="dxa"/>
            <w:vAlign w:val="bottom"/>
            <w:shd w:val="clear" w:color="auto" w:fill="CEFFE7"/>
          </w:tcPr>
          <w:p>
            <w:pPr>
              <w:spacing w:after="0"/>
              <w:rPr>
                <w:sz w:val="19"/>
                <w:szCs w:val="19"/>
                <w:color w:val="auto"/>
              </w:rPr>
            </w:pPr>
          </w:p>
        </w:tc>
        <w:tc>
          <w:tcPr>
            <w:tcW w:w="122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Black Hills Colorado IPP</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301,934</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275,867</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830,860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692,156</w:t>
            </w:r>
          </w:p>
        </w:tc>
        <w:tc>
          <w:tcPr>
            <w:tcW w:w="0" w:type="dxa"/>
            <w:vAlign w:val="bottom"/>
          </w:tcPr>
          <w:p>
            <w:pPr>
              <w:spacing w:after="0"/>
              <w:rPr>
                <w:sz w:val="1"/>
                <w:szCs w:val="1"/>
                <w:color w:val="auto"/>
              </w:rPr>
            </w:pPr>
          </w:p>
        </w:tc>
      </w:tr>
      <w:tr>
        <w:trPr>
          <w:trHeight w:val="230"/>
        </w:trPr>
        <w:tc>
          <w:tcPr>
            <w:tcW w:w="5520" w:type="dxa"/>
            <w:vAlign w:val="bottom"/>
            <w:shd w:val="clear" w:color="auto" w:fill="CEFFE7"/>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Black Hills Wyoming </w:t>
            </w:r>
            <w:r>
              <w:rPr>
                <w:rFonts w:ascii="Times New Roman" w:cs="Times New Roman" w:eastAsia="Times New Roman" w:hAnsi="Times New Roman"/>
                <w:sz w:val="23"/>
                <w:szCs w:val="23"/>
                <w:color w:val="auto"/>
                <w:vertAlign w:val="superscript"/>
              </w:rPr>
              <w:t>(b)</w:t>
            </w:r>
          </w:p>
        </w:tc>
        <w:tc>
          <w:tcPr>
            <w:tcW w:w="164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139,313</w:t>
            </w:r>
          </w:p>
        </w:tc>
        <w:tc>
          <w:tcPr>
            <w:tcW w:w="122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142,219</w:t>
            </w:r>
          </w:p>
        </w:tc>
        <w:tc>
          <w:tcPr>
            <w:tcW w:w="1580" w:type="dxa"/>
            <w:vAlign w:val="bottom"/>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408,545</w:t>
            </w: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407,001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EFFE7"/>
            </w:tcBorders>
          </w:tcPr>
          <w:p>
            <w:pPr>
              <w:ind w:left="340"/>
              <w:spacing w:after="0"/>
              <w:rPr>
                <w:sz w:val="20"/>
                <w:szCs w:val="20"/>
                <w:color w:val="auto"/>
              </w:rPr>
            </w:pPr>
            <w:r>
              <w:rPr>
                <w:rFonts w:ascii="Times New Roman" w:cs="Times New Roman" w:eastAsia="Times New Roman" w:hAnsi="Times New Roman"/>
                <w:sz w:val="18"/>
                <w:szCs w:val="18"/>
                <w:color w:val="auto"/>
              </w:rPr>
              <w:t>Black Hills Electric Generation</w:t>
            </w:r>
          </w:p>
        </w:tc>
        <w:tc>
          <w:tcPr>
            <w:tcW w:w="1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65,697</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30,912</w:t>
            </w: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255,605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EFFE7"/>
            </w:tcBorders>
            <w:shd w:val="clear" w:color="auto" w:fill="CEFFE7"/>
          </w:tcPr>
          <w:p>
            <w:pPr>
              <w:ind w:left="780"/>
              <w:spacing w:after="0"/>
              <w:rPr>
                <w:sz w:val="20"/>
                <w:szCs w:val="20"/>
                <w:color w:val="auto"/>
              </w:rPr>
            </w:pPr>
            <w:r>
              <w:rPr>
                <w:rFonts w:ascii="Times New Roman" w:cs="Times New Roman" w:eastAsia="Times New Roman" w:hAnsi="Times New Roman"/>
                <w:sz w:val="18"/>
                <w:szCs w:val="18"/>
                <w:color w:val="auto"/>
              </w:rPr>
              <w:t>Total Generated</w:t>
            </w:r>
          </w:p>
        </w:tc>
        <w:tc>
          <w:tcPr>
            <w:tcW w:w="1640" w:type="dxa"/>
            <w:vAlign w:val="bottom"/>
            <w:tcBorders>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506,944</w:t>
            </w:r>
          </w:p>
        </w:tc>
        <w:tc>
          <w:tcPr>
            <w:tcW w:w="122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448,998</w:t>
            </w:r>
          </w:p>
        </w:tc>
        <w:tc>
          <w:tcPr>
            <w:tcW w:w="1580" w:type="dxa"/>
            <w:vAlign w:val="bottom"/>
            <w:tcBorders>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1,495,010</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1,211,618</w:t>
            </w:r>
          </w:p>
        </w:tc>
        <w:tc>
          <w:tcPr>
            <w:tcW w:w="0" w:type="dxa"/>
            <w:vAlign w:val="bottom"/>
          </w:tcPr>
          <w:p>
            <w:pPr>
              <w:spacing w:after="0"/>
              <w:rPr>
                <w:sz w:val="1"/>
                <w:szCs w:val="1"/>
                <w:color w:val="auto"/>
              </w:rPr>
            </w:pP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64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640" w:type="dxa"/>
            <w:vAlign w:val="bottom"/>
            <w:shd w:val="clear" w:color="auto" w:fill="CEFFE7"/>
          </w:tcPr>
          <w:p>
            <w:pPr>
              <w:spacing w:after="0"/>
              <w:rPr>
                <w:sz w:val="19"/>
                <w:szCs w:val="19"/>
                <w:color w:val="auto"/>
              </w:rPr>
            </w:pPr>
          </w:p>
        </w:tc>
        <w:tc>
          <w:tcPr>
            <w:tcW w:w="122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EFFE7"/>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Black Hills Wyoming </w:t>
            </w:r>
            <w:r>
              <w:rPr>
                <w:rFonts w:ascii="Times New Roman" w:cs="Times New Roman" w:eastAsia="Times New Roman" w:hAnsi="Times New Roman"/>
                <w:sz w:val="23"/>
                <w:szCs w:val="23"/>
                <w:color w:val="auto"/>
                <w:vertAlign w:val="superscript"/>
              </w:rPr>
              <w:t>(b)</w:t>
            </w:r>
          </w:p>
        </w:tc>
        <w:tc>
          <w:tcPr>
            <w:tcW w:w="1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18,004</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16,865</w:t>
            </w: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62,097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EFFE7"/>
            </w:tcBorders>
            <w:shd w:val="clear" w:color="auto" w:fill="CEFFE7"/>
          </w:tcPr>
          <w:p>
            <w:pPr>
              <w:ind w:left="780"/>
              <w:spacing w:after="0"/>
              <w:rPr>
                <w:sz w:val="20"/>
                <w:szCs w:val="20"/>
                <w:color w:val="auto"/>
              </w:rPr>
            </w:pPr>
            <w:r>
              <w:rPr>
                <w:rFonts w:ascii="Times New Roman" w:cs="Times New Roman" w:eastAsia="Times New Roman" w:hAnsi="Times New Roman"/>
                <w:sz w:val="18"/>
                <w:szCs w:val="18"/>
                <w:color w:val="auto"/>
              </w:rPr>
              <w:t>Total Purchased</w:t>
            </w:r>
          </w:p>
        </w:tc>
        <w:tc>
          <w:tcPr>
            <w:tcW w:w="1640" w:type="dxa"/>
            <w:vAlign w:val="bottom"/>
            <w:tcBorders>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18,004</w:t>
            </w:r>
          </w:p>
        </w:tc>
        <w:tc>
          <w:tcPr>
            <w:tcW w:w="122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16,865</w:t>
            </w:r>
          </w:p>
        </w:tc>
        <w:tc>
          <w:tcPr>
            <w:tcW w:w="1580" w:type="dxa"/>
            <w:vAlign w:val="bottom"/>
            <w:tcBorders>
              <w:bottom w:val="single" w:sz="8" w:color="auto"/>
            </w:tcBorders>
            <w:shd w:val="clear" w:color="auto" w:fill="CEFFE7"/>
          </w:tcPr>
          <w:p>
            <w:pPr>
              <w:jc w:val="right"/>
              <w:ind w:right="210"/>
              <w:spacing w:after="0"/>
              <w:rPr>
                <w:sz w:val="20"/>
                <w:szCs w:val="20"/>
                <w:color w:val="auto"/>
              </w:rPr>
            </w:pPr>
            <w:r>
              <w:rPr>
                <w:rFonts w:ascii="Times New Roman" w:cs="Times New Roman" w:eastAsia="Times New Roman" w:hAnsi="Times New Roman"/>
                <w:sz w:val="18"/>
                <w:szCs w:val="18"/>
                <w:color w:val="auto"/>
              </w:rPr>
              <w:t>62,097</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0" w:type="dxa"/>
            <w:vAlign w:val="bottom"/>
          </w:tcPr>
          <w:p>
            <w:pPr>
              <w:spacing w:after="0"/>
              <w:rPr>
                <w:sz w:val="1"/>
                <w:szCs w:val="1"/>
                <w:color w:val="auto"/>
              </w:rPr>
            </w:pP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64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158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uses and losses are not included in the quantities sold, generated, and purchased.</w:t>
      </w:r>
    </w:p>
    <w:p>
      <w:pPr>
        <w:spacing w:after="0" w:line="9" w:lineRule="exact"/>
        <w:rPr>
          <w:rFonts w:ascii="Times New Roman" w:cs="Times New Roman" w:eastAsia="Times New Roman" w:hAnsi="Times New Roman"/>
          <w:sz w:val="16"/>
          <w:szCs w:val="16"/>
          <w:color w:val="auto"/>
        </w:rPr>
      </w:pPr>
    </w:p>
    <w:p>
      <w:pPr>
        <w:ind w:left="340" w:right="20" w:hanging="332"/>
        <w:spacing w:after="0" w:line="251" w:lineRule="auto"/>
        <w:tabs>
          <w:tab w:leader="none" w:pos="36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1" w:name="page52"/>
    <w:bookmarkEnd w:id="51"/>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Pr>
          <w:p>
            <w:pPr>
              <w:spacing w:after="0"/>
              <w:rPr>
                <w:sz w:val="19"/>
                <w:szCs w:val="19"/>
                <w:color w:val="auto"/>
              </w:rPr>
            </w:pPr>
          </w:p>
        </w:tc>
        <w:tc>
          <w:tcPr>
            <w:tcW w:w="4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4140" w:type="dxa"/>
            <w:vAlign w:val="bottom"/>
            <w:tcBorders>
              <w:bottom w:val="single" w:sz="8" w:color="auto"/>
            </w:tcBorders>
          </w:tcPr>
          <w:p>
            <w:pPr>
              <w:ind w:left="20"/>
              <w:spacing w:after="0" w:line="234" w:lineRule="exact"/>
              <w:rPr>
                <w:sz w:val="20"/>
                <w:szCs w:val="20"/>
                <w:color w:val="auto"/>
              </w:rPr>
            </w:pPr>
            <w:r>
              <w:rPr>
                <w:rFonts w:ascii="Times New Roman" w:cs="Times New Roman" w:eastAsia="Times New Roman" w:hAnsi="Times New Roman"/>
                <w:sz w:val="16"/>
                <w:szCs w:val="16"/>
                <w:color w:val="auto"/>
              </w:rPr>
              <w:t xml:space="preserve">Contracted Power Plant Fleet Availability </w:t>
            </w:r>
            <w:r>
              <w:rPr>
                <w:rFonts w:ascii="Times New Roman" w:cs="Times New Roman" w:eastAsia="Times New Roman" w:hAnsi="Times New Roman"/>
                <w:sz w:val="21"/>
                <w:szCs w:val="21"/>
                <w:color w:val="auto"/>
                <w:vertAlign w:val="superscript"/>
              </w:rPr>
              <w:t>(a)</w:t>
            </w:r>
          </w:p>
        </w:tc>
        <w:tc>
          <w:tcPr>
            <w:tcW w:w="28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2019</w:t>
            </w:r>
          </w:p>
        </w:tc>
        <w:tc>
          <w:tcPr>
            <w:tcW w:w="1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r>
      <w:tr>
        <w:trPr>
          <w:trHeight w:val="250"/>
        </w:trPr>
        <w:tc>
          <w:tcPr>
            <w:tcW w:w="41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414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Coal-fired plant</w:t>
            </w:r>
          </w:p>
        </w:tc>
        <w:tc>
          <w:tcPr>
            <w:tcW w:w="2800" w:type="dxa"/>
            <w:vAlign w:val="bottom"/>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96.1 %</w:t>
            </w:r>
          </w:p>
        </w:tc>
        <w:tc>
          <w:tcPr>
            <w:tcW w:w="1380" w:type="dxa"/>
            <w:vAlign w:val="bottom"/>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98.0 %</w:t>
            </w:r>
          </w:p>
        </w:tc>
        <w:tc>
          <w:tcPr>
            <w:tcW w:w="1700" w:type="dxa"/>
            <w:vAlign w:val="bottom"/>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94.5 %</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95.2 %</w:t>
            </w:r>
          </w:p>
        </w:tc>
      </w:tr>
      <w:tr>
        <w:trPr>
          <w:trHeight w:val="229"/>
        </w:trPr>
        <w:tc>
          <w:tcPr>
            <w:tcW w:w="41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Natural gas-fired plants </w:t>
            </w:r>
            <w:r>
              <w:rPr>
                <w:rFonts w:ascii="Times New Roman" w:cs="Times New Roman" w:eastAsia="Times New Roman" w:hAnsi="Times New Roman"/>
                <w:sz w:val="23"/>
                <w:szCs w:val="23"/>
                <w:color w:val="auto"/>
                <w:vertAlign w:val="superscript"/>
              </w:rPr>
              <w:t>(b)</w:t>
            </w:r>
          </w:p>
        </w:tc>
        <w:tc>
          <w:tcPr>
            <w:tcW w:w="2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99.8 %</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97.6 %</w:t>
            </w: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99.6 %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98.4 %</w:t>
            </w:r>
          </w:p>
        </w:tc>
      </w:tr>
      <w:tr>
        <w:trPr>
          <w:trHeight w:val="230"/>
        </w:trPr>
        <w:tc>
          <w:tcPr>
            <w:tcW w:w="4140" w:type="dxa"/>
            <w:vAlign w:val="bottom"/>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Wind</w:t>
            </w:r>
          </w:p>
        </w:tc>
        <w:tc>
          <w:tcPr>
            <w:tcW w:w="2800" w:type="dxa"/>
            <w:vAlign w:val="bottom"/>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90.6 %</w:t>
            </w:r>
          </w:p>
        </w:tc>
        <w:tc>
          <w:tcPr>
            <w:tcW w:w="1380" w:type="dxa"/>
            <w:vAlign w:val="bottom"/>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81.9 %</w:t>
            </w:r>
          </w:p>
        </w:tc>
        <w:tc>
          <w:tcPr>
            <w:tcW w:w="1700" w:type="dxa"/>
            <w:vAlign w:val="bottom"/>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92.8 %</w:t>
            </w:r>
          </w:p>
        </w:tc>
        <w:tc>
          <w:tcPr>
            <w:tcW w:w="1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93.4 %</w:t>
            </w:r>
          </w:p>
        </w:tc>
      </w:tr>
      <w:tr>
        <w:trPr>
          <w:trHeight w:val="229"/>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Availability</w:t>
            </w:r>
          </w:p>
        </w:tc>
        <w:tc>
          <w:tcPr>
            <w:tcW w:w="2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95.8 %</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93.6 %</w:t>
            </w: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96.3 %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r>
      <w:tr>
        <w:trPr>
          <w:trHeight w:val="162"/>
        </w:trPr>
        <w:tc>
          <w:tcPr>
            <w:tcW w:w="4140" w:type="dxa"/>
            <w:vAlign w:val="bottom"/>
            <w:shd w:val="clear" w:color="auto" w:fill="CEFFE7"/>
          </w:tcPr>
          <w:p>
            <w:pPr>
              <w:spacing w:after="0"/>
              <w:rPr>
                <w:sz w:val="14"/>
                <w:szCs w:val="14"/>
                <w:color w:val="auto"/>
              </w:rPr>
            </w:pPr>
          </w:p>
        </w:tc>
        <w:tc>
          <w:tcPr>
            <w:tcW w:w="2800" w:type="dxa"/>
            <w:vAlign w:val="bottom"/>
            <w:shd w:val="clear" w:color="auto" w:fill="CEFFE7"/>
          </w:tcPr>
          <w:p>
            <w:pPr>
              <w:spacing w:after="0"/>
              <w:rPr>
                <w:sz w:val="14"/>
                <w:szCs w:val="14"/>
                <w:color w:val="auto"/>
              </w:rPr>
            </w:pPr>
          </w:p>
        </w:tc>
        <w:tc>
          <w:tcPr>
            <w:tcW w:w="1380" w:type="dxa"/>
            <w:vAlign w:val="bottom"/>
            <w:shd w:val="clear" w:color="auto" w:fill="CEFFE7"/>
          </w:tcPr>
          <w:p>
            <w:pPr>
              <w:spacing w:after="0"/>
              <w:rPr>
                <w:sz w:val="14"/>
                <w:szCs w:val="14"/>
                <w:color w:val="auto"/>
              </w:rPr>
            </w:pPr>
          </w:p>
        </w:tc>
        <w:tc>
          <w:tcPr>
            <w:tcW w:w="170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Wind Capacity Factor</w:t>
            </w:r>
          </w:p>
        </w:tc>
        <w:tc>
          <w:tcPr>
            <w:tcW w:w="2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19.4 %</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15.0 %</w:t>
            </w: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25.7 %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9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ind w:left="340" w:hanging="332"/>
        <w:spacing w:after="0"/>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and Wind Capacity Factor are calculated using a weighted average based on capacity of our generating fleet.</w:t>
      </w:r>
    </w:p>
    <w:p>
      <w:pPr>
        <w:spacing w:after="0" w:line="9"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2019 included a planned outage at Pueblo Airport Generation.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Mining</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5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Variance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Variance</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3"/>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gridSpan w:val="2"/>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240" w:type="dxa"/>
            <w:vAlign w:val="bottom"/>
            <w:shd w:val="clear" w:color="auto" w:fill="CEFFE7"/>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22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EFFE7"/>
          </w:tcPr>
          <w:p>
            <w:pPr>
              <w:jc w:val="center"/>
              <w:ind w:left="37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45,857</w:t>
            </w:r>
          </w:p>
        </w:tc>
        <w:tc>
          <w:tcPr>
            <w:tcW w:w="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45,026</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2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20" w:type="dxa"/>
            <w:vAlign w:val="bottom"/>
            <w:shd w:val="clear" w:color="auto" w:fill="CEFFE7"/>
          </w:tcPr>
          <w:p>
            <w:pPr>
              <w:spacing w:after="0"/>
              <w:rPr>
                <w:sz w:val="19"/>
                <w:szCs w:val="19"/>
                <w:color w:val="auto"/>
              </w:rPr>
            </w:pPr>
          </w:p>
        </w:tc>
        <w:tc>
          <w:tcPr>
            <w:tcW w:w="900" w:type="dxa"/>
            <w:vAlign w:val="bottom"/>
            <w:gridSpan w:val="2"/>
            <w:shd w:val="clear" w:color="auto" w:fill="CEFFE7"/>
          </w:tcPr>
          <w:p>
            <w:pPr>
              <w:jc w:val="center"/>
              <w:ind w:left="370"/>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28,481</w:t>
            </w:r>
          </w:p>
        </w:tc>
        <w:tc>
          <w:tcPr>
            <w:tcW w:w="460" w:type="dxa"/>
            <w:vAlign w:val="bottom"/>
            <w:shd w:val="clear" w:color="auto" w:fill="CEFFE7"/>
          </w:tcPr>
          <w:p>
            <w:pPr>
              <w:spacing w:after="0"/>
              <w:rPr>
                <w:sz w:val="19"/>
                <w:szCs w:val="19"/>
                <w:color w:val="auto"/>
              </w:rPr>
            </w:pPr>
          </w:p>
        </w:tc>
        <w:tc>
          <w:tcPr>
            <w:tcW w:w="6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28,988</w:t>
            </w:r>
          </w:p>
        </w:tc>
        <w:tc>
          <w:tcPr>
            <w:tcW w:w="18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EFFE7"/>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20" w:type="dxa"/>
            <w:vAlign w:val="bottom"/>
            <w:tcBorders>
              <w:bottom w:val="single" w:sz="8" w:color="CEFFE7"/>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530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23"/>
        </w:trPr>
        <w:tc>
          <w:tcPr>
            <w:tcW w:w="4200" w:type="dxa"/>
            <w:vAlign w:val="bottom"/>
            <w:gridSpan w:val="3"/>
            <w:shd w:val="clear" w:color="auto" w:fill="CEFFE7"/>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EFFE7"/>
          </w:tcPr>
          <w:p>
            <w:pPr>
              <w:spacing w:after="0"/>
              <w:rPr>
                <w:sz w:val="19"/>
                <w:szCs w:val="19"/>
                <w:color w:val="auto"/>
              </w:rPr>
            </w:pPr>
          </w:p>
        </w:tc>
        <w:tc>
          <w:tcPr>
            <w:tcW w:w="24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240" w:type="dxa"/>
            <w:vAlign w:val="bottom"/>
            <w:tcBorders>
              <w:bottom w:val="single" w:sz="8" w:color="auto"/>
            </w:tcBorders>
            <w:shd w:val="clear" w:color="auto" w:fill="CEFFE7"/>
          </w:tcPr>
          <w:p>
            <w:pPr>
              <w:spacing w:after="0"/>
              <w:rPr>
                <w:sz w:val="19"/>
                <w:szCs w:val="19"/>
                <w:color w:val="auto"/>
              </w:rPr>
            </w:pPr>
          </w:p>
        </w:tc>
        <w:tc>
          <w:tcPr>
            <w:tcW w:w="140" w:type="dxa"/>
            <w:vAlign w:val="bottom"/>
            <w:tcBorders>
              <w:bottom w:val="single" w:sz="8" w:color="auto"/>
            </w:tcBorders>
            <w:shd w:val="clear" w:color="auto" w:fill="CEFFE7"/>
          </w:tcPr>
          <w:p>
            <w:pPr>
              <w:spacing w:after="0"/>
              <w:rPr>
                <w:sz w:val="19"/>
                <w:szCs w:val="19"/>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220" w:type="dxa"/>
            <w:vAlign w:val="bottom"/>
            <w:tcBorders>
              <w:bottom w:val="single" w:sz="8" w:color="auto"/>
            </w:tcBorders>
            <w:shd w:val="clear" w:color="auto" w:fill="CEFFE7"/>
          </w:tcPr>
          <w:p>
            <w:pPr>
              <w:spacing w:after="0"/>
              <w:rPr>
                <w:sz w:val="19"/>
                <w:szCs w:val="19"/>
                <w:color w:val="auto"/>
              </w:rPr>
            </w:pPr>
          </w:p>
        </w:tc>
        <w:tc>
          <w:tcPr>
            <w:tcW w:w="900" w:type="dxa"/>
            <w:vAlign w:val="bottom"/>
            <w:tcBorders>
              <w:bottom w:val="single" w:sz="8" w:color="auto"/>
            </w:tcBorders>
            <w:gridSpan w:val="2"/>
            <w:shd w:val="clear" w:color="auto" w:fill="CEFFE7"/>
          </w:tcPr>
          <w:p>
            <w:pPr>
              <w:jc w:val="center"/>
              <w:ind w:left="370"/>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bottom w:val="single" w:sz="8" w:color="auto"/>
            </w:tcBorders>
            <w:shd w:val="clear" w:color="auto" w:fill="CEFFE7"/>
          </w:tcPr>
          <w:p>
            <w:pPr>
              <w:spacing w:after="0"/>
              <w:rPr>
                <w:sz w:val="19"/>
                <w:szCs w:val="19"/>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35,865</w:t>
            </w:r>
          </w:p>
        </w:tc>
        <w:tc>
          <w:tcPr>
            <w:tcW w:w="460" w:type="dxa"/>
            <w:vAlign w:val="bottom"/>
            <w:tcBorders>
              <w:bottom w:val="single" w:sz="8" w:color="auto"/>
            </w:tcBorders>
            <w:shd w:val="clear" w:color="auto" w:fill="CEFFE7"/>
          </w:tcPr>
          <w:p>
            <w:pPr>
              <w:spacing w:after="0"/>
              <w:rPr>
                <w:sz w:val="19"/>
                <w:szCs w:val="19"/>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35,675</w:t>
            </w:r>
          </w:p>
        </w:tc>
        <w:tc>
          <w:tcPr>
            <w:tcW w:w="180" w:type="dxa"/>
            <w:vAlign w:val="bottom"/>
            <w:tcBorders>
              <w:bottom w:val="single" w:sz="8" w:color="auto"/>
            </w:tcBorders>
            <w:shd w:val="clear" w:color="auto" w:fill="CEFFE7"/>
          </w:tcPr>
          <w:p>
            <w:pPr>
              <w:spacing w:after="0"/>
              <w:rPr>
                <w:sz w:val="19"/>
                <w:szCs w:val="19"/>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0"/>
        </w:trPr>
        <w:tc>
          <w:tcPr>
            <w:tcW w:w="560" w:type="dxa"/>
            <w:vAlign w:val="bottom"/>
            <w:tcBorders>
              <w:bottom w:val="single" w:sz="8" w:color="CEFFE7"/>
            </w:tcBorders>
          </w:tcPr>
          <w:p>
            <w:pPr>
              <w:spacing w:after="0"/>
              <w:rPr>
                <w:sz w:val="21"/>
                <w:szCs w:val="21"/>
                <w:color w:val="auto"/>
              </w:rPr>
            </w:pPr>
          </w:p>
        </w:tc>
        <w:tc>
          <w:tcPr>
            <w:tcW w:w="1000" w:type="dxa"/>
            <w:vAlign w:val="bottom"/>
            <w:tcBorders>
              <w:bottom w:val="single" w:sz="8" w:color="CEFFE7"/>
            </w:tcBorders>
          </w:tcPr>
          <w:p>
            <w:pPr>
              <w:spacing w:after="0"/>
              <w:rPr>
                <w:sz w:val="21"/>
                <w:szCs w:val="21"/>
                <w:color w:val="auto"/>
              </w:rPr>
            </w:pPr>
          </w:p>
        </w:tc>
        <w:tc>
          <w:tcPr>
            <w:tcW w:w="2640" w:type="dxa"/>
            <w:vAlign w:val="bottom"/>
            <w:tcBorders>
              <w:bottom w:val="single" w:sz="8" w:color="CEFFE7"/>
            </w:tcBorders>
          </w:tcPr>
          <w:p>
            <w:pPr>
              <w:spacing w:after="0"/>
              <w:rPr>
                <w:sz w:val="21"/>
                <w:szCs w:val="21"/>
                <w:color w:val="auto"/>
              </w:rPr>
            </w:pPr>
          </w:p>
        </w:tc>
        <w:tc>
          <w:tcPr>
            <w:tcW w:w="320" w:type="dxa"/>
            <w:vAlign w:val="bottom"/>
            <w:tcBorders>
              <w:bottom w:val="single" w:sz="8" w:color="CEFFE7"/>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40" w:type="dxa"/>
            <w:vAlign w:val="bottom"/>
            <w:tcBorders>
              <w:bottom w:val="single" w:sz="8" w:color="auto"/>
            </w:tcBorders>
            <w:shd w:val="clear" w:color="auto" w:fill="CEFFE7"/>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EFFE7"/>
          </w:tcPr>
          <w:p>
            <w:pPr>
              <w:spacing w:after="0"/>
              <w:rPr>
                <w:sz w:val="21"/>
                <w:szCs w:val="21"/>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22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EFFE7"/>
          </w:tcPr>
          <w:p>
            <w:pPr>
              <w:spacing w:after="0"/>
              <w:rPr>
                <w:sz w:val="21"/>
                <w:szCs w:val="21"/>
                <w:color w:val="auto"/>
              </w:rPr>
            </w:pPr>
          </w:p>
        </w:tc>
        <w:tc>
          <w:tcPr>
            <w:tcW w:w="340" w:type="dxa"/>
            <w:vAlign w:val="bottom"/>
            <w:tcBorders>
              <w:bottom w:val="single" w:sz="8" w:color="auto"/>
            </w:tcBorders>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w w:val="96"/>
              </w:rPr>
              <w:t>131</w:t>
            </w:r>
          </w:p>
        </w:tc>
        <w:tc>
          <w:tcPr>
            <w:tcW w:w="22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460" w:type="dxa"/>
            <w:vAlign w:val="bottom"/>
            <w:tcBorders>
              <w:bottom w:val="single" w:sz="8" w:color="auto"/>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
        </w:trPr>
        <w:tc>
          <w:tcPr>
            <w:tcW w:w="4200" w:type="dxa"/>
            <w:vAlign w:val="bottom"/>
            <w:tcBorders>
              <w:top w:val="single" w:sz="8" w:color="CEFFE7"/>
              <w:bottom w:val="single" w:sz="8" w:color="CEFFE7"/>
            </w:tcBorders>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Operating Statistics</w:t>
            </w:r>
          </w:p>
        </w:tc>
        <w:tc>
          <w:tcPr>
            <w:tcW w:w="3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2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7"/>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4"/>
        </w:trPr>
        <w:tc>
          <w:tcPr>
            <w:tcW w:w="4200" w:type="dxa"/>
            <w:vAlign w:val="bottom"/>
            <w:tcBorders>
              <w:bottom w:val="single" w:sz="8" w:color="CEFFE7"/>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 except for Revenue per ton)</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4200" w:type="dxa"/>
            <w:vAlign w:val="bottom"/>
            <w:gridSpan w:val="3"/>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Tons of coal sold</w:t>
            </w:r>
          </w:p>
        </w:tc>
        <w:tc>
          <w:tcPr>
            <w:tcW w:w="3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120" w:type="dxa"/>
            <w:vAlign w:val="bottom"/>
            <w:gridSpan w:val="2"/>
            <w:shd w:val="clear" w:color="auto" w:fill="CEFFE7"/>
          </w:tcPr>
          <w:p>
            <w:pPr>
              <w:jc w:val="center"/>
              <w:ind w:left="670"/>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5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3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4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2,808</w:t>
            </w:r>
          </w:p>
        </w:tc>
        <w:tc>
          <w:tcPr>
            <w:tcW w:w="68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3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Cubic yards of overburden moved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1,595</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6,073</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0" w:type="dxa"/>
            <w:vAlign w:val="bottom"/>
          </w:tcPr>
          <w:p>
            <w:pPr>
              <w:spacing w:after="0"/>
              <w:rPr>
                <w:sz w:val="1"/>
                <w:szCs w:val="1"/>
                <w:color w:val="auto"/>
              </w:rPr>
            </w:pPr>
          </w:p>
        </w:tc>
      </w:tr>
      <w:tr>
        <w:trPr>
          <w:trHeight w:val="270"/>
        </w:trPr>
        <w:tc>
          <w:tcPr>
            <w:tcW w:w="1560" w:type="dxa"/>
            <w:vAlign w:val="bottom"/>
            <w:gridSpan w:val="2"/>
            <w:shd w:val="clear" w:color="auto" w:fill="CEFFE7"/>
          </w:tcPr>
          <w:p>
            <w:pPr>
              <w:spacing w:after="0"/>
              <w:rPr>
                <w:sz w:val="23"/>
                <w:szCs w:val="23"/>
                <w:color w:val="auto"/>
              </w:rPr>
            </w:pPr>
          </w:p>
        </w:tc>
        <w:tc>
          <w:tcPr>
            <w:tcW w:w="264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1120" w:type="dxa"/>
            <w:vAlign w:val="bottom"/>
            <w:gridSpan w:val="2"/>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7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56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8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68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94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per ton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15.64</w:t>
            </w:r>
          </w:p>
        </w:tc>
        <w:tc>
          <w:tcPr>
            <w:tcW w:w="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751"/>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Variance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Variance</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00" w:type="dxa"/>
            <w:vAlign w:val="bottom"/>
            <w:gridSpan w:val="3"/>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560" w:type="dxa"/>
            <w:vAlign w:val="bottom"/>
            <w:gridSpan w:val="2"/>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EFFE7"/>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EFFE7"/>
          </w:tcPr>
          <w:p>
            <w:pPr>
              <w:spacing w:after="0"/>
              <w:rPr>
                <w:sz w:val="21"/>
                <w:szCs w:val="21"/>
                <w:color w:val="auto"/>
              </w:rPr>
            </w:pPr>
          </w:p>
        </w:tc>
        <w:tc>
          <w:tcPr>
            <w:tcW w:w="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EFFE7"/>
          </w:tcPr>
          <w:p>
            <w:pPr>
              <w:jc w:val="center"/>
              <w:ind w:left="370"/>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56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2640" w:type="dxa"/>
            <w:vAlign w:val="bottom"/>
            <w:tcBorders>
              <w:top w:val="single" w:sz="8" w:color="CEFFE7"/>
            </w:tcBorders>
          </w:tcPr>
          <w:p>
            <w:pPr>
              <w:spacing w:after="0" w:line="20" w:lineRule="exact"/>
              <w:rPr>
                <w:sz w:val="1"/>
                <w:szCs w:val="1"/>
                <w:color w:val="auto"/>
              </w:rPr>
            </w:pPr>
          </w:p>
        </w:tc>
        <w:tc>
          <w:tcPr>
            <w:tcW w:w="3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2" w:name="page53"/>
    <w:bookmarkEnd w:id="52"/>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Consolidated Interest Expense, Impairment of Investment, Other Income (Expense) and Income Tax (Expense)</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67"/>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380" w:type="dxa"/>
            <w:vAlign w:val="bottom"/>
          </w:tcPr>
          <w:p>
            <w:pPr>
              <w:spacing w:after="0"/>
              <w:rPr>
                <w:sz w:val="24"/>
                <w:szCs w:val="24"/>
                <w:color w:val="auto"/>
              </w:rPr>
            </w:pPr>
          </w:p>
        </w:tc>
        <w:tc>
          <w:tcPr>
            <w:tcW w:w="29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Variance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2020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Variance</w:t>
            </w:r>
          </w:p>
        </w:tc>
      </w:tr>
      <w:tr>
        <w:trPr>
          <w:trHeight w:val="223"/>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5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(36,041)</w:t>
            </w:r>
          </w:p>
        </w:tc>
        <w:tc>
          <w:tcPr>
            <w:tcW w:w="24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(2,554)</w:t>
            </w:r>
          </w:p>
        </w:tc>
        <w:tc>
          <w:tcPr>
            <w:tcW w:w="380" w:type="dxa"/>
            <w:vAlign w:val="bottom"/>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99"/>
              </w:rPr>
              <w:t>(107,039)</w:t>
            </w:r>
          </w:p>
        </w:tc>
        <w:tc>
          <w:tcPr>
            <w:tcW w:w="24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(102,469)</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19,741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29"/>
        </w:trPr>
        <w:tc>
          <w:tcPr>
            <w:tcW w:w="452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8"/>
                <w:szCs w:val="18"/>
                <w:color w:val="auto"/>
              </w:rPr>
              <w:t>(1,773)</w:t>
            </w:r>
          </w:p>
        </w:tc>
        <w:tc>
          <w:tcPr>
            <w:tcW w:w="38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(2,143)</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the Three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net for the three months ended September 30, 2020, compared to the same period in the prior year, was driven by higher debt balances partially offset by lower interest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Investment</w:t>
      </w:r>
    </w:p>
    <w:p>
      <w:pPr>
        <w:spacing w:after="0" w:line="252" w:lineRule="exact"/>
        <w:rPr>
          <w:sz w:val="20"/>
          <w:szCs w:val="20"/>
          <w:color w:val="auto"/>
        </w:rPr>
      </w:pPr>
    </w:p>
    <w:p>
      <w:pPr>
        <w:ind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three months ended September 30, 2019, we recorded a pre-tax non-cash write-down of $20 million in our investment in equity securities of a privately held oil and gas company. The impairment was triggered by continued adverse changes in future natural gas prices and liquidity concerns at the privately held oil and gas company. The remaining book value of our investment is $1.5 million, and this is our only remaining investment in oil and gas exploration and production activities. See </w:t>
      </w:r>
      <w:hyperlink w:anchor="page36">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for additional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w:t>
      </w:r>
    </w:p>
    <w:p>
      <w:pPr>
        <w:spacing w:after="0" w:line="252"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variance in Other income (expense), net for the three months ended September 30, 2020, compared to the same period in the prior year, was primarily due to increased costs for our non-qualified benefit plans which were driven by market performance on plan assets and increased non-service pension costs resulting from a change in accounting principle for our defined benefit pension plan effective January 1, 2020.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3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the effective tax rate was 10.3% compared to 14.0% for the same period in 2019. The lower effective tax rate is primarily due to increased tax benefits from federal production tax credits associated with new wind assets and reversal of accrued excess deferred income taxes as part of resolving the last of the Company’s open dockets seeking approval of its TCJA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the Nine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net for the nine months ended September 30, 2020, compared to the same period in the prior year was driven by higher debt balances partially offset by lower interest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Investment</w:t>
      </w:r>
    </w:p>
    <w:p>
      <w:pPr>
        <w:spacing w:after="0" w:line="252" w:lineRule="exact"/>
        <w:rPr>
          <w:sz w:val="20"/>
          <w:szCs w:val="20"/>
          <w:color w:val="auto"/>
        </w:rPr>
      </w:pPr>
    </w:p>
    <w:p>
      <w:pPr>
        <w:ind w:right="2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nine months ended September 30, 2020, we recorded a pre-tax non-cash write-down of $6.9 million in our investment in equity securities of a privately held oil and gas company, compared to a $20 million write-down for the same period in the prior year. The impairments in both years were triggered by continued adverse changes in future natural gas prices and liquidity concerns at the privately held oil and gas company. The remaining book value of our investment is $1.5 million, and this is our only remaining investment in oil and gas exploration and production activities. See </w:t>
      </w:r>
      <w:hyperlink w:anchor="page36">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3" w:name="page54"/>
    <w:bookmarkEnd w:id="53"/>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5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effective tax rate was 13.6% for both the nine months ended September 30, 2020 and 2019, primarily due to increased tax benefits from forecasted federal production tax credits associated with new wind assets and reversal of accrued excess deferred income taxes as part of resolving the last of the Company’s open dockets seeking approval of its TCJA plans offset by a prior year discrete tax benefit related to repairs and certain indirect costs.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Involving Significant Accounting Estimates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those reported in our 2019 Annual Report on Form 10-K filed with the SEC except for Pension and Other Postretirement Benefits provided below. We continue to closely monitor the rapidly evolving and uncertain impact of COVID-19 on our critical accounting estimates including, but not limited to, collectibility of customer receivables, recoverability of regulatory assets, impairment risk of goodwill and long-lived assets, valuation of pension assets and liabilities, and contingent liabilities. For more information on our critical accounting estimates, see Part II, Item 7 of our 2019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described in Note 18 of the Notes to the Consolidated Financial Statements in our 2019 Annual Report on Form 10-K filed with the SEC, we have one defined benefit pension plan, one defined post-retirement healthcare plan and several non-qualified retirement plans. A Master Trust holds the assets for the pension plan. A trust for the funded portion of the post-retirement healthcare plan has also been established.</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Accounting for pension and other postretirement benefit obligations involves numerous assumptions, the most significant of which relate to the discount rates, healthcare cost trend rates, expected return on plan assets, compensation increases, retirement rates and mortality rates. The determination of our obligation and expenses for pension and other postretirement benefits is dependent on the assumptions determined by management and used by actuaries in calculating the amounts. Although we believe our assumptions are appropriate, significant differences in our actual experience or significant changes in our assumptions may materially affect our pension and other postretirement obligations and our future expense.</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Effective January 1, 2020, the Company changed its method of accounting for net periodic benefit cost. Prior to the change, the Company used a calculated value for determining market-related value of plan assets which amortized the effects of gains and losses over a five-year period. Effective with the accounting change, the Company will use a calculated value for the return-seeking assets (equities) in the portfolio and fair value for the liability-hedging assets (fixed income). The Company considers the fair value method for determining market-related value of liability-hedging assets to be a preferable method of accounting because asset-related gains and losses are subject to amortization into pension cost immediately. Additionally, the fair value for liability-hedging assets allows for the impact of gains and losses on this portion of the asset portfolio to be reflected in tandem with changes in the liability which is linked to changes in the discount rate assumption for re-measurement.</w:t>
      </w:r>
    </w:p>
    <w:p>
      <w:pPr>
        <w:spacing w:after="0" w:line="216"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32">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4" w:name="page55"/>
    <w:bookmarkEnd w:id="54"/>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material changes in Liquidity and Capital Resources from those reported in Item 7 of our 2019 Annual Report on Form 10-K filed with the SEC except as described below and within the “COVID-19 Pandemic” discussion in the </w:t>
      </w:r>
      <w:hyperlink w:anchor="page37">
        <w:r>
          <w:rPr>
            <w:rFonts w:ascii="Times New Roman" w:cs="Times New Roman" w:eastAsia="Times New Roman" w:hAnsi="Times New Roman"/>
            <w:sz w:val="18"/>
            <w:szCs w:val="18"/>
            <w:u w:val="single" w:color="auto"/>
            <w:color w:val="0000FF"/>
          </w:rPr>
          <w:t>Executive Summary</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section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Requirements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September 30, 2020, we had sufficient liquidity to cover collateral that could be required to be posted under these contracts. For the nine months ended September 30, 2020, we did not experience any requests to post additional collateral, including for concerns over a potential deterioration of our financial condition due to COVID-19.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(in millions):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9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Variance</w:t>
            </w:r>
          </w:p>
        </w:tc>
      </w:tr>
      <w:tr>
        <w:trPr>
          <w:trHeight w:val="223"/>
        </w:trPr>
        <w:tc>
          <w:tcPr>
            <w:tcW w:w="464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900" w:type="dxa"/>
            <w:vAlign w:val="bottom"/>
            <w:shd w:val="clear" w:color="auto" w:fill="CEFFE7"/>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EFFE7"/>
          </w:tcPr>
          <w:p>
            <w:pPr>
              <w:jc w:val="center"/>
              <w:ind w:left="370"/>
              <w:spacing w:after="0"/>
              <w:rPr>
                <w:sz w:val="20"/>
                <w:szCs w:val="20"/>
                <w:color w:val="auto"/>
              </w:rPr>
            </w:pPr>
            <w:r>
              <w:rPr>
                <w:rFonts w:ascii="Times New Roman" w:cs="Times New Roman" w:eastAsia="Times New Roman" w:hAnsi="Times New Roman"/>
                <w:sz w:val="18"/>
                <w:szCs w:val="18"/>
                <w:color w:val="auto"/>
                <w:w w:val="98"/>
              </w:rPr>
              <w:t>419.5</w:t>
            </w:r>
          </w:p>
        </w:tc>
        <w:tc>
          <w:tcPr>
            <w:tcW w:w="300" w:type="dxa"/>
            <w:vAlign w:val="bottom"/>
            <w:shd w:val="clear" w:color="auto" w:fill="CEFFE7"/>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EFFE7"/>
          </w:tcPr>
          <w:p>
            <w:pPr>
              <w:jc w:val="center"/>
              <w:ind w:left="390"/>
              <w:spacing w:after="0"/>
              <w:rPr>
                <w:sz w:val="20"/>
                <w:szCs w:val="20"/>
                <w:color w:val="auto"/>
              </w:rPr>
            </w:pPr>
            <w:r>
              <w:rPr>
                <w:rFonts w:ascii="Times New Roman" w:cs="Times New Roman" w:eastAsia="Times New Roman" w:hAnsi="Times New Roman"/>
                <w:sz w:val="18"/>
                <w:szCs w:val="18"/>
                <w:color w:val="auto"/>
              </w:rPr>
              <w:t>386.1</w:t>
            </w:r>
          </w:p>
        </w:tc>
        <w:tc>
          <w:tcPr>
            <w:tcW w:w="24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EFFE7"/>
          </w:tcPr>
          <w:p>
            <w:pPr>
              <w:jc w:val="center"/>
              <w:ind w:left="550"/>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(529.7)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(593.3)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63.6</w:t>
            </w:r>
          </w:p>
        </w:tc>
      </w:tr>
      <w:tr>
        <w:trPr>
          <w:trHeight w:val="229"/>
        </w:trPr>
        <w:tc>
          <w:tcPr>
            <w:tcW w:w="4640" w:type="dxa"/>
            <w:vAlign w:val="bottom"/>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900" w:type="dxa"/>
            <w:vAlign w:val="bottom"/>
            <w:shd w:val="clear" w:color="auto" w:fill="CEFFE7"/>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EFFE7"/>
          </w:tcPr>
          <w:p>
            <w:pPr>
              <w:jc w:val="center"/>
              <w:ind w:left="370"/>
              <w:spacing w:after="0"/>
              <w:rPr>
                <w:sz w:val="20"/>
                <w:szCs w:val="20"/>
                <w:color w:val="auto"/>
              </w:rPr>
            </w:pPr>
            <w:r>
              <w:rPr>
                <w:rFonts w:ascii="Times New Roman" w:cs="Times New Roman" w:eastAsia="Times New Roman" w:hAnsi="Times New Roman"/>
                <w:sz w:val="18"/>
                <w:szCs w:val="18"/>
                <w:color w:val="auto"/>
                <w:w w:val="98"/>
              </w:rPr>
              <w:t>107.8</w:t>
            </w:r>
          </w:p>
        </w:tc>
        <w:tc>
          <w:tcPr>
            <w:tcW w:w="300" w:type="dxa"/>
            <w:vAlign w:val="bottom"/>
            <w:shd w:val="clear" w:color="auto" w:fill="CEFFE7"/>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EFFE7"/>
          </w:tcPr>
          <w:p>
            <w:pPr>
              <w:jc w:val="center"/>
              <w:ind w:left="390"/>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EFFE7"/>
          </w:tcPr>
          <w:p>
            <w:pPr>
              <w:jc w:val="center"/>
              <w:ind w:left="510"/>
              <w:spacing w:after="0"/>
              <w:rPr>
                <w:sz w:val="20"/>
                <w:szCs w:val="20"/>
                <w:color w:val="auto"/>
              </w:rPr>
            </w:pPr>
            <w:r>
              <w:rPr>
                <w:rFonts w:ascii="Times New Roman" w:cs="Times New Roman" w:eastAsia="Times New Roman" w:hAnsi="Times New Roman"/>
                <w:sz w:val="18"/>
                <w:szCs w:val="18"/>
                <w:color w:val="auto"/>
              </w:rPr>
              <w:t>(92.0)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2020 Compared to Year-to-Date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$419 million for the nine months ended September 30, 2020, compared to net cash provided by operating activities of $386 million for the same period in 2019, for an increase of $33 million. The variance was primarily attributable to:</w:t>
      </w:r>
    </w:p>
    <w:p>
      <w:pPr>
        <w:spacing w:after="0" w:line="189" w:lineRule="exact"/>
        <w:rPr>
          <w:sz w:val="20"/>
          <w:szCs w:val="20"/>
          <w:color w:val="auto"/>
        </w:rPr>
      </w:pPr>
    </w:p>
    <w:p>
      <w:pPr>
        <w:ind w:left="660" w:right="2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earnings (net income plus non-cash adjustments) were $22 million higher for the nine months ended September 30, 2020 compared to the same period in the prior year primarily driven by higher operating income at the Gas Utilities segment;</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inflows from changes in operating assets and liabilities were $27 million for the nine months ended September 30, 2020, compared to net cash inflows of $15 million in the same period in the prior year. This $12 million increase was primarily due to:</w:t>
      </w:r>
    </w:p>
    <w:p>
      <w:pPr>
        <w:spacing w:after="0" w:line="188" w:lineRule="exact"/>
        <w:rPr>
          <w:rFonts w:ascii="Times New Roman" w:cs="Times New Roman" w:eastAsia="Times New Roman" w:hAnsi="Times New Roman"/>
          <w:sz w:val="18"/>
          <w:szCs w:val="18"/>
          <w:color w:val="auto"/>
        </w:rPr>
      </w:pPr>
    </w:p>
    <w:p>
      <w:pPr>
        <w:ind w:left="1140" w:right="500" w:hanging="322"/>
        <w:spacing w:after="0" w:line="282" w:lineRule="auto"/>
        <w:tabs>
          <w:tab w:leader="none" w:pos="11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decreased by $46 million primarily as a result of changes in accounts receivable driven by lower commodity prices and increased materials and supplies purchases;</w:t>
      </w:r>
    </w:p>
    <w:p>
      <w:pPr>
        <w:spacing w:after="0" w:line="188"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outflows decreased by $72 million as a result of changes in accounts payable and accrued liabilities driven by the impact of lower commodity prices, lower outside services expenses, timing of interest payments, deferral of payroll taxes under the CARES Act and other working capital requirements; and</w:t>
      </w:r>
    </w:p>
    <w:p>
      <w:pPr>
        <w:spacing w:after="0" w:line="202"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outflows increased by $13 million primarily as a result of changes in our regulatory assets and liabilities driven by timing of recovery and returns for fuel costs adjustments partially offset by the TCJA tax rate change that was returned to customers in the prior year.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5" w:name="page56"/>
    <w:bookmarkEnd w:id="55"/>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$530 million for the nine months ended September 30, 2020, compared to net cash used in investing activities of $593 million for the same period in 2019, a decrease of $64 million primarily due to the following:</w:t>
      </w:r>
    </w:p>
    <w:p>
      <w:pPr>
        <w:spacing w:after="0" w:line="189" w:lineRule="exact"/>
        <w:rPr>
          <w:sz w:val="20"/>
          <w:szCs w:val="20"/>
          <w:color w:val="auto"/>
        </w:rPr>
      </w:pPr>
    </w:p>
    <w:p>
      <w:pPr>
        <w:ind w:left="660" w:right="10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$536 million for the nine months ended September 30, 2020 compared to $593 million for the same period in the prior year. Higher prior year expenditures were driven by large prior year projects such as the Natural Bridge pipeline project, the Busch Ranch II wind project and construction of the final segment of the 175-mile transmission line from Rapid City, South Dakota to Stegall, Nebraska. These large prior year expenditures were partially offset by the current year Corriedale wind project at our Electric Utilities segment.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2020 was $108 million, compared to $200 million of net cash provided by financing activities for the same period in 2019, a decrease of $92 million primarily due to the following:</w:t>
      </w:r>
    </w:p>
    <w:p>
      <w:pPr>
        <w:spacing w:after="0" w:line="189"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 million of higher repayments of short-term debt;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$297 million in net proceeds due to issuances of long-term debt in excess of maturities;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on common stock of $100 million were paid in the current year compared to $92 million paid in the prior year;</w:t>
      </w:r>
    </w:p>
    <w:p>
      <w:pPr>
        <w:spacing w:after="0" w:line="252"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outflows for other financing activities increased $4.5 million driven primarily by current year financing costs in the June 17, 2020 debt offering;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$2.0 million in net proceeds from the issuance of common stock;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Dividends paid on our common stock totaled $100 million for the nine months ended September 30, 2020, or $0.535 per share per quarter. On October 27, 2020, our board of directors declared a quarterly dividend of $0.565 per share payable December 1, 2020, equivalent to an annual dividend of $2.26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Transactions and Short-Term Liquidity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 and CP Program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and CP Program had the following borrowings, outstanding letters of credit, and available capacity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Current</w:t>
            </w:r>
          </w:p>
        </w:tc>
        <w:tc>
          <w:tcPr>
            <w:tcW w:w="220" w:type="dxa"/>
            <w:vAlign w:val="bottom"/>
          </w:tcPr>
          <w:p>
            <w:pPr>
              <w:spacing w:after="0"/>
              <w:rPr>
                <w:sz w:val="18"/>
                <w:szCs w:val="18"/>
                <w:color w:val="auto"/>
              </w:rPr>
            </w:pPr>
          </w:p>
        </w:tc>
        <w:tc>
          <w:tcPr>
            <w:tcW w:w="15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Revolver</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CP Program</w:t>
            </w:r>
          </w:p>
        </w:tc>
        <w:tc>
          <w:tcPr>
            <w:tcW w:w="140" w:type="dxa"/>
            <w:vAlign w:val="bottom"/>
          </w:tcPr>
          <w:p>
            <w:pPr>
              <w:spacing w:after="0"/>
              <w:rPr>
                <w:sz w:val="18"/>
                <w:szCs w:val="18"/>
                <w:color w:val="auto"/>
              </w:rPr>
            </w:pPr>
          </w:p>
        </w:tc>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6"/>
              </w:rPr>
              <w:t xml:space="preserve">Letters of Credit </w:t>
            </w:r>
            <w:r>
              <w:rPr>
                <w:rFonts w:ascii="Times New Roman" w:cs="Times New Roman" w:eastAsia="Times New Roman" w:hAnsi="Times New Roman"/>
                <w:sz w:val="23"/>
                <w:szCs w:val="23"/>
                <w:color w:val="auto"/>
                <w:w w:val="96"/>
                <w:vertAlign w:val="superscript"/>
              </w:rPr>
              <w:t>(a)</w:t>
            </w:r>
            <w:r>
              <w:rPr>
                <w:rFonts w:ascii="Times New Roman" w:cs="Times New Roman" w:eastAsia="Times New Roman" w:hAnsi="Times New Roman"/>
                <w:sz w:val="18"/>
                <w:szCs w:val="18"/>
                <w:color w:val="auto"/>
                <w:w w:val="96"/>
              </w:rPr>
              <w:t xml:space="preserve"> at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Available Capacity</w:t>
            </w: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Borrowings at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Borrowings at</w:t>
            </w:r>
          </w:p>
        </w:tc>
        <w:tc>
          <w:tcPr>
            <w:tcW w:w="14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3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Expiration</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Capacity</w:t>
            </w:r>
          </w:p>
        </w:tc>
        <w:tc>
          <w:tcPr>
            <w:tcW w:w="3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 2020  September 30, 2020</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September 30, 2020</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September 30, 2020</w:t>
            </w:r>
          </w:p>
        </w:tc>
        <w:tc>
          <w:tcPr>
            <w:tcW w:w="0" w:type="dxa"/>
            <w:vAlign w:val="bottom"/>
          </w:tcPr>
          <w:p>
            <w:pPr>
              <w:spacing w:after="0"/>
              <w:rPr>
                <w:sz w:val="1"/>
                <w:szCs w:val="1"/>
                <w:color w:val="auto"/>
              </w:rPr>
            </w:pPr>
          </w:p>
        </w:tc>
      </w:tr>
      <w:tr>
        <w:trPr>
          <w:trHeight w:val="169"/>
        </w:trPr>
        <w:tc>
          <w:tcPr>
            <w:tcW w:w="2100" w:type="dxa"/>
            <w:vAlign w:val="bottom"/>
            <w:shd w:val="clear" w:color="auto" w:fill="CEFFE7"/>
          </w:tcPr>
          <w:p>
            <w:pPr>
              <w:ind w:left="20"/>
              <w:spacing w:after="0" w:line="169" w:lineRule="exact"/>
              <w:rPr>
                <w:sz w:val="20"/>
                <w:szCs w:val="20"/>
                <w:color w:val="auto"/>
              </w:rPr>
            </w:pPr>
            <w:r>
              <w:rPr>
                <w:rFonts w:ascii="Times New Roman" w:cs="Times New Roman" w:eastAsia="Times New Roman" w:hAnsi="Times New Roman"/>
                <w:sz w:val="18"/>
                <w:szCs w:val="18"/>
                <w:color w:val="auto"/>
              </w:rPr>
              <w:t>Revolving Credit Facility</w:t>
            </w:r>
          </w:p>
        </w:tc>
        <w:tc>
          <w:tcPr>
            <w:tcW w:w="1380" w:type="dxa"/>
            <w:vAlign w:val="bottom"/>
            <w:vMerge w:val="restart"/>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rPr>
              <w:t>July 30, 2023</w:t>
            </w:r>
          </w:p>
        </w:tc>
        <w:tc>
          <w:tcPr>
            <w:tcW w:w="28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shd w:val="clear" w:color="auto" w:fill="CEFFE7"/>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vMerge w:val="restart"/>
            <w:shd w:val="clear" w:color="auto" w:fill="CEFFE7"/>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210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and CP Program</w:t>
            </w:r>
          </w:p>
        </w:tc>
        <w:tc>
          <w:tcPr>
            <w:tcW w:w="1380" w:type="dxa"/>
            <w:vAlign w:val="bottom"/>
            <w:vMerge w:val="continue"/>
            <w:shd w:val="clear" w:color="auto" w:fill="CEFFE7"/>
          </w:tcPr>
          <w:p>
            <w:pPr>
              <w:spacing w:after="0"/>
              <w:rPr>
                <w:sz w:val="19"/>
                <w:szCs w:val="19"/>
                <w:color w:val="auto"/>
              </w:rPr>
            </w:pPr>
          </w:p>
        </w:tc>
        <w:tc>
          <w:tcPr>
            <w:tcW w:w="280" w:type="dxa"/>
            <w:vAlign w:val="bottom"/>
            <w:vMerge w:val="continue"/>
            <w:shd w:val="clear" w:color="auto" w:fill="CEFFE7"/>
          </w:tcPr>
          <w:p>
            <w:pPr>
              <w:spacing w:after="0"/>
              <w:rPr>
                <w:sz w:val="19"/>
                <w:szCs w:val="19"/>
                <w:color w:val="auto"/>
              </w:rPr>
            </w:pPr>
          </w:p>
        </w:tc>
        <w:tc>
          <w:tcPr>
            <w:tcW w:w="920" w:type="dxa"/>
            <w:vAlign w:val="bottom"/>
            <w:vMerge w:val="continue"/>
            <w:shd w:val="clear" w:color="auto" w:fill="CEFFE7"/>
          </w:tcPr>
          <w:p>
            <w:pPr>
              <w:spacing w:after="0"/>
              <w:rPr>
                <w:sz w:val="19"/>
                <w:szCs w:val="19"/>
                <w:color w:val="auto"/>
              </w:rPr>
            </w:pPr>
          </w:p>
        </w:tc>
        <w:tc>
          <w:tcPr>
            <w:tcW w:w="220" w:type="dxa"/>
            <w:vAlign w:val="bottom"/>
            <w:vMerge w:val="continue"/>
            <w:shd w:val="clear" w:color="auto" w:fill="CEFFE7"/>
          </w:tcPr>
          <w:p>
            <w:pPr>
              <w:spacing w:after="0"/>
              <w:rPr>
                <w:sz w:val="19"/>
                <w:szCs w:val="19"/>
                <w:color w:val="auto"/>
              </w:rPr>
            </w:pPr>
          </w:p>
        </w:tc>
        <w:tc>
          <w:tcPr>
            <w:tcW w:w="1580" w:type="dxa"/>
            <w:vAlign w:val="bottom"/>
            <w:vMerge w:val="continue"/>
            <w:shd w:val="clear" w:color="auto" w:fill="CEFFE7"/>
          </w:tcPr>
          <w:p>
            <w:pPr>
              <w:spacing w:after="0"/>
              <w:rPr>
                <w:sz w:val="19"/>
                <w:szCs w:val="19"/>
                <w:color w:val="auto"/>
              </w:rPr>
            </w:pPr>
          </w:p>
        </w:tc>
        <w:tc>
          <w:tcPr>
            <w:tcW w:w="1360" w:type="dxa"/>
            <w:vAlign w:val="bottom"/>
            <w:vMerge w:val="continue"/>
            <w:shd w:val="clear" w:color="auto" w:fill="CEFFE7"/>
          </w:tcPr>
          <w:p>
            <w:pPr>
              <w:spacing w:after="0"/>
              <w:rPr>
                <w:sz w:val="19"/>
                <w:szCs w:val="19"/>
                <w:color w:val="auto"/>
              </w:rPr>
            </w:pPr>
          </w:p>
        </w:tc>
        <w:tc>
          <w:tcPr>
            <w:tcW w:w="140" w:type="dxa"/>
            <w:vAlign w:val="bottom"/>
            <w:vMerge w:val="continue"/>
            <w:shd w:val="clear" w:color="auto" w:fill="CEFFE7"/>
          </w:tcPr>
          <w:p>
            <w:pPr>
              <w:spacing w:after="0"/>
              <w:rPr>
                <w:sz w:val="19"/>
                <w:szCs w:val="19"/>
                <w:color w:val="auto"/>
              </w:rPr>
            </w:pPr>
          </w:p>
        </w:tc>
        <w:tc>
          <w:tcPr>
            <w:tcW w:w="1660" w:type="dxa"/>
            <w:vAlign w:val="bottom"/>
            <w:vMerge w:val="continue"/>
            <w:shd w:val="clear" w:color="auto" w:fill="CEFFE7"/>
          </w:tcPr>
          <w:p>
            <w:pPr>
              <w:spacing w:after="0"/>
              <w:rPr>
                <w:sz w:val="19"/>
                <w:szCs w:val="19"/>
                <w:color w:val="auto"/>
              </w:rPr>
            </w:pPr>
          </w:p>
        </w:tc>
        <w:tc>
          <w:tcPr>
            <w:tcW w:w="440" w:type="dxa"/>
            <w:vAlign w:val="bottom"/>
            <w:vMerge w:val="continue"/>
            <w:shd w:val="clear" w:color="auto" w:fill="CEFFE7"/>
          </w:tcPr>
          <w:p>
            <w:pPr>
              <w:spacing w:after="0"/>
              <w:rPr>
                <w:sz w:val="19"/>
                <w:szCs w:val="19"/>
                <w:color w:val="auto"/>
              </w:rPr>
            </w:pPr>
          </w:p>
        </w:tc>
        <w:tc>
          <w:tcPr>
            <w:tcW w:w="116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23" w:lineRule="exact"/>
        <w:rPr>
          <w:sz w:val="20"/>
          <w:szCs w:val="20"/>
          <w:color w:val="auto"/>
        </w:rPr>
      </w:pPr>
    </w:p>
    <w:p>
      <w:pPr>
        <w:ind w:left="220" w:hanging="212"/>
        <w:spacing w:after="0"/>
        <w:tabs>
          <w:tab w:leader="none" w:pos="2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Letters of credit are off-balance sheet commitments that reduce the borrowing capacity available on our corporate Revolving Credit Facility.</w:t>
      </w:r>
    </w:p>
    <w:p>
      <w:pPr>
        <w:spacing w:after="0" w:line="200" w:lineRule="exact"/>
        <w:rPr>
          <w:rFonts w:ascii="Times New Roman" w:cs="Times New Roman" w:eastAsia="Times New Roman" w:hAnsi="Times New Roman"/>
          <w:sz w:val="16"/>
          <w:szCs w:val="16"/>
          <w:color w:val="auto"/>
        </w:rPr>
      </w:pPr>
    </w:p>
    <w:p>
      <w:pPr>
        <w:spacing w:after="0" w:line="33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and CP Program borrowing activity for the nine months ended September 30, 2020 was (dollars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229"/>
        </w:trPr>
        <w:tc>
          <w:tcPr>
            <w:tcW w:w="7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September 30, 2020</w:t>
            </w:r>
          </w:p>
        </w:tc>
      </w:tr>
      <w:tr>
        <w:trPr>
          <w:trHeight w:val="229"/>
        </w:trPr>
        <w:tc>
          <w:tcPr>
            <w:tcW w:w="7820" w:type="dxa"/>
            <w:vAlign w:val="bottom"/>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Maximum amount outstanding - Revolving Credit Facility (based on daily outstanding balances)</w:t>
            </w:r>
          </w:p>
        </w:tc>
        <w:tc>
          <w:tcPr>
            <w:tcW w:w="9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Maximum amount outstanding - CP Program (based on daily outstanding balances)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7820" w:type="dxa"/>
            <w:vAlign w:val="bottom"/>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Average amount outstanding - Revolving Credit Facility (based on daily outstanding balances)</w:t>
            </w:r>
          </w:p>
        </w:tc>
        <w:tc>
          <w:tcPr>
            <w:tcW w:w="9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Average amount outstanding - CP Program (based on daily outstanding balances)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7820" w:type="dxa"/>
            <w:vAlign w:val="bottom"/>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Weighted average interest rates - Revolving Credit Facility</w:t>
            </w:r>
          </w:p>
        </w:tc>
        <w:tc>
          <w:tcPr>
            <w:tcW w:w="960" w:type="dxa"/>
            <w:vAlign w:val="bottom"/>
            <w:shd w:val="clear" w:color="auto" w:fill="CEFFE7"/>
          </w:tcPr>
          <w:p>
            <w:pPr>
              <w:spacing w:after="0"/>
              <w:rPr>
                <w:sz w:val="19"/>
                <w:szCs w:val="19"/>
                <w:color w:val="auto"/>
              </w:rPr>
            </w:pPr>
          </w:p>
        </w:tc>
        <w:tc>
          <w:tcPr>
            <w:tcW w:w="24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4"/>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interest rates - CP Program</w:t>
            </w:r>
          </w:p>
        </w:tc>
        <w:tc>
          <w:tcPr>
            <w:tcW w:w="96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 Requirements</w:t>
      </w:r>
    </w:p>
    <w:p>
      <w:pPr>
        <w:spacing w:after="0" w:line="252" w:lineRule="exact"/>
        <w:rPr>
          <w:sz w:val="20"/>
          <w:szCs w:val="20"/>
          <w:color w:val="auto"/>
        </w:rPr>
      </w:pPr>
    </w:p>
    <w:p>
      <w:pPr>
        <w:ind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Facility contains customary affirmative and negative covenants, such as limitations on certain liens, restrictions on certain transactions, and maintenance of a certain Consolidated Indebtedness to Capitalization Ratio.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September 30, 2020. See </w:t>
      </w:r>
      <w:hyperlink w:anchor="page24">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for more information.</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Covenants within Wyoming Electric’s financing agreements require Wyoming Electric to maintain a debt to capitalization ratio of no more than 0.60 to 1.00. As of September 30, 2020, we were in compliance with these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52" w:lineRule="exact"/>
        <w:rPr>
          <w:sz w:val="20"/>
          <w:szCs w:val="20"/>
          <w:color w:val="auto"/>
        </w:rPr>
      </w:pPr>
    </w:p>
    <w:p>
      <w:pPr>
        <w:ind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Notes </w:t>
      </w:r>
      <w:hyperlink w:anchor="page24">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w:anchor="page25">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for information concerning significant financing activities for the nine months ended September 30, 2020.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Financing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assess debt and equity needs to support our capital expenditure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assessing the current operating performance, liquidity and the credit ratings of the Company, management believes that the Company will have access to the capital markets at prevailing market rates for companies with comparable credit ratings.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the credit ratings and outlook and risk profile of BHC at September 30, 2020:</w:t>
            </w:r>
          </w:p>
        </w:tc>
        <w:tc>
          <w:tcPr>
            <w:tcW w:w="2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Senior Unsecured Rating</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Outlook</w:t>
            </w:r>
          </w:p>
        </w:tc>
      </w:tr>
      <w:tr>
        <w:trPr>
          <w:trHeight w:val="223"/>
        </w:trPr>
        <w:tc>
          <w:tcPr>
            <w:tcW w:w="40" w:type="dxa"/>
            <w:vAlign w:val="bottom"/>
          </w:tcPr>
          <w:p>
            <w:pPr>
              <w:spacing w:after="0"/>
              <w:rPr>
                <w:sz w:val="19"/>
                <w:szCs w:val="19"/>
                <w:color w:val="auto"/>
              </w:rPr>
            </w:pPr>
          </w:p>
        </w:tc>
        <w:tc>
          <w:tcPr>
            <w:tcW w:w="7880" w:type="dxa"/>
            <w:vAlign w:val="bottom"/>
            <w:tcBorders>
              <w:top w:val="single" w:sz="8" w:color="auto"/>
            </w:tcBorders>
            <w:shd w:val="clear" w:color="auto" w:fill="CEFFE7"/>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S&amp;P </w:t>
            </w:r>
            <w:r>
              <w:rPr>
                <w:rFonts w:ascii="Times New Roman" w:cs="Times New Roman" w:eastAsia="Times New Roman" w:hAnsi="Times New Roman"/>
                <w:sz w:val="23"/>
                <w:szCs w:val="23"/>
                <w:color w:val="auto"/>
                <w:vertAlign w:val="superscript"/>
              </w:rPr>
              <w:t>(a)</w:t>
            </w:r>
          </w:p>
        </w:tc>
        <w:tc>
          <w:tcPr>
            <w:tcW w:w="2180" w:type="dxa"/>
            <w:vAlign w:val="bottom"/>
            <w:tcBorders>
              <w:top w:val="single" w:sz="8" w:color="auto"/>
            </w:tcBorders>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1120" w:type="dxa"/>
            <w:vAlign w:val="bottom"/>
            <w:tcBorders>
              <w:top w:val="single" w:sz="8" w:color="auto"/>
            </w:tcBorders>
            <w:shd w:val="clear" w:color="auto" w:fill="CEFFE7"/>
          </w:tcPr>
          <w:p>
            <w:pPr>
              <w:jc w:val="center"/>
              <w:ind w:right="50"/>
              <w:spacing w:after="0"/>
              <w:rPr>
                <w:sz w:val="20"/>
                <w:szCs w:val="20"/>
                <w:color w:val="auto"/>
              </w:rPr>
            </w:pPr>
            <w:r>
              <w:rPr>
                <w:rFonts w:ascii="Times New Roman" w:cs="Times New Roman" w:eastAsia="Times New Roman" w:hAnsi="Times New Roman"/>
                <w:sz w:val="18"/>
                <w:szCs w:val="18"/>
                <w:color w:val="auto"/>
              </w:rPr>
              <w:t>Stable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Moody’s </w:t>
            </w:r>
            <w:r>
              <w:rPr>
                <w:rFonts w:ascii="Times New Roman" w:cs="Times New Roman" w:eastAsia="Times New Roman" w:hAnsi="Times New Roman"/>
                <w:sz w:val="23"/>
                <w:szCs w:val="23"/>
                <w:color w:val="auto"/>
                <w:vertAlign w:val="superscript"/>
              </w:rPr>
              <w:t>(b)</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Baa2</w:t>
            </w: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Stable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80" w:type="dxa"/>
            <w:vAlign w:val="bottom"/>
            <w:shd w:val="clear" w:color="auto" w:fill="CEFFE7"/>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Fitch </w:t>
            </w:r>
            <w:r>
              <w:rPr>
                <w:rFonts w:ascii="Times New Roman" w:cs="Times New Roman" w:eastAsia="Times New Roman" w:hAnsi="Times New Roman"/>
                <w:sz w:val="23"/>
                <w:szCs w:val="23"/>
                <w:color w:val="auto"/>
                <w:vertAlign w:val="superscript"/>
              </w:rPr>
              <w:t>(c)</w:t>
            </w:r>
          </w:p>
        </w:tc>
        <w:tc>
          <w:tcPr>
            <w:tcW w:w="2180" w:type="dxa"/>
            <w:vAlign w:val="bottom"/>
            <w:shd w:val="clear" w:color="auto" w:fill="CEFFE7"/>
          </w:tcPr>
          <w:p>
            <w:pPr>
              <w:ind w:left="860"/>
              <w:spacing w:after="0"/>
              <w:rPr>
                <w:sz w:val="20"/>
                <w:szCs w:val="20"/>
                <w:color w:val="auto"/>
              </w:rPr>
            </w:pPr>
            <w:r>
              <w:rPr>
                <w:rFonts w:ascii="Times New Roman" w:cs="Times New Roman" w:eastAsia="Times New Roman" w:hAnsi="Times New Roman"/>
                <w:sz w:val="18"/>
                <w:szCs w:val="18"/>
                <w:color w:val="auto"/>
              </w:rPr>
              <w:t>BBB+</w:t>
            </w:r>
          </w:p>
        </w:tc>
        <w:tc>
          <w:tcPr>
            <w:tcW w:w="1120" w:type="dxa"/>
            <w:vAlign w:val="bottom"/>
            <w:shd w:val="clear" w:color="auto" w:fill="CEFFE7"/>
          </w:tcPr>
          <w:p>
            <w:pPr>
              <w:jc w:val="center"/>
              <w:ind w:right="50"/>
              <w:spacing w:after="0"/>
              <w:rPr>
                <w:sz w:val="20"/>
                <w:szCs w:val="20"/>
                <w:color w:val="auto"/>
              </w:rPr>
            </w:pPr>
            <w:r>
              <w:rPr>
                <w:rFonts w:ascii="Times New Roman" w:cs="Times New Roman" w:eastAsia="Times New Roman" w:hAnsi="Times New Roman"/>
                <w:sz w:val="18"/>
                <w:szCs w:val="18"/>
                <w:color w:val="auto"/>
              </w:rPr>
              <w:t>Stable</w:t>
            </w:r>
          </w:p>
        </w:tc>
        <w:tc>
          <w:tcPr>
            <w:tcW w:w="20" w:type="dxa"/>
            <w:vAlign w:val="bottom"/>
          </w:tcPr>
          <w:p>
            <w:pPr>
              <w:spacing w:after="0"/>
              <w:rPr>
                <w:sz w:val="19"/>
                <w:szCs w:val="19"/>
                <w:color w:val="auto"/>
              </w:rPr>
            </w:pPr>
          </w:p>
        </w:tc>
      </w:tr>
      <w:tr>
        <w:trPr>
          <w:trHeight w:val="27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w:t>
            </w:r>
          </w:p>
        </w:tc>
        <w:tc>
          <w:tcPr>
            <w:tcW w:w="2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9"/>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On April 10, 2020, S&amp;P affirmed our BBB+ rating and maintained a Stable outlook.</w:t>
            </w:r>
          </w:p>
        </w:tc>
        <w:tc>
          <w:tcPr>
            <w:tcW w:w="2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  On December 20, 2019, Moody’s affirmed our Baa2 rating and maintained a Stable outlook.</w:t>
            </w:r>
          </w:p>
        </w:tc>
        <w:tc>
          <w:tcPr>
            <w:tcW w:w="2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  On August 20, 2020, Fitch affirmed our BBB+ rating and maintained a Stable outlook.</w:t>
            </w: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62"/>
        </w:trPr>
        <w:tc>
          <w:tcPr>
            <w:tcW w:w="792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57</w:t>
            </w: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7" w:name="page58"/>
    <w:bookmarkEnd w:id="57"/>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represents the credit ratings of South Dakota Electric at September 30, 2020:</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Senior Secured Rating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shd w:val="clear" w:color="auto" w:fill="CEFFE7"/>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S&amp;P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EFFE7"/>
          </w:tcPr>
          <w:p>
            <w:pPr>
              <w:spacing w:after="0"/>
              <w:rPr>
                <w:sz w:val="19"/>
                <w:szCs w:val="19"/>
                <w:color w:val="auto"/>
              </w:rPr>
            </w:pPr>
          </w:p>
        </w:tc>
        <w:tc>
          <w:tcPr>
            <w:tcW w:w="202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140" w:type="dxa"/>
            <w:vAlign w:val="bottom"/>
            <w:shd w:val="clear" w:color="auto" w:fill="CEFFE7"/>
          </w:tcPr>
          <w:p>
            <w:pPr>
              <w:jc w:val="center"/>
              <w:ind w:right="730"/>
              <w:spacing w:after="0"/>
              <w:rPr>
                <w:sz w:val="20"/>
                <w:szCs w:val="20"/>
                <w:color w:val="auto"/>
              </w:rPr>
            </w:pPr>
            <w:r>
              <w:rPr>
                <w:rFonts w:ascii="Times New Roman" w:cs="Times New Roman" w:eastAsia="Times New Roman" w:hAnsi="Times New Roman"/>
                <w:sz w:val="18"/>
                <w:szCs w:val="18"/>
                <w:color w:val="auto"/>
                <w:w w:val="91"/>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Moody’s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gridSpan w:val="2"/>
            <w:shd w:val="clear" w:color="auto" w:fill="CEFFE7"/>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Fitch </w:t>
            </w:r>
            <w:r>
              <w:rPr>
                <w:rFonts w:ascii="Times New Roman" w:cs="Times New Roman" w:eastAsia="Times New Roman" w:hAnsi="Times New Roman"/>
                <w:sz w:val="23"/>
                <w:szCs w:val="23"/>
                <w:color w:val="auto"/>
                <w:vertAlign w:val="superscript"/>
              </w:rPr>
              <w:t>(c)</w:t>
            </w:r>
          </w:p>
        </w:tc>
        <w:tc>
          <w:tcPr>
            <w:tcW w:w="200" w:type="dxa"/>
            <w:vAlign w:val="bottom"/>
            <w:shd w:val="clear" w:color="auto" w:fill="CEFFE7"/>
          </w:tcPr>
          <w:p>
            <w:pPr>
              <w:spacing w:after="0"/>
              <w:rPr>
                <w:sz w:val="19"/>
                <w:szCs w:val="19"/>
                <w:color w:val="auto"/>
              </w:rPr>
            </w:pPr>
          </w:p>
        </w:tc>
        <w:tc>
          <w:tcPr>
            <w:tcW w:w="202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140" w:type="dxa"/>
            <w:vAlign w:val="bottom"/>
            <w:shd w:val="clear" w:color="auto" w:fill="CEFFE7"/>
          </w:tcPr>
          <w:p>
            <w:pPr>
              <w:jc w:val="center"/>
              <w:ind w:right="730"/>
              <w:spacing w:after="0"/>
              <w:rPr>
                <w:sz w:val="20"/>
                <w:szCs w:val="20"/>
                <w:color w:val="auto"/>
              </w:rPr>
            </w:pPr>
            <w:r>
              <w:rPr>
                <w:rFonts w:ascii="Times New Roman" w:cs="Times New Roman" w:eastAsia="Times New Roman" w:hAnsi="Times New Roman"/>
                <w:sz w:val="18"/>
                <w:szCs w:val="18"/>
                <w:color w:val="auto"/>
                <w:w w:val="91"/>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  On April 16, 2020, S&amp;P affirmed A rating.</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  On December 20, 2019, Moody’s affirmed A1 rating.</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  On August 20, 2020, Fitch affirmed A rating.</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5"/>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Actual</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Planned</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Planned</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Planned</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Planned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Planned</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Capital Expenditures by</w:t>
            </w:r>
          </w:p>
        </w:tc>
        <w:tc>
          <w:tcPr>
            <w:tcW w:w="200" w:type="dxa"/>
            <w:vAlign w:val="bottom"/>
          </w:tcPr>
          <w:p>
            <w:pPr>
              <w:spacing w:after="0"/>
              <w:rPr>
                <w:sz w:val="14"/>
                <w:szCs w:val="14"/>
                <w:color w:val="auto"/>
              </w:rPr>
            </w:pPr>
          </w:p>
        </w:tc>
        <w:tc>
          <w:tcPr>
            <w:tcW w:w="20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Nine Months Ended</w:t>
            </w:r>
          </w:p>
        </w:tc>
        <w:tc>
          <w:tcPr>
            <w:tcW w:w="260" w:type="dxa"/>
            <w:vAlign w:val="bottom"/>
          </w:tcPr>
          <w:p>
            <w:pPr>
              <w:spacing w:after="0"/>
              <w:rPr>
                <w:sz w:val="14"/>
                <w:szCs w:val="14"/>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 xml:space="preserve">2020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14"/>
                <w:szCs w:val="14"/>
                <w:color w:val="auto"/>
              </w:rPr>
            </w:pPr>
          </w:p>
        </w:tc>
        <w:tc>
          <w:tcPr>
            <w:tcW w:w="1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4"/>
                <w:szCs w:val="14"/>
                <w:color w:val="auto"/>
              </w:rPr>
            </w:pP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14"/>
                <w:szCs w:val="14"/>
                <w:color w:val="auto"/>
              </w:rPr>
            </w:pPr>
          </w:p>
        </w:tc>
        <w:tc>
          <w:tcPr>
            <w:tcW w:w="1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4"/>
                <w:szCs w:val="14"/>
                <w:color w:val="auto"/>
              </w:rPr>
            </w:pPr>
          </w:p>
        </w:tc>
        <w:tc>
          <w:tcPr>
            <w:tcW w:w="11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EFFE7"/>
            </w:tcBorders>
          </w:tcPr>
          <w:p>
            <w:pPr>
              <w:spacing w:after="0"/>
              <w:rPr>
                <w:sz w:val="19"/>
                <w:szCs w:val="19"/>
                <w:color w:val="auto"/>
              </w:rPr>
            </w:pPr>
          </w:p>
        </w:tc>
        <w:tc>
          <w:tcPr>
            <w:tcW w:w="2360" w:type="dxa"/>
            <w:vAlign w:val="bottom"/>
            <w:tcBorders>
              <w:bottom w:val="single" w:sz="8" w:color="CEFFE7"/>
            </w:tcBorders>
            <w:gridSpan w:val="2"/>
          </w:tcPr>
          <w:p>
            <w:pPr>
              <w:spacing w:after="0"/>
              <w:rPr>
                <w:sz w:val="20"/>
                <w:szCs w:val="20"/>
                <w:color w:val="auto"/>
              </w:rPr>
            </w:pPr>
            <w:r>
              <w:rPr>
                <w:rFonts w:ascii="Times New Roman" w:cs="Times New Roman" w:eastAsia="Times New Roman" w:hAnsi="Times New Roman"/>
                <w:sz w:val="18"/>
                <w:szCs w:val="18"/>
                <w:color w:val="auto"/>
              </w:rPr>
              <w:t>Segment</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110"/>
              <w:spacing w:after="0" w:line="230" w:lineRule="exact"/>
              <w:rPr>
                <w:sz w:val="20"/>
                <w:szCs w:val="20"/>
                <w:color w:val="auto"/>
              </w:rPr>
            </w:pPr>
            <w:r>
              <w:rPr>
                <w:rFonts w:ascii="Times New Roman" w:cs="Times New Roman" w:eastAsia="Times New Roman" w:hAnsi="Times New Roman"/>
                <w:sz w:val="18"/>
                <w:szCs w:val="18"/>
                <w:color w:val="auto"/>
                <w:w w:val="97"/>
              </w:rPr>
              <w:t xml:space="preserve">September 30, 2020 </w:t>
            </w:r>
            <w:r>
              <w:rPr>
                <w:rFonts w:ascii="Times New Roman" w:cs="Times New Roman" w:eastAsia="Times New Roman" w:hAnsi="Times New Roman"/>
                <w:sz w:val="23"/>
                <w:szCs w:val="23"/>
                <w:color w:val="auto"/>
                <w:w w:val="97"/>
                <w:vertAlign w:val="superscript"/>
              </w:rPr>
              <w:t>(a)</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EFFE7"/>
          </w:tcPr>
          <w:p>
            <w:pPr>
              <w:spacing w:after="0"/>
              <w:rPr>
                <w:sz w:val="18"/>
                <w:szCs w:val="18"/>
                <w:color w:val="auto"/>
              </w:rPr>
            </w:pPr>
          </w:p>
        </w:tc>
        <w:tc>
          <w:tcPr>
            <w:tcW w:w="2360" w:type="dxa"/>
            <w:vAlign w:val="bottom"/>
            <w:gridSpan w:val="2"/>
            <w:shd w:val="clear" w:color="auto" w:fill="CEFFE7"/>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shd w:val="clear" w:color="auto" w:fill="CEFFE7"/>
          </w:tcPr>
          <w:p>
            <w:pPr>
              <w:spacing w:after="0"/>
              <w:rPr>
                <w:sz w:val="18"/>
                <w:szCs w:val="18"/>
                <w:color w:val="auto"/>
              </w:rPr>
            </w:pPr>
          </w:p>
        </w:tc>
        <w:tc>
          <w:tcPr>
            <w:tcW w:w="20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0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06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04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06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 Utilities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EFFE7"/>
          </w:tcPr>
          <w:p>
            <w:pPr>
              <w:spacing w:after="0"/>
              <w:rPr>
                <w:sz w:val="19"/>
                <w:szCs w:val="19"/>
                <w:color w:val="auto"/>
              </w:rPr>
            </w:pPr>
          </w:p>
        </w:tc>
        <w:tc>
          <w:tcPr>
            <w:tcW w:w="2360" w:type="dxa"/>
            <w:vAlign w:val="bottom"/>
            <w:gridSpan w:val="2"/>
            <w:shd w:val="clear" w:color="auto" w:fill="CEFFE7"/>
          </w:tcPr>
          <w:p>
            <w:pPr>
              <w:spacing w:after="0"/>
              <w:rPr>
                <w:sz w:val="20"/>
                <w:szCs w:val="20"/>
                <w:color w:val="auto"/>
              </w:rPr>
            </w:pPr>
            <w:r>
              <w:rPr>
                <w:rFonts w:ascii="Times New Roman" w:cs="Times New Roman" w:eastAsia="Times New Roman" w:hAnsi="Times New Roman"/>
                <w:sz w:val="18"/>
                <w:szCs w:val="18"/>
                <w:color w:val="auto"/>
              </w:rPr>
              <w:t>Gas Utilities</w:t>
            </w:r>
          </w:p>
        </w:tc>
        <w:tc>
          <w:tcPr>
            <w:tcW w:w="20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EFFE7"/>
          </w:tcPr>
          <w:p>
            <w:pPr>
              <w:spacing w:after="0"/>
              <w:rPr>
                <w:sz w:val="19"/>
                <w:szCs w:val="19"/>
                <w:color w:val="auto"/>
              </w:rPr>
            </w:pPr>
          </w:p>
        </w:tc>
        <w:tc>
          <w:tcPr>
            <w:tcW w:w="2360" w:type="dxa"/>
            <w:vAlign w:val="bottom"/>
            <w:gridSpan w:val="2"/>
            <w:shd w:val="clear" w:color="auto" w:fill="CEFFE7"/>
          </w:tcPr>
          <w:p>
            <w:pPr>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EFFE7"/>
            </w:tcBorders>
          </w:tcPr>
          <w:p>
            <w:pPr>
              <w:spacing w:after="0"/>
              <w:rPr>
                <w:sz w:val="19"/>
                <w:szCs w:val="19"/>
                <w:color w:val="auto"/>
              </w:rPr>
            </w:pPr>
          </w:p>
        </w:tc>
        <w:tc>
          <w:tcPr>
            <w:tcW w:w="2360" w:type="dxa"/>
            <w:vAlign w:val="bottom"/>
            <w:tcBorders>
              <w:bottom w:val="single" w:sz="8" w:color="CEFFE7"/>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Borders>
              <w:bottom w:val="single" w:sz="8" w:color="auto"/>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50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20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Expenditures for the nine months ended September 30, 2020 include the impact of accruals for property, plant and equipment.</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actual capital expenditures for the nine months ended September 30, 2020.</w:t>
      </w: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monitoring supply chains, including lead times for key materials and supplies, availability of resources, and statuses of large capital projects. To date, there have been limited impacts from COVID-19 on supply chains including the availability of supplies and materials and lead times. Capital projects are ongoing without material disruption to schedules. Our third party resources continue to support our business plans without disruption. Contingency plans are ready to be executed if significant disruption to supply chain occurs; however, we currently do not anticipate a significant impact from COVID-19 on our capital investment plan for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significant changes in contractual obligations from those previously disclosed in Note 19 of our Notes to the Consolidated Financial Statements in our 2019 Annual Report on Form 10-K except for the items described in </w:t>
      </w:r>
      <w:hyperlink w:anchor="page34">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w:t>
      </w:r>
    </w:p>
    <w:p>
      <w:pPr>
        <w:spacing w:after="0" w:line="256" w:lineRule="exact"/>
        <w:rPr>
          <w:sz w:val="20"/>
          <w:szCs w:val="20"/>
          <w:color w:val="auto"/>
        </w:rPr>
      </w:pPr>
    </w:p>
    <w:p>
      <w:pPr>
        <w:ind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significant changes to off-balance sheet commitments from those previously disclosed in Item 7 of our 2019 Annual Report on Form 10-K filed with the SEC except for the items described in </w:t>
      </w:r>
      <w:hyperlink w:anchor="page24">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right="6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pronouncements reported in our 2019 Annual Report on Form 10-K filed with the SEC and those discussed in </w:t>
      </w:r>
      <w:hyperlink w:anchor="page14">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and Analysis of Financial Condition and Results of Operations.</w:t>
      </w:r>
    </w:p>
    <w:p>
      <w:pPr>
        <w:spacing w:after="0" w:line="2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07" w:lineRule="exact"/>
        <w:rPr>
          <w:sz w:val="20"/>
          <w:szCs w:val="20"/>
          <w:color w:val="auto"/>
        </w:rPr>
      </w:pPr>
    </w:p>
    <w:p>
      <w:pPr>
        <w:ind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such as the COVID-19 pandemic,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2019 Annual Report on Form 10-K including statements contained within Item 1A - Risk Factors of our 2019 Annual Report on Form 10-K, Part II, </w:t>
      </w:r>
      <w:hyperlink w:anchor="page60">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Quarterly Report on Form 10-Q and other reports that we file with the SEC from time to time.</w:t>
      </w: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80"/>
        <w:spacing w:after="0" w:line="282" w:lineRule="auto"/>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auto"/>
          </w:rPr>
          <w:t xml:space="preserve">Information regarding our quantitative and qualitative disclosures about market risk is disclosed in Item 7A of our Annual Report on Form 10-K. See </w:t>
        </w:r>
        <w:r>
          <w:rPr>
            <w:rFonts w:ascii="Times New Roman" w:cs="Times New Roman" w:eastAsia="Times New Roman" w:hAnsi="Times New Roman"/>
            <w:sz w:val="18"/>
            <w:szCs w:val="18"/>
            <w:u w:val="single" w:color="auto"/>
            <w:color w:val="0000FF"/>
          </w:rPr>
          <w:t>Note</w:t>
        </w:r>
      </w:hyperlink>
      <w:r>
        <w:rPr>
          <w:rFonts w:ascii="Times New Roman" w:cs="Times New Roman" w:eastAsia="Times New Roman" w:hAnsi="Times New Roman"/>
          <w:sz w:val="18"/>
          <w:szCs w:val="18"/>
          <w:color w:val="auto"/>
        </w:rPr>
        <w:t xml:space="preserve"> </w:t>
      </w:r>
      <w:hyperlink w:anchor="page25">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for updates to market risks during the nine months ended September 30, 2020.</w:t>
        </w:r>
      </w:hyperlink>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evaluated the effectiveness of our disclosure controls and procedures (as defined in Rules 13a-15(e) and 15d-15(e) of the Securities Exchange Act of 1934, as amended (the “Exchange Act”)) as of September 30, 2020. Based on their evaluation, they have concluded that our disclosure controls and procedures were effective at September 30, 2020.</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quarter ended September 30, 2020, there have been no changes in our internal controls over financial reporting that have materially affected or are reasonably likely to materially affect our internal control over financial reporting. Although we have altered some work routines due to the COVID-19 pandemic, the changes in our work environment (i.e. remote work arrangements) have not materially impacted our internal controls over financial reporting and have not adversely affected the Company’s ability to maintain operations, including financial reporting systems, ICFR, and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information regarding legal proceedings, see Note 19 in Item 8 of our 2019 Annual Report on Form 10-K and </w:t>
      </w:r>
      <w:hyperlink w:anchor="page34">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 Item 1 of Part I of this Quarterly Report on Form 10-Q, which information from </w:t>
      </w:r>
      <w:hyperlink w:anchor="page34">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by reference into this item.</w:t>
      </w:r>
    </w:p>
    <w:p>
      <w:pPr>
        <w:spacing w:after="0" w:line="1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the risk factors previously disclosed in Item 1A of Part I in our 2019 Annual Report on Form 10-K filed with the SEC except as shown below:</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results of operations, financial condition and cash flows could be adversely affected by the recent coronavirus (COVID-19) pandemic.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We have responded to the global pandemic of COVID-19 by taking steps to mitigate the potential risks to us posed by its spread.</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the COVID-19 pandemic had a limited financial impact on our business, operations, financial condition and cash flows. In particular, we experienced:</w:t>
      </w:r>
    </w:p>
    <w:p>
      <w:pPr>
        <w:spacing w:after="0" w:line="18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allowance for credit losses and bad debt expense due to anticipated customer non-payment as a result of suspended disconnections;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due to sequestration of mission-critical and essential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commercial and certain transport volumes partially offset by higher electric and natural gas residential usage;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availability of our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personal protection equipment and cleaning supplies;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cash flow impacts from delayed payments from residential, commercial and industrial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disruptions receiving the materials and supplies necessary to maintain operations and continue executing our capital investment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impacts to the availability of our third-party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decline in the funded status of our pension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interest expense increase due to disruptions in the Commercial Paper markets;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training, travel, employee, outside services and employee related expenses.</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Should the COVID-19 pandemic continue for a prolonged period or impact the areas we serve more significantly than it has to date, our business, operations, financial condition and cash flows could be impacted in more significant ways. In addition to exacerbating the impacts described above, we could experience:</w:t>
      </w:r>
    </w:p>
    <w:p>
      <w:pPr>
        <w:spacing w:after="0" w:line="20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Adverse impacts on our strategic business plans, growth strategy and capital investment plans;</w:t>
      </w:r>
    </w:p>
    <w:p>
      <w:pPr>
        <w:spacing w:after="0" w:line="27" w:lineRule="exact"/>
        <w:rPr>
          <w:rFonts w:ascii="Times New Roman" w:cs="Times New Roman" w:eastAsia="Times New Roman" w:hAnsi="Times New Roman"/>
          <w:sz w:val="18"/>
          <w:szCs w:val="18"/>
          <w:color w:val="212529"/>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Increased adverse impacts to electricity and natural gas demand from our customers, particularly from commercial and industrial customers;</w:t>
      </w:r>
    </w:p>
    <w:p>
      <w:pPr>
        <w:spacing w:after="0" w:line="9" w:lineRule="exact"/>
        <w:rPr>
          <w:rFonts w:ascii="Times New Roman" w:cs="Times New Roman" w:eastAsia="Times New Roman" w:hAnsi="Times New Roman"/>
          <w:sz w:val="18"/>
          <w:szCs w:val="18"/>
          <w:color w:val="212529"/>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Further reduction in the availability of our employees and third-party resources;</w:t>
      </w:r>
    </w:p>
    <w:p>
      <w:pPr>
        <w:spacing w:after="0" w:line="9" w:lineRule="exact"/>
        <w:rPr>
          <w:rFonts w:ascii="Times New Roman" w:cs="Times New Roman" w:eastAsia="Times New Roman" w:hAnsi="Times New Roman"/>
          <w:sz w:val="18"/>
          <w:szCs w:val="18"/>
          <w:color w:val="212529"/>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Increased costs as a result of our emergency measures;</w:t>
      </w:r>
    </w:p>
    <w:p>
      <w:pPr>
        <w:spacing w:after="0" w:line="9" w:lineRule="exact"/>
        <w:rPr>
          <w:rFonts w:ascii="Times New Roman" w:cs="Times New Roman" w:eastAsia="Times New Roman" w:hAnsi="Times New Roman"/>
          <w:sz w:val="18"/>
          <w:szCs w:val="18"/>
          <w:color w:val="212529"/>
        </w:rPr>
      </w:pPr>
    </w:p>
    <w:p>
      <w:pPr>
        <w:ind w:left="660" w:right="120" w:hanging="328"/>
        <w:spacing w:after="0" w:line="250" w:lineRule="auto"/>
        <w:tabs>
          <w:tab w:leader="none" w:pos="655"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w:t>
      </w:r>
      <w:r>
        <w:rPr>
          <w:rFonts w:ascii="Times New Roman" w:cs="Times New Roman" w:eastAsia="Times New Roman" w:hAnsi="Times New Roman"/>
          <w:sz w:val="18"/>
          <w:szCs w:val="18"/>
          <w:color w:val="000000"/>
        </w:rPr>
        <w:t>ncreased allowance for credit losses and bad debt expense</w:t>
      </w:r>
      <w:r>
        <w:rPr>
          <w:rFonts w:ascii="Times New Roman" w:cs="Times New Roman" w:eastAsia="Times New Roman" w:hAnsi="Times New Roman"/>
          <w:sz w:val="18"/>
          <w:szCs w:val="18"/>
          <w:color w:val="212529"/>
        </w:rPr>
        <w:t xml:space="preserve"> as a result of delayed or non-payment from our customers, both of which could be magnified by Federal or state government legislation that requires us to extend suspensions of disconnections for non-payment;</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Delays and disruptions in the availability, timely delivery and cost of materials and components used in our operations;</w:t>
      </w:r>
    </w:p>
    <w:p>
      <w:pPr>
        <w:spacing w:after="0" w:line="9" w:lineRule="exact"/>
        <w:rPr>
          <w:rFonts w:ascii="Times New Roman" w:cs="Times New Roman" w:eastAsia="Times New Roman" w:hAnsi="Times New Roman"/>
          <w:sz w:val="18"/>
          <w:szCs w:val="18"/>
          <w:color w:val="212529"/>
        </w:rPr>
      </w:pPr>
    </w:p>
    <w:p>
      <w:pPr>
        <w:ind w:left="660" w:right="60" w:hanging="328"/>
        <w:spacing w:after="0" w:line="250" w:lineRule="auto"/>
        <w:tabs>
          <w:tab w:leader="none" w:pos="655"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Disruptions in the commercial operation dates of certain projects impacting qualification criteria for certain tax credits and triggering potential damages under our power purchase agreements;</w:t>
      </w:r>
    </w:p>
    <w:p>
      <w:pPr>
        <w:ind w:left="660" w:right="720" w:hanging="328"/>
        <w:spacing w:after="0" w:line="250" w:lineRule="auto"/>
        <w:tabs>
          <w:tab w:leader="none" w:pos="655"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Deterioration of the credit quality of our counterparties, including gas commodity contract counterparties, power purchase agreement counterparties, contractors or retail customers, that could result in credit losses;</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Impairment of goodwill or long-lived assets;</w:t>
      </w:r>
    </w:p>
    <w:p>
      <w:pPr>
        <w:spacing w:after="0" w:line="9" w:lineRule="exact"/>
        <w:rPr>
          <w:rFonts w:ascii="Times New Roman" w:cs="Times New Roman" w:eastAsia="Times New Roman" w:hAnsi="Times New Roman"/>
          <w:sz w:val="18"/>
          <w:szCs w:val="18"/>
          <w:color w:val="212529"/>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Adverse impacts on our ability to develop, construct and operate facilities;</w:t>
      </w:r>
    </w:p>
    <w:p>
      <w:pPr>
        <w:spacing w:after="0" w:line="9" w:lineRule="exact"/>
        <w:rPr>
          <w:rFonts w:ascii="Times New Roman" w:cs="Times New Roman" w:eastAsia="Times New Roman" w:hAnsi="Times New Roman"/>
          <w:sz w:val="18"/>
          <w:szCs w:val="18"/>
          <w:color w:val="212529"/>
        </w:rPr>
      </w:pPr>
    </w:p>
    <w:p>
      <w:pPr>
        <w:ind w:left="660" w:right="20" w:hanging="328"/>
        <w:spacing w:after="0" w:line="250" w:lineRule="auto"/>
        <w:tabs>
          <w:tab w:leader="none" w:pos="655"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Inability to meet the requirements of the covenants in our existing credit facilities, including covenants regarding Consolidated Indebtedness to Capitalization Ratio;</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Deterioration in our financial metrics or the business environment that adversely impacts our credit ratings;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4" w:right="619" w:bottom="1440" w:gutter="0" w:footer="0" w:header="0"/>
        </w:sectPr>
      </w:pPr>
    </w:p>
    <w:bookmarkStart w:id="60" w:name="page61"/>
    <w:bookmarkEnd w:id="60"/>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Delay in the permitting process of certain development projects, affecting the timing of final investment decisions and start dates of construction;</w:t>
      </w:r>
    </w:p>
    <w:p>
      <w:pPr>
        <w:spacing w:after="0" w:line="27" w:lineRule="exact"/>
        <w:rPr>
          <w:rFonts w:ascii="Times New Roman" w:cs="Times New Roman" w:eastAsia="Times New Roman" w:hAnsi="Times New Roman"/>
          <w:sz w:val="18"/>
          <w:szCs w:val="18"/>
          <w:color w:val="212529"/>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Adverse impact on our liquidity position and cost of and ability to access funds from financial institutions and capital markets;</w:t>
      </w:r>
    </w:p>
    <w:p>
      <w:pPr>
        <w:spacing w:after="0" w:line="9" w:lineRule="exact"/>
        <w:rPr>
          <w:rFonts w:ascii="Times New Roman" w:cs="Times New Roman" w:eastAsia="Times New Roman" w:hAnsi="Times New Roman"/>
          <w:sz w:val="18"/>
          <w:szCs w:val="18"/>
          <w:color w:val="212529"/>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Delays in our ability to change rates through regulatory proceedings; and</w:t>
      </w:r>
    </w:p>
    <w:p>
      <w:pPr>
        <w:spacing w:after="0" w:line="9" w:lineRule="exact"/>
        <w:rPr>
          <w:rFonts w:ascii="Times New Roman" w:cs="Times New Roman" w:eastAsia="Times New Roman" w:hAnsi="Times New Roman"/>
          <w:sz w:val="18"/>
          <w:szCs w:val="18"/>
          <w:color w:val="212529"/>
        </w:rPr>
      </w:pPr>
    </w:p>
    <w:p>
      <w:pPr>
        <w:ind w:left="660" w:right="280" w:hanging="328"/>
        <w:spacing w:after="0" w:line="260" w:lineRule="auto"/>
        <w:tabs>
          <w:tab w:leader="none" w:pos="655" w:val="left"/>
        </w:tabs>
        <w:numPr>
          <w:ilvl w:val="0"/>
          <w:numId w:val="4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Other risks that impact us, such as the risks described in the “Risk Factors” section of our 2019 Annual Report on Form 10-K and our ability to meet our financial obligations.</w:t>
      </w:r>
    </w:p>
    <w:p>
      <w:pPr>
        <w:spacing w:after="0" w:line="20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212529"/>
        </w:rPr>
        <w:t>To date, we have experienced limited impacts to our results of operations, financial condition, cash flows or business plans. However, the situation remains fluid and it is difficult to predict with certainty the potential impact of COVID-19 on our business, results of operations, financial condition and cash flows.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concerning mine safety violations or other regulatory matters required by Sections 1503(a) of Dodd-Frank is included in </w:t>
      </w:r>
      <w:hyperlink w:anchor="page68">
        <w:r>
          <w:rPr>
            <w:rFonts w:ascii="Times New Roman" w:cs="Times New Roman" w:eastAsia="Times New Roman" w:hAnsi="Times New Roman"/>
            <w:sz w:val="18"/>
            <w:szCs w:val="18"/>
            <w:u w:val="single" w:color="auto"/>
            <w:color w:val="0000FF"/>
          </w:rPr>
          <w:t>Exhibit 95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Quarterly Report on Form 10-Q.</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00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4"/>
                <w:szCs w:val="24"/>
                <w:color w:val="auto"/>
              </w:rPr>
            </w:pPr>
          </w:p>
        </w:tc>
      </w:tr>
      <w:tr>
        <w:trPr>
          <w:trHeight w:val="331"/>
        </w:trPr>
        <w:tc>
          <w:tcPr>
            <w:tcW w:w="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Exhibit 3.1*</w:t>
            </w:r>
          </w:p>
        </w:tc>
        <w:tc>
          <w:tcPr>
            <w:tcW w:w="9020" w:type="dxa"/>
            <w:vAlign w:val="bottom"/>
            <w:gridSpan w:val="2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Restated Articles of Incorporation of the Registrant dated January 30, 2018 (filed as Exhibit 3 to the Registrant’s Form 8-K</w:t>
              </w:r>
            </w:hyperlink>
          </w:p>
        </w:tc>
      </w:tr>
      <w:tr>
        <w:trPr>
          <w:trHeight w:val="156"/>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filed on February 5, 2018).</w:t>
              </w:r>
            </w:hyperlink>
          </w:p>
        </w:tc>
        <w:tc>
          <w:tcPr>
            <w:tcW w:w="69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72"/>
        </w:trPr>
        <w:tc>
          <w:tcPr>
            <w:tcW w:w="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Exhibit 3.2*</w:t>
            </w:r>
          </w:p>
        </w:tc>
        <w:tc>
          <w:tcPr>
            <w:tcW w:w="9020" w:type="dxa"/>
            <w:vAlign w:val="bottom"/>
            <w:gridSpan w:val="29"/>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Bylaws of the Registrant dated April 24, 2017 (filed as Exhibit 3 to the Registrant’s Form 8-K filed</w:t>
              </w:r>
            </w:hyperlink>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8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on April 28,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Exhibit 4.1*</w:t>
            </w:r>
          </w:p>
        </w:tc>
        <w:tc>
          <w:tcPr>
            <w:tcW w:w="86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Indenture dated as of May 21, 2003 between the Registrant and Wells Fargo Bank, National Association (as successor to</w:t>
              </w:r>
            </w:hyperlink>
          </w:p>
        </w:tc>
        <w:tc>
          <w:tcPr>
            <w:tcW w:w="340" w:type="dxa"/>
            <w:vAlign w:val="bottom"/>
            <w:gridSpan w:val="10"/>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020" w:type="dxa"/>
            <w:vAlign w:val="bottom"/>
            <w:gridSpan w:val="29"/>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LaSalle Bank National Association), as Trustee (filed as Exhibit 4.1 to the Registrant’s Form 10-Q for the quarterly period</w:t>
              </w:r>
            </w:hyperlink>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8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ended June 30, 2003).</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First Supplemental Indenture dated as of May 21, 2003 (filed as Exhibit 4.2 to the Registrant’s Form 10-Q for the quarterly</w:t>
              </w:r>
            </w:hyperlink>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9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period ended June 30, 2003).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Second Supplemental Indenture dated as of May 14, 2009 (filed as Exhibit 4 to the Registrant’s Form 8-K filed on May 14,</w:t>
              </w:r>
            </w:hyperlink>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4">
              <w:r>
                <w:rPr>
                  <w:rFonts w:ascii="Times New Roman" w:cs="Times New Roman" w:eastAsia="Times New Roman" w:hAnsi="Times New Roman"/>
                  <w:sz w:val="18"/>
                  <w:szCs w:val="18"/>
                  <w:color w:val="0000FF"/>
                  <w:w w:val="94"/>
                </w:rPr>
                <w:t>2009).</w:t>
              </w:r>
            </w:hyperlink>
          </w:p>
        </w:tc>
        <w:tc>
          <w:tcPr>
            <w:tcW w:w="2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5"/>
        </w:trPr>
        <w:tc>
          <w:tcPr>
            <w:tcW w:w="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20" w:type="dxa"/>
            <w:vAlign w:val="bottom"/>
            <w:gridSpan w:val="29"/>
          </w:tcPr>
          <w:p>
            <w:pPr>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Third Supplemental Indenture dated as of July 16, 2010 (filed as Exhibit 4 to Registrant’s Form 8-K filed on July 15, 2010).</w:t>
              </w:r>
            </w:hyperlink>
          </w:p>
        </w:tc>
      </w:tr>
      <w:tr>
        <w:trPr>
          <w:trHeight w:val="194"/>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020" w:type="dxa"/>
            <w:vAlign w:val="bottom"/>
            <w:gridSpan w:val="29"/>
          </w:tcPr>
          <w:p>
            <w:pPr>
              <w:spacing w:after="0" w:line="19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Fourth Supplemental Indenture dated as of November 19, 2013 (filed as Exhibit 4 to the Registrant’s Form 8-K filed on</w:t>
              </w:r>
            </w:hyperlink>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November 18, 2013).</w:t>
              </w:r>
            </w:hyperlink>
          </w:p>
        </w:tc>
        <w:tc>
          <w:tcPr>
            <w:tcW w:w="70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Fifth Supplemental Indenture dated as of January 13, 2016 (filed as Exhibit 4.1 to the Registrant’s Form 8-K filed on</w:t>
              </w:r>
            </w:hyperlink>
          </w:p>
        </w:tc>
      </w:tr>
      <w:tr>
        <w:trPr>
          <w:trHeight w:val="156"/>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January 13, 2016).</w:t>
              </w:r>
            </w:hyperlink>
          </w:p>
        </w:tc>
        <w:tc>
          <w:tcPr>
            <w:tcW w:w="702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Sixth Supplemental Indenture dated as of August 19, 2016 (filed as Exhibit 4.1 to the Registrant’s Form 8-K filed on August</w:t>
              </w:r>
            </w:hyperlink>
          </w:p>
        </w:tc>
      </w:tr>
      <w:tr>
        <w:trPr>
          <w:trHeight w:val="156"/>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19, 2016).</w:t>
              </w:r>
            </w:hyperlink>
          </w:p>
        </w:tc>
        <w:tc>
          <w:tcPr>
            <w:tcW w:w="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Seventh Supplemental Indenture dated as of August 17, 2018 (filed as Exhibit 4.2 to the Registrant’s Form 8-K filed on</w:t>
              </w:r>
            </w:hyperlink>
          </w:p>
        </w:tc>
      </w:tr>
      <w:tr>
        <w:trPr>
          <w:trHeight w:val="156"/>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August 17, 2018).</w:t>
              </w:r>
            </w:hyperlink>
          </w:p>
        </w:tc>
        <w:tc>
          <w:tcPr>
            <w:tcW w:w="73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Eighth Supplemental Indenture dated as of October 3, 2019 (filed as Exhibit 4.1 to the Registrant’s Form 8-K filed on</w:t>
              </w:r>
            </w:hyperlink>
          </w:p>
        </w:tc>
      </w:tr>
      <w:tr>
        <w:trPr>
          <w:trHeight w:val="156"/>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4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October 4, 2019).</w:t>
              </w:r>
            </w:hyperlink>
          </w:p>
        </w:tc>
        <w:tc>
          <w:tcPr>
            <w:tcW w:w="180" w:type="dxa"/>
            <w:vAlign w:val="bottom"/>
            <w:gridSpan w:val="3"/>
          </w:tcPr>
          <w:p>
            <w:pPr>
              <w:spacing w:after="0"/>
              <w:rPr>
                <w:sz w:val="13"/>
                <w:szCs w:val="13"/>
                <w:color w:val="auto"/>
              </w:rPr>
            </w:pPr>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Ninth Supplemental Indenture dated as of June 17, 2020 (filed as Exhibit 4.1 to the Registrant’s Form 8-K filed on June 17,</w:t>
              </w:r>
            </w:hyperlink>
          </w:p>
        </w:tc>
      </w:tr>
      <w:tr>
        <w:trPr>
          <w:trHeight w:val="156"/>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1">
              <w:r>
                <w:rPr>
                  <w:rFonts w:ascii="Times New Roman" w:cs="Times New Roman" w:eastAsia="Times New Roman" w:hAnsi="Times New Roman"/>
                  <w:sz w:val="18"/>
                  <w:szCs w:val="18"/>
                  <w:color w:val="0000FF"/>
                  <w:w w:val="94"/>
                </w:rPr>
                <w:t>2020).</w:t>
              </w:r>
            </w:hyperlink>
          </w:p>
        </w:tc>
        <w:tc>
          <w:tcPr>
            <w:tcW w:w="2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Exhibit 4.2*</w:t>
            </w:r>
          </w:p>
        </w:tc>
        <w:tc>
          <w:tcPr>
            <w:tcW w:w="9020" w:type="dxa"/>
            <w:vAlign w:val="bottom"/>
            <w:gridSpan w:val="2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Restated and Amended Indenture of Mortgage and Deed of Trust of Black Hills Corporation (now called Black Hills Power,</w:t>
              </w:r>
            </w:hyperlink>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9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 dated as of September 1, 1999 (filed as Exhibit 4.19 to the Registrant’s Post-Effective Amendment No. 1 to the</w:t>
              </w:r>
            </w:hyperlink>
          </w:p>
        </w:tc>
        <w:tc>
          <w:tcPr>
            <w:tcW w:w="60" w:type="dxa"/>
            <w:vAlign w:val="bottom"/>
            <w:gridSpan w:val="3"/>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Registrant’s Registration Statement on Form S-3 (No. 333-150669)).</w:t>
              </w:r>
            </w:hyperlink>
          </w:p>
        </w:tc>
        <w:tc>
          <w:tcPr>
            <w:tcW w:w="3420" w:type="dxa"/>
            <w:vAlign w:val="bottom"/>
            <w:tcBorders>
              <w:top w:val="single" w:sz="8" w:color="0000FF"/>
            </w:tcBorders>
            <w:gridSpan w:val="3"/>
          </w:tcPr>
          <w:p>
            <w:pPr>
              <w:spacing w:after="0"/>
              <w:rPr>
                <w:sz w:val="13"/>
                <w:szCs w:val="13"/>
                <w:color w:val="auto"/>
              </w:rPr>
            </w:pPr>
          </w:p>
        </w:tc>
        <w:tc>
          <w:tcPr>
            <w:tcW w:w="260" w:type="dxa"/>
            <w:vAlign w:val="bottom"/>
            <w:gridSpan w:val="5"/>
          </w:tcPr>
          <w:p>
            <w:pPr>
              <w:spacing w:after="0"/>
              <w:rPr>
                <w:sz w:val="13"/>
                <w:szCs w:val="13"/>
                <w:color w:val="auto"/>
              </w:rPr>
            </w:pPr>
          </w:p>
        </w:tc>
        <w:tc>
          <w:tcPr>
            <w:tcW w:w="2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First Supplemental Indenture, dated as of August 13, 2002, between Black Hills Power, Inc. and The Bank of New York</w:t>
              </w:r>
            </w:hyperlink>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6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Mellon (as successor to JPMorgan Chase Bank), as Trustee (filed as Exhibit 4.20 to the Registrant’s Post-Effective</w:t>
              </w:r>
            </w:hyperlink>
          </w:p>
        </w:tc>
        <w:tc>
          <w:tcPr>
            <w:tcW w:w="2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Amendment No. 1 to the Registrant’s Registration Statement on Form 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3 (No. 333</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150669)).</w:t>
              </w:r>
            </w:hyperlink>
          </w:p>
        </w:tc>
        <w:tc>
          <w:tcPr>
            <w:tcW w:w="1460" w:type="dxa"/>
            <w:vAlign w:val="bottom"/>
            <w:tcBorders>
              <w:top w:val="single" w:sz="8" w:color="0000FF"/>
            </w:tcBorders>
          </w:tcPr>
          <w:p>
            <w:pPr>
              <w:spacing w:after="0"/>
              <w:rPr>
                <w:sz w:val="13"/>
                <w:szCs w:val="13"/>
                <w:color w:val="auto"/>
              </w:rPr>
            </w:pPr>
          </w:p>
        </w:tc>
        <w:tc>
          <w:tcPr>
            <w:tcW w:w="66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2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Second Supplemental Indenture, dated as of October 27, 2009, between Black Hills Power, Inc. and The Bank of New York</w:t>
              </w:r>
            </w:hyperlink>
          </w:p>
        </w:tc>
      </w:tr>
      <w:tr>
        <w:trPr>
          <w:trHeight w:val="155"/>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Mellon (filed as Exhibit 4.21 to the Registrant’s Post-Effective Amendment No. 2 to the Registrant’s Registration Statement</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36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on Form S-3 (No. 333-150669)).</w:t>
              </w:r>
            </w:hyperlink>
          </w:p>
        </w:tc>
        <w:tc>
          <w:tcPr>
            <w:tcW w:w="6580" w:type="dxa"/>
            <w:vAlign w:val="bottom"/>
            <w:gridSpan w:val="1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628"/>
        </w:trPr>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960" w:type="dxa"/>
            <w:vAlign w:val="bottom"/>
            <w:gridSpan w:val="10"/>
          </w:tcPr>
          <w:p>
            <w:pPr>
              <w:ind w:left="3320"/>
              <w:spacing w:after="0"/>
              <w:rPr>
                <w:sz w:val="20"/>
                <w:szCs w:val="20"/>
                <w:color w:val="auto"/>
              </w:rPr>
            </w:pPr>
            <w:r>
              <w:rPr>
                <w:rFonts w:ascii="Times New Roman" w:cs="Times New Roman" w:eastAsia="Times New Roman" w:hAnsi="Times New Roman"/>
                <w:sz w:val="18"/>
                <w:szCs w:val="18"/>
                <w:color w:val="auto"/>
              </w:rPr>
              <w:t>61</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9000" w:type="dxa"/>
            <w:vAlign w:val="bottom"/>
            <w:gridSpan w:val="1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Third Supplemental Indenture, dated as of October 1, 2014, between Black Hills Power, Inc. and The Bank of New York</w:t>
              </w:r>
            </w:hyperlink>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Mellon (filed as Exhibit 10.1 to the Registrant’s Form 8-K filed on October 2, 2014).</w:t>
              </w:r>
            </w:hyperlink>
          </w:p>
        </w:tc>
        <w:tc>
          <w:tcPr>
            <w:tcW w:w="258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4.3*</w:t>
            </w:r>
          </w:p>
        </w:tc>
        <w:tc>
          <w:tcPr>
            <w:tcW w:w="9000" w:type="dxa"/>
            <w:vAlign w:val="bottom"/>
            <w:gridSpan w:val="18"/>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Restated Indenture of Mortgage, Deed of Trust, Security Agreement and Financing Statement, amended and restated as of</w:t>
              </w:r>
            </w:hyperlink>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tcPr>
          <w:p>
            <w:pPr>
              <w:spacing w:after="0"/>
              <w:rPr>
                <w:sz w:val="13"/>
                <w:szCs w:val="13"/>
                <w:color w:val="auto"/>
              </w:rPr>
            </w:pPr>
          </w:p>
        </w:tc>
        <w:tc>
          <w:tcPr>
            <w:tcW w:w="9000" w:type="dxa"/>
            <w:vAlign w:val="bottom"/>
            <w:gridSpan w:val="18"/>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November 20, 2007, between Cheyenne Light, Fuel and Power Company and Wells Fargo Bank, National Association (filed</w:t>
              </w:r>
            </w:hyperlink>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as Exhibit 10.2 to the Registrant’s Form 8-K filed on October 2, 2014).</w:t>
              </w:r>
            </w:hyperlink>
          </w:p>
        </w:tc>
        <w:tc>
          <w:tcPr>
            <w:tcW w:w="38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9000" w:type="dxa"/>
            <w:vAlign w:val="bottom"/>
            <w:gridSpan w:val="18"/>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First Supplemental Indenture, dated as of September 3, 2009, between Cheyenne Light, Fuel and Power Company and Wells</w:t>
              </w:r>
            </w:hyperlink>
          </w:p>
        </w:tc>
        <w:tc>
          <w:tcPr>
            <w:tcW w:w="0" w:type="dxa"/>
            <w:vAlign w:val="bottom"/>
          </w:tcPr>
          <w:p>
            <w:pPr>
              <w:spacing w:after="0"/>
              <w:rPr>
                <w:sz w:val="1"/>
                <w:szCs w:val="1"/>
                <w:color w:val="auto"/>
              </w:rPr>
            </w:pPr>
          </w:p>
        </w:tc>
      </w:tr>
      <w:tr>
        <w:trPr>
          <w:trHeight w:val="191"/>
        </w:trPr>
        <w:tc>
          <w:tcPr>
            <w:tcW w:w="2220" w:type="dxa"/>
            <w:vAlign w:val="bottom"/>
          </w:tcPr>
          <w:p>
            <w:pPr>
              <w:spacing w:after="0"/>
              <w:rPr>
                <w:sz w:val="16"/>
                <w:szCs w:val="16"/>
                <w:color w:val="auto"/>
              </w:rPr>
            </w:pPr>
          </w:p>
        </w:tc>
        <w:tc>
          <w:tcPr>
            <w:tcW w:w="8980" w:type="dxa"/>
            <w:vAlign w:val="bottom"/>
            <w:tcBorders>
              <w:top w:val="single" w:sz="8" w:color="0000FF"/>
            </w:tcBorders>
            <w:gridSpan w:val="17"/>
          </w:tcPr>
          <w:p>
            <w:pPr>
              <w:spacing w:after="0" w:line="191" w:lineRule="exact"/>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Fargo Bank, National Association (filed as Exhibit 10.3 to the Registrant’s Form 8-K filed on October 2, 2014).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9000" w:type="dxa"/>
            <w:vAlign w:val="bottom"/>
            <w:gridSpan w:val="18"/>
          </w:tcPr>
          <w:p>
            <w:pPr>
              <w:spacing w:after="0" w:line="19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Second Supplemental Indenture, dated as of October 1, 2014, between Cheyenne Light, Fuel and Power Company and</w:t>
              </w:r>
            </w:hyperlink>
          </w:p>
        </w:tc>
        <w:tc>
          <w:tcPr>
            <w:tcW w:w="0" w:type="dxa"/>
            <w:vAlign w:val="bottom"/>
          </w:tcPr>
          <w:p>
            <w:pPr>
              <w:spacing w:after="0"/>
              <w:rPr>
                <w:sz w:val="1"/>
                <w:szCs w:val="1"/>
                <w:color w:val="auto"/>
              </w:rPr>
            </w:pPr>
          </w:p>
        </w:tc>
      </w:tr>
      <w:tr>
        <w:trPr>
          <w:trHeight w:val="228"/>
        </w:trPr>
        <w:tc>
          <w:tcPr>
            <w:tcW w:w="2220" w:type="dxa"/>
            <w:vAlign w:val="bottom"/>
          </w:tcPr>
          <w:p>
            <w:pPr>
              <w:spacing w:after="0"/>
              <w:rPr>
                <w:sz w:val="19"/>
                <w:szCs w:val="19"/>
                <w:color w:val="auto"/>
              </w:rPr>
            </w:pPr>
          </w:p>
        </w:tc>
        <w:tc>
          <w:tcPr>
            <w:tcW w:w="8560" w:type="dxa"/>
            <w:vAlign w:val="bottom"/>
            <w:tcBorders>
              <w:top w:val="single" w:sz="8" w:color="0000FF"/>
            </w:tcBorders>
            <w:gridSpan w:val="10"/>
          </w:tcPr>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Wells Fargo Bank, National Association (filed as Exhibit 10.4 to the Registrant’s Form 8-K filed on October 2, 2014).</w:t>
              </w:r>
            </w:hyperlink>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4.4*</w:t>
            </w:r>
          </w:p>
        </w:tc>
        <w:tc>
          <w:tcPr>
            <w:tcW w:w="9000" w:type="dxa"/>
            <w:vAlign w:val="bottom"/>
            <w:gridSpan w:val="18"/>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 xml:space="preserve">Form of Stock Certificate for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 Per Share (filed as Exhibit 4.2 to the Registrant’s Form 10-K</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for 2000).</w:t>
              </w:r>
            </w:hyperlink>
          </w:p>
        </w:tc>
        <w:tc>
          <w:tcPr>
            <w:tcW w:w="8200" w:type="dxa"/>
            <w:vAlign w:val="bottom"/>
            <w:tcBorders>
              <w:top w:val="single" w:sz="8" w:color="0000FF"/>
            </w:tcBorders>
            <w:gridSpan w:val="14"/>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w:t>
            </w:r>
          </w:p>
        </w:tc>
        <w:tc>
          <w:tcPr>
            <w:tcW w:w="9000" w:type="dxa"/>
            <w:vAlign w:val="bottom"/>
            <w:gridSpan w:val="18"/>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Equity Distribution Sales Agreement dated August 4, 2020 among Black Hills Corporation and the several Agents named</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therein (filed as Exhibit 1.1 to the Registrant’s Form 8-K filed on August 4, 2020).</w:t>
              </w:r>
            </w:hyperlink>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31.1</w:t>
            </w:r>
          </w:p>
        </w:tc>
        <w:tc>
          <w:tcPr>
            <w:tcW w:w="9000" w:type="dxa"/>
            <w:vAlign w:val="bottom"/>
            <w:gridSpan w:val="18"/>
          </w:tcPr>
          <w:p>
            <w:pPr>
              <w:spacing w:after="0"/>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Certification of Chief Executive Officer pursuant to Rule 13a - 14(a) of the Securities Exchange Act of 1934, as adopted</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w:anchor="page64">
              <w:r>
                <w:rPr>
                  <w:rFonts w:ascii="Times New Roman" w:cs="Times New Roman" w:eastAsia="Times New Roman" w:hAnsi="Times New Roman"/>
                  <w:sz w:val="18"/>
                  <w:szCs w:val="18"/>
                  <w:color w:val="0000FF"/>
                  <w:w w:val="99"/>
                </w:rPr>
                <w:t>pursuant to Section 302 of the Sarbanes - Oxley Act of 2002.</w:t>
              </w:r>
            </w:hyperlink>
          </w:p>
        </w:tc>
        <w:tc>
          <w:tcPr>
            <w:tcW w:w="4280" w:type="dxa"/>
            <w:vAlign w:val="bottom"/>
            <w:tcBorders>
              <w:top w:val="single" w:sz="8" w:color="0000FF"/>
            </w:tcBorders>
            <w:gridSpan w:val="9"/>
          </w:tcPr>
          <w:p>
            <w:pPr>
              <w:spacing w:after="0"/>
              <w:rPr>
                <w:sz w:val="13"/>
                <w:szCs w:val="13"/>
                <w:color w:val="auto"/>
              </w:rPr>
            </w:pPr>
          </w:p>
        </w:tc>
        <w:tc>
          <w:tcPr>
            <w:tcW w:w="3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31.2</w:t>
            </w:r>
          </w:p>
        </w:tc>
        <w:tc>
          <w:tcPr>
            <w:tcW w:w="9000" w:type="dxa"/>
            <w:vAlign w:val="bottom"/>
            <w:gridSpan w:val="18"/>
          </w:tcPr>
          <w:p>
            <w:pPr>
              <w:spacing w:after="0"/>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Certification of Chief Financial Officer pursuant to Rule 13a - 14(a) of the Securities Exchange Act of 1934, as adopted</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86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pursuance to Section 302 of the Sarbanes - Oxley Act of 2002.</w:t>
              </w:r>
            </w:hyperlink>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32.1</w:t>
            </w:r>
          </w:p>
        </w:tc>
        <w:tc>
          <w:tcPr>
            <w:tcW w:w="9000" w:type="dxa"/>
            <w:vAlign w:val="bottom"/>
            <w:gridSpan w:val="18"/>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Certification of 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85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Sarbanes - Oxley Act of 2002.</w:t>
              </w:r>
            </w:hyperlink>
          </w:p>
        </w:tc>
        <w:tc>
          <w:tcPr>
            <w:tcW w:w="4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32.2</w:t>
            </w:r>
          </w:p>
        </w:tc>
        <w:tc>
          <w:tcPr>
            <w:tcW w:w="9000" w:type="dxa"/>
            <w:vAlign w:val="bottom"/>
            <w:gridSpan w:val="18"/>
          </w:tcPr>
          <w:p>
            <w:pPr>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Certification of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84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Sarbanes - Oxley Act of 2002.</w:t>
              </w:r>
            </w:hyperlink>
          </w:p>
        </w:tc>
        <w:tc>
          <w:tcPr>
            <w:tcW w:w="5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68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95</w:t>
            </w:r>
          </w:p>
        </w:tc>
        <w:tc>
          <w:tcPr>
            <w:tcW w:w="9000" w:type="dxa"/>
            <w:vAlign w:val="bottom"/>
            <w:gridSpan w:val="18"/>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Mine Safety and Health Administration Safety Data.</w:t>
              </w:r>
            </w:hyperlink>
          </w:p>
        </w:tc>
        <w:tc>
          <w:tcPr>
            <w:tcW w:w="0" w:type="dxa"/>
            <w:vAlign w:val="bottom"/>
          </w:tcPr>
          <w:p>
            <w:pPr>
              <w:spacing w:after="0"/>
              <w:rPr>
                <w:sz w:val="1"/>
                <w:szCs w:val="1"/>
                <w:color w:val="auto"/>
              </w:rPr>
            </w:pPr>
          </w:p>
        </w:tc>
      </w:tr>
      <w:tr>
        <w:trPr>
          <w:trHeight w:val="337"/>
        </w:trPr>
        <w:tc>
          <w:tcPr>
            <w:tcW w:w="2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5"/>
        </w:trPr>
        <w:tc>
          <w:tcPr>
            <w:tcW w:w="2220" w:type="dxa"/>
            <w:vAlign w:val="bottom"/>
            <w:vMerge w:val="continue"/>
          </w:tcPr>
          <w:p>
            <w:pPr>
              <w:spacing w:after="0"/>
              <w:rPr>
                <w:sz w:val="19"/>
                <w:szCs w:val="19"/>
                <w:color w:val="auto"/>
              </w:rPr>
            </w:pP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0"/>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92"/>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0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part of the filing indicated and incorporated by reference herein.</w:t>
      </w:r>
    </w:p>
    <w:p>
      <w:pPr>
        <w:spacing w:after="0" w:line="200" w:lineRule="exact"/>
        <w:rPr>
          <w:rFonts w:ascii="Times New Roman" w:cs="Times New Roman" w:eastAsia="Times New Roman" w:hAnsi="Times New Roman"/>
          <w:sz w:val="16"/>
          <w:szCs w:val="16"/>
          <w:color w:val="auto"/>
        </w:rPr>
      </w:pPr>
    </w:p>
    <w:p>
      <w:pPr>
        <w:spacing w:after="0" w:line="34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3" w:right="379" w:bottom="1440" w:gutter="0" w:footer="0" w:header="0"/>
        </w:sectPr>
      </w:pPr>
    </w:p>
    <w:bookmarkStart w:id="62" w:name="page63"/>
    <w:bookmarkEnd w:id="62"/>
    <w:p>
      <w:pPr>
        <w:spacing w:after="0"/>
        <w:rPr>
          <w:rFonts w:ascii="Times New Roman" w:cs="Times New Roman" w:eastAsia="Times New Roman" w:hAnsi="Times New Roman"/>
          <w:sz w:val="16"/>
          <w:szCs w:val="16"/>
          <w:b w:val="1"/>
          <w:bCs w:val="1"/>
          <w:u w:val="single" w:color="auto"/>
          <w:color w:val="0000FF"/>
        </w:rPr>
      </w:pPr>
      <w:hyperlink w:anchor="page1">
        <w:r>
          <w:rPr>
            <w:rFonts w:ascii="Times New Roman" w:cs="Times New Roman" w:eastAsia="Times New Roman" w:hAnsi="Times New Roman"/>
            <w:sz w:val="16"/>
            <w:szCs w:val="16"/>
            <w:b w:val="1"/>
            <w:bCs w:val="1"/>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BLACK HILLS CORPORATION</w:t>
      </w:r>
    </w:p>
    <w:p>
      <w:pPr>
        <w:spacing w:after="0" w:line="1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3703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Linden R. Evans, President and</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3703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Richard W. Kinzley, Senior Vice President and</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3,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320" w:top="124" w:right="5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Linden R. Evans, certify that:</w:t>
      </w:r>
    </w:p>
    <w:p>
      <w:pPr>
        <w:spacing w:after="0" w:line="144" w:lineRule="exact"/>
        <w:rPr>
          <w:sz w:val="20"/>
          <w:szCs w:val="20"/>
          <w:color w:val="auto"/>
        </w:rPr>
      </w:pPr>
    </w:p>
    <w:p>
      <w:pPr>
        <w:ind w:left="800" w:hanging="774"/>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Black Hills Corporation;</w:t>
      </w:r>
    </w:p>
    <w:p>
      <w:pPr>
        <w:spacing w:after="0" w:line="184" w:lineRule="exact"/>
        <w:rPr>
          <w:rFonts w:ascii="Times New Roman" w:cs="Times New Roman" w:eastAsia="Times New Roman" w:hAnsi="Times New Roman"/>
          <w:sz w:val="18"/>
          <w:szCs w:val="18"/>
          <w:color w:val="auto"/>
        </w:rPr>
      </w:pPr>
    </w:p>
    <w:p>
      <w:pPr>
        <w:jc w:val="both"/>
        <w:ind w:left="800" w:right="220" w:hanging="774"/>
        <w:spacing w:after="0" w:line="226"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8"/>
          <w:szCs w:val="18"/>
          <w:color w:val="auto"/>
        </w:rPr>
      </w:pPr>
    </w:p>
    <w:p>
      <w:pPr>
        <w:ind w:left="800" w:right="200" w:hanging="774"/>
        <w:spacing w:after="0" w:line="237"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jc w:val="both"/>
        <w:ind w:left="800" w:right="140" w:hanging="774"/>
        <w:spacing w:after="0" w:line="215"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64" w:lineRule="exact"/>
        <w:rPr>
          <w:rFonts w:ascii="Times New Roman" w:cs="Times New Roman" w:eastAsia="Times New Roman" w:hAnsi="Times New Roman"/>
          <w:sz w:val="18"/>
          <w:szCs w:val="18"/>
          <w:color w:val="auto"/>
        </w:rPr>
      </w:pPr>
    </w:p>
    <w:p>
      <w:pPr>
        <w:ind w:left="1600" w:right="40" w:hanging="791"/>
        <w:spacing w:after="0" w:line="226" w:lineRule="auto"/>
        <w:tabs>
          <w:tab w:leader="none" w:pos="1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8"/>
          <w:szCs w:val="18"/>
          <w:color w:val="auto"/>
        </w:rPr>
      </w:pPr>
    </w:p>
    <w:p>
      <w:pPr>
        <w:ind w:left="1600" w:right="100" w:hanging="791"/>
        <w:spacing w:after="0" w:line="226" w:lineRule="auto"/>
        <w:tabs>
          <w:tab w:leader="none" w:pos="1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ind w:left="1600" w:right="200" w:hanging="791"/>
        <w:spacing w:after="0" w:line="226" w:lineRule="auto"/>
        <w:tabs>
          <w:tab w:leader="none" w:pos="1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Times New Roman" w:cs="Times New Roman" w:eastAsia="Times New Roman" w:hAnsi="Times New Roman"/>
          <w:sz w:val="18"/>
          <w:szCs w:val="18"/>
          <w:color w:val="auto"/>
        </w:rPr>
      </w:pPr>
    </w:p>
    <w:p>
      <w:pPr>
        <w:ind w:left="1600" w:right="300" w:hanging="791"/>
        <w:spacing w:after="0" w:line="226" w:lineRule="auto"/>
        <w:tabs>
          <w:tab w:leader="none" w:pos="1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7" w:lineRule="exact"/>
        <w:rPr>
          <w:rFonts w:ascii="Times New Roman" w:cs="Times New Roman" w:eastAsia="Times New Roman" w:hAnsi="Times New Roman"/>
          <w:sz w:val="18"/>
          <w:szCs w:val="18"/>
          <w:color w:val="auto"/>
        </w:rPr>
      </w:pPr>
    </w:p>
    <w:p>
      <w:pPr>
        <w:ind w:left="800" w:right="120" w:hanging="774"/>
        <w:spacing w:after="0" w:line="263" w:lineRule="auto"/>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left="1600" w:right="160" w:hanging="791"/>
        <w:spacing w:after="0" w:line="237" w:lineRule="auto"/>
        <w:tabs>
          <w:tab w:leader="none" w:pos="1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1600" w:right="440" w:hanging="791"/>
        <w:spacing w:after="0" w:line="237" w:lineRule="auto"/>
        <w:tabs>
          <w:tab w:leader="none" w:pos="16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2020</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29317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Linden R. Evans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W. Kinzley, certify that:</w:t>
      </w:r>
    </w:p>
    <w:p>
      <w:pPr>
        <w:spacing w:after="0" w:line="144" w:lineRule="exact"/>
        <w:rPr>
          <w:sz w:val="20"/>
          <w:szCs w:val="20"/>
          <w:color w:val="auto"/>
        </w:rPr>
      </w:pPr>
    </w:p>
    <w:p>
      <w:pPr>
        <w:ind w:left="800" w:hanging="774"/>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Black Hills Corporation;</w:t>
      </w:r>
    </w:p>
    <w:p>
      <w:pPr>
        <w:spacing w:after="0" w:line="184" w:lineRule="exact"/>
        <w:rPr>
          <w:rFonts w:ascii="Times New Roman" w:cs="Times New Roman" w:eastAsia="Times New Roman" w:hAnsi="Times New Roman"/>
          <w:sz w:val="18"/>
          <w:szCs w:val="18"/>
          <w:color w:val="auto"/>
        </w:rPr>
      </w:pPr>
    </w:p>
    <w:p>
      <w:pPr>
        <w:jc w:val="both"/>
        <w:ind w:left="800" w:right="220" w:hanging="774"/>
        <w:spacing w:after="0" w:line="226"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8"/>
          <w:szCs w:val="18"/>
          <w:color w:val="auto"/>
        </w:rPr>
      </w:pPr>
    </w:p>
    <w:p>
      <w:pPr>
        <w:ind w:left="800" w:right="200" w:hanging="774"/>
        <w:spacing w:after="0" w:line="237"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jc w:val="both"/>
        <w:ind w:left="800" w:right="140" w:hanging="774"/>
        <w:spacing w:after="0" w:line="215"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64" w:lineRule="exact"/>
        <w:rPr>
          <w:rFonts w:ascii="Times New Roman" w:cs="Times New Roman" w:eastAsia="Times New Roman" w:hAnsi="Times New Roman"/>
          <w:sz w:val="18"/>
          <w:szCs w:val="18"/>
          <w:color w:val="auto"/>
        </w:rPr>
      </w:pPr>
    </w:p>
    <w:p>
      <w:pPr>
        <w:ind w:left="1600" w:right="40" w:hanging="791"/>
        <w:spacing w:after="0" w:line="226" w:lineRule="auto"/>
        <w:tabs>
          <w:tab w:leader="none" w:pos="16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8"/>
          <w:szCs w:val="18"/>
          <w:color w:val="auto"/>
        </w:rPr>
      </w:pPr>
    </w:p>
    <w:p>
      <w:pPr>
        <w:ind w:left="1600" w:right="100" w:hanging="791"/>
        <w:spacing w:after="0" w:line="226" w:lineRule="auto"/>
        <w:tabs>
          <w:tab w:leader="none" w:pos="16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ind w:left="1600" w:right="200" w:hanging="791"/>
        <w:spacing w:after="0" w:line="226" w:lineRule="auto"/>
        <w:tabs>
          <w:tab w:leader="none" w:pos="16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Times New Roman" w:cs="Times New Roman" w:eastAsia="Times New Roman" w:hAnsi="Times New Roman"/>
          <w:sz w:val="18"/>
          <w:szCs w:val="18"/>
          <w:color w:val="auto"/>
        </w:rPr>
      </w:pPr>
    </w:p>
    <w:p>
      <w:pPr>
        <w:ind w:left="1600" w:right="300" w:hanging="791"/>
        <w:spacing w:after="0" w:line="226" w:lineRule="auto"/>
        <w:tabs>
          <w:tab w:leader="none" w:pos="16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7" w:lineRule="exact"/>
        <w:rPr>
          <w:rFonts w:ascii="Times New Roman" w:cs="Times New Roman" w:eastAsia="Times New Roman" w:hAnsi="Times New Roman"/>
          <w:sz w:val="18"/>
          <w:szCs w:val="18"/>
          <w:color w:val="auto"/>
        </w:rPr>
      </w:pPr>
    </w:p>
    <w:p>
      <w:pPr>
        <w:ind w:left="800" w:right="120" w:hanging="774"/>
        <w:spacing w:after="0" w:line="263" w:lineRule="auto"/>
        <w:tabs>
          <w:tab w:leader="none" w:pos="8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left="1600" w:right="160" w:hanging="791"/>
        <w:spacing w:after="0" w:line="237" w:lineRule="auto"/>
        <w:tabs>
          <w:tab w:leader="none" w:pos="16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1600" w:right="440" w:hanging="791"/>
        <w:spacing w:after="0" w:line="237" w:lineRule="auto"/>
        <w:tabs>
          <w:tab w:leader="none" w:pos="16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2020</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29317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Richard W. Kinzley</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Black Hills Corporation (the “Company”) on Form 10-Q for the period ended September 30, 2020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89" w:lineRule="exact"/>
        <w:rPr>
          <w:sz w:val="20"/>
          <w:szCs w:val="20"/>
          <w:color w:val="auto"/>
        </w:rPr>
      </w:pPr>
    </w:p>
    <w:p>
      <w:pPr>
        <w:ind w:left="1600" w:hanging="791"/>
        <w:spacing w:after="0"/>
        <w:tabs>
          <w:tab w:leader="none" w:pos="1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84" w:lineRule="exact"/>
        <w:rPr>
          <w:rFonts w:ascii="Times New Roman" w:cs="Times New Roman" w:eastAsia="Times New Roman" w:hAnsi="Times New Roman"/>
          <w:sz w:val="18"/>
          <w:szCs w:val="18"/>
          <w:color w:val="auto"/>
        </w:rPr>
      </w:pPr>
    </w:p>
    <w:p>
      <w:pPr>
        <w:ind w:left="1600" w:right="240" w:hanging="791"/>
        <w:spacing w:after="0" w:line="237" w:lineRule="auto"/>
        <w:tabs>
          <w:tab w:leader="none" w:pos="1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1"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2020</w:t>
      </w:r>
    </w:p>
    <w:p>
      <w:pPr>
        <w:spacing w:after="0" w:line="29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17145</wp:posOffset>
            </wp:positionV>
            <wp:extent cx="2931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Linden R. Evans</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Black Hills Corporation (the “Company”) on Form 10-Q for the period ended September 30, 2020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189" w:lineRule="exact"/>
        <w:rPr>
          <w:sz w:val="20"/>
          <w:szCs w:val="20"/>
          <w:color w:val="auto"/>
        </w:rPr>
      </w:pPr>
    </w:p>
    <w:p>
      <w:pPr>
        <w:ind w:left="1600" w:hanging="791"/>
        <w:spacing w:after="0"/>
        <w:tabs>
          <w:tab w:leader="none" w:pos="1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84" w:lineRule="exact"/>
        <w:rPr>
          <w:rFonts w:ascii="Times New Roman" w:cs="Times New Roman" w:eastAsia="Times New Roman" w:hAnsi="Times New Roman"/>
          <w:sz w:val="18"/>
          <w:szCs w:val="18"/>
          <w:color w:val="auto"/>
        </w:rPr>
      </w:pPr>
    </w:p>
    <w:p>
      <w:pPr>
        <w:ind w:left="1600" w:right="240" w:hanging="791"/>
        <w:spacing w:after="0" w:line="237" w:lineRule="auto"/>
        <w:tabs>
          <w:tab w:leader="none" w:pos="1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1"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2020</w:t>
      </w:r>
    </w:p>
    <w:p>
      <w:pPr>
        <w:spacing w:after="0" w:line="2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29317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Richard W. Kinzley</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by Sections 1503(a) of Dodd-Frank is included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 Safety and Health Administration Safety Data</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2020.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216" w:lineRule="exact"/>
        <w:rPr>
          <w:sz w:val="20"/>
          <w:szCs w:val="20"/>
          <w:color w:val="auto"/>
        </w:rPr>
      </w:pPr>
    </w:p>
    <w:p>
      <w:pPr>
        <w:ind w:left="660" w:right="10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orders issued under section 104(b) of the Mine Act;</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citations and orders for unwarrantable failure of the mine operator to comply with mandatory health and safety standards under section 104(d) of the Mine Act;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imminent danger orders issued under section 107(a) of the Mine Act;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dollar value of proposed assessments from MSHA under the Mine Act.</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September 30, 2020 and legal actions pending before the Federal Mine Safety and Health Review Commission, together with the Administrative Law Judges thereof, for WRDC, our only mining complex. All citations were abated within 24 hours of issue.</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 Section</w:t>
            </w:r>
          </w:p>
        </w:tc>
        <w:tc>
          <w:tcPr>
            <w:tcW w:w="6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w:t>
            </w:r>
          </w:p>
        </w:tc>
        <w:tc>
          <w:tcPr>
            <w:tcW w:w="9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Legal</w:t>
            </w: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Legal</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Legal</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104 S&amp;S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Section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Section</w:t>
            </w:r>
          </w:p>
        </w:tc>
        <w:tc>
          <w:tcPr>
            <w:tcW w:w="180" w:type="dxa"/>
            <w:vAlign w:val="bottom"/>
          </w:tcPr>
          <w:p>
            <w:pPr>
              <w:spacing w:after="0"/>
              <w:rPr>
                <w:sz w:val="11"/>
                <w:szCs w:val="11"/>
                <w:color w:val="auto"/>
              </w:rPr>
            </w:pPr>
          </w:p>
        </w:tc>
        <w:tc>
          <w:tcPr>
            <w:tcW w:w="10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 Dollar</w:t>
            </w:r>
          </w:p>
        </w:tc>
        <w:tc>
          <w:tcPr>
            <w:tcW w:w="840" w:type="dxa"/>
            <w:vAlign w:val="bottom"/>
            <w:vMerge w:val="continue"/>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 Notice of</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Actions</w:t>
            </w: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Citations issued</w:t>
            </w:r>
          </w:p>
        </w:tc>
        <w:tc>
          <w:tcPr>
            <w:tcW w:w="680" w:type="dxa"/>
            <w:vAlign w:val="bottom"/>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104(d)</w:t>
            </w:r>
          </w:p>
        </w:tc>
        <w:tc>
          <w:tcPr>
            <w:tcW w:w="980" w:type="dxa"/>
            <w:vAlign w:val="bottom"/>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107(a)</w:t>
            </w: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Pending as</w:t>
            </w:r>
          </w:p>
        </w:tc>
        <w:tc>
          <w:tcPr>
            <w:tcW w:w="8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Actions</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Actions</w:t>
            </w:r>
          </w:p>
        </w:tc>
        <w:tc>
          <w:tcPr>
            <w:tcW w:w="0" w:type="dxa"/>
            <w:vAlign w:val="bottom"/>
          </w:tcPr>
          <w:p>
            <w:pPr>
              <w:spacing w:after="0"/>
              <w:rPr>
                <w:sz w:val="1"/>
                <w:szCs w:val="1"/>
                <w:color w:val="auto"/>
              </w:rPr>
            </w:pPr>
          </w:p>
        </w:tc>
      </w:tr>
      <w:tr>
        <w:trPr>
          <w:trHeight w:val="135"/>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Mine/ MSHA</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during three</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Section</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Citations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Section 110(b)</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Imminent</w:t>
            </w:r>
          </w:p>
        </w:tc>
        <w:tc>
          <w:tcPr>
            <w:tcW w:w="180" w:type="dxa"/>
            <w:vAlign w:val="bottom"/>
          </w:tcPr>
          <w:p>
            <w:pPr>
              <w:spacing w:after="0"/>
              <w:rPr>
                <w:sz w:val="11"/>
                <w:szCs w:val="11"/>
                <w:color w:val="auto"/>
              </w:rPr>
            </w:pPr>
          </w:p>
        </w:tc>
        <w:tc>
          <w:tcPr>
            <w:tcW w:w="100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Mining</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Potential to Have</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80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Initiated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Resolved</w:t>
            </w:r>
          </w:p>
        </w:tc>
        <w:tc>
          <w:tcPr>
            <w:tcW w:w="0" w:type="dxa"/>
            <w:vAlign w:val="bottom"/>
          </w:tcPr>
          <w:p>
            <w:pPr>
              <w:spacing w:after="0"/>
              <w:rPr>
                <w:sz w:val="1"/>
                <w:szCs w:val="1"/>
                <w:color w:val="auto"/>
              </w:rPr>
            </w:pPr>
          </w:p>
        </w:tc>
      </w:tr>
      <w:tr>
        <w:trPr>
          <w:trHeight w:val="178"/>
        </w:trPr>
        <w:tc>
          <w:tcPr>
            <w:tcW w:w="1080" w:type="dxa"/>
            <w:vAlign w:val="bottom"/>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104(b)</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Danger</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MSHA</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Pattern Under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6"/>
        </w:trPr>
        <w:tc>
          <w:tcPr>
            <w:tcW w:w="10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Orders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Orders (#)</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Violations (#)</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Orders (#)</w:t>
            </w:r>
          </w:p>
        </w:tc>
        <w:tc>
          <w:tcPr>
            <w:tcW w:w="180" w:type="dxa"/>
            <w:vAlign w:val="bottom"/>
          </w:tcPr>
          <w:p>
            <w:pPr>
              <w:spacing w:after="0"/>
              <w:rPr>
                <w:sz w:val="12"/>
                <w:szCs w:val="12"/>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Assessments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Fatalities (#)</w:t>
            </w: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Section 104(e)</w:t>
            </w: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Period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(yes/no)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Wyodak Coal</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 - 4800083</w:t>
            </w:r>
          </w:p>
        </w:tc>
        <w:tc>
          <w:tcPr>
            <w:tcW w:w="12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340" w:hanging="332"/>
        <w:spacing w:after="0" w:line="254" w:lineRule="auto"/>
        <w:tabs>
          <w:tab w:leader="none" w:pos="35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1)"/>
      <w:numFmt w:val="lowerLetter"/>
      <w:start w:val="1"/>
    </w:lvl>
  </w:abstractNum>
  <w:abstractNum w:abstractNumId="8">
    <w:nsid w:val="737B8DDC"/>
    <w:multiLevelType w:val="hybridMultilevel"/>
    <w:lvl w:ilvl="0">
      <w:lvlJc w:val="left"/>
      <w:lvlText w:val="(%1)"/>
      <w:numFmt w:val="lowerLetter"/>
      <w:start w:val="1"/>
    </w:lvl>
  </w:abstractNum>
  <w:abstractNum w:abstractNumId="9">
    <w:nsid w:val="6CEAF087"/>
    <w:multiLevelType w:val="hybridMultilevel"/>
    <w:lvl w:ilvl="0">
      <w:lvlJc w:val="left"/>
      <w:lvlText w:val="(%1)"/>
      <w:numFmt w:val="decimal"/>
      <w:start w:val="6"/>
    </w:lvl>
  </w:abstractNum>
  <w:abstractNum w:abstractNumId="10">
    <w:nsid w:val="22221A70"/>
    <w:multiLevelType w:val="hybridMultilevel"/>
    <w:lvl w:ilvl="0">
      <w:lvlJc w:val="left"/>
      <w:lvlText w:val="(%1)"/>
      <w:numFmt w:val="decimal"/>
      <w:start w:val="7"/>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decimal"/>
      <w:start w:val="8"/>
    </w:lvl>
  </w:abstractNum>
  <w:abstractNum w:abstractNumId="13">
    <w:nsid w:val="614FD4A1"/>
    <w:multiLevelType w:val="hybridMultilevel"/>
    <w:lvl w:ilvl="0">
      <w:lvlJc w:val="left"/>
      <w:lvlText w:val="(%1)"/>
      <w:numFmt w:val="decimal"/>
      <w:start w:val="9"/>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decimal"/>
      <w:start w:val="11"/>
    </w:lvl>
  </w:abstractNum>
  <w:abstractNum w:abstractNumId="18">
    <w:nsid w:val="3804823E"/>
    <w:multiLevelType w:val="hybridMultilevel"/>
    <w:lvl w:ilvl="0">
      <w:lvlJc w:val="left"/>
      <w:lvlText w:val="(%1)"/>
      <w:numFmt w:val="decimal"/>
      <w:start w:val="14"/>
    </w:lvl>
  </w:abstractNum>
  <w:abstractNum w:abstractNumId="19">
    <w:nsid w:val="77465F01"/>
    <w:multiLevelType w:val="hybridMultilevel"/>
    <w:lvl w:ilvl="0">
      <w:lvlJc w:val="left"/>
      <w:lvlText w:val="(%1)"/>
      <w:numFmt w:val="decimal"/>
      <w:start w:val="15"/>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
      <w:numFmt w:val="bullet"/>
      <w:start w:val="1"/>
    </w:lvl>
    <w:lvl w:ilvl="1">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20" Type="http://schemas.openxmlformats.org/officeDocument/2006/relationships/hyperlink" Target="http://www.sec.gov/Archives/edgar/data/1130464/000113046418000007/bhcamendedarticles.htm" TargetMode="External"/><Relationship Id="rId121" Type="http://schemas.openxmlformats.org/officeDocument/2006/relationships/hyperlink" Target="http://www.sec.gov/Archives/edgar/data/1130464/000113046417000016/bkhexh3-amdrestatedbylawso.htm" TargetMode="External"/><Relationship Id="rId122" Type="http://schemas.openxmlformats.org/officeDocument/2006/relationships/hyperlink" Target="http://www.sec.gov/Archives/edgar/data/1130464/000113046403000214/ex4-1_10q603.htm" TargetMode="External"/><Relationship Id="rId123" Type="http://schemas.openxmlformats.org/officeDocument/2006/relationships/hyperlink" Target="http://www.sec.gov/Archives/edgar/data/1130464/000113046403000214/ex4-2_10q603.htm" TargetMode="External"/><Relationship Id="rId124" Type="http://schemas.openxmlformats.org/officeDocument/2006/relationships/hyperlink" Target="http://www.sec.gov/Archives/edgar/data/1130464/000110465909032244/a09-13238_3ex4.htm" TargetMode="External"/><Relationship Id="rId125" Type="http://schemas.openxmlformats.org/officeDocument/2006/relationships/hyperlink" Target="http://www.sec.gov/Archives/edgar/data/1130464/000110465910038202/a10-11184_5ex4.htm" TargetMode="External"/><Relationship Id="rId126" Type="http://schemas.openxmlformats.org/officeDocument/2006/relationships/hyperlink" Target="http://www.sec.gov/Archives/edgar/data/1130464/000110465913085420/a13-24110_4ex4.htm" TargetMode="External"/><Relationship Id="rId127" Type="http://schemas.openxmlformats.org/officeDocument/2006/relationships/hyperlink" Target="http://www.sec.gov/Archives/edgar/data/1130464/000110465916089656/a16-1059_4ex4d1.htm" TargetMode="External"/><Relationship Id="rId128" Type="http://schemas.openxmlformats.org/officeDocument/2006/relationships/hyperlink" Target="http://www.sec.gov/Archives/edgar/data/1130464/000110465916140657/a16-17027_1ex4d1.htm" TargetMode="External"/><Relationship Id="rId129" Type="http://schemas.openxmlformats.org/officeDocument/2006/relationships/hyperlink" Target="http://www.sec.gov/Archives/edgar/data/1130464/000110465918052602/a18-18564_4ex4d2.htm" TargetMode="External"/><Relationship Id="rId130" Type="http://schemas.openxmlformats.org/officeDocument/2006/relationships/hyperlink" Target="http://www.sec.gov/Archives/edgar/data/1130464/000141057819001533/tv530573_ex4-1.htm" TargetMode="External"/><Relationship Id="rId131" Type="http://schemas.openxmlformats.org/officeDocument/2006/relationships/hyperlink" Target="http://www.sec.gov/Archives/edgar/data/1130464/000110465920074172/tm2022285d4_ex4-1.htm" TargetMode="External"/><Relationship Id="rId132" Type="http://schemas.openxmlformats.org/officeDocument/2006/relationships/hyperlink" Target="http://www.sec.gov/Archives/edgar/data/12400/000104746909009108/a2195001zex-4_19.htm" TargetMode="External"/><Relationship Id="rId133" Type="http://schemas.openxmlformats.org/officeDocument/2006/relationships/hyperlink" Target="http://www.sec.gov/Archives/edgar/data/12400/000093066102002633/dex42.txt" TargetMode="External"/><Relationship Id="rId134" Type="http://schemas.openxmlformats.org/officeDocument/2006/relationships/hyperlink" Target="http://www.sec.gov/Archives/edgar/data/12400/000110465909060487/a09-31821_7ex4d21.htm" TargetMode="External"/><Relationship Id="rId137" Type="http://schemas.openxmlformats.org/officeDocument/2006/relationships/hyperlink" Target="http://www.sec.gov/Archives/edgar/data/12400/000113046414000164/ex_10-1thirdsuppindentureb.htm" TargetMode="External"/><Relationship Id="rId138" Type="http://schemas.openxmlformats.org/officeDocument/2006/relationships/hyperlink" Target="http://www.sec.gov/Archives/edgar/data/12400/000113046414000164/ex_10-2restatedindenture.htm" TargetMode="External"/><Relationship Id="rId139" Type="http://schemas.openxmlformats.org/officeDocument/2006/relationships/hyperlink" Target="http://www.sec.gov/Archives/edgar/data/12400/000113046414000164/ex_10-3clfpfirstsupplement.htm" TargetMode="External"/><Relationship Id="rId140" Type="http://schemas.openxmlformats.org/officeDocument/2006/relationships/hyperlink" Target="http://www.sec.gov/Archives/edgar/data/12400/000113046414000164/ex_10-4clfpsupplementalind.htm" TargetMode="External"/><Relationship Id="rId141" Type="http://schemas.openxmlformats.org/officeDocument/2006/relationships/hyperlink" Target="http://www.sec.gov/Archives/edgar/data/1130464/000001240001000024/0000012400-01-000024-0002.txt" TargetMode="External"/><Relationship Id="rId142" Type="http://schemas.openxmlformats.org/officeDocument/2006/relationships/hyperlink" Target="https://www.sec.gov/Archives/edgar/data/1130464/000110465920089882/tm2026019d3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2020-11-03T11:36:56Z</dcterms:created>
  <dcterms:modified xsi:type="dcterms:W3CDTF">2020-11-03T11:36:56Z</dcterms:modified>
</cp:coreProperties>
</file>