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97" w:lineRule="exact"/>
        <w:rPr>
          <w:sz w:val="24"/>
          <w:szCs w:val="24"/>
          <w:color w:val="auto"/>
        </w:rPr>
      </w:pPr>
    </w:p>
    <w:p>
      <w:pPr>
        <w:ind w:left="1740" w:right="3120" w:hanging="399"/>
        <w:spacing w:after="0" w:line="222" w:lineRule="auto"/>
        <w:tabs>
          <w:tab w:leader="none" w:pos="1740" w:val="left"/>
        </w:tabs>
        <w:numPr>
          <w:ilvl w:val="0"/>
          <w:numId w:val="1"/>
        </w:numPr>
        <w:rPr>
          <w:rFonts w:ascii="Arial" w:cs="Arial" w:eastAsia="Arial" w:hAnsi="Arial"/>
          <w:sz w:val="29"/>
          <w:szCs w:val="29"/>
          <w:color w:val="auto"/>
        </w:rPr>
      </w:pPr>
      <w:r>
        <w:rPr>
          <w:rFonts w:ascii="Arial" w:cs="Arial" w:eastAsia="Arial" w:hAnsi="Arial"/>
          <w:sz w:val="18"/>
          <w:szCs w:val="18"/>
          <w:color w:val="auto"/>
        </w:rPr>
        <w:t>QUARTERLY REPORT PURSUANT TO SECTION 13 OR 15(d) OF THE SECURITIES EXCHANGE ACT OF 1934</w:t>
      </w:r>
    </w:p>
    <w:p>
      <w:pPr>
        <w:spacing w:after="0" w:line="40"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For the quarterly period ended March 31, 2017</w:t>
      </w:r>
    </w:p>
    <w:p>
      <w:pPr>
        <w:spacing w:after="0" w:line="8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190" w:lineRule="exact"/>
        <w:rPr>
          <w:sz w:val="24"/>
          <w:szCs w:val="24"/>
          <w:color w:val="auto"/>
        </w:rPr>
      </w:pPr>
    </w:p>
    <w:p>
      <w:pPr>
        <w:ind w:left="1740" w:right="3100" w:hanging="399"/>
        <w:spacing w:after="0" w:line="222" w:lineRule="auto"/>
        <w:tabs>
          <w:tab w:leader="none" w:pos="1740" w:val="left"/>
        </w:tabs>
        <w:numPr>
          <w:ilvl w:val="0"/>
          <w:numId w:val="2"/>
        </w:numPr>
        <w:rPr>
          <w:rFonts w:ascii="Arial" w:cs="Arial" w:eastAsia="Arial" w:hAnsi="Arial"/>
          <w:sz w:val="29"/>
          <w:szCs w:val="29"/>
          <w:color w:val="auto"/>
        </w:rPr>
      </w:pPr>
      <w:r>
        <w:rPr>
          <w:rFonts w:ascii="Arial" w:cs="Arial" w:eastAsia="Arial" w:hAnsi="Arial"/>
          <w:sz w:val="18"/>
          <w:szCs w:val="18"/>
          <w:color w:val="auto"/>
        </w:rPr>
        <w:t>TRANSITION REPORT PURSUANT TO SECTION 13 OR 15(d) OF THE SECURITIES EXCHANGE ACT OF 1934</w:t>
      </w:r>
    </w:p>
    <w:p>
      <w:pPr>
        <w:spacing w:after="0" w:line="40" w:lineRule="exact"/>
        <w:rPr>
          <w:rFonts w:ascii="Arial" w:cs="Arial" w:eastAsia="Arial" w:hAnsi="Arial"/>
          <w:sz w:val="29"/>
          <w:szCs w:val="29"/>
          <w:color w:val="auto"/>
        </w:rPr>
      </w:pPr>
    </w:p>
    <w:p>
      <w:pPr>
        <w:ind w:left="1740" w:right="5420"/>
        <w:spacing w:after="0" w:line="459" w:lineRule="auto"/>
        <w:rPr>
          <w:rFonts w:ascii="Arial" w:cs="Arial" w:eastAsia="Arial" w:hAnsi="Arial"/>
          <w:sz w:val="29"/>
          <w:szCs w:val="29"/>
          <w:color w:val="auto"/>
        </w:rPr>
      </w:pPr>
      <w:r>
        <w:rPr>
          <w:rFonts w:ascii="Arial" w:cs="Arial" w:eastAsia="Arial" w:hAnsi="Arial"/>
          <w:sz w:val="18"/>
          <w:szCs w:val="18"/>
          <w:color w:val="auto"/>
        </w:rPr>
        <w:t>For the transition period from __________ to __________. Commission File Number 001-31303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Black Hills Corporation</w:t>
      </w:r>
    </w:p>
    <w:p>
      <w:pPr>
        <w:spacing w:after="0" w:line="67" w:lineRule="exact"/>
        <w:rPr>
          <w:sz w:val="24"/>
          <w:szCs w:val="24"/>
          <w:color w:val="auto"/>
        </w:rPr>
      </w:pPr>
    </w:p>
    <w:p>
      <w:pPr>
        <w:ind w:left="40"/>
        <w:spacing w:after="0"/>
        <w:tabs>
          <w:tab w:leader="none" w:pos="8500" w:val="left"/>
        </w:tabs>
        <w:rPr>
          <w:sz w:val="20"/>
          <w:szCs w:val="20"/>
          <w:color w:val="auto"/>
        </w:rPr>
      </w:pPr>
      <w:r>
        <w:rPr>
          <w:rFonts w:ascii="Arial" w:cs="Arial" w:eastAsia="Arial" w:hAnsi="Arial"/>
          <w:sz w:val="18"/>
          <w:szCs w:val="18"/>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625 Ninth Street</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Rapid City, South Dakota 57701</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(605) 721-1700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3" w:lineRule="exact"/>
        <w:rPr>
          <w:sz w:val="24"/>
          <w:szCs w:val="24"/>
          <w:color w:val="auto"/>
        </w:rPr>
      </w:pPr>
    </w:p>
    <w:p>
      <w:pPr>
        <w:ind w:right="42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4420"/>
        <w:spacing w:after="0"/>
        <w:tabs>
          <w:tab w:leader="none" w:pos="65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39" w:lineRule="exact"/>
        <w:rPr>
          <w:sz w:val="24"/>
          <w:szCs w:val="24"/>
          <w:color w:val="auto"/>
        </w:rPr>
      </w:pPr>
    </w:p>
    <w:p>
      <w:pPr>
        <w:ind w:right="80"/>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ind w:left="4420"/>
        <w:spacing w:after="0"/>
        <w:tabs>
          <w:tab w:leader="none" w:pos="65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o</w:t>
      </w:r>
    </w:p>
    <w:p>
      <w:pPr>
        <w:spacing w:after="0" w:line="25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8" w:right="239" w:bottom="1440" w:gutter="0" w:footer="0" w:header="0"/>
        </w:sectPr>
      </w:pPr>
    </w:p>
    <w:p>
      <w:pPr>
        <w:spacing w:after="0" w:line="127"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4940" w:space="720"/>
            <w:col w:w="5760"/>
          </w:cols>
          <w:pgMar w:left="240" w:top="688" w:right="239" w:bottom="1440" w:gutter="0" w:footer="0" w:header="0"/>
          <w:type w:val="continuous"/>
        </w:sectPr>
      </w:pPr>
    </w:p>
    <w:p>
      <w:pPr>
        <w:spacing w:after="0" w:line="116"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ectPr>
          <w:pgSz w:w="11900" w:h="16838" w:orient="portrait"/>
          <w:cols w:equalWidth="0" w:num="2">
            <w:col w:w="4700" w:space="720"/>
            <w:col w:w="6000"/>
          </w:cols>
          <w:pgMar w:left="240" w:top="688" w:right="239" w:bottom="1440" w:gutter="0" w:footer="0" w:header="0"/>
          <w:type w:val="continuous"/>
        </w:sectPr>
      </w:pPr>
    </w:p>
    <w:p>
      <w:pPr>
        <w:spacing w:after="0" w:line="1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Smaller reporting company o</w:t>
      </w:r>
    </w:p>
    <w:p>
      <w:pPr>
        <w:spacing w:after="0" w:line="3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688" w:right="239" w:bottom="1440" w:gutter="0" w:footer="0" w:header="0"/>
          <w:type w:val="continuous"/>
        </w:sectPr>
      </w:pPr>
    </w:p>
    <w:p>
      <w:pPr>
        <w:spacing w:after="0" w:line="2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4380"/>
        <w:spacing w:after="0"/>
        <w:tabs>
          <w:tab w:leader="none" w:pos="63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688" w:right="239" w:bottom="1440" w:gutter="0" w:footer="0" w:header="0"/>
          <w:type w:val="continuous"/>
        </w:sectPr>
      </w:pPr>
    </w:p>
    <w:p>
      <w:pPr>
        <w:spacing w:after="0" w:line="171" w:lineRule="exact"/>
        <w:rPr>
          <w:sz w:val="24"/>
          <w:szCs w:val="24"/>
          <w:color w:val="auto"/>
        </w:rPr>
      </w:pPr>
    </w:p>
    <w:p>
      <w:pPr>
        <w:jc w:val="center"/>
        <w:ind w:left="500"/>
        <w:spacing w:after="0"/>
        <w:rPr>
          <w:sz w:val="20"/>
          <w:szCs w:val="20"/>
          <w:color w:val="auto"/>
        </w:rPr>
      </w:pPr>
      <w:r>
        <w:rPr>
          <w:rFonts w:ascii="Arial" w:cs="Arial" w:eastAsia="Arial" w:hAnsi="Arial"/>
          <w:sz w:val="15"/>
          <w:szCs w:val="15"/>
          <w:color w:val="auto"/>
        </w:rPr>
        <w:t>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Outstanding at April 30, 2017</w:t>
      </w:r>
    </w:p>
    <w:p>
      <w:pPr>
        <w:spacing w:after="0" w:line="86" w:lineRule="exact"/>
        <w:rPr>
          <w:sz w:val="24"/>
          <w:szCs w:val="24"/>
          <w:color w:val="auto"/>
        </w:rPr>
      </w:pPr>
    </w:p>
    <w:p>
      <w:pPr>
        <w:sectPr>
          <w:pgSz w:w="11900" w:h="16838" w:orient="portrait"/>
          <w:cols w:equalWidth="0" w:num="2">
            <w:col w:w="5800" w:space="720"/>
            <w:col w:w="4900"/>
          </w:cols>
          <w:pgMar w:left="240" w:top="688" w:right="239" w:bottom="1440" w:gutter="0" w:footer="0" w:header="0"/>
          <w:type w:val="continuous"/>
        </w:sectPr>
      </w:pPr>
    </w:p>
    <w:p>
      <w:pPr>
        <w:ind w:left="20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53,461,825 shares</w:t>
      </w:r>
    </w:p>
    <w:p>
      <w:pPr>
        <w:sectPr>
          <w:pgSz w:w="11900" w:h="16838" w:orient="portrait"/>
          <w:cols w:equalWidth="0" w:num="2">
            <w:col w:w="5980" w:space="720"/>
            <w:col w:w="472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0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90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900" w:type="dxa"/>
            <w:vAlign w:val="bottom"/>
          </w:tcPr>
          <w:p>
            <w:pPr>
              <w:spacing w:after="0"/>
              <w:rPr>
                <w:sz w:val="2"/>
                <w:szCs w:val="2"/>
                <w:color w:val="auto"/>
              </w:rPr>
            </w:pPr>
          </w:p>
        </w:tc>
        <w:tc>
          <w:tcPr>
            <w:tcW w:w="9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900" w:type="dxa"/>
            <w:vAlign w:val="bottom"/>
          </w:tcPr>
          <w:p>
            <w:pPr>
              <w:spacing w:after="0"/>
              <w:rPr>
                <w:sz w:val="17"/>
                <w:szCs w:val="17"/>
                <w:color w:val="auto"/>
              </w:rPr>
            </w:pPr>
          </w:p>
        </w:tc>
        <w:tc>
          <w:tcPr>
            <w:tcW w:w="9000" w:type="dxa"/>
            <w:vAlign w:val="bottom"/>
          </w:tcPr>
          <w:p>
            <w:pPr>
              <w:ind w:left="240"/>
              <w:spacing w:after="0" w:line="196" w:lineRule="exact"/>
              <w:rPr>
                <w:sz w:val="20"/>
                <w:szCs w:val="20"/>
                <w:color w:val="auto"/>
              </w:rPr>
            </w:pPr>
            <w:r>
              <w:rPr>
                <w:rFonts w:ascii="Arial" w:cs="Arial" w:eastAsia="Arial" w:hAnsi="Arial"/>
                <w:sz w:val="18"/>
                <w:szCs w:val="18"/>
                <w:color w:val="auto"/>
              </w:rPr>
              <w:t>Glossary of Terms and Abbreviations</w:t>
            </w:r>
          </w:p>
        </w:tc>
        <w:tc>
          <w:tcPr>
            <w:tcW w:w="780" w:type="dxa"/>
            <w:vAlign w:val="bottom"/>
            <w:gridSpan w:val="3"/>
          </w:tcPr>
          <w:p>
            <w:pPr>
              <w:jc w:val="center"/>
              <w:ind w:left="61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INFORMATION</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Months Ended March 31, 2017 and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Comprehensive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Months Ended March 31, 2017 and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Balance Sheets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March 31, 2017, December 31, 2016 and March 31, 2016</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Cash Flows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Months Ended March 31, 2017 and 2016</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64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Notes to Condensed Consolidated Financial Statements - unaudited</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11</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00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0" w:type="dxa"/>
            <w:vAlign w:val="bottom"/>
          </w:tcPr>
          <w:p>
            <w:pPr>
              <w:ind w:left="240"/>
              <w:spacing w:after="0"/>
              <w:rPr>
                <w:sz w:val="20"/>
                <w:szCs w:val="20"/>
                <w:color w:val="auto"/>
              </w:rPr>
            </w:pPr>
            <w:r>
              <w:rPr>
                <w:rFonts w:ascii="Arial" w:cs="Arial" w:eastAsia="Arial" w:hAnsi="Arial"/>
                <w:sz w:val="18"/>
                <w:szCs w:val="18"/>
                <w:color w:val="auto"/>
              </w:rPr>
              <w:t>Risk Factors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Unregistered Sales of Equity Securities and Use of Proceeds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000" w:type="dxa"/>
            <w:vAlign w:val="bottom"/>
          </w:tcPr>
          <w:p>
            <w:pPr>
              <w:ind w:left="240"/>
              <w:spacing w:after="0"/>
              <w:rPr>
                <w:sz w:val="20"/>
                <w:szCs w:val="20"/>
                <w:color w:val="auto"/>
              </w:rPr>
            </w:pPr>
            <w:r>
              <w:rPr>
                <w:rFonts w:ascii="Arial" w:cs="Arial" w:eastAsia="Arial" w:hAnsi="Arial"/>
                <w:sz w:val="18"/>
                <w:szCs w:val="18"/>
                <w:color w:val="auto"/>
              </w:rPr>
              <w:t>Exhibits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Signatures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70</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Index to Exhibits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640" w:type="dxa"/>
            <w:vAlign w:val="bottom"/>
          </w:tcPr>
          <w:p>
            <w:pPr>
              <w:spacing w:after="0"/>
              <w:rPr>
                <w:sz w:val="24"/>
                <w:szCs w:val="24"/>
                <w:color w:val="auto"/>
              </w:rPr>
            </w:pPr>
          </w:p>
        </w:tc>
      </w:tr>
      <w:tr>
        <w:trPr>
          <w:trHeight w:val="723"/>
        </w:trPr>
        <w:tc>
          <w:tcPr>
            <w:tcW w:w="900" w:type="dxa"/>
            <w:vAlign w:val="bottom"/>
          </w:tcPr>
          <w:p>
            <w:pPr>
              <w:spacing w:after="0"/>
              <w:rPr>
                <w:sz w:val="24"/>
                <w:szCs w:val="24"/>
                <w:color w:val="auto"/>
              </w:rPr>
            </w:pPr>
          </w:p>
        </w:tc>
        <w:tc>
          <w:tcPr>
            <w:tcW w:w="9000" w:type="dxa"/>
            <w:vAlign w:val="bottom"/>
          </w:tcPr>
          <w:p>
            <w:pPr>
              <w:ind w:left="47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80"/>
          </w:cols>
          <w:pgMar w:left="280" w:top="91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p>
      <w:pPr>
        <w:sectPr>
          <w:pgSz w:w="11900" w:h="16838" w:orient="portrait"/>
          <w:cols w:equalWidth="0" w:num="1">
            <w:col w:w="11380"/>
          </w:cols>
          <w:pgMar w:left="240" w:top="580" w:right="27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AFUDC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Allowance for Funds Used During Construction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AOCI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Codification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Update issued by the FASB</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ATM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At-the-market equity offering program</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Bbl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Barrel</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BHC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Corporation; the Company</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Gas</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Black Hills Gas, LLC, a subsidiary of Black Hills Gas Holdings, which was previously named SourceGas LLC.</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Gas Holdings</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Black Hills Gas Holdings, LLC, a subsidiary of Black Hills Utility Holdings, which was previously named SourceGas Holdings LLC</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Electric Generation</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Black Hills Electric Generation, LLC, a direct, wholly-owned subsidiary of Black Hills Non-regulated Holdings</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Energy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name used to conduct the business of our utility companies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Energy Arkansas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the acquired SourceGas utility Black Hills Energy Arkansas, Inc. utility operations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Energy Colorado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Colorado Electric’s utility operations</w:t>
      </w:r>
    </w:p>
    <w:p>
      <w:pPr>
        <w:spacing w:after="0" w:line="86" w:lineRule="exact"/>
        <w:rPr>
          <w:sz w:val="20"/>
          <w:szCs w:val="20"/>
          <w:color w:val="auto"/>
        </w:rPr>
      </w:pPr>
    </w:p>
    <w:p>
      <w:pPr>
        <w:sectPr>
          <w:pgSz w:w="11900" w:h="16838" w:orient="portrait"/>
          <w:cols w:equalWidth="0" w:num="2">
            <w:col w:w="2740" w:space="6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Energy Colorado Gas</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Includes Black Hills Energy Colorado Gas utility operations, as well as the acquired SourceGas utility Black Hills Gas Distribution’s Colorado gas operations and RMNG</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Energy Iowa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Black Hills Energy Iowa gas utility operations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Energy Kansas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Black Hills Energy Kansas gas utility operations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Energy Nebraska Gas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Includes Black Hills Energy Nebraska gas utility operations, as well as the acquired SourceGas utility Black Hills Gas Distribution’s Nebraska gas operations</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Energy South Dakota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Black Hills Power operations in South Dakota, Wyoming and Montana</w:t>
      </w:r>
    </w:p>
    <w:p>
      <w:pPr>
        <w:spacing w:after="0" w:line="86" w:lineRule="exact"/>
        <w:rPr>
          <w:sz w:val="20"/>
          <w:szCs w:val="20"/>
          <w:color w:val="auto"/>
        </w:rPr>
      </w:pPr>
    </w:p>
    <w:p>
      <w:pPr>
        <w:sectPr>
          <w:pgSz w:w="11900" w:h="16838" w:orient="portrait"/>
          <w:cols w:equalWidth="0" w:num="2">
            <w:col w:w="3040" w:space="3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Energy Wyoming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Cheyenne Light’s electric utility operations</w:t>
      </w:r>
    </w:p>
    <w:p>
      <w:pPr>
        <w:spacing w:after="0" w:line="86" w:lineRule="exact"/>
        <w:rPr>
          <w:sz w:val="20"/>
          <w:szCs w:val="20"/>
          <w:color w:val="auto"/>
        </w:rPr>
      </w:pPr>
    </w:p>
    <w:p>
      <w:pPr>
        <w:sectPr>
          <w:pgSz w:w="11900" w:h="16838" w:orient="portrait"/>
          <w:cols w:equalWidth="0" w:num="2">
            <w:col w:w="2780" w:space="58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Energy Wyoming Gas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Includes Cheyenne Light’s natural gas utility operations, as well as the acquired SourceGas utility Black Hills Gas Distribution’s Wyoming gas operations</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Gas Distribution</w:t>
      </w:r>
    </w:p>
    <w:p>
      <w:pPr>
        <w:spacing w:after="0" w:line="20" w:lineRule="exact"/>
        <w:rPr>
          <w:sz w:val="20"/>
          <w:szCs w:val="20"/>
          <w:color w:val="auto"/>
        </w:rPr>
      </w:pPr>
      <w:r>
        <w:rPr>
          <w:sz w:val="20"/>
          <w:szCs w:val="20"/>
          <w:color w:val="auto"/>
        </w:rPr>
        <w:br w:type="column"/>
      </w:r>
    </w:p>
    <w:p>
      <w:pPr>
        <w:jc w:val="both"/>
        <w:ind w:right="200"/>
        <w:spacing w:after="0" w:line="264" w:lineRule="auto"/>
        <w:rPr>
          <w:sz w:val="20"/>
          <w:szCs w:val="20"/>
          <w:color w:val="auto"/>
        </w:rPr>
      </w:pPr>
      <w:r>
        <w:rPr>
          <w:rFonts w:ascii="Arial" w:cs="Arial" w:eastAsia="Arial" w:hAnsi="Arial"/>
          <w:sz w:val="18"/>
          <w:szCs w:val="18"/>
          <w:color w:val="auto"/>
        </w:rPr>
        <w:t>Black Hills Gas Distribution, LLC, a company acquired in the SourceGas Acquisition that conducts the gas distribution operations in Colorado, Nebraska and Wyoming. It was formerly named SourceGas Distribution LLC.</w:t>
      </w:r>
    </w:p>
    <w:p>
      <w:pPr>
        <w:spacing w:after="0" w:line="19"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Black Hills Non-regulated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Power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Black Hills Power, Inc., a direct, wholly-owned subsidiary of Black Hills Corporation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Utility Holdings</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Black Hills Utility Holdings, Inc., a direct, wholly-owned subsidiary of Black Hills Corporation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Wyoming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British thermal unit</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CAPP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Customer Appliance Protection Plan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Ceiling Test</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Related to our Oil and Gas subsidiary, capitalized costs, less accumulated amortization and related deferred income taxes, are subject to a ceiling test which limits the pooled costs to the aggregate of the discounted value of future net revenue attributable to proved natural gas and crude oil reserves using a discount rate defined by the SEC plus the lower of cost or market value of unevaluated properties.</w:t>
      </w:r>
    </w:p>
    <w:p>
      <w:pPr>
        <w:spacing w:after="0" w:line="9"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Cheyenne Light</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Cheyenne Light, Fuel and Power Company, a direct, wholly-owned subsidiary of Black Hills Corporation (doing business as Black Hills Energy)</w:t>
      </w:r>
    </w:p>
    <w:p>
      <w:pPr>
        <w:spacing w:after="0" w:line="200"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580" w:right="279" w:bottom="1440" w:gutter="0" w:footer="0" w:header="0"/>
          <w:type w:val="continuous"/>
        </w:sectPr>
      </w:pPr>
    </w:p>
    <w:bookmarkStart w:id="3" w:name="page4"/>
    <w:bookmarkEnd w:id="3"/>
    <w:p>
      <w:pPr>
        <w:spacing w:after="0"/>
        <w:tabs>
          <w:tab w:leader="none" w:pos="3300" w:val="left"/>
        </w:tabs>
        <w:rPr>
          <w:sz w:val="20"/>
          <w:szCs w:val="20"/>
          <w:color w:val="auto"/>
        </w:rPr>
      </w:pPr>
      <w:r>
        <w:rPr>
          <w:rFonts w:ascii="Arial" w:cs="Arial" w:eastAsia="Arial" w:hAnsi="Arial"/>
          <w:sz w:val="18"/>
          <w:szCs w:val="18"/>
          <w:color w:val="auto"/>
        </w:rPr>
        <w:t>Cheyenne Prairie</w:t>
      </w:r>
      <w:r>
        <w:rPr>
          <w:sz w:val="20"/>
          <w:szCs w:val="20"/>
          <w:color w:val="auto"/>
        </w:rPr>
        <w:tab/>
      </w:r>
      <w:r>
        <w:rPr>
          <w:rFonts w:ascii="Arial" w:cs="Arial" w:eastAsia="Arial" w:hAnsi="Arial"/>
          <w:sz w:val="16"/>
          <w:szCs w:val="16"/>
          <w:color w:val="auto"/>
        </w:rPr>
        <w:t>Cheyenne Prairie Generating Station is a 132 MW natural gas-fired generating facility jointly owned by Black</w:t>
      </w:r>
    </w:p>
    <w:p>
      <w:pPr>
        <w:spacing w:after="0" w:line="23" w:lineRule="exact"/>
        <w:rPr>
          <w:sz w:val="20"/>
          <w:szCs w:val="20"/>
          <w:color w:val="auto"/>
        </w:rPr>
      </w:pPr>
    </w:p>
    <w:p>
      <w:pPr>
        <w:ind w:left="3320" w:right="840"/>
        <w:spacing w:after="0" w:line="261" w:lineRule="auto"/>
        <w:rPr>
          <w:sz w:val="20"/>
          <w:szCs w:val="20"/>
          <w:color w:val="auto"/>
        </w:rPr>
      </w:pPr>
      <w:r>
        <w:rPr>
          <w:rFonts w:ascii="Arial" w:cs="Arial" w:eastAsia="Arial" w:hAnsi="Arial"/>
          <w:sz w:val="18"/>
          <w:szCs w:val="18"/>
          <w:color w:val="auto"/>
        </w:rPr>
        <w:t>Hills Power, Inc. and Cheyenne Light, Fuel and Power Company. Cheyenne Prairie was placed into commercial service on October 1, 2014.</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CIAC</w:t>
      </w:r>
      <w:r>
        <w:rPr>
          <w:sz w:val="20"/>
          <w:szCs w:val="20"/>
          <w:color w:val="auto"/>
        </w:rPr>
        <w:tab/>
      </w:r>
      <w:r>
        <w:rPr>
          <w:rFonts w:ascii="Arial" w:cs="Arial" w:eastAsia="Arial" w:hAnsi="Arial"/>
          <w:sz w:val="18"/>
          <w:szCs w:val="18"/>
          <w:color w:val="auto"/>
        </w:rPr>
        <w:t>Contribution In Aid of Construction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City of Gillette</w:t>
      </w:r>
      <w:r>
        <w:rPr>
          <w:sz w:val="20"/>
          <w:szCs w:val="20"/>
          <w:color w:val="auto"/>
        </w:rPr>
        <w:tab/>
      </w:r>
      <w:r>
        <w:rPr>
          <w:rFonts w:ascii="Arial" w:cs="Arial" w:eastAsia="Arial" w:hAnsi="Arial"/>
          <w:sz w:val="17"/>
          <w:szCs w:val="17"/>
          <w:color w:val="auto"/>
        </w:rPr>
        <w:t>Gillette, Wyoming</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Electric</w:t>
      </w:r>
      <w:r>
        <w:rPr>
          <w:sz w:val="20"/>
          <w:szCs w:val="20"/>
          <w:color w:val="auto"/>
        </w:rPr>
        <w:tab/>
      </w:r>
      <w:r>
        <w:rPr>
          <w:rFonts w:ascii="Arial" w:cs="Arial" w:eastAsia="Arial" w:hAnsi="Arial"/>
          <w:sz w:val="17"/>
          <w:szCs w:val="17"/>
          <w:color w:val="auto"/>
        </w:rPr>
        <w:t>Black Hills Colorado Electric Utility Company, LP, an indirect,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Gas</w:t>
      </w:r>
      <w:r>
        <w:rPr>
          <w:sz w:val="20"/>
          <w:szCs w:val="20"/>
          <w:color w:val="auto"/>
        </w:rPr>
        <w:tab/>
      </w:r>
      <w:r>
        <w:rPr>
          <w:rFonts w:ascii="Arial" w:cs="Arial" w:eastAsia="Arial" w:hAnsi="Arial"/>
          <w:sz w:val="17"/>
          <w:szCs w:val="17"/>
          <w:color w:val="auto"/>
        </w:rPr>
        <w:t>Black Hills Colorado Gas Utility Company, LP, an indirect, wholly-owned subsidiary of Black Hills Utility</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Colorado IPP</w:t>
      </w:r>
      <w:r>
        <w:rPr>
          <w:sz w:val="20"/>
          <w:szCs w:val="20"/>
          <w:color w:val="auto"/>
        </w:rPr>
        <w:tab/>
      </w:r>
      <w:r>
        <w:rPr>
          <w:rFonts w:ascii="Arial" w:cs="Arial" w:eastAsia="Arial" w:hAnsi="Arial"/>
          <w:sz w:val="16"/>
          <w:szCs w:val="16"/>
          <w:color w:val="auto"/>
        </w:rPr>
        <w:t>Black Hills Colorado IPP, LLC a 50.1% owned subsidiary of Black Hills Electric Generation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Consolidated Indebtedness to Capitalization</w:t>
      </w:r>
      <w:r>
        <w:rPr>
          <w:sz w:val="20"/>
          <w:szCs w:val="20"/>
          <w:color w:val="auto"/>
        </w:rPr>
        <w:tab/>
      </w:r>
      <w:r>
        <w:rPr>
          <w:rFonts w:ascii="Arial" w:cs="Arial" w:eastAsia="Arial" w:hAnsi="Arial"/>
          <w:sz w:val="16"/>
          <w:szCs w:val="16"/>
          <w:color w:val="auto"/>
        </w:rPr>
        <w:t>Any Indebtedness outstanding at such time, divided by Capital at such time. Capital being Consolidated Net-</w:t>
      </w:r>
    </w:p>
    <w:p>
      <w:pPr>
        <w:spacing w:after="0" w:line="23" w:lineRule="exact"/>
        <w:rPr>
          <w:sz w:val="20"/>
          <w:szCs w:val="20"/>
          <w:color w:val="auto"/>
        </w:rPr>
      </w:pPr>
    </w:p>
    <w:p>
      <w:pPr>
        <w:spacing w:after="0"/>
        <w:tabs>
          <w:tab w:leader="none" w:pos="3300" w:val="left"/>
        </w:tabs>
        <w:rPr>
          <w:sz w:val="20"/>
          <w:szCs w:val="20"/>
          <w:color w:val="auto"/>
        </w:rPr>
      </w:pPr>
      <w:r>
        <w:rPr>
          <w:rFonts w:ascii="Arial" w:cs="Arial" w:eastAsia="Arial" w:hAnsi="Arial"/>
          <w:sz w:val="17"/>
          <w:szCs w:val="17"/>
          <w:color w:val="auto"/>
        </w:rPr>
        <w:t>Ratio</w:t>
      </w:r>
      <w:r>
        <w:rPr>
          <w:sz w:val="20"/>
          <w:szCs w:val="20"/>
          <w:color w:val="auto"/>
        </w:rPr>
        <w:tab/>
      </w:r>
      <w:r>
        <w:rPr>
          <w:rFonts w:ascii="Arial" w:cs="Arial" w:eastAsia="Arial" w:hAnsi="Arial"/>
          <w:sz w:val="17"/>
          <w:szCs w:val="17"/>
          <w:color w:val="auto"/>
        </w:rPr>
        <w:t>Worth (excluding noncontrolling interest and including the aggregate outstanding amount of RSNs) plus</w:t>
      </w:r>
    </w:p>
    <w:p>
      <w:pPr>
        <w:spacing w:after="0" w:line="21" w:lineRule="exact"/>
        <w:rPr>
          <w:sz w:val="20"/>
          <w:szCs w:val="20"/>
          <w:color w:val="auto"/>
        </w:rPr>
      </w:pPr>
    </w:p>
    <w:p>
      <w:pPr>
        <w:ind w:left="3320" w:right="480"/>
        <w:spacing w:after="0" w:line="261" w:lineRule="auto"/>
        <w:rPr>
          <w:sz w:val="20"/>
          <w:szCs w:val="20"/>
          <w:color w:val="auto"/>
        </w:rPr>
      </w:pPr>
      <w:r>
        <w:rPr>
          <w:rFonts w:ascii="Arial" w:cs="Arial" w:eastAsia="Arial" w:hAnsi="Arial"/>
          <w:sz w:val="18"/>
          <w:szCs w:val="18"/>
          <w:color w:val="auto"/>
        </w:rPr>
        <w:t>Consolidated Indebtedness (including letters of credit, certain guarantees issued and excluding RSNs) as defined within the current Credit Agreement.</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Cost of Service Gas Program (COSG)</w:t>
      </w:r>
      <w:r>
        <w:rPr>
          <w:sz w:val="20"/>
          <w:szCs w:val="20"/>
          <w:color w:val="auto"/>
        </w:rPr>
        <w:tab/>
      </w:r>
      <w:r>
        <w:rPr>
          <w:rFonts w:ascii="Arial" w:cs="Arial" w:eastAsia="Arial" w:hAnsi="Arial"/>
          <w:sz w:val="16"/>
          <w:szCs w:val="16"/>
          <w:color w:val="auto"/>
        </w:rPr>
        <w:t>Proposed Cost of Service Gas Program designed to provide long-term natural gas price stability for the</w:t>
      </w:r>
    </w:p>
    <w:p>
      <w:pPr>
        <w:spacing w:after="0" w:line="23" w:lineRule="exact"/>
        <w:rPr>
          <w:sz w:val="20"/>
          <w:szCs w:val="20"/>
          <w:color w:val="auto"/>
        </w:rPr>
      </w:pPr>
    </w:p>
    <w:p>
      <w:pPr>
        <w:ind w:left="3320" w:right="400"/>
        <w:spacing w:after="0" w:line="261" w:lineRule="auto"/>
        <w:rPr>
          <w:sz w:val="20"/>
          <w:szCs w:val="20"/>
          <w:color w:val="auto"/>
        </w:rPr>
      </w:pPr>
      <w:r>
        <w:rPr>
          <w:rFonts w:ascii="Arial" w:cs="Arial" w:eastAsia="Arial" w:hAnsi="Arial"/>
          <w:sz w:val="18"/>
          <w:szCs w:val="18"/>
          <w:color w:val="auto"/>
        </w:rPr>
        <w:t>Company’s utility customers, along with a reasonable expectation of customer savings over the life of the program.</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CP Program</w:t>
      </w:r>
      <w:r>
        <w:rPr>
          <w:sz w:val="20"/>
          <w:szCs w:val="20"/>
          <w:color w:val="auto"/>
        </w:rPr>
        <w:tab/>
      </w:r>
      <w:r>
        <w:rPr>
          <w:rFonts w:ascii="Arial" w:cs="Arial" w:eastAsia="Arial" w:hAnsi="Arial"/>
          <w:sz w:val="16"/>
          <w:szCs w:val="16"/>
          <w:color w:val="auto"/>
        </w:rPr>
        <w:t>Commercial Paper Program</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CPUC</w:t>
      </w:r>
      <w:r>
        <w:rPr>
          <w:sz w:val="20"/>
          <w:szCs w:val="20"/>
          <w:color w:val="auto"/>
        </w:rPr>
        <w:tab/>
      </w:r>
      <w:r>
        <w:rPr>
          <w:rFonts w:ascii="Arial" w:cs="Arial" w:eastAsia="Arial" w:hAnsi="Arial"/>
          <w:sz w:val="18"/>
          <w:szCs w:val="18"/>
          <w:color w:val="auto"/>
        </w:rPr>
        <w:t>Colorado Public Utilities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CVA</w:t>
      </w:r>
      <w:r>
        <w:rPr>
          <w:sz w:val="20"/>
          <w:szCs w:val="20"/>
          <w:color w:val="auto"/>
        </w:rPr>
        <w:tab/>
      </w:r>
      <w:r>
        <w:rPr>
          <w:rFonts w:ascii="Arial" w:cs="Arial" w:eastAsia="Arial" w:hAnsi="Arial"/>
          <w:sz w:val="18"/>
          <w:szCs w:val="18"/>
          <w:color w:val="auto"/>
        </w:rPr>
        <w:t>Credit Valuation Adjustment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Dodd-Frank</w:t>
      </w:r>
      <w:r>
        <w:rPr>
          <w:sz w:val="20"/>
          <w:szCs w:val="20"/>
          <w:color w:val="auto"/>
        </w:rPr>
        <w:tab/>
      </w:r>
      <w:r>
        <w:rPr>
          <w:rFonts w:ascii="Arial" w:cs="Arial" w:eastAsia="Arial" w:hAnsi="Arial"/>
          <w:sz w:val="16"/>
          <w:szCs w:val="16"/>
          <w:color w:val="auto"/>
        </w:rPr>
        <w:t>Dodd-Frank Wall Street Reform and Consumer Protection Act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Dth</w:t>
      </w:r>
      <w:r>
        <w:rPr>
          <w:sz w:val="20"/>
          <w:szCs w:val="20"/>
          <w:color w:val="auto"/>
        </w:rPr>
        <w:tab/>
      </w:r>
      <w:r>
        <w:rPr>
          <w:rFonts w:ascii="Arial" w:cs="Arial" w:eastAsia="Arial" w:hAnsi="Arial"/>
          <w:sz w:val="18"/>
          <w:szCs w:val="18"/>
          <w:color w:val="auto"/>
        </w:rPr>
        <w:t>Dekatherm. A unit of energy equal to 10 therms or one million British thermal units (MMBtu)</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Equity Unit</w:t>
      </w:r>
      <w:r>
        <w:rPr>
          <w:sz w:val="20"/>
          <w:szCs w:val="20"/>
          <w:color w:val="auto"/>
        </w:rPr>
        <w:tab/>
      </w:r>
      <w:r>
        <w:rPr>
          <w:rFonts w:ascii="Arial" w:cs="Arial" w:eastAsia="Arial" w:hAnsi="Arial"/>
          <w:sz w:val="16"/>
          <w:szCs w:val="16"/>
          <w:color w:val="auto"/>
        </w:rPr>
        <w:t>Each Equity Unit has a stated amount of $50, consisting of a purchase contract issued by BHC to purchase</w:t>
      </w:r>
    </w:p>
    <w:p>
      <w:pPr>
        <w:spacing w:after="0" w:line="23" w:lineRule="exact"/>
        <w:rPr>
          <w:sz w:val="20"/>
          <w:szCs w:val="20"/>
          <w:color w:val="auto"/>
        </w:rPr>
      </w:pPr>
    </w:p>
    <w:p>
      <w:pPr>
        <w:ind w:left="3320" w:right="220"/>
        <w:spacing w:after="0" w:line="261" w:lineRule="auto"/>
        <w:rPr>
          <w:sz w:val="20"/>
          <w:szCs w:val="20"/>
          <w:color w:val="auto"/>
        </w:rPr>
      </w:pPr>
      <w:r>
        <w:rPr>
          <w:rFonts w:ascii="Arial" w:cs="Arial" w:eastAsia="Arial" w:hAnsi="Arial"/>
          <w:sz w:val="18"/>
          <w:szCs w:val="18"/>
          <w:color w:val="auto"/>
        </w:rPr>
        <w:t>shares of BHC common stock and a 1/20, or 5% undivided beneficial ownership interest in $1,000 principal amount of BHC RSNs due 2028.</w:t>
      </w:r>
    </w:p>
    <w:p>
      <w:pPr>
        <w:spacing w:after="0" w:line="2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FASB</w:t>
      </w:r>
      <w:r>
        <w:rPr>
          <w:sz w:val="20"/>
          <w:szCs w:val="20"/>
          <w:color w:val="auto"/>
        </w:rPr>
        <w:tab/>
      </w:r>
      <w:r>
        <w:rPr>
          <w:rFonts w:ascii="Arial" w:cs="Arial" w:eastAsia="Arial" w:hAnsi="Arial"/>
          <w:sz w:val="18"/>
          <w:szCs w:val="18"/>
          <w:color w:val="auto"/>
        </w:rPr>
        <w:t>Financial Accounting Standards Board</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FERC</w:t>
      </w:r>
      <w:r>
        <w:rPr>
          <w:sz w:val="20"/>
          <w:szCs w:val="20"/>
          <w:color w:val="auto"/>
        </w:rPr>
        <w:tab/>
      </w:r>
      <w:r>
        <w:rPr>
          <w:rFonts w:ascii="Arial" w:cs="Arial" w:eastAsia="Arial" w:hAnsi="Arial"/>
          <w:sz w:val="18"/>
          <w:szCs w:val="18"/>
          <w:color w:val="auto"/>
        </w:rPr>
        <w:t>United States Federal Energy Regulatory Commission</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Fitch</w:t>
      </w:r>
      <w:r>
        <w:rPr>
          <w:sz w:val="20"/>
          <w:szCs w:val="20"/>
          <w:color w:val="auto"/>
        </w:rPr>
        <w:tab/>
      </w:r>
      <w:r>
        <w:rPr>
          <w:rFonts w:ascii="Arial" w:cs="Arial" w:eastAsia="Arial" w:hAnsi="Arial"/>
          <w:sz w:val="18"/>
          <w:szCs w:val="18"/>
          <w:color w:val="auto"/>
        </w:rPr>
        <w:t>Fitch Ratings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Accounting principles generally accepted in the United States of America</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Heating Degree Day</w:t>
      </w:r>
      <w:r>
        <w:rPr>
          <w:sz w:val="20"/>
          <w:szCs w:val="20"/>
          <w:color w:val="auto"/>
        </w:rPr>
        <w:tab/>
      </w:r>
      <w:r>
        <w:rPr>
          <w:rFonts w:ascii="Arial" w:cs="Arial" w:eastAsia="Arial" w:hAnsi="Arial"/>
          <w:sz w:val="16"/>
          <w:szCs w:val="16"/>
          <w:color w:val="auto"/>
        </w:rPr>
        <w:t>A heating degree day is equivalent to each degree that the average of the high and the low temperatures for a</w:t>
      </w:r>
    </w:p>
    <w:p>
      <w:pPr>
        <w:spacing w:after="0" w:line="23" w:lineRule="exact"/>
        <w:rPr>
          <w:sz w:val="20"/>
          <w:szCs w:val="20"/>
          <w:color w:val="auto"/>
        </w:rPr>
      </w:pPr>
    </w:p>
    <w:p>
      <w:pPr>
        <w:ind w:left="3320"/>
        <w:spacing w:after="0" w:line="254" w:lineRule="auto"/>
        <w:rPr>
          <w:sz w:val="20"/>
          <w:szCs w:val="20"/>
          <w:color w:val="auto"/>
        </w:rPr>
      </w:pPr>
      <w:r>
        <w:rPr>
          <w:rFonts w:ascii="Arial" w:cs="Arial" w:eastAsia="Arial" w:hAnsi="Arial"/>
          <w:sz w:val="18"/>
          <w:szCs w:val="18"/>
          <w:color w:val="auto"/>
        </w:rPr>
        <w:t>day is below 65 degrees. The colder the climate, the greater the number of heating degree days. Heating degree days are used in the utility industry to measure the relative coldness of weather and to compare relative temperatures between one geographic area and another. Normal degree days are based on the National Weather Service data for selected locations over a 30-year average.</w:t>
      </w:r>
    </w:p>
    <w:p>
      <w:pPr>
        <w:spacing w:after="0" w:line="28"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Iowa Gas</w:t>
      </w:r>
      <w:r>
        <w:rPr>
          <w:sz w:val="20"/>
          <w:szCs w:val="20"/>
          <w:color w:val="auto"/>
        </w:rPr>
        <w:tab/>
      </w:r>
      <w:r>
        <w:rPr>
          <w:rFonts w:ascii="Arial" w:cs="Arial" w:eastAsia="Arial" w:hAnsi="Arial"/>
          <w:sz w:val="17"/>
          <w:szCs w:val="17"/>
          <w:color w:val="auto"/>
        </w:rPr>
        <w:t>Black Hills Iowa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IPP</w:t>
      </w:r>
      <w:r>
        <w:rPr>
          <w:sz w:val="20"/>
          <w:szCs w:val="20"/>
          <w:color w:val="auto"/>
        </w:rPr>
        <w:tab/>
      </w:r>
      <w:r>
        <w:rPr>
          <w:rFonts w:ascii="Arial" w:cs="Arial" w:eastAsia="Arial" w:hAnsi="Arial"/>
          <w:sz w:val="18"/>
          <w:szCs w:val="18"/>
          <w:color w:val="auto"/>
        </w:rPr>
        <w:t>Independent power producer</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IRS</w:t>
      </w:r>
      <w:r>
        <w:rPr>
          <w:sz w:val="20"/>
          <w:szCs w:val="20"/>
          <w:color w:val="auto"/>
        </w:rPr>
        <w:tab/>
      </w:r>
      <w:r>
        <w:rPr>
          <w:rFonts w:ascii="Arial" w:cs="Arial" w:eastAsia="Arial" w:hAnsi="Arial"/>
          <w:sz w:val="18"/>
          <w:szCs w:val="18"/>
          <w:color w:val="auto"/>
        </w:rPr>
        <w:t>United States Internal Revenue Service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Kansas Gas</w:t>
      </w:r>
      <w:r>
        <w:rPr>
          <w:sz w:val="20"/>
          <w:szCs w:val="20"/>
          <w:color w:val="auto"/>
        </w:rPr>
        <w:tab/>
      </w:r>
      <w:r>
        <w:rPr>
          <w:rFonts w:ascii="Arial" w:cs="Arial" w:eastAsia="Arial" w:hAnsi="Arial"/>
          <w:sz w:val="17"/>
          <w:szCs w:val="17"/>
          <w:color w:val="auto"/>
        </w:rPr>
        <w:t>Black Hills Kansas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kV</w:t>
      </w:r>
      <w:r>
        <w:rPr>
          <w:sz w:val="20"/>
          <w:szCs w:val="20"/>
          <w:color w:val="auto"/>
        </w:rPr>
        <w:tab/>
      </w:r>
      <w:r>
        <w:rPr>
          <w:rFonts w:ascii="Arial" w:cs="Arial" w:eastAsia="Arial" w:hAnsi="Arial"/>
          <w:sz w:val="18"/>
          <w:szCs w:val="18"/>
          <w:color w:val="auto"/>
        </w:rPr>
        <w:t>Kilovolt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London Interbank Offered Rate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LOE</w:t>
      </w:r>
      <w:r>
        <w:rPr>
          <w:sz w:val="20"/>
          <w:szCs w:val="20"/>
          <w:color w:val="auto"/>
        </w:rPr>
        <w:tab/>
      </w:r>
      <w:r>
        <w:rPr>
          <w:rFonts w:ascii="Arial" w:cs="Arial" w:eastAsia="Arial" w:hAnsi="Arial"/>
          <w:sz w:val="18"/>
          <w:szCs w:val="18"/>
          <w:color w:val="auto"/>
        </w:rPr>
        <w:t>Lease Operating Expense</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Mcf</w:t>
      </w:r>
      <w:r>
        <w:rPr>
          <w:sz w:val="20"/>
          <w:szCs w:val="20"/>
          <w:color w:val="auto"/>
        </w:rPr>
        <w:tab/>
      </w:r>
      <w:r>
        <w:rPr>
          <w:rFonts w:ascii="Arial" w:cs="Arial" w:eastAsia="Arial" w:hAnsi="Arial"/>
          <w:sz w:val="18"/>
          <w:szCs w:val="18"/>
          <w:color w:val="auto"/>
        </w:rPr>
        <w:t>Thousand cubic feet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Mcfe</w:t>
      </w:r>
      <w:r>
        <w:rPr>
          <w:sz w:val="20"/>
          <w:szCs w:val="20"/>
          <w:color w:val="auto"/>
        </w:rPr>
        <w:tab/>
      </w:r>
      <w:r>
        <w:rPr>
          <w:rFonts w:ascii="Arial" w:cs="Arial" w:eastAsia="Arial" w:hAnsi="Arial"/>
          <w:sz w:val="18"/>
          <w:szCs w:val="18"/>
          <w:color w:val="auto"/>
        </w:rPr>
        <w:t>Thousand cubic feet equivalent</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Million British thermal units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Moody’s</w:t>
      </w:r>
      <w:r>
        <w:rPr>
          <w:sz w:val="20"/>
          <w:szCs w:val="20"/>
          <w:color w:val="auto"/>
        </w:rPr>
        <w:tab/>
      </w:r>
      <w:r>
        <w:rPr>
          <w:rFonts w:ascii="Arial" w:cs="Arial" w:eastAsia="Arial" w:hAnsi="Arial"/>
          <w:sz w:val="18"/>
          <w:szCs w:val="18"/>
          <w:color w:val="auto"/>
        </w:rPr>
        <w:t>Moody’s Investors Service, Inc.</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MWh</w:t>
      </w:r>
      <w:r>
        <w:rPr>
          <w:sz w:val="20"/>
          <w:szCs w:val="20"/>
          <w:color w:val="auto"/>
        </w:rPr>
        <w:tab/>
      </w:r>
      <w:r>
        <w:rPr>
          <w:rFonts w:ascii="Arial" w:cs="Arial" w:eastAsia="Arial" w:hAnsi="Arial"/>
          <w:sz w:val="18"/>
          <w:szCs w:val="18"/>
          <w:color w:val="auto"/>
        </w:rPr>
        <w:t>Megawatt-hours</w:t>
      </w:r>
    </w:p>
    <w:p>
      <w:pPr>
        <w:spacing w:after="0" w:line="63"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Nebraska Gas</w:t>
      </w:r>
      <w:r>
        <w:rPr>
          <w:sz w:val="20"/>
          <w:szCs w:val="20"/>
          <w:color w:val="auto"/>
        </w:rPr>
        <w:tab/>
      </w:r>
      <w:r>
        <w:rPr>
          <w:rFonts w:ascii="Arial" w:cs="Arial" w:eastAsia="Arial" w:hAnsi="Arial"/>
          <w:sz w:val="17"/>
          <w:szCs w:val="17"/>
          <w:color w:val="auto"/>
        </w:rPr>
        <w:t>Black Hills Nebraska Gas Utility Company, LLC, a direct, wholly-owned subsidiary of Black Hills Utility</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Holdings (doing business as Black Hills Energy)</w:t>
      </w:r>
    </w:p>
    <w:p>
      <w:pPr>
        <w:spacing w:after="0" w:line="49"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NGL</w:t>
      </w:r>
      <w:r>
        <w:rPr>
          <w:sz w:val="20"/>
          <w:szCs w:val="20"/>
          <w:color w:val="auto"/>
        </w:rPr>
        <w:tab/>
      </w:r>
      <w:r>
        <w:rPr>
          <w:rFonts w:ascii="Arial" w:cs="Arial" w:eastAsia="Arial" w:hAnsi="Arial"/>
          <w:sz w:val="18"/>
          <w:szCs w:val="18"/>
          <w:color w:val="auto"/>
        </w:rPr>
        <w:t>Natural Gas Liquids (1 barrel equals 6 Mcfe)</w:t>
      </w:r>
    </w:p>
    <w:p>
      <w:pPr>
        <w:sectPr>
          <w:pgSz w:w="11900" w:h="16838" w:orient="portrait"/>
          <w:cols w:equalWidth="0" w:num="1">
            <w:col w:w="11320"/>
          </w:cols>
          <w:pgMar w:left="280" w:top="746" w:right="29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280" w:top="746" w:right="2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color w:val="auto"/>
        </w:rPr>
        <w:t>NOL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 Operating Loss</w:t>
      </w:r>
    </w:p>
    <w:p>
      <w:pPr>
        <w:spacing w:after="0" w:line="86" w:lineRule="exact"/>
        <w:rPr>
          <w:sz w:val="20"/>
          <w:szCs w:val="20"/>
          <w:color w:val="auto"/>
        </w:rPr>
      </w:pPr>
    </w:p>
    <w:p>
      <w:pPr>
        <w:sectPr>
          <w:pgSz w:w="11900" w:h="16838" w:orient="portrait"/>
          <w:cols w:equalWidth="0" w:num="2">
            <w:col w:w="2600" w:space="720"/>
            <w:col w:w="7900"/>
          </w:cols>
          <w:pgMar w:left="280" w:top="746" w:right="399" w:bottom="1440" w:gutter="0" w:footer="0" w:header="0"/>
        </w:sectPr>
      </w:pPr>
    </w:p>
    <w:p>
      <w:pPr>
        <w:spacing w:after="0"/>
        <w:rPr>
          <w:sz w:val="20"/>
          <w:szCs w:val="20"/>
          <w:color w:val="auto"/>
        </w:rPr>
      </w:pPr>
      <w:r>
        <w:rPr>
          <w:rFonts w:ascii="Arial" w:cs="Arial" w:eastAsia="Arial" w:hAnsi="Arial"/>
          <w:sz w:val="15"/>
          <w:szCs w:val="15"/>
          <w:color w:val="auto"/>
        </w:rPr>
        <w:t>NPSC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Nebraska Public Service Commission</w:t>
      </w:r>
    </w:p>
    <w:p>
      <w:pPr>
        <w:spacing w:after="0" w:line="86"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8"/>
          <w:szCs w:val="18"/>
          <w:color w:val="auto"/>
        </w:rPr>
        <w:t>NYMEX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Mercantile Exchange</w:t>
      </w:r>
    </w:p>
    <w:p>
      <w:pPr>
        <w:spacing w:after="0" w:line="85"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6"/>
          <w:szCs w:val="16"/>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86"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6"/>
          <w:szCs w:val="16"/>
          <w:color w:val="auto"/>
        </w:rPr>
        <w:t>Peak View Wind 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$109 million 60 MW wind generating project for Colorado Electric, adjacent to Busch Ranch wind farm</w:t>
      </w:r>
    </w:p>
    <w:p>
      <w:pPr>
        <w:spacing w:after="0" w:line="86"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7"/>
          <w:szCs w:val="17"/>
          <w:color w:val="auto"/>
        </w:rPr>
        <w:t>Revolving Credit Facility</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Our $750 million credit facility used to fund working capital needs, letters of credit and other corporate purposes, which matures in 2021.</w:t>
      </w:r>
    </w:p>
    <w:p>
      <w:pPr>
        <w:spacing w:after="0" w:line="8"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7"/>
          <w:szCs w:val="17"/>
          <w:color w:val="auto"/>
        </w:rPr>
        <w:t>RMNG</w:t>
      </w:r>
    </w:p>
    <w:p>
      <w:pPr>
        <w:spacing w:after="0" w:line="20" w:lineRule="exact"/>
        <w:rPr>
          <w:sz w:val="20"/>
          <w:szCs w:val="20"/>
          <w:color w:val="auto"/>
        </w:rPr>
      </w:pPr>
      <w:r>
        <w:rPr>
          <w:sz w:val="20"/>
          <w:szCs w:val="20"/>
          <w:color w:val="auto"/>
        </w:rPr>
        <w:br w:type="column"/>
      </w:r>
    </w:p>
    <w:p>
      <w:pPr>
        <w:ind w:right="320"/>
        <w:spacing w:after="0" w:line="264" w:lineRule="auto"/>
        <w:rPr>
          <w:sz w:val="20"/>
          <w:szCs w:val="20"/>
          <w:color w:val="auto"/>
        </w:rPr>
      </w:pPr>
      <w:r>
        <w:rPr>
          <w:rFonts w:ascii="Arial" w:cs="Arial" w:eastAsia="Arial" w:hAnsi="Arial"/>
          <w:sz w:val="18"/>
          <w:szCs w:val="18"/>
          <w:color w:val="auto"/>
        </w:rPr>
        <w:t>Rocky Mountain Natural Gas, a regulated gas utility acquired in the SourceGas Acquisition that provides regulated transmission and wholesale natural gas service to Black Hills Gas in western Colorado (doing business as Black Hills Energy)</w:t>
      </w:r>
    </w:p>
    <w:p>
      <w:pPr>
        <w:spacing w:after="0" w:line="19"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6"/>
          <w:szCs w:val="16"/>
          <w:color w:val="auto"/>
        </w:rPr>
        <w:t>RSNs</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Arial" w:cs="Arial" w:eastAsia="Arial" w:hAnsi="Arial"/>
          <w:sz w:val="16"/>
          <w:szCs w:val="16"/>
          <w:color w:val="auto"/>
        </w:rPr>
        <w:t>Remarketable junior subordinated notes, issued on November 23, 2015</w:t>
      </w:r>
    </w:p>
    <w:p>
      <w:pPr>
        <w:spacing w:after="0" w:line="86"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 S. Securities and Exchange Commission</w:t>
      </w:r>
    </w:p>
    <w:p>
      <w:pPr>
        <w:spacing w:after="0" w:line="86"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5"/>
          <w:szCs w:val="15"/>
          <w:color w:val="auto"/>
        </w:rPr>
        <w:t>SourceGas</w:t>
      </w:r>
    </w:p>
    <w:p>
      <w:pPr>
        <w:spacing w:after="0" w:line="20" w:lineRule="exact"/>
        <w:rPr>
          <w:sz w:val="20"/>
          <w:szCs w:val="20"/>
          <w:color w:val="auto"/>
        </w:rPr>
      </w:pPr>
      <w:r>
        <w:rPr>
          <w:sz w:val="20"/>
          <w:szCs w:val="20"/>
          <w:color w:val="auto"/>
        </w:rPr>
        <w:br w:type="column"/>
      </w:r>
    </w:p>
    <w:p>
      <w:pPr>
        <w:ind w:right="20"/>
        <w:spacing w:after="0" w:line="305" w:lineRule="auto"/>
        <w:rPr>
          <w:sz w:val="20"/>
          <w:szCs w:val="20"/>
          <w:color w:val="auto"/>
        </w:rPr>
      </w:pPr>
      <w:r>
        <w:rPr>
          <w:rFonts w:ascii="Arial" w:cs="Arial" w:eastAsia="Arial" w:hAnsi="Arial"/>
          <w:sz w:val="16"/>
          <w:szCs w:val="16"/>
          <w:color w:val="auto"/>
        </w:rPr>
        <w:t>SourceGas Holdings LLC and its subsidiaries, a gas utility owned by funds managed by Alinda Capital Partners and GE Energy Financial Services, a unit of General Electric Co. (NYSE:GE) that was acquired on February 12, 2016, and is now named Black Hills Gas Holdings, LLC (doing business as Black Hills Energy)</w:t>
      </w:r>
    </w:p>
    <w:p>
      <w:pPr>
        <w:spacing w:after="0" w:line="1"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6"/>
          <w:szCs w:val="16"/>
          <w:color w:val="auto"/>
        </w:rPr>
        <w:t>SourceGas 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acquisition of SourceGas Holdings, LLC by Black Hills Utility Holdings</w:t>
      </w:r>
    </w:p>
    <w:p>
      <w:pPr>
        <w:spacing w:after="0" w:line="75"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5"/>
          <w:szCs w:val="15"/>
          <w:color w:val="auto"/>
        </w:rPr>
        <w:t>SourceGas Transaction</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On February 12, 2016, Black Hills Utility Holdings acquired SourceGas pursuant to a purchase and sale agreement executed on July 12, 2015 for approximately $1.89 billion, which included the assumption of $760 million in debt at closing.</w:t>
      </w:r>
    </w:p>
    <w:p>
      <w:pPr>
        <w:spacing w:after="0" w:line="19"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6"/>
          <w:szCs w:val="16"/>
          <w:color w:val="auto"/>
        </w:rPr>
        <w:t>S&amp;P</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Standard and Poor’s, a division of The McGraw-Hill Companies, Inc.</w:t>
      </w:r>
    </w:p>
    <w:p>
      <w:pPr>
        <w:spacing w:after="0" w:line="86"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6"/>
          <w:szCs w:val="16"/>
          <w:color w:val="auto"/>
        </w:rPr>
        <w:t>SSIR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System Safety and Integrity Rider</w:t>
      </w:r>
    </w:p>
    <w:p>
      <w:pPr>
        <w:spacing w:after="0" w:line="86"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222" w:lineRule="exact"/>
        <w:rPr>
          <w:sz w:val="20"/>
          <w:szCs w:val="20"/>
          <w:color w:val="auto"/>
        </w:rPr>
      </w:pPr>
    </w:p>
    <w:p>
      <w:pPr>
        <w:sectPr>
          <w:pgSz w:w="11900" w:h="16838" w:orient="portrait"/>
          <w:cols w:equalWidth="0" w:num="2">
            <w:col w:w="2600" w:space="720"/>
            <w:col w:w="7900"/>
          </w:cols>
          <w:pgMar w:left="280" w:top="746" w:right="399" w:bottom="1440" w:gutter="0" w:footer="0" w:header="0"/>
          <w:type w:val="continuous"/>
        </w:sectPr>
      </w:pP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80" w:top="746" w:right="3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3"/>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0"/>
                <w:szCs w:val="20"/>
                <w:color w:val="auto"/>
              </w:rPr>
            </w:pPr>
          </w:p>
        </w:tc>
        <w:tc>
          <w:tcPr>
            <w:tcW w:w="1820" w:type="dxa"/>
            <w:vAlign w:val="bottom"/>
            <w:gridSpan w:val="2"/>
          </w:tcPr>
          <w:p>
            <w:pPr>
              <w:jc w:val="center"/>
              <w:ind w:left="751"/>
              <w:spacing w:after="0"/>
              <w:rPr>
                <w:sz w:val="20"/>
                <w:szCs w:val="20"/>
                <w:color w:val="auto"/>
              </w:rPr>
            </w:pPr>
            <w:r>
              <w:rPr>
                <w:rFonts w:ascii="Arial" w:cs="Arial" w:eastAsia="Arial" w:hAnsi="Arial"/>
                <w:sz w:val="18"/>
                <w:szCs w:val="18"/>
                <w:color w:val="auto"/>
                <w:w w:val="92"/>
              </w:rPr>
              <w:t>March 31,</w:t>
            </w:r>
          </w:p>
        </w:tc>
        <w:tc>
          <w:tcPr>
            <w:tcW w:w="1100" w:type="dxa"/>
            <w:vAlign w:val="bottom"/>
          </w:tcPr>
          <w:p>
            <w:pPr>
              <w:spacing w:after="0"/>
              <w:rPr>
                <w:sz w:val="20"/>
                <w:szCs w:val="20"/>
                <w:color w:val="auto"/>
              </w:rPr>
            </w:pPr>
          </w:p>
        </w:tc>
      </w:tr>
      <w:tr>
        <w:trPr>
          <w:trHeight w:val="270"/>
        </w:trPr>
        <w:tc>
          <w:tcPr>
            <w:tcW w:w="7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3"/>
                <w:szCs w:val="23"/>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8"/>
        </w:trPr>
        <w:tc>
          <w:tcPr>
            <w:tcW w:w="7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3"/>
          </w:tcPr>
          <w:p>
            <w:pPr>
              <w:jc w:val="center"/>
              <w:ind w:right="150"/>
              <w:spacing w:after="0"/>
              <w:rPr>
                <w:sz w:val="20"/>
                <w:szCs w:val="20"/>
                <w:color w:val="auto"/>
              </w:rPr>
            </w:pPr>
            <w:r>
              <w:rPr>
                <w:rFonts w:ascii="Arial" w:cs="Arial" w:eastAsia="Arial" w:hAnsi="Arial"/>
                <w:sz w:val="14"/>
                <w:szCs w:val="14"/>
                <w:color w:val="auto"/>
                <w:w w:val="91"/>
              </w:rPr>
              <w:t>(in thousands, except per share amounts)</w:t>
            </w:r>
          </w:p>
        </w:tc>
      </w:tr>
      <w:tr>
        <w:trPr>
          <w:trHeight w:val="255"/>
        </w:trPr>
        <w:tc>
          <w:tcPr>
            <w:tcW w:w="7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554,003</w:t>
            </w:r>
          </w:p>
        </w:tc>
        <w:tc>
          <w:tcPr>
            <w:tcW w:w="5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449,959</w:t>
            </w:r>
          </w:p>
        </w:tc>
      </w:tr>
      <w:tr>
        <w:trPr>
          <w:trHeight w:val="210"/>
        </w:trPr>
        <w:tc>
          <w:tcPr>
            <w:tcW w:w="7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5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Fuel, purchased power and cost of natural gas sold</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219,777</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171,856</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122,130</w:t>
            </w:r>
          </w:p>
        </w:tc>
        <w:tc>
          <w:tcPr>
            <w:tcW w:w="5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107,062</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48,647</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44,407</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Taxes - property, production and severance</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13,969</w:t>
            </w:r>
          </w:p>
        </w:tc>
        <w:tc>
          <w:tcPr>
            <w:tcW w:w="5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12,117</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14,496</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1,969</w:t>
            </w:r>
          </w:p>
        </w:tc>
        <w:tc>
          <w:tcPr>
            <w:tcW w:w="50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26,431</w:t>
            </w:r>
          </w:p>
        </w:tc>
      </w:tr>
      <w:tr>
        <w:trPr>
          <w:trHeight w:val="237"/>
        </w:trPr>
        <w:tc>
          <w:tcPr>
            <w:tcW w:w="750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406,492</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376,369</w:t>
            </w:r>
          </w:p>
        </w:tc>
      </w:tr>
      <w:tr>
        <w:trPr>
          <w:trHeight w:val="27"/>
        </w:trPr>
        <w:tc>
          <w:tcPr>
            <w:tcW w:w="75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75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320" w:type="dxa"/>
            <w:vAlign w:val="bottom"/>
            <w:shd w:val="clear" w:color="auto" w:fill="CEFFE7"/>
          </w:tcPr>
          <w:p>
            <w:pPr>
              <w:spacing w:after="0"/>
              <w:rPr>
                <w:sz w:val="18"/>
                <w:szCs w:val="18"/>
                <w:color w:val="auto"/>
              </w:rPr>
            </w:pPr>
          </w:p>
        </w:tc>
        <w:tc>
          <w:tcPr>
            <w:tcW w:w="50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147,511</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73,590</w:t>
            </w:r>
          </w:p>
        </w:tc>
      </w:tr>
      <w:tr>
        <w:trPr>
          <w:trHeight w:val="27"/>
        </w:trPr>
        <w:tc>
          <w:tcPr>
            <w:tcW w:w="75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75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320" w:type="dxa"/>
            <w:vAlign w:val="bottom"/>
            <w:shd w:val="clear" w:color="auto" w:fill="CEFFE7"/>
          </w:tcPr>
          <w:p>
            <w:pPr>
              <w:spacing w:after="0"/>
              <w:rPr>
                <w:sz w:val="18"/>
                <w:szCs w:val="18"/>
                <w:color w:val="auto"/>
              </w:rPr>
            </w:pPr>
          </w:p>
        </w:tc>
        <w:tc>
          <w:tcPr>
            <w:tcW w:w="50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charges -</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r>
      <w:tr>
        <w:trPr>
          <w:trHeight w:val="243"/>
        </w:trPr>
        <w:tc>
          <w:tcPr>
            <w:tcW w:w="7500" w:type="dxa"/>
            <w:vAlign w:val="bottom"/>
          </w:tcPr>
          <w:p>
            <w:pPr>
              <w:ind w:left="260"/>
              <w:spacing w:after="0"/>
              <w:rPr>
                <w:sz w:val="20"/>
                <w:szCs w:val="20"/>
                <w:color w:val="auto"/>
              </w:rPr>
            </w:pPr>
            <w:r>
              <w:rPr>
                <w:rFonts w:ascii="Arial" w:cs="Arial" w:eastAsia="Arial" w:hAnsi="Arial"/>
                <w:sz w:val="18"/>
                <w:szCs w:val="18"/>
                <w:color w:val="auto"/>
                <w:w w:val="92"/>
              </w:rPr>
              <w:t>Interest expense incurred (including amortization of debt issuance costs, premiums and discounts)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(35,096)</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(32,074)</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5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Allowance for funds used during construction - borrowed</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486</w:t>
            </w:r>
          </w:p>
        </w:tc>
        <w:tc>
          <w:tcPr>
            <w:tcW w:w="5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7500" w:type="dxa"/>
            <w:vAlign w:val="bottom"/>
          </w:tcPr>
          <w:p>
            <w:pPr>
              <w:ind w:left="260"/>
              <w:spacing w:after="0"/>
              <w:rPr>
                <w:sz w:val="20"/>
                <w:szCs w:val="20"/>
                <w:color w:val="auto"/>
              </w:rPr>
            </w:pPr>
            <w:r>
              <w:rPr>
                <w:rFonts w:ascii="Arial" w:cs="Arial" w:eastAsia="Arial" w:hAnsi="Arial"/>
                <w:sz w:val="18"/>
                <w:szCs w:val="18"/>
                <w:color w:val="auto"/>
              </w:rPr>
              <w:t>Capitalized interest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655</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Allowance for funds used during construction - equity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w:t>
            </w:r>
          </w:p>
        </w:tc>
        <w:tc>
          <w:tcPr>
            <w:tcW w:w="50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688</w:t>
            </w:r>
          </w:p>
        </w:tc>
      </w:tr>
      <w:tr>
        <w:trPr>
          <w:trHeight w:val="237"/>
        </w:trPr>
        <w:tc>
          <w:tcPr>
            <w:tcW w:w="7500" w:type="dxa"/>
            <w:vAlign w:val="bottom"/>
          </w:tcPr>
          <w:p>
            <w:pPr>
              <w:ind w:left="4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(34,010)</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(29,288)</w:t>
            </w:r>
          </w:p>
        </w:tc>
      </w:tr>
      <w:tr>
        <w:trPr>
          <w:trHeight w:val="27"/>
        </w:trPr>
        <w:tc>
          <w:tcPr>
            <w:tcW w:w="75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75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320" w:type="dxa"/>
            <w:vAlign w:val="bottom"/>
            <w:shd w:val="clear" w:color="auto" w:fill="CEFFE7"/>
          </w:tcPr>
          <w:p>
            <w:pPr>
              <w:spacing w:after="0"/>
              <w:rPr>
                <w:sz w:val="18"/>
                <w:szCs w:val="18"/>
                <w:color w:val="auto"/>
              </w:rPr>
            </w:pPr>
          </w:p>
        </w:tc>
        <w:tc>
          <w:tcPr>
            <w:tcW w:w="50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113,501</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44,302</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(33,355)</w:t>
            </w:r>
          </w:p>
        </w:tc>
        <w:tc>
          <w:tcPr>
            <w:tcW w:w="50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(4,252)</w:t>
            </w: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80,146</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40,050</w:t>
            </w: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(3,623)</w:t>
            </w:r>
          </w:p>
        </w:tc>
        <w:tc>
          <w:tcPr>
            <w:tcW w:w="50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7500" w:type="dxa"/>
            <w:vAlign w:val="bottom"/>
            <w:tcBorders>
              <w:bottom w:val="single" w:sz="8" w:color="CEFFE7"/>
            </w:tcBorders>
          </w:tcPr>
          <w:p>
            <w:pPr>
              <w:ind w:left="20"/>
              <w:spacing w:after="0"/>
              <w:rPr>
                <w:sz w:val="20"/>
                <w:szCs w:val="20"/>
                <w:color w:val="auto"/>
              </w:rPr>
            </w:pPr>
            <w:r>
              <w:rPr>
                <w:rFonts w:ascii="Arial" w:cs="Arial" w:eastAsia="Arial" w:hAnsi="Arial"/>
                <w:sz w:val="18"/>
                <w:szCs w:val="18"/>
                <w:color w:val="auto"/>
              </w:rPr>
              <w:t>Net income available for common stock</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76,523</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40,002</w:t>
            </w:r>
          </w:p>
        </w:tc>
      </w:tr>
      <w:tr>
        <w:trPr>
          <w:trHeight w:val="230"/>
        </w:trPr>
        <w:tc>
          <w:tcPr>
            <w:tcW w:w="750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1320" w:type="dxa"/>
            <w:vAlign w:val="bottom"/>
            <w:shd w:val="clear" w:color="auto" w:fill="CEFFE7"/>
          </w:tcPr>
          <w:p>
            <w:pPr>
              <w:spacing w:after="0"/>
              <w:rPr>
                <w:sz w:val="20"/>
                <w:szCs w:val="20"/>
                <w:color w:val="auto"/>
              </w:rPr>
            </w:pPr>
          </w:p>
        </w:tc>
        <w:tc>
          <w:tcPr>
            <w:tcW w:w="50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Earnings per share of common stock:</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750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Earnings per share, Basic</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EFFE7"/>
          </w:tcPr>
          <w:p>
            <w:pPr>
              <w:jc w:val="right"/>
              <w:ind w:right="11"/>
              <w:spacing w:after="0"/>
              <w:rPr>
                <w:sz w:val="20"/>
                <w:szCs w:val="20"/>
                <w:color w:val="auto"/>
              </w:rPr>
            </w:pPr>
            <w:r>
              <w:rPr>
                <w:rFonts w:ascii="Arial" w:cs="Arial" w:eastAsia="Arial" w:hAnsi="Arial"/>
                <w:sz w:val="18"/>
                <w:szCs w:val="18"/>
                <w:color w:val="auto"/>
              </w:rPr>
              <w:t>1.44</w:t>
            </w:r>
          </w:p>
        </w:tc>
        <w:tc>
          <w:tcPr>
            <w:tcW w:w="5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0.78</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7500" w:type="dxa"/>
            <w:vAlign w:val="bottom"/>
            <w:tcBorders>
              <w:bottom w:val="single" w:sz="8" w:color="CEFFE7"/>
            </w:tcBorders>
          </w:tcPr>
          <w:p>
            <w:pPr>
              <w:ind w:left="220"/>
              <w:spacing w:after="0"/>
              <w:rPr>
                <w:sz w:val="20"/>
                <w:szCs w:val="20"/>
                <w:color w:val="auto"/>
              </w:rPr>
            </w:pPr>
            <w:r>
              <w:rPr>
                <w:rFonts w:ascii="Arial" w:cs="Arial" w:eastAsia="Arial" w:hAnsi="Arial"/>
                <w:sz w:val="18"/>
                <w:szCs w:val="18"/>
                <w:color w:val="auto"/>
              </w:rPr>
              <w:t>Earnings per share,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r>
      <w:tr>
        <w:trPr>
          <w:trHeight w:val="237"/>
        </w:trPr>
        <w:tc>
          <w:tcPr>
            <w:tcW w:w="7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spacing w:after="0"/>
              <w:rPr>
                <w:sz w:val="20"/>
                <w:szCs w:val="20"/>
                <w:color w:val="auto"/>
              </w:rPr>
            </w:pPr>
          </w:p>
        </w:tc>
        <w:tc>
          <w:tcPr>
            <w:tcW w:w="50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spacing w:after="0"/>
              <w:rPr>
                <w:sz w:val="20"/>
                <w:szCs w:val="20"/>
                <w:color w:val="auto"/>
              </w:rPr>
            </w:pPr>
          </w:p>
        </w:tc>
      </w:tr>
      <w:tr>
        <w:trPr>
          <w:trHeight w:val="304"/>
        </w:trPr>
        <w:tc>
          <w:tcPr>
            <w:tcW w:w="7500" w:type="dxa"/>
            <w:vAlign w:val="bottom"/>
            <w:tcBorders>
              <w:bottom w:val="single" w:sz="8" w:color="CEFFE7"/>
            </w:tcBorders>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53,152</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51,044</w:t>
            </w:r>
          </w:p>
        </w:tc>
      </w:tr>
      <w:tr>
        <w:trPr>
          <w:trHeight w:val="251"/>
        </w:trPr>
        <w:tc>
          <w:tcPr>
            <w:tcW w:w="750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EFFE7"/>
          </w:tcPr>
          <w:p>
            <w:pPr>
              <w:spacing w:after="0"/>
              <w:rPr>
                <w:sz w:val="21"/>
                <w:szCs w:val="21"/>
                <w:color w:val="auto"/>
              </w:rPr>
            </w:pPr>
          </w:p>
        </w:tc>
        <w:tc>
          <w:tcPr>
            <w:tcW w:w="1320" w:type="dxa"/>
            <w:vAlign w:val="bottom"/>
            <w:tcBorders>
              <w:bottom w:val="single" w:sz="8" w:color="auto"/>
            </w:tcBorders>
            <w:shd w:val="clear" w:color="auto" w:fill="CEFFE7"/>
          </w:tcPr>
          <w:p>
            <w:pPr>
              <w:jc w:val="right"/>
              <w:ind w:right="11"/>
              <w:spacing w:after="0"/>
              <w:rPr>
                <w:sz w:val="20"/>
                <w:szCs w:val="20"/>
                <w:color w:val="auto"/>
              </w:rPr>
            </w:pPr>
            <w:r>
              <w:rPr>
                <w:rFonts w:ascii="Arial" w:cs="Arial" w:eastAsia="Arial" w:hAnsi="Arial"/>
                <w:sz w:val="18"/>
                <w:szCs w:val="18"/>
                <w:color w:val="auto"/>
              </w:rPr>
              <w:t>54,932</w:t>
            </w:r>
          </w:p>
        </w:tc>
        <w:tc>
          <w:tcPr>
            <w:tcW w:w="500" w:type="dxa"/>
            <w:vAlign w:val="bottom"/>
            <w:tcBorders>
              <w:bottom w:val="single" w:sz="8" w:color="auto"/>
            </w:tcBorders>
            <w:shd w:val="clear" w:color="auto" w:fill="CEFFE7"/>
          </w:tcPr>
          <w:p>
            <w:pPr>
              <w:spacing w:after="0"/>
              <w:rPr>
                <w:sz w:val="21"/>
                <w:szCs w:val="21"/>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51,858</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7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4"/>
        </w:trPr>
        <w:tc>
          <w:tcPr>
            <w:tcW w:w="750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Dividends declared per share of common stock</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EFFE7"/>
          </w:tcPr>
          <w:p>
            <w:pPr>
              <w:jc w:val="right"/>
              <w:ind w:right="11"/>
              <w:spacing w:after="0"/>
              <w:rPr>
                <w:sz w:val="20"/>
                <w:szCs w:val="20"/>
                <w:color w:val="auto"/>
              </w:rPr>
            </w:pPr>
            <w:r>
              <w:rPr>
                <w:rFonts w:ascii="Arial" w:cs="Arial" w:eastAsia="Arial" w:hAnsi="Arial"/>
                <w:sz w:val="18"/>
                <w:szCs w:val="18"/>
                <w:color w:val="auto"/>
              </w:rPr>
              <w:t>0.445</w:t>
            </w:r>
          </w:p>
        </w:tc>
        <w:tc>
          <w:tcPr>
            <w:tcW w:w="5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0.420</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0700"/>
          </w:cols>
          <w:pgMar w:left="600" w:top="1013" w:right="59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00"/>
          </w:cols>
          <w:pgMar w:left="600" w:top="1013" w:right="5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vMerge w:val="restart"/>
          </w:tcPr>
          <w:p>
            <w:pPr>
              <w:ind w:left="4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17"/>
                <w:szCs w:val="17"/>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12"/>
        </w:trPr>
        <w:tc>
          <w:tcPr>
            <w:tcW w:w="8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left="511"/>
              <w:spacing w:after="0"/>
              <w:rPr>
                <w:sz w:val="20"/>
                <w:szCs w:val="20"/>
                <w:color w:val="auto"/>
              </w:rPr>
            </w:pPr>
            <w:r>
              <w:rPr>
                <w:rFonts w:ascii="Arial" w:cs="Arial" w:eastAsia="Arial" w:hAnsi="Arial"/>
                <w:sz w:val="16"/>
                <w:szCs w:val="16"/>
                <w:color w:val="auto"/>
                <w:w w:val="95"/>
              </w:rPr>
              <w:t>March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51"/>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3"/>
                <w:szCs w:val="23"/>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351"/>
        </w:trPr>
        <w:tc>
          <w:tcPr>
            <w:tcW w:w="8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80,146</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40,050</w:t>
            </w:r>
          </w:p>
        </w:tc>
        <w:tc>
          <w:tcPr>
            <w:tcW w:w="0" w:type="dxa"/>
            <w:vAlign w:val="bottom"/>
          </w:tcPr>
          <w:p>
            <w:pPr>
              <w:spacing w:after="0"/>
              <w:rPr>
                <w:sz w:val="1"/>
                <w:szCs w:val="1"/>
                <w:color w:val="auto"/>
              </w:rPr>
            </w:pPr>
          </w:p>
        </w:tc>
      </w:tr>
      <w:tr>
        <w:trPr>
          <w:trHeight w:val="318"/>
        </w:trPr>
        <w:tc>
          <w:tcPr>
            <w:tcW w:w="89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380"/>
              <w:spacing w:after="0"/>
              <w:rPr>
                <w:sz w:val="20"/>
                <w:szCs w:val="20"/>
                <w:color w:val="auto"/>
              </w:rPr>
            </w:pPr>
            <w:r>
              <w:rPr>
                <w:rFonts w:ascii="Arial" w:cs="Arial" w:eastAsia="Arial" w:hAnsi="Arial"/>
                <w:sz w:val="18"/>
                <w:szCs w:val="18"/>
                <w:color w:val="auto"/>
                <w:w w:val="93"/>
              </w:rPr>
              <w:t>Reclassification adjustments of benefit plan liability - prior service cost (net of tax (expense) benefit of $17 and $19</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380"/>
              <w:spacing w:after="0"/>
              <w:rPr>
                <w:sz w:val="20"/>
                <w:szCs w:val="20"/>
                <w:color w:val="auto"/>
              </w:rPr>
            </w:pPr>
            <w:r>
              <w:rPr>
                <w:rFonts w:ascii="Arial" w:cs="Arial" w:eastAsia="Arial" w:hAnsi="Arial"/>
                <w:sz w:val="18"/>
                <w:szCs w:val="18"/>
                <w:color w:val="auto"/>
              </w:rPr>
              <w:t>for the three months ended March 31, 2017 and 2016, respectively)</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90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7"/>
              </w:rPr>
              <w:t>Reclassification adjustments of benefit plan liability - net gain (loss) (net of tax (expense) benefit of $(154) and</w:t>
            </w:r>
          </w:p>
        </w:tc>
        <w:tc>
          <w:tcPr>
            <w:tcW w:w="30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9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$(172) for the three months ended March 31, 2017 and 2016, respectively)</w:t>
            </w:r>
          </w:p>
        </w:tc>
        <w:tc>
          <w:tcPr>
            <w:tcW w:w="30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260</w:t>
            </w:r>
          </w:p>
        </w:tc>
        <w:tc>
          <w:tcPr>
            <w:tcW w:w="4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Derivative instruments designated as cash flow hedges: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90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0"/>
              </w:rPr>
              <w:t>Net unrealized gains (losses) on interest rate swaps (net of tax of $(32) and $5,251 for the three months ended March</w:t>
            </w:r>
          </w:p>
        </w:tc>
        <w:tc>
          <w:tcPr>
            <w:tcW w:w="30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9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31, 2017 and 2016, respectively)</w:t>
            </w:r>
          </w:p>
        </w:tc>
        <w:tc>
          <w:tcPr>
            <w:tcW w:w="30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29"/>
        </w:trPr>
        <w:tc>
          <w:tcPr>
            <w:tcW w:w="8900" w:type="dxa"/>
            <w:vAlign w:val="bottom"/>
          </w:tcPr>
          <w:p>
            <w:pPr>
              <w:ind w:left="380"/>
              <w:spacing w:after="0"/>
              <w:rPr>
                <w:sz w:val="20"/>
                <w:szCs w:val="20"/>
                <w:color w:val="auto"/>
              </w:rPr>
            </w:pPr>
            <w:r>
              <w:rPr>
                <w:rFonts w:ascii="Arial" w:cs="Arial" w:eastAsia="Arial" w:hAnsi="Arial"/>
                <w:sz w:val="18"/>
                <w:szCs w:val="18"/>
                <w:color w:val="auto"/>
                <w:w w:val="91"/>
              </w:rPr>
              <w:t>Reclassification of net realized (gains) losses on settled/amortized interest rate swaps (net of tax of $(249) and $598</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380"/>
              <w:spacing w:after="0"/>
              <w:rPr>
                <w:sz w:val="20"/>
                <w:szCs w:val="20"/>
                <w:color w:val="auto"/>
              </w:rPr>
            </w:pPr>
            <w:r>
              <w:rPr>
                <w:rFonts w:ascii="Arial" w:cs="Arial" w:eastAsia="Arial" w:hAnsi="Arial"/>
                <w:sz w:val="18"/>
                <w:szCs w:val="18"/>
                <w:color w:val="auto"/>
              </w:rPr>
              <w:t>for the three months ended March 31, 2017 and 2016, respectively)</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90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2"/>
              </w:rPr>
              <w:t>Net unrealized gains (losses) on commodity derivatives (net of tax of $(342) and $(675) for the three months ended</w:t>
            </w:r>
          </w:p>
        </w:tc>
        <w:tc>
          <w:tcPr>
            <w:tcW w:w="30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9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March 31, 2017 and 2016, respectively)</w:t>
            </w:r>
          </w:p>
        </w:tc>
        <w:tc>
          <w:tcPr>
            <w:tcW w:w="30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584</w:t>
            </w:r>
          </w:p>
        </w:tc>
        <w:tc>
          <w:tcPr>
            <w:tcW w:w="4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9"/>
        </w:trPr>
        <w:tc>
          <w:tcPr>
            <w:tcW w:w="8900" w:type="dxa"/>
            <w:vAlign w:val="bottom"/>
          </w:tcPr>
          <w:p>
            <w:pPr>
              <w:ind w:left="380"/>
              <w:spacing w:after="0"/>
              <w:rPr>
                <w:sz w:val="20"/>
                <w:szCs w:val="20"/>
                <w:color w:val="auto"/>
              </w:rPr>
            </w:pPr>
            <w:r>
              <w:rPr>
                <w:rFonts w:ascii="Arial" w:cs="Arial" w:eastAsia="Arial" w:hAnsi="Arial"/>
                <w:sz w:val="18"/>
                <w:szCs w:val="18"/>
                <w:color w:val="auto"/>
                <w:w w:val="91"/>
              </w:rPr>
              <w:t>Reclassification of net realized (gains) losses on settled commodity derivatives (net of tax of $106 and $1,348 for the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380"/>
              <w:spacing w:after="0"/>
              <w:rPr>
                <w:sz w:val="20"/>
                <w:szCs w:val="20"/>
                <w:color w:val="auto"/>
              </w:rPr>
            </w:pPr>
            <w:r>
              <w:rPr>
                <w:rFonts w:ascii="Arial" w:cs="Arial" w:eastAsia="Arial" w:hAnsi="Arial"/>
                <w:sz w:val="18"/>
                <w:szCs w:val="18"/>
                <w:color w:val="auto"/>
              </w:rPr>
              <w:t>three months ended March 31, 2017 and 2016, respectively)</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1,153</w:t>
            </w:r>
          </w:p>
        </w:tc>
        <w:tc>
          <w:tcPr>
            <w:tcW w:w="40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r>
        <w:trPr>
          <w:trHeight w:val="318"/>
        </w:trPr>
        <w:tc>
          <w:tcPr>
            <w:tcW w:w="89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81,299</w:t>
            </w:r>
          </w:p>
        </w:tc>
        <w:tc>
          <w:tcPr>
            <w:tcW w:w="4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28,280</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(loss) available for common stock</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77,676</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28,232</w:t>
            </w:r>
          </w:p>
        </w:tc>
        <w:tc>
          <w:tcPr>
            <w:tcW w:w="0" w:type="dxa"/>
            <w:vAlign w:val="bottom"/>
          </w:tcPr>
          <w:p>
            <w:pPr>
              <w:spacing w:after="0"/>
              <w:rPr>
                <w:sz w:val="1"/>
                <w:szCs w:val="1"/>
                <w:color w:val="auto"/>
              </w:rPr>
            </w:pPr>
          </w:p>
        </w:tc>
      </w:tr>
      <w:tr>
        <w:trPr>
          <w:trHeight w:val="20"/>
        </w:trPr>
        <w:tc>
          <w:tcPr>
            <w:tcW w:w="890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13 for additional disclosures.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(unaudited)</w:t>
            </w: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2"/>
              </w:rPr>
              <w:t>As of</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4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r>
      <w:tr>
        <w:trPr>
          <w:trHeight w:val="230"/>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2016</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4600" w:type="dxa"/>
            <w:vAlign w:val="bottom"/>
          </w:tcPr>
          <w:p>
            <w:pPr>
              <w:ind w:left="2880"/>
              <w:spacing w:after="0"/>
              <w:rPr>
                <w:sz w:val="20"/>
                <w:szCs w:val="20"/>
                <w:color w:val="auto"/>
              </w:rPr>
            </w:pPr>
            <w:r>
              <w:rPr>
                <w:rFonts w:ascii="Arial" w:cs="Arial" w:eastAsia="Arial" w:hAnsi="Arial"/>
                <w:sz w:val="18"/>
                <w:szCs w:val="18"/>
                <w:b w:val="1"/>
                <w:bCs w:val="1"/>
                <w:color w:val="auto"/>
              </w:rPr>
              <w:t>ASSETS</w:t>
            </w: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Cash and cash equivalents</w:t>
            </w:r>
          </w:p>
        </w:tc>
        <w:tc>
          <w:tcPr>
            <w:tcW w:w="2080" w:type="dxa"/>
            <w:vAlign w:val="bottom"/>
            <w:tcBorders>
              <w:bottom w:val="single" w:sz="8" w:color="CEFFE7"/>
            </w:tcBorders>
            <w:gridSpan w:val="2"/>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11,353</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13,580</w:t>
            </w:r>
          </w:p>
        </w:tc>
        <w:tc>
          <w:tcPr>
            <w:tcW w:w="3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26,046</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Restricted cash and equivalents</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2,409</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2,274</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1,839</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receivable, net</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224,714</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263,289</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206,276</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Materials, supplies and fuel</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84,484</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107,210</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78,176</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1,541</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4,138</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1,486</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Regulatory assets, current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53,476</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49,260</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54,108</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current assets</w:t>
            </w:r>
          </w:p>
        </w:tc>
        <w:tc>
          <w:tcPr>
            <w:tcW w:w="180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23,425</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27,063</w:t>
            </w:r>
          </w:p>
        </w:tc>
        <w:tc>
          <w:tcPr>
            <w:tcW w:w="3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34,287</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401,402</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466,814</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402,218</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12,712</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12,561</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12,126</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6,436,610</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6,412,223</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6,063,943</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Less: accumulated depreciation and depletion</w:t>
            </w:r>
          </w:p>
        </w:tc>
        <w:tc>
          <w:tcPr>
            <w:tcW w:w="180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(1,943,538)</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(1,943,234)</w:t>
            </w:r>
          </w:p>
        </w:tc>
        <w:tc>
          <w:tcPr>
            <w:tcW w:w="3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(1,742,070)</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property, plant and equipment, net</w:t>
            </w:r>
          </w:p>
        </w:tc>
        <w:tc>
          <w:tcPr>
            <w:tcW w:w="1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4,493,072</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4,468,989</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4,321,873</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Goodwill</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1,299,454</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1,299,454</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1,306,169</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8,182</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8,392</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10,957</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non-current</w:t>
            </w:r>
          </w:p>
        </w:tc>
        <w:tc>
          <w:tcPr>
            <w:tcW w:w="18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249,113</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246,882</w:t>
            </w:r>
          </w:p>
        </w:tc>
        <w:tc>
          <w:tcPr>
            <w:tcW w:w="38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239,023</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Derivative assets, non-current</w:t>
            </w: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assets, non-current</w:t>
            </w:r>
          </w:p>
        </w:tc>
        <w:tc>
          <w:tcPr>
            <w:tcW w:w="180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1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11,905</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12,130</w:t>
            </w:r>
          </w:p>
        </w:tc>
        <w:tc>
          <w:tcPr>
            <w:tcW w:w="38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11,274</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other assets, non-current</w:t>
            </w:r>
          </w:p>
        </w:tc>
        <w:tc>
          <w:tcPr>
            <w:tcW w:w="1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1,568,663</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1,567,080</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1,567,508</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6,475,849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6,515,444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6,303,725</w:t>
            </w:r>
          </w:p>
        </w:tc>
      </w:tr>
      <w:tr>
        <w:trPr>
          <w:trHeight w:val="20"/>
        </w:trPr>
        <w:tc>
          <w:tcPr>
            <w:tcW w:w="6400" w:type="dxa"/>
            <w:vAlign w:val="bottom"/>
            <w:gridSpan w:val="2"/>
          </w:tcPr>
          <w:p>
            <w:pPr>
              <w:spacing w:after="0" w:line="20" w:lineRule="exact"/>
              <w:rPr>
                <w:sz w:val="1"/>
                <w:szCs w:val="1"/>
                <w:color w:val="auto"/>
              </w:rPr>
            </w:pPr>
          </w:p>
        </w:tc>
        <w:tc>
          <w:tcPr>
            <w:tcW w:w="3740" w:type="dxa"/>
            <w:vAlign w:val="bottom"/>
            <w:tcBorders>
              <w:bottom w:val="single" w:sz="8" w:color="auto"/>
            </w:tcBorders>
            <w:gridSpan w:val="5"/>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67"/>
        </w:trPr>
        <w:tc>
          <w:tcPr>
            <w:tcW w:w="10140" w:type="dxa"/>
            <w:vAlign w:val="bottom"/>
            <w:gridSpan w:val="7"/>
          </w:tcPr>
          <w:p>
            <w:pPr>
              <w:jc w:val="center"/>
              <w:ind w:left="1211"/>
              <w:spacing w:after="0"/>
              <w:rPr>
                <w:sz w:val="20"/>
                <w:szCs w:val="20"/>
                <w:color w:val="auto"/>
              </w:rPr>
            </w:pPr>
            <w:r>
              <w:rPr>
                <w:rFonts w:ascii="Arial" w:cs="Arial" w:eastAsia="Arial" w:hAnsi="Arial"/>
                <w:sz w:val="14"/>
                <w:szCs w:val="14"/>
                <w:color w:val="auto"/>
                <w:w w:val="91"/>
              </w:rPr>
              <w:t>The accompanying Notes to Condensed Consolidated Financial Statements are an integral part of these Condensed Consolidated Financial Statements.</w:t>
            </w:r>
          </w:p>
        </w:tc>
        <w:tc>
          <w:tcPr>
            <w:tcW w:w="1280" w:type="dxa"/>
            <w:vAlign w:val="bottom"/>
          </w:tcPr>
          <w:p>
            <w:pPr>
              <w:spacing w:after="0"/>
              <w:rPr>
                <w:sz w:val="24"/>
                <w:szCs w:val="24"/>
                <w:color w:val="auto"/>
              </w:rPr>
            </w:pPr>
          </w:p>
        </w:tc>
      </w:tr>
      <w:tr>
        <w:trPr>
          <w:trHeight w:val="458"/>
        </w:trPr>
        <w:tc>
          <w:tcPr>
            <w:tcW w:w="460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color w:val="auto"/>
                <w:w w:val="92"/>
              </w:rPr>
              <w:t>As of</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March 31,</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2016</w:t>
            </w:r>
          </w:p>
        </w:tc>
        <w:tc>
          <w:tcPr>
            <w:tcW w:w="34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40" w:type="dxa"/>
            <w:vAlign w:val="bottom"/>
            <w:gridSpan w:val="5"/>
          </w:tcPr>
          <w:p>
            <w:pPr>
              <w:jc w:val="center"/>
              <w:ind w:right="150"/>
              <w:spacing w:after="0"/>
              <w:rPr>
                <w:sz w:val="20"/>
                <w:szCs w:val="20"/>
                <w:color w:val="auto"/>
              </w:rPr>
            </w:pPr>
            <w:r>
              <w:rPr>
                <w:rFonts w:ascii="Arial" w:cs="Arial" w:eastAsia="Arial" w:hAnsi="Arial"/>
                <w:sz w:val="18"/>
                <w:szCs w:val="18"/>
                <w:color w:val="auto"/>
                <w:w w:val="88"/>
              </w:rPr>
              <w:t>(in thousands, except share amounts)</w:t>
            </w:r>
          </w:p>
        </w:tc>
        <w:tc>
          <w:tcPr>
            <w:tcW w:w="0" w:type="dxa"/>
            <w:vAlign w:val="bottom"/>
          </w:tcPr>
          <w:p>
            <w:pPr>
              <w:spacing w:after="0"/>
              <w:rPr>
                <w:sz w:val="1"/>
                <w:szCs w:val="1"/>
                <w:color w:val="auto"/>
              </w:rPr>
            </w:pPr>
          </w:p>
        </w:tc>
      </w:tr>
      <w:tr>
        <w:trPr>
          <w:trHeight w:val="252"/>
        </w:trPr>
        <w:tc>
          <w:tcPr>
            <w:tcW w:w="6360" w:type="dxa"/>
            <w:vAlign w:val="bottom"/>
          </w:tcPr>
          <w:p>
            <w:pPr>
              <w:ind w:left="340"/>
              <w:spacing w:after="0"/>
              <w:rPr>
                <w:sz w:val="20"/>
                <w:szCs w:val="20"/>
                <w:color w:val="auto"/>
              </w:rPr>
            </w:pPr>
            <w:r>
              <w:rPr>
                <w:rFonts w:ascii="Arial" w:cs="Arial" w:eastAsia="Arial" w:hAnsi="Arial"/>
                <w:sz w:val="18"/>
                <w:szCs w:val="18"/>
                <w:b w:val="1"/>
                <w:bCs w:val="1"/>
                <w:color w:val="auto"/>
              </w:rPr>
              <w:t>LIABILITIES, REDEEMABLE NONCONTROLLING INTEREST AND</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50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105,074</w:t>
            </w:r>
          </w:p>
        </w:tc>
        <w:tc>
          <w:tcPr>
            <w:tcW w:w="42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153,477</w:t>
            </w:r>
          </w:p>
        </w:tc>
        <w:tc>
          <w:tcPr>
            <w:tcW w:w="3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100,756</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203,467</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244,034</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272,181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Derivative liabilities, current</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464</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2,459</w:t>
            </w:r>
          </w:p>
        </w:tc>
        <w:tc>
          <w:tcPr>
            <w:tcW w:w="3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income taxes, net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3,726</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12,552</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current</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22,118</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13,067</w:t>
            </w:r>
          </w:p>
        </w:tc>
        <w:tc>
          <w:tcPr>
            <w:tcW w:w="3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35,933</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50,950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96,600</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215,600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5,743</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5,743</w:t>
            </w:r>
          </w:p>
        </w:tc>
        <w:tc>
          <w:tcPr>
            <w:tcW w:w="34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6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391,542</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527,932</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639,334</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3,210,730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3,211,189</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3,159,055</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Deferred income tax liabilities, net, non-current</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577,211</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535,606</w:t>
            </w:r>
          </w:p>
        </w:tc>
        <w:tc>
          <w:tcPr>
            <w:tcW w:w="3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500,202</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Derivative liabilities, non-current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176</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14,522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non-current</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196,538</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193,689</w:t>
            </w:r>
          </w:p>
        </w:tc>
        <w:tc>
          <w:tcPr>
            <w:tcW w:w="3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200,337</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Benefit plan liabilities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174,827</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173,682</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181,270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Other deferred credits and other liabilities</w:t>
            </w: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135,847</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138,643</w:t>
            </w:r>
          </w:p>
        </w:tc>
        <w:tc>
          <w:tcPr>
            <w:tcW w:w="34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124,181</w:t>
            </w:r>
          </w:p>
        </w:tc>
        <w:tc>
          <w:tcPr>
            <w:tcW w:w="0" w:type="dxa"/>
            <w:vAlign w:val="bottom"/>
          </w:tcPr>
          <w:p>
            <w:pPr>
              <w:spacing w:after="0"/>
              <w:rPr>
                <w:sz w:val="1"/>
                <w:szCs w:val="1"/>
                <w:color w:val="auto"/>
              </w:rPr>
            </w:pPr>
          </w:p>
        </w:tc>
      </w:tr>
      <w:tr>
        <w:trPr>
          <w:trHeight w:val="237"/>
        </w:trPr>
        <w:tc>
          <w:tcPr>
            <w:tcW w:w="6360" w:type="dxa"/>
            <w:vAlign w:val="bottom"/>
          </w:tcPr>
          <w:p>
            <w:pPr>
              <w:ind w:left="580"/>
              <w:spacing w:after="0"/>
              <w:rPr>
                <w:sz w:val="20"/>
                <w:szCs w:val="20"/>
                <w:color w:val="auto"/>
              </w:rPr>
            </w:pPr>
            <w:r>
              <w:rPr>
                <w:rFonts w:ascii="Arial" w:cs="Arial" w:eastAsia="Arial" w:hAnsi="Arial"/>
                <w:sz w:val="18"/>
                <w:szCs w:val="18"/>
                <w:color w:val="auto"/>
              </w:rPr>
              <w:t>Total deferred credits and other liabilities</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1,084,599</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1,041,894</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1,020,512</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Commitments and contingencies (See Notes 8, 10, 15, 16)</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4,295</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Stockholders’ equity —</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380"/>
              <w:spacing w:after="0"/>
              <w:rPr>
                <w:sz w:val="20"/>
                <w:szCs w:val="20"/>
                <w:color w:val="auto"/>
              </w:rPr>
            </w:pPr>
            <w:r>
              <w:rPr>
                <w:rFonts w:ascii="Arial" w:cs="Arial" w:eastAsia="Arial" w:hAnsi="Arial"/>
                <w:sz w:val="18"/>
                <w:szCs w:val="18"/>
                <w:color w:val="auto"/>
                <w:w w:val="92"/>
              </w:rPr>
              <w:t>Common stock $1 par value; 100,000,000 shares authorized; issued 53,502,252;</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380"/>
              <w:spacing w:after="0"/>
              <w:rPr>
                <w:sz w:val="20"/>
                <w:szCs w:val="20"/>
                <w:color w:val="auto"/>
              </w:rPr>
            </w:pPr>
            <w:r>
              <w:rPr>
                <w:rFonts w:ascii="Arial" w:cs="Arial" w:eastAsia="Arial" w:hAnsi="Arial"/>
                <w:sz w:val="18"/>
                <w:szCs w:val="18"/>
                <w:color w:val="auto"/>
              </w:rPr>
              <w:t>53,397,467; and 51,477,472 shares, respectively</w:t>
            </w:r>
          </w:p>
        </w:tc>
        <w:tc>
          <w:tcPr>
            <w:tcW w:w="26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53,502</w:t>
            </w:r>
          </w:p>
        </w:tc>
        <w:tc>
          <w:tcPr>
            <w:tcW w:w="4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53,397</w:t>
            </w:r>
          </w:p>
        </w:tc>
        <w:tc>
          <w:tcPr>
            <w:tcW w:w="3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51,477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1,143,102</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1,138,982</w:t>
            </w:r>
          </w:p>
        </w:tc>
        <w:tc>
          <w:tcPr>
            <w:tcW w:w="3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960,605</w:t>
            </w:r>
          </w:p>
        </w:tc>
        <w:tc>
          <w:tcPr>
            <w:tcW w:w="0" w:type="dxa"/>
            <w:vAlign w:val="bottom"/>
          </w:tcPr>
          <w:p>
            <w:pPr>
              <w:spacing w:after="0"/>
              <w:rPr>
                <w:sz w:val="1"/>
                <w:szCs w:val="1"/>
                <w:color w:val="auto"/>
              </w:rPr>
            </w:pP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513,885</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457,934</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490,999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Treasury stock, at cost – 41,443; 15,258; and 30,903 shares, respectively</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(2,443)</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(791)</w:t>
            </w:r>
          </w:p>
        </w:tc>
        <w:tc>
          <w:tcPr>
            <w:tcW w:w="3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(33,730)</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(34,883)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(20,825)</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1,674,316</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1,614,639</w:t>
            </w:r>
          </w:p>
        </w:tc>
        <w:tc>
          <w:tcPr>
            <w:tcW w:w="3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1,480,683</w:t>
            </w:r>
          </w:p>
        </w:tc>
        <w:tc>
          <w:tcPr>
            <w:tcW w:w="0" w:type="dxa"/>
            <w:vAlign w:val="bottom"/>
          </w:tcPr>
          <w:p>
            <w:pPr>
              <w:spacing w:after="0"/>
              <w:rPr>
                <w:sz w:val="1"/>
                <w:szCs w:val="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114,662</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115,495</w:t>
            </w: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1,788,978</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1,730,134</w:t>
            </w:r>
          </w:p>
        </w:tc>
        <w:tc>
          <w:tcPr>
            <w:tcW w:w="34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1,480,683</w:t>
            </w:r>
          </w:p>
        </w:tc>
        <w:tc>
          <w:tcPr>
            <w:tcW w:w="0" w:type="dxa"/>
            <w:vAlign w:val="bottom"/>
          </w:tcPr>
          <w:p>
            <w:pPr>
              <w:spacing w:after="0"/>
              <w:rPr>
                <w:sz w:val="1"/>
                <w:szCs w:val="1"/>
                <w:color w:val="auto"/>
              </w:rPr>
            </w:pPr>
          </w:p>
        </w:tc>
      </w:tr>
      <w:tr>
        <w:trPr>
          <w:trHeight w:val="291"/>
        </w:trPr>
        <w:tc>
          <w:tcPr>
            <w:tcW w:w="6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EFFE7"/>
          </w:tcPr>
          <w:p>
            <w:pPr>
              <w:ind w:left="20"/>
              <w:spacing w:after="0"/>
              <w:rPr>
                <w:sz w:val="20"/>
                <w:szCs w:val="20"/>
                <w:color w:val="auto"/>
              </w:rPr>
            </w:pPr>
            <w:r>
              <w:rPr>
                <w:rFonts w:ascii="Arial" w:cs="Arial" w:eastAsia="Arial" w:hAnsi="Arial"/>
                <w:sz w:val="18"/>
                <w:szCs w:val="18"/>
                <w:color w:val="auto"/>
              </w:rPr>
              <w:t>TOTAL LIABILITIES, REDEEMABLE NONCONTROLLING INTEREST AND</w:t>
            </w:r>
          </w:p>
        </w:tc>
        <w:tc>
          <w:tcPr>
            <w:tcW w:w="260" w:type="dxa"/>
            <w:vAlign w:val="bottom"/>
            <w:vMerge w:val="restart"/>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rPr>
              <w:t>6,475,849</w:t>
            </w:r>
          </w:p>
        </w:tc>
        <w:tc>
          <w:tcPr>
            <w:tcW w:w="420" w:type="dxa"/>
            <w:vAlign w:val="bottom"/>
            <w:vMerge w:val="restart"/>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EFFE7"/>
          </w:tcPr>
          <w:p>
            <w:pPr>
              <w:jc w:val="right"/>
              <w:ind w:right="50"/>
              <w:spacing w:after="0"/>
              <w:rPr>
                <w:sz w:val="20"/>
                <w:szCs w:val="20"/>
                <w:color w:val="auto"/>
              </w:rPr>
            </w:pPr>
            <w:r>
              <w:rPr>
                <w:rFonts w:ascii="Arial" w:cs="Arial" w:eastAsia="Arial" w:hAnsi="Arial"/>
                <w:sz w:val="18"/>
                <w:szCs w:val="18"/>
                <w:color w:val="auto"/>
              </w:rPr>
              <w:t>6,515,444</w:t>
            </w:r>
          </w:p>
        </w:tc>
        <w:tc>
          <w:tcPr>
            <w:tcW w:w="34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6,303,725</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vMerge w:val="continue"/>
            <w:shd w:val="clear" w:color="auto" w:fill="CEFFE7"/>
          </w:tcPr>
          <w:p>
            <w:pPr>
              <w:spacing w:after="0"/>
              <w:rPr>
                <w:sz w:val="20"/>
                <w:szCs w:val="20"/>
                <w:color w:val="auto"/>
              </w:rPr>
            </w:pPr>
          </w:p>
        </w:tc>
        <w:tc>
          <w:tcPr>
            <w:tcW w:w="1400" w:type="dxa"/>
            <w:vAlign w:val="bottom"/>
            <w:tcBorders>
              <w:bottom w:val="single" w:sz="8" w:color="auto"/>
            </w:tcBorders>
            <w:vMerge w:val="continue"/>
            <w:shd w:val="clear" w:color="auto" w:fill="CEFFE7"/>
          </w:tcPr>
          <w:p>
            <w:pPr>
              <w:spacing w:after="0"/>
              <w:rPr>
                <w:sz w:val="20"/>
                <w:szCs w:val="20"/>
                <w:color w:val="auto"/>
              </w:rPr>
            </w:pPr>
          </w:p>
        </w:tc>
        <w:tc>
          <w:tcPr>
            <w:tcW w:w="420" w:type="dxa"/>
            <w:vAlign w:val="bottom"/>
            <w:tcBorders>
              <w:bottom w:val="single" w:sz="8" w:color="auto"/>
            </w:tcBorders>
            <w:vMerge w:val="continue"/>
            <w:shd w:val="clear" w:color="auto" w:fill="CEFFE7"/>
          </w:tcPr>
          <w:p>
            <w:pPr>
              <w:spacing w:after="0"/>
              <w:rPr>
                <w:sz w:val="20"/>
                <w:szCs w:val="20"/>
                <w:color w:val="auto"/>
              </w:rPr>
            </w:pPr>
          </w:p>
        </w:tc>
        <w:tc>
          <w:tcPr>
            <w:tcW w:w="1260" w:type="dxa"/>
            <w:vAlign w:val="bottom"/>
            <w:tcBorders>
              <w:bottom w:val="single" w:sz="8" w:color="auto"/>
            </w:tcBorders>
            <w:vMerge w:val="continue"/>
            <w:shd w:val="clear" w:color="auto" w:fill="CEFFE7"/>
          </w:tcPr>
          <w:p>
            <w:pPr>
              <w:spacing w:after="0"/>
              <w:rPr>
                <w:sz w:val="20"/>
                <w:szCs w:val="20"/>
                <w:color w:val="auto"/>
              </w:rPr>
            </w:pPr>
          </w:p>
        </w:tc>
        <w:tc>
          <w:tcPr>
            <w:tcW w:w="340" w:type="dxa"/>
            <w:vAlign w:val="bottom"/>
            <w:tcBorders>
              <w:bottom w:val="single" w:sz="8" w:color="auto"/>
            </w:tcBorders>
            <w:vMerge w:val="continue"/>
            <w:shd w:val="clear" w:color="auto" w:fill="CEFFE7"/>
          </w:tcPr>
          <w:p>
            <w:pPr>
              <w:spacing w:after="0"/>
              <w:rPr>
                <w:sz w:val="20"/>
                <w:szCs w:val="20"/>
                <w:color w:val="auto"/>
              </w:rPr>
            </w:pPr>
          </w:p>
        </w:tc>
        <w:tc>
          <w:tcPr>
            <w:tcW w:w="132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360"/>
          </w:cols>
          <w:pgMar w:left="280" w:top="580" w:right="259" w:bottom="1440" w:gutter="0" w:footer="0" w:header="0"/>
        </w:sect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80" w:top="580" w:right="25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68" w:lineRule="exact"/>
        <w:rPr>
          <w:sz w:val="20"/>
          <w:szCs w:val="20"/>
          <w:color w:val="auto"/>
        </w:rPr>
      </w:pPr>
    </w:p>
    <w:p>
      <w:pPr>
        <w:spacing w:after="0"/>
        <w:tabs>
          <w:tab w:leader="none" w:pos="8980" w:val="left"/>
        </w:tabs>
        <w:rPr>
          <w:sz w:val="20"/>
          <w:szCs w:val="20"/>
          <w:color w:val="auto"/>
        </w:rPr>
      </w:pPr>
      <w:r>
        <w:rPr>
          <w:rFonts w:ascii="Arial" w:cs="Arial" w:eastAsia="Arial" w:hAnsi="Arial"/>
          <w:sz w:val="13"/>
          <w:szCs w:val="13"/>
          <w:color w:val="auto"/>
        </w:rPr>
        <w:t>(unaudited)</w:t>
      </w:r>
      <w:r>
        <w:rPr>
          <w:sz w:val="20"/>
          <w:szCs w:val="20"/>
          <w:color w:val="auto"/>
        </w:rPr>
        <w:tab/>
      </w:r>
      <w:r>
        <w:rPr>
          <w:rFonts w:ascii="Arial" w:cs="Arial" w:eastAsia="Arial" w:hAnsi="Arial"/>
          <w:sz w:val="13"/>
          <w:szCs w:val="13"/>
          <w:color w:val="auto"/>
        </w:rPr>
        <w:t>Three Months Ended March 31,</w:t>
      </w:r>
    </w:p>
    <w:p>
      <w:pPr>
        <w:spacing w:after="0" w:line="121" w:lineRule="exact"/>
        <w:rPr>
          <w:sz w:val="20"/>
          <w:szCs w:val="20"/>
          <w:color w:val="auto"/>
        </w:rPr>
      </w:pPr>
    </w:p>
    <w:p>
      <w:pPr>
        <w:ind w:left="9020"/>
        <w:spacing w:after="0"/>
        <w:tabs>
          <w:tab w:leader="none" w:pos="10480" w:val="left"/>
        </w:tabs>
        <w:rPr>
          <w:sz w:val="20"/>
          <w:szCs w:val="20"/>
          <w:color w:val="auto"/>
        </w:rPr>
      </w:pPr>
      <w:r>
        <w:rPr>
          <w:rFonts w:ascii="Arial" w:cs="Arial" w:eastAsia="Arial" w:hAnsi="Arial"/>
          <w:sz w:val="14"/>
          <w:szCs w:val="14"/>
          <w:color w:val="auto"/>
        </w:rPr>
        <w:t>2017</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20955</wp:posOffset>
            </wp:positionV>
            <wp:extent cx="1878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80"/>
          </w:cols>
          <w:pgMar w:left="280" w:top="585"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depletion and amortization</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financing cost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Impairment of long-lived assets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adjustments, net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Changes in certain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Materials, supplies and fuel</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receivable, unbilled revenues and other 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 and other operating liabilities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Regulatory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Regulatory liabilities - current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140970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Property, plant and equipment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Acquisition, net of long term debt assumed</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201295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560" w:type="dxa"/>
            <w:vAlign w:val="bottom"/>
            <w:gridSpan w:val="2"/>
          </w:tcPr>
          <w:p>
            <w:pPr>
              <w:jc w:val="right"/>
              <w:ind w:right="88"/>
              <w:spacing w:after="0"/>
              <w:rPr>
                <w:sz w:val="20"/>
                <w:szCs w:val="20"/>
                <w:color w:val="auto"/>
              </w:rPr>
            </w:pPr>
            <w:r>
              <w:rPr>
                <w:rFonts w:ascii="Arial" w:cs="Arial" w:eastAsia="Arial" w:hAnsi="Arial"/>
                <w:sz w:val="14"/>
                <w:szCs w:val="14"/>
                <w:color w:val="auto"/>
              </w:rPr>
              <w:t>(in thousands)</w:t>
            </w:r>
          </w:p>
        </w:tc>
        <w:tc>
          <w:tcPr>
            <w:tcW w:w="900" w:type="dxa"/>
            <w:vAlign w:val="bottom"/>
          </w:tcPr>
          <w:p>
            <w:pPr>
              <w:spacing w:after="0"/>
              <w:rPr>
                <w:sz w:val="15"/>
                <w:szCs w:val="15"/>
                <w:color w:val="auto"/>
              </w:rPr>
            </w:pPr>
          </w:p>
        </w:tc>
      </w:tr>
      <w:tr>
        <w:trPr>
          <w:trHeight w:val="216"/>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80,146</w:t>
            </w:r>
          </w:p>
        </w:tc>
        <w:tc>
          <w:tcPr>
            <w:tcW w:w="5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40,002</w:t>
            </w:r>
          </w:p>
        </w:tc>
      </w:tr>
      <w:tr>
        <w:trPr>
          <w:trHeight w:val="486"/>
        </w:trPr>
        <w:tc>
          <w:tcPr>
            <w:tcW w:w="50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48,647</w:t>
            </w:r>
          </w:p>
        </w:tc>
        <w:tc>
          <w:tcPr>
            <w:tcW w:w="5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44,407</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1,690</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1,666</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14,496</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3,091</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4,461</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42,195</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32,579</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3,242</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3,466</w:t>
            </w:r>
          </w:p>
        </w:tc>
      </w:tr>
      <w:tr>
        <w:trPr>
          <w:trHeight w:val="203"/>
        </w:trPr>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(2,303)</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486"/>
        </w:trPr>
        <w:tc>
          <w:tcPr>
            <w:tcW w:w="50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22,445</w:t>
            </w:r>
          </w:p>
        </w:tc>
        <w:tc>
          <w:tcPr>
            <w:tcW w:w="5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25,822</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41,052</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27,559</w:t>
            </w:r>
          </w:p>
        </w:tc>
      </w:tr>
      <w:tr>
        <w:trPr>
          <w:trHeight w:val="203"/>
        </w:trPr>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(99,482)</w:t>
            </w: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(73,355)</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12,856</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9,083</w:t>
            </w:r>
          </w:p>
        </w:tc>
        <w:tc>
          <w:tcPr>
            <w:tcW w:w="5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11,613</w:t>
            </w:r>
          </w:p>
        </w:tc>
      </w:tr>
      <w:tr>
        <w:trPr>
          <w:trHeight w:val="209"/>
        </w:trPr>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(3,202)</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(7,489)</w:t>
            </w:r>
          </w:p>
        </w:tc>
      </w:tr>
      <w:tr>
        <w:trPr>
          <w:trHeight w:val="210"/>
        </w:trPr>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146,840</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133,083</w:t>
            </w:r>
          </w:p>
        </w:tc>
      </w:tr>
      <w:tr>
        <w:trPr>
          <w:trHeight w:val="636"/>
        </w:trPr>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(69,309)</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(83,885)</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(1,132,318)</w:t>
            </w:r>
          </w:p>
        </w:tc>
      </w:tr>
      <w:tr>
        <w:trPr>
          <w:trHeight w:val="209"/>
        </w:trPr>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r>
      <w:tr>
        <w:trPr>
          <w:trHeight w:val="196"/>
        </w:trPr>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(69,494)</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(1,216,532)</w:t>
            </w:r>
          </w:p>
        </w:tc>
      </w:tr>
    </w:tbl>
    <w:p>
      <w:pPr>
        <w:spacing w:after="0" w:line="200" w:lineRule="exact"/>
        <w:rPr>
          <w:sz w:val="20"/>
          <w:szCs w:val="20"/>
          <w:color w:val="auto"/>
        </w:rPr>
      </w:pPr>
    </w:p>
    <w:p>
      <w:pPr>
        <w:sectPr>
          <w:pgSz w:w="11900" w:h="16838" w:orient="portrait"/>
          <w:cols w:equalWidth="0" w:num="2">
            <w:col w:w="7700" w:space="720"/>
            <w:col w:w="2960"/>
          </w:cols>
          <w:pgMar w:left="280" w:top="585"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42" w:lineRule="exact"/>
        <w:rPr>
          <w:sz w:val="20"/>
          <w:szCs w:val="20"/>
          <w:color w:val="auto"/>
        </w:rPr>
      </w:pPr>
    </w:p>
    <w:p>
      <w:pPr>
        <w:ind w:left="240" w:right="860"/>
        <w:spacing w:after="0" w:line="322" w:lineRule="auto"/>
        <w:rPr>
          <w:sz w:val="20"/>
          <w:szCs w:val="20"/>
          <w:color w:val="auto"/>
        </w:rPr>
      </w:pPr>
      <w:r>
        <w:rPr>
          <w:rFonts w:ascii="Arial" w:cs="Arial" w:eastAsia="Arial" w:hAnsi="Arial"/>
          <w:sz w:val="14"/>
          <w:szCs w:val="14"/>
          <w:color w:val="auto"/>
        </w:rPr>
        <w:t>Dividends paid on common stock Common stock issued</w:t>
      </w:r>
    </w:p>
    <w:p>
      <w:pPr>
        <w:ind w:left="240"/>
        <w:spacing w:after="0"/>
        <w:rPr>
          <w:sz w:val="20"/>
          <w:szCs w:val="20"/>
          <w:color w:val="auto"/>
        </w:rPr>
      </w:pPr>
      <w:r>
        <w:rPr>
          <w:rFonts w:ascii="Arial" w:cs="Arial" w:eastAsia="Arial" w:hAnsi="Arial"/>
          <w:sz w:val="13"/>
          <w:szCs w:val="13"/>
          <w:color w:val="auto"/>
        </w:rPr>
        <w:t>Net (payments) borrowings on short-term debt</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Long-term debt - issuances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Long-term debt - repayments</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Distributions to noncontrolling interest</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financing activities</w:t>
      </w:r>
    </w:p>
    <w:p>
      <w:pPr>
        <w:spacing w:after="0" w:line="69" w:lineRule="exact"/>
        <w:rPr>
          <w:sz w:val="20"/>
          <w:szCs w:val="20"/>
          <w:color w:val="auto"/>
        </w:rPr>
      </w:pPr>
    </w:p>
    <w:p>
      <w:pPr>
        <w:ind w:left="240" w:right="140" w:hanging="242"/>
        <w:spacing w:after="0" w:line="346" w:lineRule="auto"/>
        <w:rPr>
          <w:sz w:val="20"/>
          <w:szCs w:val="20"/>
          <w:color w:val="auto"/>
        </w:rPr>
      </w:pPr>
      <w:r>
        <w:rPr>
          <w:rFonts w:ascii="Arial" w:cs="Arial" w:eastAsia="Arial" w:hAnsi="Arial"/>
          <w:sz w:val="13"/>
          <w:szCs w:val="13"/>
          <w:color w:val="auto"/>
        </w:rPr>
        <w:t>Net cash provided by (used in) financing activities Net change in cash and cash equivalents</w:t>
      </w:r>
    </w:p>
    <w:p>
      <w:pPr>
        <w:spacing w:after="0" w:line="1" w:lineRule="exact"/>
        <w:rPr>
          <w:sz w:val="20"/>
          <w:szCs w:val="20"/>
          <w:color w:val="auto"/>
        </w:rPr>
      </w:pPr>
    </w:p>
    <w:p>
      <w:pPr>
        <w:ind w:right="320"/>
        <w:spacing w:after="0" w:line="499" w:lineRule="auto"/>
        <w:rPr>
          <w:sz w:val="20"/>
          <w:szCs w:val="20"/>
          <w:color w:val="auto"/>
        </w:rPr>
      </w:pPr>
      <w:r>
        <w:rPr>
          <w:rFonts w:ascii="Arial" w:cs="Arial" w:eastAsia="Arial" w:hAnsi="Arial"/>
          <w:sz w:val="12"/>
          <w:szCs w:val="12"/>
          <w:color w:val="auto"/>
        </w:rPr>
        <w:t>Cash and cash equivalents, beginning of period Cash and cash equivalents, end of period</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466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(23,754)</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(21,537)</w:t>
            </w:r>
          </w:p>
        </w:tc>
      </w:tr>
      <w:tr>
        <w:trPr>
          <w:trHeight w:val="216"/>
        </w:trPr>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2,171</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7,821</w:t>
            </w: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(45,650)</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138,800</w:t>
            </w:r>
          </w:p>
        </w:tc>
      </w:tr>
      <w:tr>
        <w:trPr>
          <w:trHeight w:val="216"/>
        </w:trPr>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545,959</w:t>
            </w: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(1,436)</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(4,349)</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(6,555)</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(2,409)</w:t>
            </w:r>
          </w:p>
        </w:tc>
      </w:tr>
      <w:tr>
        <w:trPr>
          <w:trHeight w:val="210"/>
        </w:trPr>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(79,573)</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668,634</w:t>
            </w:r>
          </w:p>
        </w:tc>
      </w:tr>
      <w:tr>
        <w:trPr>
          <w:trHeight w:val="190"/>
        </w:trPr>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(2,227)</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(414,815)</w:t>
            </w:r>
          </w:p>
        </w:tc>
      </w:tr>
      <w:tr>
        <w:trPr>
          <w:trHeight w:val="222"/>
        </w:trPr>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13,580</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440,861</w:t>
            </w:r>
          </w:p>
        </w:tc>
      </w:tr>
      <w:tr>
        <w:trPr>
          <w:trHeight w:val="210"/>
        </w:trPr>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11,353</w:t>
            </w: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26,046</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-1405890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-1131570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-857250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-591185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-307975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See Note 14 for supplemental disclosure of cash flow information.</w:t>
      </w:r>
    </w:p>
    <w:p>
      <w:pPr>
        <w:spacing w:after="0" w:line="109" w:lineRule="exact"/>
        <w:rPr>
          <w:sz w:val="20"/>
          <w:szCs w:val="20"/>
          <w:color w:val="auto"/>
        </w:rPr>
      </w:pPr>
    </w:p>
    <w:p>
      <w:pPr>
        <w:sectPr>
          <w:pgSz w:w="11900" w:h="16838" w:orient="portrait"/>
          <w:cols w:equalWidth="0" w:num="2">
            <w:col w:w="3040" w:space="720"/>
            <w:col w:w="7620"/>
          </w:cols>
          <w:pgMar w:left="280" w:top="585" w:right="239" w:bottom="1440" w:gutter="0" w:footer="0" w:header="0"/>
          <w:type w:val="continuous"/>
        </w:sectPr>
      </w:pPr>
    </w:p>
    <w:p>
      <w:pPr>
        <w:jc w:val="center"/>
        <w:ind w:right="20"/>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Condensed Consolidated Financial Statements.</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80" w:top="585"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included in the Company’s 2016 Annual Report on Form 10-K)</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MANAGEMENT’S STATEMENT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2016 Annual Report on Form 10-K filed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Mining and Oil and Gas. Our reportable segments are based on our method of internal reporting, which is generally segregated by differences in products, services and regulation. All of our operations and assets are located within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March 31, 2017, December 31, 2016, and March 31,</w:t>
      </w:r>
    </w:p>
    <w:p>
      <w:pPr>
        <w:spacing w:after="0" w:line="268" w:lineRule="auto"/>
        <w:rPr>
          <w:sz w:val="20"/>
          <w:szCs w:val="20"/>
          <w:color w:val="auto"/>
        </w:rPr>
      </w:pPr>
      <w:r>
        <w:rPr>
          <w:rFonts w:ascii="Arial" w:cs="Arial" w:eastAsia="Arial" w:hAnsi="Arial"/>
          <w:sz w:val="17"/>
          <w:szCs w:val="17"/>
          <w:color w:val="auto"/>
        </w:rPr>
        <w:t>2016 financial information and are of a normal recurring nature.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months ended March 31, 2017 and March 31, 2016, and our financial condition as of March 31, 2017, December 31, 2016, and March 31, 2016, are not necessarily indicative of the results of operations and financial condition to be expected as of or for any other period. March 31, 2017 reflects a full quarter of activity from the SourceGas acquisition on February 12, 2016, as compared to March 31, 2016 which reflects a partial quarter. All earnings per share amounts discussed refer to diluted earnings per share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revisions have been made to prior years’ financial information to conform to the current year presentation.</w:t>
      </w:r>
    </w:p>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revised its presentation of cash. The Company has banking arrangements at certain financial institutions whereby if required, payments of one account are cleared with cash from other accounts at the same financial institution; therefore, book overdrafts are presented on a combined basis by bank as cash and cash equivalents. Prior year amounts were corrected to conform with the current year presentation, which decreased cash and cash equivalents and accounts payable by $21 million as of March 31, 2016, and decreased net cash flows provided by operations by $5.3 million for the three months ended March 31, 2016. We assessed the materiality of these changes, taking into account quantitative and qualitative factors, and determined them to be immaterial to the condensed consolidated balance sheet as of March 31, 2016 and to the condensed consolidated statements of cash flows for the three months ended March 31, 2016. There is no impact to the Condensed Consolidated Statements of Income or the Condensed Consolidated Statements of Comprehensive Income for any period reported.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252525"/>
        </w:rPr>
        <w:t>Compensation - Retirement Benefits: Improving the Presentation of Net Periodic Pension Cost and Net Periodic Post-Retirement Benefit Cost, ASU 2017-07</w:t>
      </w:r>
    </w:p>
    <w:p>
      <w:pPr>
        <w:spacing w:after="0" w:line="3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 Cost</w:t>
      </w:r>
      <w:r>
        <w:rPr>
          <w:rFonts w:ascii="Arial" w:cs="Arial" w:eastAsia="Arial" w:hAnsi="Arial"/>
          <w:sz w:val="17"/>
          <w:szCs w:val="17"/>
          <w:color w:val="auto"/>
        </w:rPr>
        <w:t xml:space="preserve"> </w:t>
      </w:r>
      <w:r>
        <w:rPr>
          <w:rFonts w:ascii="Arial" w:cs="Arial" w:eastAsia="Arial" w:hAnsi="Arial"/>
          <w:sz w:val="17"/>
          <w:szCs w:val="17"/>
          <w:i w:val="1"/>
          <w:iCs w:val="1"/>
          <w:color w:val="auto"/>
        </w:rPr>
        <w:t>and Net Periodic Post-Retirement Benefit Cost”</w:t>
      </w:r>
      <w:r>
        <w:rPr>
          <w:rFonts w:ascii="Arial" w:cs="Arial" w:eastAsia="Arial" w:hAnsi="Arial"/>
          <w:sz w:val="17"/>
          <w:szCs w:val="17"/>
          <w:color w:val="auto"/>
        </w:rPr>
        <w:t>. The changes to the standard require employers to report the service cost component in the same line item(s)</w:t>
      </w:r>
      <w:r>
        <w:rPr>
          <w:rFonts w:ascii="Arial" w:cs="Arial" w:eastAsia="Arial" w:hAnsi="Arial"/>
          <w:sz w:val="17"/>
          <w:szCs w:val="17"/>
          <w:i w:val="1"/>
          <w:iCs w:val="1"/>
          <w:color w:val="auto"/>
        </w:rPr>
        <w:t xml:space="preserve"> </w:t>
      </w:r>
      <w:r>
        <w:rPr>
          <w:rFonts w:ascii="Arial" w:cs="Arial" w:eastAsia="Arial" w:hAnsi="Arial"/>
          <w:sz w:val="17"/>
          <w:szCs w:val="17"/>
          <w:color w:val="auto"/>
        </w:rPr>
        <w:t>as other compensation costs, and require the other components of net periodic pension and post-retirement benefit costs to be separately presented in the income statement outside of income from operations. Additionally, only the service cost component may be eligible for capitalization, when applicable. However, all cost components remain eligible for capitalization under FERC regulations. ASU 2017-07 will be applied retrospectively for the presentation of the service cost component and the other components of net periodic pension and post-retirement benefit costs in the income statement. The capitalization of the service cost component of net period pension and post-retirement benefit costs in assets will be applied on a prospective basis. ASU 2017-07 is effective for annual periods beginning after December 15, 2017, including interim periods within those annual periods. We are currently assessing the changes to the standard. The presentation changes required for net periodic pension and post-retirement costs will result in offsetting changes to Operating income and Other income and are not expected to be material.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252525"/>
        </w:rPr>
        <w:t>Statement of Cash Flows: Classification of Certain Cash Receipts and Cash Payments, ASU 2016-15</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252525"/>
        </w:rPr>
        <w:t xml:space="preserve">In August 2016, the FASB issued ASU 2016-15, </w:t>
      </w:r>
      <w:r>
        <w:rPr>
          <w:rFonts w:ascii="Arial" w:cs="Arial" w:eastAsia="Arial" w:hAnsi="Arial"/>
          <w:sz w:val="16"/>
          <w:szCs w:val="16"/>
          <w:i w:val="1"/>
          <w:iCs w:val="1"/>
          <w:color w:val="252525"/>
        </w:rPr>
        <w:t>Statement of Cash Flows (Topic 230): Classification of Certain Cash Receipts and Cash Payments (a</w:t>
      </w:r>
      <w:r>
        <w:rPr>
          <w:rFonts w:ascii="Arial" w:cs="Arial" w:eastAsia="Arial" w:hAnsi="Arial"/>
          <w:sz w:val="16"/>
          <w:szCs w:val="16"/>
          <w:color w:val="252525"/>
        </w:rPr>
        <w:t xml:space="preserve"> </w:t>
      </w:r>
      <w:r>
        <w:rPr>
          <w:rFonts w:ascii="Arial" w:cs="Arial" w:eastAsia="Arial" w:hAnsi="Arial"/>
          <w:sz w:val="16"/>
          <w:szCs w:val="16"/>
          <w:i w:val="1"/>
          <w:iCs w:val="1"/>
          <w:color w:val="252525"/>
        </w:rPr>
        <w:t xml:space="preserve">consensus of the Emerging Issues Task Force). </w:t>
      </w:r>
      <w:r>
        <w:rPr>
          <w:rFonts w:ascii="Arial" w:cs="Arial" w:eastAsia="Arial" w:hAnsi="Arial"/>
          <w:sz w:val="16"/>
          <w:szCs w:val="16"/>
          <w:color w:val="252525"/>
        </w:rPr>
        <w:t>T</w:t>
      </w:r>
      <w:r>
        <w:rPr>
          <w:rFonts w:ascii="Arial" w:cs="Arial" w:eastAsia="Arial" w:hAnsi="Arial"/>
          <w:sz w:val="16"/>
          <w:szCs w:val="16"/>
          <w:color w:val="000000"/>
        </w:rPr>
        <w:t>his ASU requires changes in the pres</w:t>
      </w:r>
      <w:r>
        <w:rPr>
          <w:rFonts w:ascii="Arial" w:cs="Arial" w:eastAsia="Arial" w:hAnsi="Arial"/>
          <w:sz w:val="16"/>
          <w:szCs w:val="16"/>
          <w:color w:val="252525"/>
        </w:rPr>
        <w:t>entation of certain items including but not limited to debt prepayment or</w:t>
      </w:r>
      <w:r>
        <w:rPr>
          <w:rFonts w:ascii="Arial" w:cs="Arial" w:eastAsia="Arial" w:hAnsi="Arial"/>
          <w:sz w:val="16"/>
          <w:szCs w:val="16"/>
          <w:i w:val="1"/>
          <w:iCs w:val="1"/>
          <w:color w:val="252525"/>
        </w:rPr>
        <w:t xml:space="preserve"> </w:t>
      </w:r>
      <w:r>
        <w:rPr>
          <w:rFonts w:ascii="Arial" w:cs="Arial" w:eastAsia="Arial" w:hAnsi="Arial"/>
          <w:sz w:val="16"/>
          <w:szCs w:val="16"/>
          <w:color w:val="252525"/>
        </w:rPr>
        <w:t xml:space="preserve">debt extinguishment costs; contingent consideration payments made after a business combination; proceeds from the settlement of insurance claims; proceeds from the settlement of corporate-owned life insurance policies and distributions received from equity method investees. </w:t>
      </w:r>
      <w:r>
        <w:rPr>
          <w:rFonts w:ascii="Arial" w:cs="Arial" w:eastAsia="Arial" w:hAnsi="Arial"/>
          <w:sz w:val="16"/>
          <w:szCs w:val="16"/>
          <w:color w:val="000000"/>
        </w:rPr>
        <w:t>The ASU will be effective for fiscal</w:t>
      </w:r>
      <w:r>
        <w:rPr>
          <w:rFonts w:ascii="Arial" w:cs="Arial" w:eastAsia="Arial" w:hAnsi="Arial"/>
          <w:sz w:val="16"/>
          <w:szCs w:val="16"/>
          <w:color w:val="252525"/>
        </w:rPr>
        <w:t xml:space="preserve"> </w:t>
      </w:r>
      <w:r>
        <w:rPr>
          <w:rFonts w:ascii="Arial" w:cs="Arial" w:eastAsia="Arial" w:hAnsi="Arial"/>
          <w:sz w:val="16"/>
          <w:szCs w:val="16"/>
          <w:color w:val="000000"/>
        </w:rPr>
        <w:t>years beginning after December 15</w:t>
      </w:r>
      <w:r>
        <w:rPr>
          <w:rFonts w:ascii="Arial" w:cs="Arial" w:eastAsia="Arial" w:hAnsi="Arial"/>
          <w:sz w:val="16"/>
          <w:szCs w:val="16"/>
          <w:color w:val="252525"/>
        </w:rPr>
        <w:t>, 2017.</w:t>
      </w:r>
      <w:r>
        <w:rPr>
          <w:rFonts w:ascii="Arial" w:cs="Arial" w:eastAsia="Arial" w:hAnsi="Arial"/>
          <w:sz w:val="16"/>
          <w:szCs w:val="16"/>
          <w:color w:val="000000"/>
        </w:rPr>
        <w:t xml:space="preserve"> We will use the retrospective transition method to adopt this standard with fiscal years beginning after December 15, 2017. This standard will not have a material impact on our financial position, results of operations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Improvements to Employee Share-Based Payment Accounting, ASU 2016-09</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ASU simplifies several aspects of the accounting for employee share-based payment transactions, including the accounting for forfeitures, income taxes, and statutory tax withholding requirements. The ASU was effective for fiscal years, and interim periods within those years, beginning after December 15, 2016, with early adoption permitted. Certain amendments of this guidance are to be applied retrospectively and others prospectively. We implemented this ASU effective January 1, 2017, recording a cumulative-effect adjustment to retained earnings as of the date of adoption of $3.2 million in the Condensed Consolidated Balance Sheets, representing previously recorded forfeitures and excess tax benefits generated in years prior to 2017 that were previously not recognized in stockholders’ equity due to NOLs in those years. Adoption of this ASU did not have a material impact on our consolidated financial position,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which supersedes ASC 840,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lessees to recognize a right-of-use asset and lease liability on the balance sheet for all leases with terms of more than 12 months. Lessees are permitted to make an accounting policy election to not recognize the asset and liability for leases with a term of 12 months or less. The ASU does not significantly change the lessees’ recognition, measurement and presentation of expenses and cash flows from the previous accounting standard. Lessors’ accounting under the ASU is largely unchanged from the previous accounting standard. In addition, the ASU expands the disclosure requirements of lease arrangements. Lessees and lessors will use a modified retrospective transition approach, which includes a number of practical expedients. The guidance is effective for the Company beginning after December 15, 2018. Early adoption is permitted. We are currently assessing the impact that adoption of ASU 2016-02 will have on our financial position, results of operations or cash flows.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96"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Revenue from Contracts with Customers, ASU 2014-09</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The new disclosure requirements will provide information about the nature, amount, timing and uncertainty of revenue and cash flows from revenue contracts with customers. The guidance is effective for annual and interim reporting periods beginning after December 15, 2017 with early adoption on January 1, 2017 permitted. Entities will have the option of using either a full retrospective or modified retrospective approach to adopting this guidance. Under the modified approach, an entity would recognize the cumulative effect of initially applying the guidance with an adjustment to the opening balance of retained earnings in the period of adoption.</w:t>
      </w:r>
    </w:p>
    <w:p>
      <w:pPr>
        <w:spacing w:after="0" w:line="19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will adopt this standard for annual and interim reporting periods beginning after December 15, 2017. We continue to actively assess all of our sources of revenue to determine the impact that adoption of the new standard will have on our financial position, results of operations and cash flows. Our evaluation includes identifying revenue streams by like contracts to allow for ease of implementation. A majority of our revenues are from regulated tariff offerings that provide natural gas or electricity with a defined contractual term. For such arrangements, we expect that the revenue from contracts with the customer will be equivalent to the electricity or gas delivered in that period. Therefore, we do not expect that there will be a significant shift in the timing or pattern of revenue recognition for regulated tariff-based sales. The evaluation of other revenue streams is ongoing, including our non-regulated revenues and those tied to longer term contractual commitments. However, a number of industry-specific implementation issues are still unresolved and the final resolution of these issues could impact our current accounting policies and/or patterns for revenue recognition, as well as the transition method selected.</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 of SourceGas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February 12, 2016, Black Hills Corporation acquired SourceGas (now referred to as Black Hills Gas Holdings). Net cash paid at acquisition was $1.1 billion, and included the assumption of $760 million of long-term debt. We finalized our purchase price allocation at December 31, 2016. See Note 2 of our Notes to the Consolidated Financial Statements in our 2016 Annual Report on Form 10-K for more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unaudited pro forma financial information reflects the consolidated results of operations as if the SourceGas Acquisition had taken place on January 1, 2015. The unaudited pro forma financial information is presented for illustrative purposes only and is not necessarily indicative of the consolidated results of operations that would have been achieved or our future consolidated results.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 forma financial information does not reflect any potential cost savings from operating efficiencies resulting from the acquisition and does not include certain acquisition-related costs that are not expected to have a continuing impact on the combined consolidated results. Pro forma results for the three months ended March 31, 2016 exclude approximately $16 million of after-tax transaction costs, professional fees, employee related expenses and other miscellaneous costs.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Pro Forma Results</w:t>
            </w:r>
          </w:p>
        </w:tc>
      </w:tr>
      <w:tr>
        <w:trPr>
          <w:trHeight w:val="270"/>
        </w:trPr>
        <w:tc>
          <w:tcPr>
            <w:tcW w:w="824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824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70"/>
        </w:trPr>
        <w:tc>
          <w:tcPr>
            <w:tcW w:w="824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(in thousands, except per share amounts)</w:t>
            </w:r>
          </w:p>
        </w:tc>
      </w:tr>
      <w:tr>
        <w:trPr>
          <w:trHeight w:val="27"/>
        </w:trPr>
        <w:tc>
          <w:tcPr>
            <w:tcW w:w="8240" w:type="dxa"/>
            <w:vAlign w:val="bottom"/>
            <w:tcBorders>
              <w:bottom w:val="single" w:sz="8" w:color="CEFFE7"/>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$528,921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3180" w:type="dxa"/>
            <w:vAlign w:val="bottom"/>
          </w:tcPr>
          <w:p>
            <w:pPr>
              <w:jc w:val="right"/>
              <w:ind w:right="10"/>
              <w:spacing w:after="0"/>
              <w:rPr>
                <w:sz w:val="20"/>
                <w:szCs w:val="20"/>
                <w:color w:val="auto"/>
              </w:rPr>
            </w:pPr>
            <w:r>
              <w:rPr>
                <w:rFonts w:ascii="Arial" w:cs="Arial" w:eastAsia="Arial" w:hAnsi="Arial"/>
                <w:sz w:val="18"/>
                <w:szCs w:val="18"/>
                <w:color w:val="auto"/>
              </w:rPr>
              <w:t>$66,690</w:t>
            </w:r>
          </w:p>
        </w:tc>
      </w:tr>
      <w:tr>
        <w:trPr>
          <w:trHeight w:val="27"/>
        </w:trPr>
        <w:tc>
          <w:tcPr>
            <w:tcW w:w="82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Earnings (loss) per share, Basic</w:t>
            </w:r>
          </w:p>
        </w:tc>
        <w:tc>
          <w:tcPr>
            <w:tcW w:w="3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Earnings (loss) per share, Diluted</w:t>
            </w:r>
          </w:p>
        </w:tc>
        <w:tc>
          <w:tcPr>
            <w:tcW w:w="3180" w:type="dxa"/>
            <w:vAlign w:val="bottom"/>
          </w:tcPr>
          <w:p>
            <w:pPr>
              <w:jc w:val="right"/>
              <w:ind w:right="10"/>
              <w:spacing w:after="0"/>
              <w:rPr>
                <w:sz w:val="20"/>
                <w:szCs w:val="20"/>
                <w:color w:val="auto"/>
              </w:rPr>
            </w:pPr>
            <w:r>
              <w:rPr>
                <w:rFonts w:ascii="Arial" w:cs="Arial" w:eastAsia="Arial" w:hAnsi="Arial"/>
                <w:sz w:val="18"/>
                <w:szCs w:val="18"/>
                <w:color w:val="auto"/>
              </w:rPr>
              <w:t>$1.29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Redemption of seller’s noncontrolling interest</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part of the SourceGas Transaction, a seller retained a 0.5% noncontrolling interest and we entered into an associated option agreement with the holder of the 0.5% retained interest. The terms of the agreement provided us a call option to purchase the remaining interest beginning 366 days after the initial close of the SourceGas Transaction. In March 2017, we exercised our call option and purchased the remaining 0.5% equity interest in SourceGas for $5.6 million.</w:t>
      </w:r>
    </w:p>
    <w:p>
      <w:pPr>
        <w:spacing w:after="0" w:line="1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and Corporate activities included in the accompanying Condensed Consolidated Statements of Income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330"/>
              <w:spacing w:after="0"/>
              <w:rPr>
                <w:sz w:val="20"/>
                <w:szCs w:val="20"/>
                <w:color w:val="auto"/>
              </w:rPr>
            </w:pPr>
            <w:r>
              <w:rPr>
                <w:rFonts w:ascii="Arial" w:cs="Arial" w:eastAsia="Arial" w:hAnsi="Arial"/>
                <w:sz w:val="18"/>
                <w:szCs w:val="18"/>
                <w:color w:val="auto"/>
                <w:w w:val="93"/>
              </w:rPr>
              <w:t>External</w:t>
            </w:r>
          </w:p>
        </w:tc>
        <w:tc>
          <w:tcPr>
            <w:tcW w:w="320" w:type="dxa"/>
            <w:vAlign w:val="bottom"/>
          </w:tcPr>
          <w:p>
            <w:pPr>
              <w:spacing w:after="0"/>
              <w:rPr>
                <w:sz w:val="18"/>
                <w:szCs w:val="18"/>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color w:val="auto"/>
                <w:w w:val="92"/>
              </w:rPr>
              <w:t>Inter-company</w:t>
            </w:r>
          </w:p>
        </w:tc>
        <w:tc>
          <w:tcPr>
            <w:tcW w:w="24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Net Income (Loss)</w:t>
            </w:r>
          </w:p>
        </w:tc>
      </w:tr>
      <w:tr>
        <w:trPr>
          <w:trHeight w:val="216"/>
        </w:trPr>
        <w:tc>
          <w:tcPr>
            <w:tcW w:w="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310"/>
              <w:spacing w:after="0"/>
              <w:rPr>
                <w:sz w:val="20"/>
                <w:szCs w:val="20"/>
                <w:color w:val="auto"/>
              </w:rPr>
            </w:pPr>
            <w:r>
              <w:rPr>
                <w:rFonts w:ascii="Arial" w:cs="Arial" w:eastAsia="Arial" w:hAnsi="Arial"/>
                <w:sz w:val="18"/>
                <w:szCs w:val="18"/>
                <w:color w:val="auto"/>
                <w:w w:val="91"/>
              </w:rPr>
              <w:t>Operating</w:t>
            </w:r>
          </w:p>
        </w:tc>
        <w:tc>
          <w:tcPr>
            <w:tcW w:w="320" w:type="dxa"/>
            <w:vAlign w:val="bottom"/>
          </w:tcPr>
          <w:p>
            <w:pPr>
              <w:spacing w:after="0"/>
              <w:rPr>
                <w:sz w:val="18"/>
                <w:szCs w:val="18"/>
                <w:color w:val="auto"/>
              </w:rPr>
            </w:pPr>
          </w:p>
        </w:tc>
        <w:tc>
          <w:tcPr>
            <w:tcW w:w="1520" w:type="dxa"/>
            <w:vAlign w:val="bottom"/>
          </w:tcPr>
          <w:p>
            <w:pPr>
              <w:jc w:val="center"/>
              <w:ind w:right="270"/>
              <w:spacing w:after="0"/>
              <w:rPr>
                <w:sz w:val="20"/>
                <w:szCs w:val="20"/>
                <w:color w:val="auto"/>
              </w:rPr>
            </w:pPr>
            <w:r>
              <w:rPr>
                <w:rFonts w:ascii="Arial" w:cs="Arial" w:eastAsia="Arial" w:hAnsi="Arial"/>
                <w:sz w:val="18"/>
                <w:szCs w:val="18"/>
                <w:color w:val="auto"/>
                <w:w w:val="91"/>
              </w:rPr>
              <w:t>Operating</w:t>
            </w:r>
          </w:p>
        </w:tc>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3"/>
              </w:rPr>
              <w:t>Available for Common</w:t>
            </w:r>
          </w:p>
        </w:tc>
      </w:tr>
      <w:tr>
        <w:trPr>
          <w:trHeight w:val="23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Three Months Ended March 31, 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330"/>
              <w:spacing w:after="0"/>
              <w:rPr>
                <w:sz w:val="20"/>
                <w:szCs w:val="20"/>
                <w:color w:val="auto"/>
              </w:rPr>
            </w:pPr>
            <w:r>
              <w:rPr>
                <w:rFonts w:ascii="Arial" w:cs="Arial" w:eastAsia="Arial" w:hAnsi="Arial"/>
                <w:sz w:val="18"/>
                <w:szCs w:val="18"/>
                <w:color w:val="auto"/>
                <w:w w:val="85"/>
              </w:rPr>
              <w:t>Revenue</w:t>
            </w:r>
          </w:p>
        </w:tc>
        <w:tc>
          <w:tcPr>
            <w:tcW w:w="320" w:type="dxa"/>
            <w:vAlign w:val="bottom"/>
          </w:tcPr>
          <w:p>
            <w:pPr>
              <w:spacing w:after="0"/>
              <w:rPr>
                <w:sz w:val="20"/>
                <w:szCs w:val="20"/>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color w:val="auto"/>
                <w:w w:val="85"/>
              </w:rPr>
              <w:t>Revenue</w:t>
            </w:r>
          </w:p>
        </w:tc>
        <w:tc>
          <w:tcPr>
            <w:tcW w:w="240" w:type="dxa"/>
            <w:vAlign w:val="bottom"/>
          </w:tcPr>
          <w:p>
            <w:pPr>
              <w:spacing w:after="0"/>
              <w:rPr>
                <w:sz w:val="20"/>
                <w:szCs w:val="20"/>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r>
      <w:tr>
        <w:trPr>
          <w:trHeight w:val="27"/>
        </w:trPr>
        <w:tc>
          <w:tcPr>
            <w:tcW w:w="4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Segment: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57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Electric</w:t>
            </w:r>
          </w:p>
        </w:tc>
        <w:tc>
          <w:tcPr>
            <w:tcW w:w="360" w:type="dxa"/>
            <w:vAlign w:val="bottom"/>
            <w:tcBorders>
              <w:bottom w:val="single" w:sz="8" w:color="CEFFE7"/>
            </w:tcBorders>
            <w:gridSpan w:val="2"/>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172,170</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3,854</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22,230</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7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Gas </w:t>
            </w:r>
            <w:r>
              <w:rPr>
                <w:rFonts w:ascii="Arial" w:cs="Arial" w:eastAsia="Arial" w:hAnsi="Arial"/>
                <w:sz w:val="25"/>
                <w:szCs w:val="25"/>
                <w:color w:val="auto"/>
                <w:vertAlign w:val="superscript"/>
              </w:rPr>
              <w:t>(a)</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364,901</w:t>
            </w:r>
          </w:p>
        </w:tc>
        <w:tc>
          <w:tcPr>
            <w:tcW w:w="3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46,010</w:t>
            </w:r>
          </w:p>
        </w:tc>
        <w:tc>
          <w:tcPr>
            <w:tcW w:w="20" w:type="dxa"/>
            <w:vAlign w:val="bottom"/>
          </w:tcPr>
          <w:p>
            <w:pPr>
              <w:spacing w:after="0"/>
              <w:rPr>
                <w:sz w:val="23"/>
                <w:szCs w:val="23"/>
                <w:color w:val="auto"/>
              </w:rPr>
            </w:pPr>
          </w:p>
        </w:tc>
      </w:tr>
      <w:tr>
        <w:trPr>
          <w:trHeight w:val="270"/>
        </w:trPr>
        <w:tc>
          <w:tcPr>
            <w:tcW w:w="40" w:type="dxa"/>
            <w:vAlign w:val="bottom"/>
            <w:shd w:val="clear" w:color="auto" w:fill="CEFFE7"/>
          </w:tcPr>
          <w:p>
            <w:pPr>
              <w:spacing w:after="0"/>
              <w:rPr>
                <w:sz w:val="23"/>
                <w:szCs w:val="23"/>
                <w:color w:val="auto"/>
              </w:rPr>
            </w:pPr>
          </w:p>
        </w:tc>
        <w:tc>
          <w:tcPr>
            <w:tcW w:w="57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4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2,102</w:t>
            </w:r>
          </w:p>
        </w:tc>
        <w:tc>
          <w:tcPr>
            <w:tcW w:w="32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21,465</w:t>
            </w:r>
          </w:p>
        </w:tc>
        <w:tc>
          <w:tcPr>
            <w:tcW w:w="240" w:type="dxa"/>
            <w:vAlign w:val="bottom"/>
            <w:shd w:val="clear" w:color="auto" w:fill="CEFFE7"/>
          </w:tcPr>
          <w:p>
            <w:pPr>
              <w:spacing w:after="0"/>
              <w:rPr>
                <w:sz w:val="23"/>
                <w:szCs w:val="23"/>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6,530</w:t>
            </w:r>
          </w:p>
        </w:tc>
        <w:tc>
          <w:tcPr>
            <w:tcW w:w="20" w:type="dxa"/>
            <w:vAlign w:val="bottom"/>
            <w:shd w:val="clear" w:color="auto" w:fill="CEFFE7"/>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Mining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8,355</w:t>
            </w:r>
          </w:p>
        </w:tc>
        <w:tc>
          <w:tcPr>
            <w:tcW w:w="3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8,191</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57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Oil and Gas</w:t>
            </w:r>
          </w:p>
        </w:tc>
        <w:tc>
          <w:tcPr>
            <w:tcW w:w="1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6,475</w:t>
            </w:r>
          </w:p>
        </w:tc>
        <w:tc>
          <w:tcPr>
            <w:tcW w:w="32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(2,951)</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70"/>
        </w:trPr>
        <w:tc>
          <w:tcPr>
            <w:tcW w:w="5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 (d)</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1,814</w:t>
            </w:r>
          </w:p>
        </w:tc>
        <w:tc>
          <w:tcPr>
            <w:tcW w:w="20" w:type="dxa"/>
            <w:vAlign w:val="bottom"/>
          </w:tcPr>
          <w:p>
            <w:pPr>
              <w:spacing w:after="0"/>
              <w:rPr>
                <w:sz w:val="23"/>
                <w:szCs w:val="23"/>
                <w:color w:val="auto"/>
              </w:rPr>
            </w:pPr>
          </w:p>
        </w:tc>
      </w:tr>
      <w:tr>
        <w:trPr>
          <w:trHeight w:val="270"/>
        </w:trPr>
        <w:tc>
          <w:tcPr>
            <w:tcW w:w="57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0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(33,519)</w:t>
            </w:r>
          </w:p>
        </w:tc>
        <w:tc>
          <w:tcPr>
            <w:tcW w:w="24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554,003</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76,523</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6"/>
        </w:trPr>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93"/>
              </w:rPr>
              <w:t>External</w:t>
            </w:r>
          </w:p>
        </w:tc>
        <w:tc>
          <w:tcPr>
            <w:tcW w:w="320" w:type="dxa"/>
            <w:vAlign w:val="bottom"/>
          </w:tcPr>
          <w:p>
            <w:pPr>
              <w:spacing w:after="0"/>
              <w:rPr>
                <w:sz w:val="24"/>
                <w:szCs w:val="24"/>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2"/>
              </w:rPr>
              <w:t>Inter-company</w:t>
            </w:r>
          </w:p>
        </w:tc>
        <w:tc>
          <w:tcPr>
            <w:tcW w:w="240" w:type="dxa"/>
            <w:vAlign w:val="bottom"/>
          </w:tcPr>
          <w:p>
            <w:pPr>
              <w:spacing w:after="0"/>
              <w:rPr>
                <w:sz w:val="24"/>
                <w:szCs w:val="2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Net Income (Loss)</w:t>
            </w:r>
          </w:p>
        </w:tc>
      </w:tr>
      <w:tr>
        <w:trPr>
          <w:trHeight w:val="216"/>
        </w:trPr>
        <w:tc>
          <w:tcPr>
            <w:tcW w:w="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91"/>
              </w:rPr>
              <w:t>Operating</w:t>
            </w:r>
          </w:p>
        </w:tc>
        <w:tc>
          <w:tcPr>
            <w:tcW w:w="3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color w:val="auto"/>
                <w:w w:val="91"/>
              </w:rPr>
              <w:t>Operating</w:t>
            </w:r>
          </w:p>
        </w:tc>
        <w:tc>
          <w:tcPr>
            <w:tcW w:w="24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Available for Common</w:t>
            </w:r>
          </w:p>
        </w:tc>
      </w:tr>
      <w:tr>
        <w:trPr>
          <w:trHeight w:val="230"/>
        </w:trPr>
        <w:tc>
          <w:tcPr>
            <w:tcW w:w="4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Three Months Ended March 31, 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85"/>
              </w:rPr>
              <w:t>Revenue</w:t>
            </w:r>
          </w:p>
        </w:tc>
        <w:tc>
          <w:tcPr>
            <w:tcW w:w="32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color w:val="auto"/>
                <w:w w:val="88"/>
              </w:rPr>
              <w:t>Revenue</w:t>
            </w:r>
          </w:p>
        </w:tc>
        <w:tc>
          <w:tcPr>
            <w:tcW w:w="240" w:type="dxa"/>
            <w:vAlign w:val="bottom"/>
          </w:tcPr>
          <w:p>
            <w:pPr>
              <w:spacing w:after="0"/>
              <w:rPr>
                <w:sz w:val="20"/>
                <w:szCs w:val="20"/>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Stock</w:t>
            </w:r>
          </w:p>
        </w:tc>
      </w:tr>
      <w:tr>
        <w:trPr>
          <w:trHeight w:val="27"/>
        </w:trPr>
        <w:tc>
          <w:tcPr>
            <w:tcW w:w="4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Segment: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7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Electric</w:t>
            </w:r>
            <w:r>
              <w:rPr>
                <w:rFonts w:ascii="Arial" w:cs="Arial" w:eastAsia="Arial" w:hAnsi="Arial"/>
                <w:sz w:val="25"/>
                <w:szCs w:val="25"/>
                <w:color w:val="auto"/>
                <w:vertAlign w:val="superscript"/>
              </w:rPr>
              <w:t>.</w:t>
            </w:r>
          </w:p>
        </w:tc>
        <w:tc>
          <w:tcPr>
            <w:tcW w:w="360" w:type="dxa"/>
            <w:vAlign w:val="bottom"/>
            <w:gridSpan w:val="2"/>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163,531</w:t>
            </w:r>
          </w:p>
        </w:tc>
        <w:tc>
          <w:tcPr>
            <w:tcW w:w="3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3,745</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19,215</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7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Gas </w:t>
            </w:r>
            <w:r>
              <w:rPr>
                <w:rFonts w:ascii="Arial" w:cs="Arial" w:eastAsia="Arial" w:hAnsi="Arial"/>
                <w:sz w:val="25"/>
                <w:szCs w:val="25"/>
                <w:color w:val="auto"/>
                <w:vertAlign w:val="superscript"/>
              </w:rPr>
              <w:t>(a)</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268,667</w:t>
            </w:r>
          </w:p>
        </w:tc>
        <w:tc>
          <w:tcPr>
            <w:tcW w:w="32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31,927</w:t>
            </w:r>
          </w:p>
        </w:tc>
        <w:tc>
          <w:tcPr>
            <w:tcW w:w="2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Power Generation</w:t>
            </w:r>
          </w:p>
        </w:tc>
        <w:tc>
          <w:tcPr>
            <w:tcW w:w="1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1,852</w:t>
            </w:r>
          </w:p>
        </w:tc>
        <w:tc>
          <w:tcPr>
            <w:tcW w:w="32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21,456</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8,582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Mining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7,534</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8,748</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2,938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7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(e)</w:t>
            </w:r>
          </w:p>
        </w:tc>
        <w:tc>
          <w:tcPr>
            <w:tcW w:w="1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8,375</w:t>
            </w:r>
          </w:p>
        </w:tc>
        <w:tc>
          <w:tcPr>
            <w:tcW w:w="32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EFFE7"/>
          </w:tcPr>
          <w:p>
            <w:pPr>
              <w:spacing w:after="0"/>
              <w:rPr>
                <w:sz w:val="23"/>
                <w:szCs w:val="23"/>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(7,024)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7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activities </w:t>
            </w:r>
            <w:r>
              <w:rPr>
                <w:rFonts w:ascii="Arial" w:cs="Arial" w:eastAsia="Arial" w:hAnsi="Arial"/>
                <w:sz w:val="25"/>
                <w:szCs w:val="25"/>
                <w:color w:val="auto"/>
                <w:vertAlign w:val="superscript"/>
              </w:rPr>
              <w:t>(c) (d)</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(15,636)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7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10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(35,755)</w:t>
            </w:r>
          </w:p>
        </w:tc>
        <w:tc>
          <w:tcPr>
            <w:tcW w:w="24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449,959</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40,002</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ind w:left="340" w:right="2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Gas Utility revenue increased for the three months ended March 31, 2017 compared to the same periods in the prior year primarily due to the addition of the SourceGas utilities on February 12, 2016.</w:t>
      </w:r>
    </w:p>
    <w:p>
      <w:pPr>
        <w:ind w:left="340" w:hanging="332"/>
        <w:spacing w:after="0"/>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income (loss) available for common stock is net of net income attributable to noncontrolling interests of $3.5 million for the three months ended March 31, 2017.</w:t>
      </w:r>
    </w:p>
    <w:p>
      <w:pPr>
        <w:spacing w:after="0" w:line="16" w:lineRule="exact"/>
        <w:rPr>
          <w:rFonts w:ascii="Arial" w:cs="Arial" w:eastAsia="Arial" w:hAnsi="Arial"/>
          <w:sz w:val="15"/>
          <w:szCs w:val="15"/>
          <w:color w:val="auto"/>
        </w:rPr>
      </w:pPr>
    </w:p>
    <w:p>
      <w:pPr>
        <w:ind w:left="340" w:right="120" w:hanging="332"/>
        <w:spacing w:after="0" w:line="263" w:lineRule="auto"/>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income (loss) available for common stock for the three months ended March 31, 2017 and March 31, 2016 included incremental, non-recurring acquisition costs, net of tax of $0.9 million and $15 million, respectively, and after-tax internal labor costs attributable to the acquisition of $0.3 million and $3.8 million, respectively.</w:t>
      </w:r>
    </w:p>
    <w:p>
      <w:pPr>
        <w:ind w:left="340" w:right="2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months ended March 31, 2017 included a net tax benefit of approximately $3.2 million comprised of a $1.4 million tax benefit recognized from carryback claims for specified liability losses involving prior tax years and a tax benefit of $1.8 million driven primarily by the adjustment to the projected annual effective tax rate. Net income (loss) available for common stock for the three months ended March 31, 2016 included tax benefits of approximately $4.4 million as a result of the re-measurement of the liability for uncertain tax positions predicated on an agreement reached with IRS Appeals in early 2016. See Note 18.</w:t>
      </w:r>
    </w:p>
    <w:p>
      <w:pPr>
        <w:spacing w:after="0" w:line="2" w:lineRule="exact"/>
        <w:rPr>
          <w:rFonts w:ascii="Arial" w:cs="Arial" w:eastAsia="Arial" w:hAnsi="Arial"/>
          <w:sz w:val="16"/>
          <w:szCs w:val="16"/>
          <w:color w:val="auto"/>
        </w:rPr>
      </w:pPr>
    </w:p>
    <w:p>
      <w:pPr>
        <w:ind w:left="340" w:right="440" w:hanging="332"/>
        <w:spacing w:after="0" w:line="25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months ended March 31, 2016 includes a non-cash after-tax impairment of oil and gas properties of $8.8 million. See Note 17 to the Condensed Consolidated Financial Statements in this Quarterly Report on Form 10-Q.</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Segment information and Corporate balances included in the accompanying Condensed Consolidated Balance Sheets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w:t>
            </w:r>
          </w:p>
        </w:tc>
        <w:tc>
          <w:tcPr>
            <w:tcW w:w="280" w:type="dxa"/>
            <w:vAlign w:val="bottom"/>
          </w:tcPr>
          <w:p>
            <w:pPr>
              <w:spacing w:after="0"/>
              <w:rPr>
                <w:sz w:val="20"/>
                <w:szCs w:val="20"/>
                <w:color w:val="auto"/>
              </w:rPr>
            </w:pP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March 31, 2017</w:t>
            </w:r>
          </w:p>
        </w:tc>
        <w:tc>
          <w:tcPr>
            <w:tcW w:w="30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w w:val="94"/>
              </w:rPr>
              <w:t>December 31, 2016</w:t>
            </w:r>
          </w:p>
        </w:tc>
        <w:tc>
          <w:tcPr>
            <w:tcW w:w="38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March 31, 2016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Segment:</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Electric </w:t>
            </w:r>
            <w:r>
              <w:rPr>
                <w:rFonts w:ascii="Arial" w:cs="Arial" w:eastAsia="Arial" w:hAnsi="Arial"/>
                <w:sz w:val="25"/>
                <w:szCs w:val="25"/>
                <w:color w:val="auto"/>
                <w:vertAlign w:val="superscript"/>
              </w:rPr>
              <w:t>(a)</w:t>
            </w:r>
          </w:p>
        </w:tc>
        <w:tc>
          <w:tcPr>
            <w:tcW w:w="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2,872,989</w:t>
            </w:r>
          </w:p>
        </w:tc>
        <w:tc>
          <w:tcPr>
            <w:tcW w:w="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2,859,559</w:t>
            </w:r>
          </w:p>
        </w:tc>
        <w:tc>
          <w:tcPr>
            <w:tcW w:w="3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2,703,774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Gas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3,260,989</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3,307,967</w:t>
            </w: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3,141,897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80" w:type="dxa"/>
            <w:vAlign w:val="bottom"/>
            <w:shd w:val="clear" w:color="auto" w:fill="CEFFE7"/>
          </w:tcPr>
          <w:p>
            <w:pPr>
              <w:spacing w:after="0"/>
              <w:rPr>
                <w:sz w:val="23"/>
                <w:szCs w:val="23"/>
                <w:color w:val="auto"/>
              </w:rPr>
            </w:pPr>
          </w:p>
        </w:tc>
        <w:tc>
          <w:tcPr>
            <w:tcW w:w="18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72,540</w:t>
            </w:r>
          </w:p>
        </w:tc>
        <w:tc>
          <w:tcPr>
            <w:tcW w:w="300" w:type="dxa"/>
            <w:vAlign w:val="bottom"/>
            <w:shd w:val="clear" w:color="auto" w:fill="CEFFE7"/>
          </w:tcPr>
          <w:p>
            <w:pPr>
              <w:spacing w:after="0"/>
              <w:rPr>
                <w:sz w:val="23"/>
                <w:szCs w:val="23"/>
                <w:color w:val="auto"/>
              </w:rPr>
            </w:pP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73,445</w:t>
            </w:r>
          </w:p>
        </w:tc>
        <w:tc>
          <w:tcPr>
            <w:tcW w:w="380" w:type="dxa"/>
            <w:vAlign w:val="bottom"/>
            <w:shd w:val="clear" w:color="auto" w:fill="CEFFE7"/>
          </w:tcPr>
          <w:p>
            <w:pPr>
              <w:spacing w:after="0"/>
              <w:rPr>
                <w:sz w:val="23"/>
                <w:szCs w:val="23"/>
                <w:color w:val="auto"/>
              </w:rPr>
            </w:pPr>
          </w:p>
        </w:tc>
        <w:tc>
          <w:tcPr>
            <w:tcW w:w="17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74,403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Mining</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64,973</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67,347</w:t>
            </w: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73,878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(b)</w:t>
            </w:r>
          </w:p>
        </w:tc>
        <w:tc>
          <w:tcPr>
            <w:tcW w:w="280" w:type="dxa"/>
            <w:vAlign w:val="bottom"/>
            <w:shd w:val="clear" w:color="auto" w:fill="CEFFE7"/>
          </w:tcPr>
          <w:p>
            <w:pPr>
              <w:spacing w:after="0"/>
              <w:rPr>
                <w:sz w:val="23"/>
                <w:szCs w:val="23"/>
                <w:color w:val="auto"/>
              </w:rPr>
            </w:pPr>
          </w:p>
        </w:tc>
        <w:tc>
          <w:tcPr>
            <w:tcW w:w="18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95,212</w:t>
            </w:r>
          </w:p>
        </w:tc>
        <w:tc>
          <w:tcPr>
            <w:tcW w:w="300" w:type="dxa"/>
            <w:vAlign w:val="bottom"/>
            <w:shd w:val="clear" w:color="auto" w:fill="CEFFE7"/>
          </w:tcPr>
          <w:p>
            <w:pPr>
              <w:spacing w:after="0"/>
              <w:rPr>
                <w:sz w:val="23"/>
                <w:szCs w:val="23"/>
                <w:color w:val="auto"/>
              </w:rPr>
            </w:pPr>
          </w:p>
        </w:tc>
        <w:tc>
          <w:tcPr>
            <w:tcW w:w="18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96,435</w:t>
            </w:r>
          </w:p>
        </w:tc>
        <w:tc>
          <w:tcPr>
            <w:tcW w:w="380" w:type="dxa"/>
            <w:vAlign w:val="bottom"/>
            <w:shd w:val="clear" w:color="auto" w:fill="CEFFE7"/>
          </w:tcPr>
          <w:p>
            <w:pPr>
              <w:spacing w:after="0"/>
              <w:rPr>
                <w:sz w:val="23"/>
                <w:szCs w:val="23"/>
                <w:color w:val="auto"/>
              </w:rPr>
            </w:pPr>
          </w:p>
        </w:tc>
        <w:tc>
          <w:tcPr>
            <w:tcW w:w="17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197,291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Corporate activities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109,146</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110,691</w:t>
            </w:r>
          </w:p>
        </w:tc>
        <w:tc>
          <w:tcPr>
            <w:tcW w:w="3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112,482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6,475,849</w:t>
            </w:r>
          </w:p>
        </w:tc>
        <w:tc>
          <w:tcPr>
            <w:tcW w:w="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6,515,444</w:t>
            </w:r>
          </w:p>
        </w:tc>
        <w:tc>
          <w:tcPr>
            <w:tcW w:w="3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6,303,725</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63"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ind w:left="340" w:right="40" w:hanging="332"/>
        <w:spacing w:after="0" w:line="25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result of continued low commodity prices and our decision to divest non-core oil and gas assets, we recorded non-cash impairments of $107 million for the year ended December 31, 2016 and $14 million for the three months ended March 31, 2016. See Note 17 to the Condensed Consolidated Financial Statements in this Quarterly Report on Form 10-Q.</w:t>
      </w:r>
    </w:p>
    <w:p>
      <w:pPr>
        <w:spacing w:after="0" w:line="34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39,679</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30,778</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69,818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98,027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51,926</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(3,646)</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146,307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1,353</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3,197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3,197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2,952</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2,939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146,308</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82,704</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(4,298)</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224,714</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41,730</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36,463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77,840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88,168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88,329</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174,471</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1,420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3,352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3,352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3,991</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3,978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2,228</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140,889</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124,792</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263,289</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200" w:type="dxa"/>
            <w:vAlign w:val="bottom"/>
          </w:tcPr>
          <w:p>
            <w:pPr>
              <w:spacing w:after="0"/>
              <w:rPr>
                <w:sz w:val="23"/>
                <w:szCs w:val="23"/>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color w:val="auto"/>
                <w:w w:val="93"/>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w w:val="95"/>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41,981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32,660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73,869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73,259</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55,014</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(4,363)</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123,910</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1,210</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2,484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Oil and Gas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2,395</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2,382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2,421</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2,421</w:t>
            </w:r>
          </w:p>
        </w:tc>
      </w:tr>
      <w:tr>
        <w:trPr>
          <w:trHeight w:val="27"/>
        </w:trPr>
        <w:tc>
          <w:tcPr>
            <w:tcW w:w="44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123,750</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87,674</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(5,148)</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206,276</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REGULATORY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regulatory assets and liabilities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As of</w:t>
            </w:r>
          </w:p>
        </w:tc>
        <w:tc>
          <w:tcPr>
            <w:tcW w:w="4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As of</w:t>
            </w:r>
          </w:p>
        </w:tc>
        <w:tc>
          <w:tcPr>
            <w:tcW w:w="16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60" w:type="dxa"/>
            <w:vAlign w:val="bottom"/>
          </w:tcPr>
          <w:p>
            <w:pPr>
              <w:spacing w:after="0"/>
              <w:rPr>
                <w:sz w:val="22"/>
                <w:szCs w:val="22"/>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w w:val="94"/>
              </w:rPr>
              <w:t>March 31, 2017   December 31, 2016</w:t>
            </w:r>
          </w:p>
        </w:tc>
        <w:tc>
          <w:tcPr>
            <w:tcW w:w="160" w:type="dxa"/>
            <w:vAlign w:val="bottom"/>
          </w:tcPr>
          <w:p>
            <w:pPr>
              <w:spacing w:after="0"/>
              <w:rPr>
                <w:sz w:val="22"/>
                <w:szCs w:val="22"/>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2"/>
              </w:rPr>
              <w:t>March 31, 2016</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Regulatory assets</w:t>
            </w:r>
          </w:p>
        </w:tc>
        <w:tc>
          <w:tcPr>
            <w:tcW w:w="2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w w:val="97"/>
              </w:rPr>
              <w:t xml:space="preserve">Deferred energy and fuel cost adjustments - current </w:t>
            </w:r>
            <w:r>
              <w:rPr>
                <w:rFonts w:ascii="Arial" w:cs="Arial" w:eastAsia="Arial" w:hAnsi="Arial"/>
                <w:sz w:val="25"/>
                <w:szCs w:val="25"/>
                <w:color w:val="auto"/>
                <w:w w:val="97"/>
                <w:vertAlign w:val="superscript"/>
              </w:rPr>
              <w:t>(a) (d)</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23,473</w:t>
            </w:r>
          </w:p>
        </w:tc>
        <w:tc>
          <w:tcPr>
            <w:tcW w:w="40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17,491</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24,479</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(a)(d)</w:t>
            </w:r>
          </w:p>
        </w:tc>
        <w:tc>
          <w:tcPr>
            <w:tcW w:w="21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8,991</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15,329</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14,895</w:t>
            </w:r>
          </w:p>
        </w:tc>
        <w:tc>
          <w:tcPr>
            <w:tcW w:w="0" w:type="dxa"/>
            <w:vAlign w:val="bottom"/>
          </w:tcPr>
          <w:p>
            <w:pPr>
              <w:spacing w:after="0"/>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11,520</w:t>
            </w:r>
          </w:p>
        </w:tc>
        <w:tc>
          <w:tcPr>
            <w:tcW w:w="400" w:type="dxa"/>
            <w:vAlign w:val="bottom"/>
            <w:shd w:val="clear" w:color="auto" w:fill="CEFFE7"/>
          </w:tcPr>
          <w:p>
            <w:pPr>
              <w:spacing w:after="0"/>
              <w:rPr>
                <w:sz w:val="23"/>
                <w:szCs w:val="23"/>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8,843</w:t>
            </w:r>
          </w:p>
        </w:tc>
        <w:tc>
          <w:tcPr>
            <w:tcW w:w="16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20,324</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14,976</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15,227</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13,677</w:t>
            </w:r>
          </w:p>
        </w:tc>
        <w:tc>
          <w:tcPr>
            <w:tcW w:w="0" w:type="dxa"/>
            <w:vAlign w:val="bottom"/>
          </w:tcPr>
          <w:p>
            <w:pPr>
              <w:spacing w:after="0"/>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109,172</w:t>
            </w:r>
          </w:p>
        </w:tc>
        <w:tc>
          <w:tcPr>
            <w:tcW w:w="400" w:type="dxa"/>
            <w:vAlign w:val="bottom"/>
            <w:shd w:val="clear" w:color="auto" w:fill="CEFFE7"/>
          </w:tcPr>
          <w:p>
            <w:pPr>
              <w:spacing w:after="0"/>
              <w:rPr>
                <w:sz w:val="23"/>
                <w:szCs w:val="23"/>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108,556</w:t>
            </w:r>
          </w:p>
        </w:tc>
        <w:tc>
          <w:tcPr>
            <w:tcW w:w="16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111,661</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subject to approval</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1,089</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(a)</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507</w:t>
            </w:r>
          </w:p>
        </w:tc>
        <w:tc>
          <w:tcPr>
            <w:tcW w:w="400" w:type="dxa"/>
            <w:vAlign w:val="bottom"/>
            <w:shd w:val="clear" w:color="auto" w:fill="CEFFE7"/>
          </w:tcPr>
          <w:p>
            <w:pPr>
              <w:spacing w:after="0"/>
              <w:rPr>
                <w:sz w:val="23"/>
                <w:szCs w:val="23"/>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19,869</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20,188</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5"/>
                <w:szCs w:val="25"/>
                <w:color w:val="auto"/>
                <w:vertAlign w:val="superscript"/>
              </w:rPr>
              <w:t>(b)</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1,138</w:t>
            </w:r>
          </w:p>
        </w:tc>
        <w:tc>
          <w:tcPr>
            <w:tcW w:w="400" w:type="dxa"/>
            <w:vAlign w:val="bottom"/>
            <w:shd w:val="clear" w:color="auto" w:fill="CEFFE7"/>
          </w:tcPr>
          <w:p>
            <w:pPr>
              <w:spacing w:after="0"/>
              <w:rPr>
                <w:sz w:val="23"/>
                <w:szCs w:val="23"/>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1,605</w:t>
            </w:r>
          </w:p>
        </w:tc>
        <w:tc>
          <w:tcPr>
            <w:tcW w:w="16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5"/>
                <w:szCs w:val="25"/>
                <w:color w:val="auto"/>
                <w:vertAlign w:val="superscript"/>
              </w:rPr>
              <w:t>(c)</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39,152</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37,498</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30,614</w:t>
            </w:r>
          </w:p>
        </w:tc>
        <w:tc>
          <w:tcPr>
            <w:tcW w:w="0" w:type="dxa"/>
            <w:vAlign w:val="bottom"/>
          </w:tcPr>
          <w:p>
            <w:pPr>
              <w:spacing w:after="0"/>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Decommissioning costs </w:t>
            </w:r>
            <w:r>
              <w:rPr>
                <w:rFonts w:ascii="Arial" w:cs="Arial" w:eastAsia="Arial" w:hAnsi="Arial"/>
                <w:sz w:val="25"/>
                <w:szCs w:val="25"/>
                <w:color w:val="auto"/>
                <w:vertAlign w:val="superscript"/>
              </w:rPr>
              <w:t>(e)</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15,745</w:t>
            </w:r>
          </w:p>
        </w:tc>
        <w:tc>
          <w:tcPr>
            <w:tcW w:w="400" w:type="dxa"/>
            <w:vAlign w:val="bottom"/>
            <w:shd w:val="clear" w:color="auto" w:fill="CEFFE7"/>
          </w:tcPr>
          <w:p>
            <w:pPr>
              <w:spacing w:after="0"/>
              <w:rPr>
                <w:sz w:val="23"/>
                <w:szCs w:val="23"/>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16,859</w:t>
            </w:r>
          </w:p>
        </w:tc>
        <w:tc>
          <w:tcPr>
            <w:tcW w:w="16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18,134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Gas supply contract termination</w:t>
            </w:r>
          </w:p>
        </w:tc>
        <w:tc>
          <w:tcPr>
            <w:tcW w:w="2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24,178</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26,666</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30,613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32,779</w:t>
            </w:r>
          </w:p>
        </w:tc>
        <w:tc>
          <w:tcPr>
            <w:tcW w:w="40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26,267</w:t>
            </w:r>
          </w:p>
        </w:tc>
        <w:tc>
          <w:tcPr>
            <w:tcW w:w="160" w:type="dxa"/>
            <w:vAlign w:val="bottom"/>
            <w:tcBorders>
              <w:bottom w:val="single" w:sz="8" w:color="auto"/>
            </w:tcBorders>
            <w:shd w:val="clear" w:color="auto" w:fill="CEFFE7"/>
          </w:tcPr>
          <w:p>
            <w:pPr>
              <w:spacing w:after="0"/>
              <w:rPr>
                <w:sz w:val="23"/>
                <w:szCs w:val="23"/>
                <w:color w:val="auto"/>
              </w:rPr>
            </w:pP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19,481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302,589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296,142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293,131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EFFE7"/>
            </w:tcBorders>
          </w:tcPr>
          <w:p>
            <w:pPr>
              <w:spacing w:after="0"/>
              <w:rPr>
                <w:sz w:val="5"/>
                <w:szCs w:val="5"/>
                <w:color w:val="auto"/>
              </w:rPr>
            </w:pPr>
          </w:p>
        </w:tc>
        <w:tc>
          <w:tcPr>
            <w:tcW w:w="2160" w:type="dxa"/>
            <w:vAlign w:val="bottom"/>
            <w:tcBorders>
              <w:bottom w:val="single" w:sz="8" w:color="CEFFE7"/>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700" w:type="dxa"/>
            <w:vAlign w:val="bottom"/>
            <w:shd w:val="clear" w:color="auto" w:fill="CEFFE7"/>
          </w:tcPr>
          <w:p>
            <w:pPr>
              <w:spacing w:after="0"/>
              <w:rPr>
                <w:sz w:val="19"/>
                <w:szCs w:val="19"/>
                <w:color w:val="auto"/>
              </w:rPr>
            </w:pPr>
          </w:p>
        </w:tc>
        <w:tc>
          <w:tcPr>
            <w:tcW w:w="21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30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2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 (d)</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21,507</w:t>
            </w:r>
          </w:p>
        </w:tc>
        <w:tc>
          <w:tcPr>
            <w:tcW w:w="40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10,368</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40,797</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67,973</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68,654</w:t>
            </w:r>
          </w:p>
        </w:tc>
        <w:tc>
          <w:tcPr>
            <w:tcW w:w="1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63,580</w:t>
            </w:r>
          </w:p>
        </w:tc>
        <w:tc>
          <w:tcPr>
            <w:tcW w:w="0" w:type="dxa"/>
            <w:vAlign w:val="bottom"/>
          </w:tcPr>
          <w:p>
            <w:pPr>
              <w:spacing w:after="0"/>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122,197</w:t>
            </w:r>
          </w:p>
        </w:tc>
        <w:tc>
          <w:tcPr>
            <w:tcW w:w="400" w:type="dxa"/>
            <w:vAlign w:val="bottom"/>
            <w:shd w:val="clear" w:color="auto" w:fill="CEFFE7"/>
          </w:tcPr>
          <w:p>
            <w:pPr>
              <w:spacing w:after="0"/>
              <w:rPr>
                <w:sz w:val="23"/>
                <w:szCs w:val="23"/>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118,410</w:t>
            </w:r>
          </w:p>
        </w:tc>
        <w:tc>
          <w:tcPr>
            <w:tcW w:w="16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123,076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Revenue subject to refund</w:t>
            </w:r>
          </w:p>
        </w:tc>
        <w:tc>
          <w:tcPr>
            <w:tcW w:w="21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1,345</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2,485</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tc>
        <w:tc>
          <w:tcPr>
            <w:tcW w:w="2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25</w:t>
            </w:r>
          </w:p>
        </w:tc>
        <w:tc>
          <w:tcPr>
            <w:tcW w:w="16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5,634</w:t>
            </w:r>
          </w:p>
        </w:tc>
        <w:tc>
          <w:tcPr>
            <w:tcW w:w="40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6,839</w:t>
            </w:r>
          </w:p>
        </w:tc>
        <w:tc>
          <w:tcPr>
            <w:tcW w:w="160" w:type="dxa"/>
            <w:vAlign w:val="bottom"/>
            <w:tcBorders>
              <w:bottom w:val="single" w:sz="8" w:color="auto"/>
            </w:tcBorders>
            <w:shd w:val="clear" w:color="auto" w:fill="CEFFE7"/>
          </w:tcPr>
          <w:p>
            <w:pPr>
              <w:spacing w:after="0"/>
              <w:rPr>
                <w:sz w:val="23"/>
                <w:szCs w:val="23"/>
                <w:color w:val="auto"/>
              </w:rPr>
            </w:pP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218,656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206,756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236,270</w:t>
            </w: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70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Recovery of costs, but we are not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5"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deferred energy, fuel cost, and gas cost adjustments represent the cost of electricity and gas delivered to our electric and gas utility customers that is either higher or lower than current rates and will be recovered or refunded in future rates. Our electric and gas utilities file periodic quarterly, semi-annual, and/or annual filings to recover these costs based on the respective cost mechanisms approved by their applicable state utility commissions.</w:t>
      </w:r>
    </w:p>
    <w:p>
      <w:pPr>
        <w:spacing w:after="0" w:line="1" w:lineRule="exact"/>
        <w:rPr>
          <w:rFonts w:ascii="Arial" w:cs="Arial" w:eastAsia="Arial" w:hAnsi="Arial"/>
          <w:sz w:val="16"/>
          <w:szCs w:val="16"/>
          <w:color w:val="auto"/>
        </w:rPr>
      </w:pPr>
    </w:p>
    <w:p>
      <w:pPr>
        <w:ind w:left="340" w:right="26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South Dakota Electric has approximately $12 million of decommissioning costs associated with the retirements of the Neil Simpson I and Ben French power plants for which we are allowed a rate of return, in addition to recovery of costs.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6" w:right="239" w:bottom="1440" w:gutter="0" w:footer="0" w:header="0"/>
          <w:type w:val="continuous"/>
        </w:sectPr>
      </w:pPr>
    </w:p>
    <w:bookmarkStart w:id="16" w:name="page17"/>
    <w:bookmarkEnd w:id="16"/>
    <w:p>
      <w:pPr>
        <w:spacing w:after="0"/>
        <w:tabs>
          <w:tab w:leader="none" w:pos="3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MATERIALS, SUPPLIES AND FUEL</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in the accompanying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March 31, 2017</w:t>
            </w: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w w:val="96"/>
              </w:rPr>
              <w:t>December 31, 2016</w:t>
            </w:r>
          </w:p>
        </w:tc>
        <w:tc>
          <w:tcPr>
            <w:tcW w:w="34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March 31, 2016</w:t>
            </w:r>
          </w:p>
        </w:tc>
      </w:tr>
      <w:tr>
        <w:trPr>
          <w:trHeight w:val="27"/>
        </w:trPr>
        <w:tc>
          <w:tcPr>
            <w:tcW w:w="51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Materials and supplies</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71,823</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68,456</w:t>
            </w:r>
          </w:p>
        </w:tc>
        <w:tc>
          <w:tcPr>
            <w:tcW w:w="3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66,542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Fuel - Electric Utilities</w:t>
            </w:r>
          </w:p>
        </w:tc>
        <w:tc>
          <w:tcPr>
            <w:tcW w:w="2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3,433</w:t>
            </w:r>
          </w:p>
        </w:tc>
        <w:tc>
          <w:tcPr>
            <w:tcW w:w="3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3,667</w:t>
            </w:r>
          </w:p>
        </w:tc>
        <w:tc>
          <w:tcPr>
            <w:tcW w:w="3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5,365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in storage held for distribution</w:t>
            </w:r>
          </w:p>
        </w:tc>
        <w:tc>
          <w:tcPr>
            <w:tcW w:w="26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9,228</w:t>
            </w:r>
          </w:p>
        </w:tc>
        <w:tc>
          <w:tcPr>
            <w:tcW w:w="34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35,087</w:t>
            </w:r>
          </w:p>
        </w:tc>
        <w:tc>
          <w:tcPr>
            <w:tcW w:w="340" w:type="dxa"/>
            <w:vAlign w:val="bottom"/>
            <w:tcBorders>
              <w:bottom w:val="single" w:sz="8" w:color="CEFFE7"/>
            </w:tcBorders>
            <w:shd w:val="clear" w:color="auto" w:fill="CEFFE7"/>
          </w:tcPr>
          <w:p>
            <w:pPr>
              <w:spacing w:after="0"/>
              <w:rPr>
                <w:sz w:val="23"/>
                <w:szCs w:val="23"/>
                <w:color w:val="auto"/>
              </w:rPr>
            </w:pPr>
          </w:p>
        </w:tc>
        <w:tc>
          <w:tcPr>
            <w:tcW w:w="1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6,269</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materials, supplies and fuel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84,484</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107,210</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78,176</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EARNINGS PER SHARE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share amounts used to compute Earnings (loss) per share in the accompanying Condensed Consolidated Statements of Income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342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080" w:type="dxa"/>
            <w:vAlign w:val="bottom"/>
            <w:tcBorders>
              <w:bottom w:val="single" w:sz="8" w:color="auto"/>
            </w:tcBorders>
            <w:shd w:val="clear" w:color="auto" w:fill="CEFFE7"/>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4"/>
              </w:rPr>
              <w:t>76,523</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40,002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108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4"/>
              </w:rPr>
              <w:t>53,152</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51,044</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Equity Units </w:t>
            </w:r>
            <w:r>
              <w:rPr>
                <w:rFonts w:ascii="Arial" w:cs="Arial" w:eastAsia="Arial" w:hAnsi="Arial"/>
                <w:sz w:val="25"/>
                <w:szCs w:val="25"/>
                <w:color w:val="auto"/>
                <w:vertAlign w:val="superscript"/>
              </w:rPr>
              <w:t>(a)</w:t>
            </w:r>
          </w:p>
        </w:tc>
        <w:tc>
          <w:tcPr>
            <w:tcW w:w="1080" w:type="dxa"/>
            <w:vAlign w:val="bottom"/>
            <w:shd w:val="clear" w:color="auto" w:fill="CEFFE7"/>
          </w:tcPr>
          <w:p>
            <w:pPr>
              <w:spacing w:after="0"/>
              <w:rPr>
                <w:sz w:val="23"/>
                <w:szCs w:val="23"/>
                <w:color w:val="auto"/>
              </w:rPr>
            </w:pPr>
          </w:p>
        </w:tc>
        <w:tc>
          <w:tcPr>
            <w:tcW w:w="6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1,595</w:t>
            </w:r>
          </w:p>
        </w:tc>
        <w:tc>
          <w:tcPr>
            <w:tcW w:w="44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EFFE7"/>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diluted</w:t>
            </w:r>
          </w:p>
        </w:tc>
        <w:tc>
          <w:tcPr>
            <w:tcW w:w="1080" w:type="dxa"/>
            <w:vAlign w:val="bottom"/>
            <w:tcBorders>
              <w:bottom w:val="single" w:sz="8" w:color="auto"/>
            </w:tcBorders>
            <w:shd w:val="clear" w:color="auto" w:fill="CEFFE7"/>
          </w:tcPr>
          <w:p>
            <w:pPr>
              <w:spacing w:after="0"/>
              <w:rPr>
                <w:sz w:val="22"/>
                <w:szCs w:val="22"/>
                <w:color w:val="auto"/>
              </w:rPr>
            </w:pP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4"/>
              </w:rPr>
              <w:t>54,932</w:t>
            </w:r>
          </w:p>
        </w:tc>
        <w:tc>
          <w:tcPr>
            <w:tcW w:w="44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51,858</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000" w:type="dxa"/>
            <w:vAlign w:val="bottom"/>
          </w:tcPr>
          <w:p>
            <w:pPr>
              <w:spacing w:after="0"/>
              <w:rPr>
                <w:sz w:val="20"/>
                <w:szCs w:val="20"/>
                <w:color w:val="auto"/>
              </w:rPr>
            </w:pPr>
            <w:r>
              <w:rPr>
                <w:rFonts w:ascii="Arial" w:cs="Arial" w:eastAsia="Arial" w:hAnsi="Arial"/>
                <w:sz w:val="16"/>
                <w:szCs w:val="16"/>
                <w:color w:val="auto"/>
              </w:rPr>
              <w:t>(a)  Calculated using the treasury stock method.</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outstanding securities were excluded in the computation of diluted net income (loss) per share as their inclusion would have been anti-dilutive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color w:val="auto"/>
              </w:rPr>
              <w:t>Three Months Ended March 31,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40" w:type="dxa"/>
            <w:vAlign w:val="bottom"/>
            <w:gridSpan w:val="2"/>
          </w:tcPr>
          <w:p>
            <w:pPr>
              <w:jc w:val="right"/>
              <w:ind w:right="110"/>
              <w:spacing w:after="0"/>
              <w:rPr>
                <w:sz w:val="20"/>
                <w:szCs w:val="20"/>
                <w:color w:val="auto"/>
              </w:rPr>
            </w:pPr>
            <w:r>
              <w:rPr>
                <w:rFonts w:ascii="Arial" w:cs="Arial" w:eastAsia="Arial" w:hAnsi="Arial"/>
                <w:sz w:val="18"/>
                <w:szCs w:val="18"/>
                <w:color w:val="auto"/>
              </w:rPr>
              <w:t>2017</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EFFE7"/>
            </w:tcBorders>
            <w:shd w:val="clear" w:color="auto" w:fill="CEFFE7"/>
          </w:tcPr>
          <w:p>
            <w:pPr>
              <w:jc w:val="right"/>
              <w:ind w:right="6350"/>
              <w:spacing w:after="0"/>
              <w:rPr>
                <w:sz w:val="20"/>
                <w:szCs w:val="20"/>
                <w:color w:val="auto"/>
              </w:rPr>
            </w:pPr>
            <w:r>
              <w:rPr>
                <w:rFonts w:ascii="Arial" w:cs="Arial" w:eastAsia="Arial" w:hAnsi="Arial"/>
                <w:sz w:val="18"/>
                <w:szCs w:val="18"/>
                <w:color w:val="auto"/>
                <w:w w:val="92"/>
              </w:rPr>
              <w:t>Equity compensation</w:t>
            </w:r>
          </w:p>
        </w:tc>
        <w:tc>
          <w:tcPr>
            <w:tcW w:w="1240" w:type="dxa"/>
            <w:vAlign w:val="bottom"/>
            <w:tcBorders>
              <w:bottom w:val="single" w:sz="8" w:color="CEFFE7"/>
            </w:tcBorders>
            <w:shd w:val="clear" w:color="auto" w:fill="CEFFE7"/>
          </w:tcPr>
          <w:p>
            <w:pPr>
              <w:spacing w:after="0"/>
              <w:rPr>
                <w:sz w:val="23"/>
                <w:szCs w:val="23"/>
                <w:color w:val="auto"/>
              </w:rPr>
            </w:pPr>
          </w:p>
        </w:tc>
        <w:tc>
          <w:tcPr>
            <w:tcW w:w="176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8000" w:type="dxa"/>
            <w:vAlign w:val="bottom"/>
          </w:tcPr>
          <w:p>
            <w:pPr>
              <w:jc w:val="right"/>
              <w:ind w:right="6310"/>
              <w:spacing w:after="0"/>
              <w:rPr>
                <w:sz w:val="20"/>
                <w:szCs w:val="20"/>
                <w:color w:val="auto"/>
              </w:rPr>
            </w:pPr>
            <w:r>
              <w:rPr>
                <w:rFonts w:ascii="Arial" w:cs="Arial" w:eastAsia="Arial" w:hAnsi="Arial"/>
                <w:sz w:val="18"/>
                <w:szCs w:val="18"/>
                <w:color w:val="auto"/>
              </w:rPr>
              <w:t>Anti-dilutive shares</w:t>
            </w:r>
          </w:p>
        </w:tc>
        <w:tc>
          <w:tcPr>
            <w:tcW w:w="124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8000" w:type="dxa"/>
            <w:vAlign w:val="bottom"/>
            <w:vMerge w:val="restart"/>
          </w:tcPr>
          <w:p>
            <w:pPr>
              <w:jc w:val="right"/>
              <w:ind w:right="2110"/>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80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(8)  NOTES PAYABLE</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65"/>
        </w:trPr>
        <w:tc>
          <w:tcPr>
            <w:tcW w:w="10020" w:type="dxa"/>
            <w:vAlign w:val="bottom"/>
            <w:gridSpan w:val="11"/>
          </w:tcPr>
          <w:p>
            <w:pPr>
              <w:spacing w:after="0"/>
              <w:rPr>
                <w:sz w:val="20"/>
                <w:szCs w:val="20"/>
                <w:color w:val="auto"/>
              </w:rPr>
            </w:pPr>
            <w:r>
              <w:rPr>
                <w:rFonts w:ascii="Arial" w:cs="Arial" w:eastAsia="Arial" w:hAnsi="Arial"/>
                <w:sz w:val="18"/>
                <w:szCs w:val="18"/>
                <w:color w:val="auto"/>
                <w:w w:val="94"/>
              </w:rPr>
              <w:t>We had the following notes payable outstanding in the accompanying Condensed Consolidated Balance Sheets (in thousands) as of:</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March 31, 2017</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3"/>
          </w:tcPr>
          <w:p>
            <w:pPr>
              <w:jc w:val="right"/>
              <w:ind w:right="45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4"/>
                <w:szCs w:val="24"/>
                <w:color w:val="auto"/>
              </w:rPr>
            </w:pPr>
          </w:p>
        </w:tc>
        <w:tc>
          <w:tcPr>
            <w:tcW w:w="18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March 31, 2016</w:t>
            </w:r>
          </w:p>
        </w:tc>
        <w:tc>
          <w:tcPr>
            <w:tcW w:w="66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2"/>
              </w:rPr>
              <w:t>Outstanding</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c>
          <w:tcPr>
            <w:tcW w:w="1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2"/>
              </w:rPr>
              <w:t>Outstanding</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3"/>
              </w:rPr>
              <w:t>Letters of Credit</w:t>
            </w:r>
          </w:p>
        </w:tc>
        <w:tc>
          <w:tcPr>
            <w:tcW w:w="1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0"/>
              </w:rPr>
              <w:t>Outstanding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r>
      <w:tr>
        <w:trPr>
          <w:trHeight w:val="27"/>
        </w:trPr>
        <w:tc>
          <w:tcPr>
            <w:tcW w:w="36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jc w:val="center"/>
              <w:ind w:right="4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28,100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4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215,600</w:t>
            </w:r>
          </w:p>
        </w:tc>
        <w:tc>
          <w:tcPr>
            <w:tcW w:w="740" w:type="dxa"/>
            <w:vAlign w:val="bottom"/>
            <w:tcBorders>
              <w:bottom w:val="single" w:sz="8" w:color="CEFFE7"/>
            </w:tcBorders>
            <w:shd w:val="clear" w:color="auto" w:fill="CEFFE7"/>
          </w:tcPr>
          <w:p>
            <w:pPr>
              <w:jc w:val="center"/>
              <w:ind w:right="4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8"/>
              </w:rPr>
              <w:t>24,000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50,950</w:t>
            </w:r>
          </w:p>
        </w:tc>
        <w:tc>
          <w:tcPr>
            <w:tcW w:w="7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50,950</w:t>
            </w:r>
          </w:p>
        </w:tc>
        <w:tc>
          <w:tcPr>
            <w:tcW w:w="740" w:type="dxa"/>
            <w:vAlign w:val="bottom"/>
            <w:tcBorders>
              <w:bottom w:val="single" w:sz="8" w:color="auto"/>
            </w:tcBorders>
            <w:shd w:val="clear" w:color="auto" w:fill="CEFFE7"/>
          </w:tcPr>
          <w:p>
            <w:pPr>
              <w:jc w:val="center"/>
              <w:ind w:right="4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8"/>
              </w:rPr>
              <w:t>28,100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42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36,000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215,600</w:t>
            </w:r>
          </w:p>
        </w:tc>
        <w:tc>
          <w:tcPr>
            <w:tcW w:w="740" w:type="dxa"/>
            <w:vAlign w:val="bottom"/>
            <w:tcBorders>
              <w:bottom w:val="single" w:sz="8" w:color="auto"/>
            </w:tcBorders>
            <w:shd w:val="clear" w:color="auto" w:fill="CEFFE7"/>
          </w:tcPr>
          <w:p>
            <w:pPr>
              <w:jc w:val="center"/>
              <w:ind w:right="4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8"/>
              </w:rPr>
              <w:t>24,000</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9, 2016, we amended and restated our corporate Revolving Credit Facility to increase total commitments to $750 million from $500 million and extend the term through August 9, 2021 with two one-year extension options (subject to consent from lenders). This facility is similar to the former agreement, which includes an accordion feature that allows us, with the consent of the administrative agent and issuing agents, to increase total commitments of the facility up to $1.0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either S&amp;P or Moody’s for our unsecured debt. Based on our credit ratings, the margins for base rate borrowings, Eurodollar borrowings, and letters of credit were 0.250%, 1.250%, and 1.250%, respectively, at March 31, 2017. A 0.200% commitment fee is charged on the unused amount of the Revolving Credit Facility.</w:t>
      </w:r>
    </w:p>
    <w:p>
      <w:pPr>
        <w:spacing w:after="0" w:line="19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December 22, 2016, we implemented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 Our net amount borrowed under the CP Program during the three months ended March 31, 2017 and our notes outstanding as of March 31, 2017 were $51 million. As of March 31, 2017, the weighted average interest rate on CP Program borrowings was 1.27%.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7, 2016, we amended our Revolving Credit Facility and term loan agreements, allowing the exclusion of the Remarketable Junior Subordinated Notes (RSNs) from our Consolidated Indebtedness to Capitalization Ratio covenant calculation. Under the amended and restated Revolving Credit Facility and term loan agreements, we are required to maintain a Consolidated Indebtedness to Capitalization Ratio not to exceed 0.65 to 1.00. Our Consolidated Indebtedness to Capitalization Ratio is calculated by dividing (i) Consolidated Indebtedness, which includes letters of credit, certain guarantees issued and excludes RSNs by (ii) Capital, which includes Consolidated Indebtedness plus Net Worth, which excludes noncontrolling interests in subsidiaries and includes the aggregate outstanding amount of the RSNs.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our Term Loans require compliance with the following financial covenant at the end of each quarter: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As of March 31, 2017</w:t>
            </w:r>
          </w:p>
        </w:tc>
        <w:tc>
          <w:tcPr>
            <w:tcW w:w="2520" w:type="dxa"/>
            <w:vAlign w:val="bottom"/>
            <w:gridSpan w:val="2"/>
          </w:tcPr>
          <w:p>
            <w:pPr>
              <w:jc w:val="right"/>
              <w:ind w:right="270"/>
              <w:spacing w:after="0"/>
              <w:rPr>
                <w:sz w:val="20"/>
                <w:szCs w:val="20"/>
                <w:color w:val="auto"/>
              </w:rPr>
            </w:pPr>
            <w:r>
              <w:rPr>
                <w:rFonts w:ascii="Arial" w:cs="Arial" w:eastAsia="Arial" w:hAnsi="Arial"/>
                <w:sz w:val="18"/>
                <w:szCs w:val="18"/>
                <w:color w:val="auto"/>
              </w:rPr>
              <w:t>Covenant Requirement</w:t>
            </w:r>
          </w:p>
        </w:tc>
      </w:tr>
      <w:tr>
        <w:trPr>
          <w:trHeight w:val="27"/>
        </w:trPr>
        <w:tc>
          <w:tcPr>
            <w:tcW w:w="6280" w:type="dxa"/>
            <w:vAlign w:val="bottom"/>
            <w:tcBorders>
              <w:bottom w:val="single" w:sz="8" w:color="CEFFE7"/>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Consolidated Indebtedness to Capitalization Ratio</w:t>
            </w:r>
          </w:p>
        </w:tc>
        <w:tc>
          <w:tcPr>
            <w:tcW w:w="2620" w:type="dxa"/>
            <w:vAlign w:val="bottom"/>
            <w:shd w:val="clear" w:color="auto" w:fill="CEFFE7"/>
          </w:tcPr>
          <w:p>
            <w:pPr>
              <w:jc w:val="right"/>
              <w:ind w:right="1050"/>
              <w:spacing w:after="0"/>
              <w:rPr>
                <w:sz w:val="20"/>
                <w:szCs w:val="20"/>
                <w:color w:val="auto"/>
              </w:rPr>
            </w:pPr>
            <w:r>
              <w:rPr>
                <w:rFonts w:ascii="Arial" w:cs="Arial" w:eastAsia="Arial" w:hAnsi="Arial"/>
                <w:sz w:val="18"/>
                <w:szCs w:val="18"/>
                <w:color w:val="auto"/>
              </w:rPr>
              <w:t>61%</w:t>
            </w:r>
          </w:p>
        </w:tc>
        <w:tc>
          <w:tcPr>
            <w:tcW w:w="1500" w:type="dxa"/>
            <w:vAlign w:val="bottom"/>
            <w:shd w:val="clear" w:color="auto" w:fill="CEFFE7"/>
          </w:tcPr>
          <w:p>
            <w:pPr>
              <w:ind w:left="560"/>
              <w:spacing w:after="0"/>
              <w:rPr>
                <w:sz w:val="20"/>
                <w:szCs w:val="20"/>
                <w:color w:val="auto"/>
              </w:rPr>
            </w:pPr>
            <w:r>
              <w:rPr>
                <w:rFonts w:ascii="Arial" w:cs="Arial" w:eastAsia="Arial" w:hAnsi="Arial"/>
                <w:sz w:val="18"/>
                <w:szCs w:val="18"/>
                <w:color w:val="auto"/>
              </w:rPr>
              <w:t>Less than</w:t>
            </w:r>
          </w:p>
        </w:tc>
        <w:tc>
          <w:tcPr>
            <w:tcW w:w="1020" w:type="dxa"/>
            <w:vAlign w:val="bottom"/>
            <w:shd w:val="clear" w:color="auto" w:fill="CEFFE7"/>
          </w:tcPr>
          <w:p>
            <w:pPr>
              <w:jc w:val="right"/>
              <w:ind w:right="370"/>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shd w:val="clear" w:color="auto" w:fill="CEFFE7"/>
          </w:tcPr>
          <w:p>
            <w:pPr>
              <w:spacing w:after="0"/>
              <w:rPr>
                <w:sz w:val="2"/>
                <w:szCs w:val="2"/>
                <w:color w:val="auto"/>
              </w:rPr>
            </w:pPr>
          </w:p>
        </w:tc>
        <w:tc>
          <w:tcPr>
            <w:tcW w:w="2620" w:type="dxa"/>
            <w:vAlign w:val="bottom"/>
            <w:shd w:val="clear" w:color="auto" w:fill="CEFFE7"/>
          </w:tcPr>
          <w:p>
            <w:pPr>
              <w:spacing w:after="0"/>
              <w:rPr>
                <w:sz w:val="2"/>
                <w:szCs w:val="2"/>
                <w:color w:val="auto"/>
              </w:rPr>
            </w:pPr>
          </w:p>
        </w:tc>
        <w:tc>
          <w:tcPr>
            <w:tcW w:w="150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were in compliance with this covenant.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1" w:right="239" w:bottom="1440" w:gutter="0" w:footer="0" w:header="0"/>
        </w:sectPr>
      </w:pPr>
    </w:p>
    <w:bookmarkStart w:id="18" w:name="page19"/>
    <w:bookmarkEnd w:id="18"/>
    <w:p>
      <w:pPr>
        <w:spacing w:after="0"/>
        <w:tabs>
          <w:tab w:leader="none" w:pos="3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equity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Three Months Ended March 31, 2017</w:t>
            </w:r>
          </w:p>
        </w:tc>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FFFE7"/>
            </w:tcBorders>
            <w:shd w:val="clear" w:color="auto" w:fill="CFFFE7"/>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1,614,639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115,495</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1,730,134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76,523</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3,516</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80,039</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1,153</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(23,754)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(23,754)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2,392</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2,392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 reinvestment and stock purchase plan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Cumulative effect of ASU 2016-09 implementation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3,714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3,714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stock transactions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(4,349)</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(4,349)</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March 31, 2017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1,674,316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114,662</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1,788,978</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67"/>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2C2C2C"/>
              </w:rPr>
              <w:t>Three Months Ended March 31, 2016</w:t>
            </w:r>
          </w:p>
        </w:tc>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1,465,867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1,465,867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40,002</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40,002</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(11,770)</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(11,770)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(21,543)</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(21,543)</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561</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6,824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6,824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 reinvestment and stock purchase plan</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stock transactions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March 31, 2016</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1,480,683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1,480,683</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March 18, 2016, we implemented an ATM equity offering program allowing us to sell shares of our common stock with an aggregate value of up to $200 million. The shares may be offered from time to time pursuant to a sales agreement dated March 18, 2016. Shares of common stock are offered pursuant to our shelf registration statement filed with the SEC. We did not issue any common shares during the three months ended March 31, 2017. During the three months ended March 31, 2016, we issued 121,000 common shares for $7.0 million, net of $0.1 million in fees and issuance costs with settlement dates through March 31, 2016 under the ATM equity offering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Noncontrolling Interest in Subsidiary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Black Hills Colorado IPP owns a 200 MW, combined-cycle natural gas generating facility located in Pueblo, Colorado. On April 14, 2016, Black Hills Electric Generation sold a 49.9%, noncontrolling interest in Black Hills Colorado IPP for $216 million to a third-party buyer. FERC approval of the sale was received on March 29, 2016. Black Hills Electric Generation is the operator of the facility, which is contracted to provide capacity and energy through 2031 to Black Hills Colorado Electric.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right="20"/>
        <w:spacing w:after="0" w:line="312" w:lineRule="auto"/>
        <w:rPr>
          <w:sz w:val="20"/>
          <w:szCs w:val="20"/>
          <w:color w:val="auto"/>
        </w:rPr>
      </w:pPr>
      <w:r>
        <w:rPr>
          <w:rFonts w:ascii="Arial" w:cs="Arial" w:eastAsia="Arial" w:hAnsi="Arial"/>
          <w:sz w:val="16"/>
          <w:szCs w:val="16"/>
          <w:color w:val="auto"/>
        </w:rPr>
        <w:t>This partial sale was required to be recorded as an equity transaction with no resulting gain or loss on the sale. Further, GAAP requires that noncontrolling interests in subsidiaries and affiliates be reported in the equity section of a company’s balance sheet. Distributions of net income attributable to noncontrolling interests are due within 30 days following the end of a quarter, but may be withheld as necessary by Black Hills Electric Generation.</w:t>
      </w:r>
    </w:p>
    <w:p>
      <w:pPr>
        <w:spacing w:after="0" w:line="14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Black Hills Colorado IPP has been determined to be a variable interest entity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the following assets and liabilities on our consolidated balance sheets related to the VIE described above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w w:val="99"/>
              </w:rPr>
              <w:t>March 31, 2017</w:t>
            </w:r>
          </w:p>
        </w:tc>
        <w:tc>
          <w:tcPr>
            <w:tcW w:w="28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w w:val="93"/>
              </w:rPr>
              <w:t>December 31, 2016</w:t>
            </w:r>
          </w:p>
        </w:tc>
        <w:tc>
          <w:tcPr>
            <w:tcW w:w="320" w:type="dxa"/>
            <w:vAlign w:val="bottom"/>
          </w:tcPr>
          <w:p>
            <w:pPr>
              <w:spacing w:after="0"/>
              <w:rPr>
                <w:sz w:val="20"/>
                <w:szCs w:val="20"/>
                <w:color w:val="auto"/>
              </w:rPr>
            </w:pPr>
          </w:p>
        </w:tc>
        <w:tc>
          <w:tcPr>
            <w:tcW w:w="1600" w:type="dxa"/>
            <w:vAlign w:val="bottom"/>
          </w:tcPr>
          <w:p>
            <w:pPr>
              <w:ind w:left="120"/>
              <w:spacing w:after="0"/>
              <w:rPr>
                <w:sz w:val="20"/>
                <w:szCs w:val="20"/>
                <w:color w:val="auto"/>
              </w:rPr>
            </w:pPr>
            <w:r>
              <w:rPr>
                <w:rFonts w:ascii="Arial" w:cs="Arial" w:eastAsia="Arial" w:hAnsi="Arial"/>
                <w:sz w:val="18"/>
                <w:szCs w:val="18"/>
                <w:color w:val="auto"/>
              </w:rPr>
              <w:t>March 31, 2016</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12,167</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12,627</w:t>
            </w:r>
          </w:p>
        </w:tc>
        <w:tc>
          <w:tcPr>
            <w:tcW w:w="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EFFE7"/>
            </w:tcBorders>
            <w:shd w:val="clear" w:color="auto" w:fill="CEFFE7"/>
          </w:tcPr>
          <w:p>
            <w:pPr>
              <w:ind w:left="132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Property, plant and equipment of variable interest entities,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217,083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218,798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ind w:left="132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562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7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600" w:type="dxa"/>
            <w:vAlign w:val="bottom"/>
            <w:shd w:val="clear" w:color="auto" w:fill="CEFFE7"/>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620" w:type="dxa"/>
            <w:vAlign w:val="bottom"/>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3,464</w:t>
            </w:r>
          </w:p>
        </w:tc>
        <w:tc>
          <w:tcPr>
            <w:tcW w:w="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4,342</w:t>
            </w:r>
          </w:p>
        </w:tc>
        <w:tc>
          <w:tcPr>
            <w:tcW w:w="3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EFFE7"/>
          </w:tcPr>
          <w:p>
            <w:pPr>
              <w:ind w:left="132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76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60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w:t>
        <w:tab/>
        <w:t>RISK MANAGEMENT ACTIVITIES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Policies and Procedures as discussed in our 2016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Market risk is the potential loss that might occur as a result of an adverse change in market price or rate. We are exposed to the following market risks including, but not limited to commodity price risk associated with our natural long position in crude oil and natural gas reserves and production, our retail natural gas marketing activities, and our fuel procurement for certain of our gas-fired generation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derivative and hedging activities recorded in the accompanying Condensed Consolidated Balance Sheets, Condensed Consolidated Statements of Income and Condensed Consolidated Statements of Comprehensive Income are detailed below and in Note 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Oil and Gas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produce natural gas, NGLs and crude oil through our exploration and production activities. Our natural long positions, or unhedged open positions, result in commodity price risk and variability to our cash flows.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mitigate commodity price risk and preserve cash flows, we primarily use exchange traded futures, swaps and options to hedge portions of our crude oil and natural gas production. We elect hedge accounting on our futures and swaps. These transactions were designated at inception as cash flow hedges, documented under accounting standards for derivatives and hedging, and initially met prospective effectiveness testing. Effectiveness of our hedging position is evaluated at least quarterly.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derivatives were marked to fair value and were recorded as Derivative assets or Derivative liabilities on the accompanying Condensed Consolidated Balance Sheets, net of balance sheet offsetting as permitted by GAAP. The effective portion of the gain or loss on these derivatives for which we have elected cash flow hedge accounting is reported in AOCI in the accompanying Condensed Consolidated Balance Sheets and the ineffective portion, if any, is reported in Revenue in the accompanying Condensed Consolidated Statements of Income.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contract or notional amounts and terms of the crude oil futures and natural gas futures and swaps held at our Oil and Gas segment are composed of short positions. We had the following short positions as of:</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March 31, 2017</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w w:val="97"/>
              </w:rPr>
              <w:t>December 31, 2016</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2"/>
          </w:tcPr>
          <w:p>
            <w:pPr>
              <w:jc w:val="right"/>
              <w:ind w:right="504"/>
              <w:spacing w:after="0"/>
              <w:rPr>
                <w:sz w:val="20"/>
                <w:szCs w:val="20"/>
                <w:color w:val="auto"/>
              </w:rPr>
            </w:pPr>
            <w:r>
              <w:rPr>
                <w:rFonts w:ascii="Arial" w:cs="Arial" w:eastAsia="Arial" w:hAnsi="Arial"/>
                <w:sz w:val="14"/>
                <w:szCs w:val="14"/>
                <w:color w:val="auto"/>
              </w:rPr>
              <w:t>March 31, 2016</w:t>
            </w:r>
          </w:p>
        </w:tc>
      </w:tr>
      <w:tr>
        <w:trPr>
          <w:trHeight w:val="156"/>
        </w:trPr>
        <w:tc>
          <w:tcPr>
            <w:tcW w:w="2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0"/>
              </w:rPr>
              <w:t>Natural Gas</w:t>
            </w:r>
          </w:p>
        </w:tc>
        <w:tc>
          <w:tcPr>
            <w:tcW w:w="106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Arial" w:cs="Arial" w:eastAsia="Arial" w:hAnsi="Arial"/>
                <w:sz w:val="14"/>
                <w:szCs w:val="14"/>
                <w:color w:val="auto"/>
                <w:w w:val="93"/>
              </w:rPr>
              <w:t>Natural Gas</w:t>
            </w:r>
          </w:p>
        </w:tc>
      </w:tr>
      <w:tr>
        <w:trPr>
          <w:trHeight w:val="149"/>
        </w:trPr>
        <w:tc>
          <w:tcPr>
            <w:tcW w:w="2400" w:type="dxa"/>
            <w:vAlign w:val="bottom"/>
          </w:tcPr>
          <w:p>
            <w:pPr>
              <w:spacing w:after="0"/>
              <w:rPr>
                <w:sz w:val="12"/>
                <w:szCs w:val="12"/>
                <w:color w:val="auto"/>
              </w:rPr>
            </w:pPr>
          </w:p>
        </w:tc>
        <w:tc>
          <w:tcPr>
            <w:tcW w:w="1000" w:type="dxa"/>
            <w:vAlign w:val="bottom"/>
          </w:tcPr>
          <w:p>
            <w:pPr>
              <w:jc w:val="right"/>
              <w:ind w:right="123"/>
              <w:spacing w:after="0" w:line="149" w:lineRule="exact"/>
              <w:rPr>
                <w:sz w:val="20"/>
                <w:szCs w:val="20"/>
                <w:color w:val="auto"/>
              </w:rPr>
            </w:pPr>
            <w:r>
              <w:rPr>
                <w:rFonts w:ascii="Arial" w:cs="Arial" w:eastAsia="Arial" w:hAnsi="Arial"/>
                <w:sz w:val="14"/>
                <w:szCs w:val="14"/>
                <w:color w:val="auto"/>
              </w:rPr>
              <w:t>Crude Oil</w:t>
            </w:r>
          </w:p>
        </w:tc>
        <w:tc>
          <w:tcPr>
            <w:tcW w:w="1280" w:type="dxa"/>
            <w:vAlign w:val="bottom"/>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Natural Gas</w:t>
            </w:r>
          </w:p>
        </w:tc>
        <w:tc>
          <w:tcPr>
            <w:tcW w:w="980" w:type="dxa"/>
            <w:vAlign w:val="bottom"/>
          </w:tcPr>
          <w:p>
            <w:pPr>
              <w:jc w:val="right"/>
              <w:ind w:right="103"/>
              <w:spacing w:after="0" w:line="149" w:lineRule="exact"/>
              <w:rPr>
                <w:sz w:val="20"/>
                <w:szCs w:val="20"/>
                <w:color w:val="auto"/>
              </w:rPr>
            </w:pPr>
            <w:r>
              <w:rPr>
                <w:rFonts w:ascii="Arial" w:cs="Arial" w:eastAsia="Arial" w:hAnsi="Arial"/>
                <w:sz w:val="14"/>
                <w:szCs w:val="14"/>
                <w:color w:val="auto"/>
              </w:rPr>
              <w:t>Crude Oil</w:t>
            </w:r>
          </w:p>
        </w:tc>
        <w:tc>
          <w:tcPr>
            <w:tcW w:w="13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Futures and</w:t>
            </w:r>
          </w:p>
        </w:tc>
        <w:tc>
          <w:tcPr>
            <w:tcW w:w="1060" w:type="dxa"/>
            <w:vAlign w:val="bottom"/>
          </w:tcPr>
          <w:p>
            <w:pPr>
              <w:jc w:val="right"/>
              <w:ind w:right="204"/>
              <w:spacing w:after="0" w:line="149" w:lineRule="exact"/>
              <w:rPr>
                <w:sz w:val="20"/>
                <w:szCs w:val="20"/>
                <w:color w:val="auto"/>
              </w:rPr>
            </w:pPr>
            <w:r>
              <w:rPr>
                <w:rFonts w:ascii="Arial" w:cs="Arial" w:eastAsia="Arial" w:hAnsi="Arial"/>
                <w:sz w:val="14"/>
                <w:szCs w:val="14"/>
                <w:color w:val="auto"/>
              </w:rPr>
              <w:t>Crude Oil</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0"/>
              </w:rPr>
              <w:t>Futures and</w:t>
            </w:r>
          </w:p>
        </w:tc>
      </w:tr>
      <w:tr>
        <w:trPr>
          <w:trHeight w:val="188"/>
        </w:trPr>
        <w:tc>
          <w:tcPr>
            <w:tcW w:w="2400" w:type="dxa"/>
            <w:vAlign w:val="bottom"/>
          </w:tcPr>
          <w:p>
            <w:pPr>
              <w:spacing w:after="0"/>
              <w:rPr>
                <w:sz w:val="16"/>
                <w:szCs w:val="16"/>
                <w:color w:val="auto"/>
              </w:rPr>
            </w:pPr>
          </w:p>
        </w:tc>
        <w:tc>
          <w:tcPr>
            <w:tcW w:w="1000" w:type="dxa"/>
            <w:vAlign w:val="bottom"/>
          </w:tcPr>
          <w:p>
            <w:pPr>
              <w:jc w:val="right"/>
              <w:ind w:right="183"/>
              <w:spacing w:after="0"/>
              <w:rPr>
                <w:sz w:val="20"/>
                <w:szCs w:val="20"/>
                <w:color w:val="auto"/>
              </w:rPr>
            </w:pPr>
            <w:r>
              <w:rPr>
                <w:rFonts w:ascii="Arial" w:cs="Arial" w:eastAsia="Arial" w:hAnsi="Arial"/>
                <w:sz w:val="14"/>
                <w:szCs w:val="14"/>
                <w:color w:val="auto"/>
              </w:rPr>
              <w:t>Futures</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Crude Oil Options Futures and Swaps</w:t>
            </w:r>
          </w:p>
        </w:tc>
        <w:tc>
          <w:tcPr>
            <w:tcW w:w="980" w:type="dxa"/>
            <w:vAlign w:val="bottom"/>
          </w:tcPr>
          <w:p>
            <w:pPr>
              <w:jc w:val="right"/>
              <w:ind w:right="183"/>
              <w:spacing w:after="0"/>
              <w:rPr>
                <w:sz w:val="20"/>
                <w:szCs w:val="20"/>
                <w:color w:val="auto"/>
              </w:rPr>
            </w:pPr>
            <w:r>
              <w:rPr>
                <w:rFonts w:ascii="Arial" w:cs="Arial" w:eastAsia="Arial" w:hAnsi="Arial"/>
                <w:sz w:val="14"/>
                <w:szCs w:val="14"/>
                <w:color w:val="auto"/>
              </w:rPr>
              <w:t>Futures</w:t>
            </w:r>
          </w:p>
        </w:tc>
        <w:tc>
          <w:tcPr>
            <w:tcW w:w="1300" w:type="dxa"/>
            <w:vAlign w:val="bottom"/>
          </w:tcPr>
          <w:p>
            <w:pPr>
              <w:jc w:val="right"/>
              <w:ind w:right="83"/>
              <w:spacing w:after="0"/>
              <w:rPr>
                <w:sz w:val="20"/>
                <w:szCs w:val="20"/>
                <w:color w:val="auto"/>
              </w:rPr>
            </w:pPr>
            <w:r>
              <w:rPr>
                <w:rFonts w:ascii="Arial" w:cs="Arial" w:eastAsia="Arial" w:hAnsi="Arial"/>
                <w:sz w:val="14"/>
                <w:szCs w:val="14"/>
                <w:color w:val="auto"/>
              </w:rPr>
              <w:t>Crude Oil Options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Swaps</w:t>
            </w:r>
          </w:p>
        </w:tc>
        <w:tc>
          <w:tcPr>
            <w:tcW w:w="1060" w:type="dxa"/>
            <w:vAlign w:val="bottom"/>
          </w:tcPr>
          <w:p>
            <w:pPr>
              <w:jc w:val="right"/>
              <w:ind w:right="264"/>
              <w:spacing w:after="0"/>
              <w:rPr>
                <w:sz w:val="20"/>
                <w:szCs w:val="20"/>
                <w:color w:val="auto"/>
              </w:rPr>
            </w:pPr>
            <w:r>
              <w:rPr>
                <w:rFonts w:ascii="Arial" w:cs="Arial" w:eastAsia="Arial" w:hAnsi="Arial"/>
                <w:sz w:val="14"/>
                <w:szCs w:val="14"/>
                <w:color w:val="auto"/>
              </w:rPr>
              <w:t>Futures</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Swaps</w:t>
            </w:r>
          </w:p>
        </w:tc>
      </w:tr>
      <w:tr>
        <w:trPr>
          <w:trHeight w:val="256"/>
        </w:trPr>
        <w:tc>
          <w:tcPr>
            <w:tcW w:w="2400" w:type="dxa"/>
            <w:vAlign w:val="bottom"/>
            <w:tcBorders>
              <w:top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 xml:space="preserve">Notional </w:t>
            </w:r>
            <w:r>
              <w:rPr>
                <w:rFonts w:ascii="Arial" w:cs="Arial" w:eastAsia="Arial" w:hAnsi="Arial"/>
                <w:sz w:val="21"/>
                <w:szCs w:val="21"/>
                <w:color w:val="auto"/>
                <w:vertAlign w:val="superscript"/>
              </w:rPr>
              <w:t>(a)</w:t>
            </w:r>
          </w:p>
        </w:tc>
        <w:tc>
          <w:tcPr>
            <w:tcW w:w="1000" w:type="dxa"/>
            <w:vAlign w:val="bottom"/>
            <w:tcBorders>
              <w:top w:val="single" w:sz="8" w:color="auto"/>
            </w:tcBorders>
            <w:shd w:val="clear" w:color="auto" w:fill="CEFFE7"/>
          </w:tcPr>
          <w:p>
            <w:pPr>
              <w:jc w:val="right"/>
              <w:ind w:right="3"/>
              <w:spacing w:after="0"/>
              <w:rPr>
                <w:sz w:val="20"/>
                <w:szCs w:val="20"/>
                <w:color w:val="auto"/>
              </w:rPr>
            </w:pPr>
            <w:r>
              <w:rPr>
                <w:rFonts w:ascii="Arial" w:cs="Arial" w:eastAsia="Arial" w:hAnsi="Arial"/>
                <w:sz w:val="16"/>
                <w:szCs w:val="16"/>
                <w:color w:val="auto"/>
              </w:rPr>
              <w:t>90,000</w:t>
            </w:r>
          </w:p>
        </w:tc>
        <w:tc>
          <w:tcPr>
            <w:tcW w:w="1280" w:type="dxa"/>
            <w:vAlign w:val="bottom"/>
            <w:tcBorders>
              <w:top w:val="single" w:sz="8" w:color="auto"/>
            </w:tcBorders>
            <w:shd w:val="clear" w:color="auto" w:fill="CEFFE7"/>
          </w:tcPr>
          <w:p>
            <w:pPr>
              <w:jc w:val="right"/>
              <w:ind w:right="143"/>
              <w:spacing w:after="0"/>
              <w:rPr>
                <w:sz w:val="20"/>
                <w:szCs w:val="20"/>
                <w:color w:val="auto"/>
              </w:rPr>
            </w:pPr>
            <w:r>
              <w:rPr>
                <w:rFonts w:ascii="Arial" w:cs="Arial" w:eastAsia="Arial" w:hAnsi="Arial"/>
                <w:sz w:val="16"/>
                <w:szCs w:val="16"/>
                <w:color w:val="auto"/>
              </w:rPr>
              <w:t>27,000</w:t>
            </w:r>
          </w:p>
        </w:tc>
        <w:tc>
          <w:tcPr>
            <w:tcW w:w="1060" w:type="dxa"/>
            <w:vAlign w:val="bottom"/>
            <w:tcBorders>
              <w:top w:val="single" w:sz="8" w:color="auto"/>
            </w:tcBorders>
            <w:shd w:val="clear" w:color="auto" w:fill="CEFFE7"/>
          </w:tcPr>
          <w:p>
            <w:pPr>
              <w:jc w:val="right"/>
              <w:ind w:right="42"/>
              <w:spacing w:after="0"/>
              <w:rPr>
                <w:sz w:val="20"/>
                <w:szCs w:val="20"/>
                <w:color w:val="auto"/>
              </w:rPr>
            </w:pPr>
            <w:r>
              <w:rPr>
                <w:rFonts w:ascii="Arial" w:cs="Arial" w:eastAsia="Arial" w:hAnsi="Arial"/>
                <w:sz w:val="16"/>
                <w:szCs w:val="16"/>
                <w:color w:val="auto"/>
              </w:rPr>
              <w:t>1,890,000</w:t>
            </w:r>
          </w:p>
        </w:tc>
        <w:tc>
          <w:tcPr>
            <w:tcW w:w="120" w:type="dxa"/>
            <w:vAlign w:val="bottom"/>
            <w:tcBorders>
              <w:top w:val="single" w:sz="8" w:color="CEFFE7"/>
            </w:tcBorders>
            <w:shd w:val="clear" w:color="auto" w:fill="CEFFE7"/>
          </w:tcPr>
          <w:p>
            <w:pPr>
              <w:spacing w:after="0"/>
              <w:rPr>
                <w:sz w:val="22"/>
                <w:szCs w:val="22"/>
                <w:color w:val="auto"/>
              </w:rPr>
            </w:pPr>
          </w:p>
        </w:tc>
        <w:tc>
          <w:tcPr>
            <w:tcW w:w="9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108,000</w:t>
            </w:r>
          </w:p>
        </w:tc>
        <w:tc>
          <w:tcPr>
            <w:tcW w:w="1300" w:type="dxa"/>
            <w:vAlign w:val="bottom"/>
            <w:tcBorders>
              <w:top w:val="single" w:sz="8" w:color="auto"/>
            </w:tcBorders>
            <w:shd w:val="clear" w:color="auto" w:fill="CEFFE7"/>
          </w:tcPr>
          <w:p>
            <w:pPr>
              <w:jc w:val="right"/>
              <w:ind w:right="163"/>
              <w:spacing w:after="0"/>
              <w:rPr>
                <w:sz w:val="20"/>
                <w:szCs w:val="20"/>
                <w:color w:val="auto"/>
              </w:rPr>
            </w:pPr>
            <w:r>
              <w:rPr>
                <w:rFonts w:ascii="Arial" w:cs="Arial" w:eastAsia="Arial" w:hAnsi="Arial"/>
                <w:sz w:val="16"/>
                <w:szCs w:val="16"/>
                <w:color w:val="auto"/>
              </w:rPr>
              <w:t>36,000</w:t>
            </w:r>
          </w:p>
        </w:tc>
        <w:tc>
          <w:tcPr>
            <w:tcW w:w="980" w:type="dxa"/>
            <w:vAlign w:val="bottom"/>
            <w:tcBorders>
              <w:top w:val="single" w:sz="8" w:color="auto"/>
            </w:tcBorders>
            <w:shd w:val="clear" w:color="auto" w:fill="CEFFE7"/>
          </w:tcPr>
          <w:p>
            <w:pPr>
              <w:jc w:val="right"/>
              <w:ind w:right="24"/>
              <w:spacing w:after="0"/>
              <w:rPr>
                <w:sz w:val="20"/>
                <w:szCs w:val="20"/>
                <w:color w:val="auto"/>
              </w:rPr>
            </w:pPr>
            <w:r>
              <w:rPr>
                <w:rFonts w:ascii="Arial" w:cs="Arial" w:eastAsia="Arial" w:hAnsi="Arial"/>
                <w:sz w:val="16"/>
                <w:szCs w:val="16"/>
                <w:color w:val="auto"/>
              </w:rPr>
              <w:t>2,700,000</w:t>
            </w:r>
          </w:p>
        </w:tc>
        <w:tc>
          <w:tcPr>
            <w:tcW w:w="120" w:type="dxa"/>
            <w:vAlign w:val="bottom"/>
            <w:tcBorders>
              <w:top w:val="single" w:sz="8" w:color="CEFFE7"/>
            </w:tcBorders>
            <w:shd w:val="clear" w:color="auto" w:fill="CEFFE7"/>
          </w:tcPr>
          <w:p>
            <w:pPr>
              <w:spacing w:after="0"/>
              <w:rPr>
                <w:sz w:val="22"/>
                <w:szCs w:val="22"/>
                <w:color w:val="auto"/>
              </w:rPr>
            </w:pPr>
          </w:p>
        </w:tc>
        <w:tc>
          <w:tcPr>
            <w:tcW w:w="1060" w:type="dxa"/>
            <w:vAlign w:val="bottom"/>
            <w:tcBorders>
              <w:top w:val="single" w:sz="8" w:color="auto"/>
            </w:tcBorders>
            <w:shd w:val="clear" w:color="auto" w:fill="CEFFE7"/>
          </w:tcPr>
          <w:p>
            <w:pPr>
              <w:jc w:val="right"/>
              <w:ind w:right="84"/>
              <w:spacing w:after="0"/>
              <w:rPr>
                <w:sz w:val="20"/>
                <w:szCs w:val="20"/>
                <w:color w:val="auto"/>
              </w:rPr>
            </w:pPr>
            <w:r>
              <w:rPr>
                <w:rFonts w:ascii="Arial" w:cs="Arial" w:eastAsia="Arial" w:hAnsi="Arial"/>
                <w:sz w:val="16"/>
                <w:szCs w:val="16"/>
                <w:color w:val="auto"/>
              </w:rPr>
              <w:t>159,000</w:t>
            </w:r>
          </w:p>
        </w:tc>
        <w:tc>
          <w:tcPr>
            <w:tcW w:w="1060" w:type="dxa"/>
            <w:vAlign w:val="bottom"/>
            <w:tcBorders>
              <w:top w:val="single" w:sz="8" w:color="auto"/>
            </w:tcBorders>
            <w:shd w:val="clear" w:color="auto" w:fill="CEFFE7"/>
          </w:tcPr>
          <w:p>
            <w:pPr>
              <w:jc w:val="right"/>
              <w:ind w:right="24"/>
              <w:spacing w:after="0"/>
              <w:rPr>
                <w:sz w:val="20"/>
                <w:szCs w:val="20"/>
                <w:color w:val="auto"/>
              </w:rPr>
            </w:pPr>
            <w:r>
              <w:rPr>
                <w:rFonts w:ascii="Arial" w:cs="Arial" w:eastAsia="Arial" w:hAnsi="Arial"/>
                <w:sz w:val="16"/>
                <w:szCs w:val="16"/>
                <w:color w:val="auto"/>
              </w:rPr>
              <w:t>3,447,500</w:t>
            </w:r>
          </w:p>
        </w:tc>
      </w:tr>
      <w:tr>
        <w:trPr>
          <w:trHeight w:val="256"/>
        </w:trPr>
        <w:tc>
          <w:tcPr>
            <w:tcW w:w="2400" w:type="dxa"/>
            <w:vAlign w:val="bottom"/>
          </w:tcPr>
          <w:p>
            <w:pPr>
              <w:ind w:left="40"/>
              <w:spacing w:after="0"/>
              <w:rPr>
                <w:sz w:val="20"/>
                <w:szCs w:val="20"/>
                <w:color w:val="auto"/>
              </w:rPr>
            </w:pPr>
            <w:r>
              <w:rPr>
                <w:rFonts w:ascii="Arial" w:cs="Arial" w:eastAsia="Arial" w:hAnsi="Arial"/>
                <w:sz w:val="16"/>
                <w:szCs w:val="16"/>
                <w:color w:val="auto"/>
              </w:rPr>
              <w:t xml:space="preserve">Maximum terms in months </w:t>
            </w:r>
            <w:r>
              <w:rPr>
                <w:rFonts w:ascii="Arial" w:cs="Arial" w:eastAsia="Arial" w:hAnsi="Arial"/>
                <w:sz w:val="21"/>
                <w:szCs w:val="21"/>
                <w:color w:val="auto"/>
                <w:vertAlign w:val="superscript"/>
              </w:rPr>
              <w:t>(b)</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21</w:t>
            </w:r>
          </w:p>
        </w:tc>
        <w:tc>
          <w:tcPr>
            <w:tcW w:w="1280" w:type="dxa"/>
            <w:vAlign w:val="bottom"/>
          </w:tcPr>
          <w:p>
            <w:pPr>
              <w:jc w:val="right"/>
              <w:ind w:right="143"/>
              <w:spacing w:after="0"/>
              <w:rPr>
                <w:sz w:val="20"/>
                <w:szCs w:val="20"/>
                <w:color w:val="auto"/>
              </w:rPr>
            </w:pPr>
            <w:r>
              <w:rPr>
                <w:rFonts w:ascii="Arial" w:cs="Arial" w:eastAsia="Arial" w:hAnsi="Arial"/>
                <w:sz w:val="16"/>
                <w:szCs w:val="16"/>
                <w:color w:val="auto"/>
              </w:rPr>
              <w:t>9</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300" w:type="dxa"/>
            <w:vAlign w:val="bottom"/>
          </w:tcPr>
          <w:p>
            <w:pPr>
              <w:jc w:val="right"/>
              <w:ind w:right="163"/>
              <w:spacing w:after="0"/>
              <w:rPr>
                <w:sz w:val="20"/>
                <w:szCs w:val="20"/>
                <w:color w:val="auto"/>
              </w:rPr>
            </w:pPr>
            <w:r>
              <w:rPr>
                <w:rFonts w:ascii="Arial" w:cs="Arial" w:eastAsia="Arial" w:hAnsi="Arial"/>
                <w:sz w:val="16"/>
                <w:szCs w:val="16"/>
                <w:color w:val="auto"/>
              </w:rPr>
              <w:t>12</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060" w:type="dxa"/>
            <w:vAlign w:val="bottom"/>
          </w:tcPr>
          <w:p>
            <w:pPr>
              <w:jc w:val="right"/>
              <w:ind w:right="84"/>
              <w:spacing w:after="0"/>
              <w:rPr>
                <w:sz w:val="20"/>
                <w:szCs w:val="20"/>
                <w:color w:val="auto"/>
              </w:rPr>
            </w:pPr>
            <w:r>
              <w:rPr>
                <w:rFonts w:ascii="Arial" w:cs="Arial" w:eastAsia="Arial" w:hAnsi="Arial"/>
                <w:sz w:val="16"/>
                <w:szCs w:val="16"/>
                <w:color w:val="auto"/>
              </w:rPr>
              <w:t>21</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21</w:t>
            </w:r>
          </w:p>
        </w:tc>
      </w:tr>
      <w:tr>
        <w:trPr>
          <w:trHeight w:val="230"/>
        </w:trPr>
        <w:tc>
          <w:tcPr>
            <w:tcW w:w="2400" w:type="dxa"/>
            <w:vAlign w:val="bottom"/>
          </w:tcPr>
          <w:p>
            <w:pPr>
              <w:jc w:val="right"/>
              <w:ind w:right="1416"/>
              <w:spacing w:after="0"/>
              <w:rPr>
                <w:sz w:val="20"/>
                <w:szCs w:val="20"/>
                <w:color w:val="auto"/>
              </w:rPr>
            </w:pPr>
            <w:r>
              <w:rPr>
                <w:rFonts w:ascii="Arial" w:cs="Arial" w:eastAsia="Arial" w:hAnsi="Arial"/>
                <w:sz w:val="18"/>
                <w:szCs w:val="18"/>
                <w:color w:val="auto"/>
                <w:w w:val="87"/>
              </w:rPr>
              <w:t>__________</w:t>
            </w: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Crude oil futures and call options in Bbls, natural gas in MMBtus.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Based on March 31, 2017 prices, a $0.3 million gain would be realized, reported in pre-tax earnings and reclassified from AOCI during the next 12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Estimated and actual realized gains or losses will change during future periods as market prices fluctuate.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 approved hedging programs utilizing natural gas futures, options, fixed to float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 or the Condensed Consolidated Statements of Comprehensive Income.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60"/>
        <w:spacing w:after="0" w:line="291"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April 2017 through May 2019. A portion of our over-the-counter swaps have been designated as cash flow hedges to mitigate the commodity price risk associated with forward contracts to deliver gas to our Choice Gas Program customers. The effective portion of the gain or loss on these designated derivatives is reported in AOCI in the accompanying Condensed Consolidated Balance Sheets and the ineffective portion, if any, is reported in Fuel, purchased power and cost of natural gas sold in the accompanying Condensed Consolidated Statements of Income. Effectiveness of our hedging position is evaluated at least quarterly.</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at our Utilities are composed of both long and short positions. We were in a net long position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760" w:type="dxa"/>
            <w:vAlign w:val="bottom"/>
            <w:gridSpan w:val="2"/>
          </w:tcPr>
          <w:p>
            <w:pPr>
              <w:ind w:left="820"/>
              <w:spacing w:after="0"/>
              <w:rPr>
                <w:sz w:val="20"/>
                <w:szCs w:val="20"/>
                <w:color w:val="auto"/>
              </w:rPr>
            </w:pPr>
            <w:r>
              <w:rPr>
                <w:rFonts w:ascii="Arial" w:cs="Arial" w:eastAsia="Arial" w:hAnsi="Arial"/>
                <w:sz w:val="16"/>
                <w:szCs w:val="16"/>
                <w:color w:val="auto"/>
              </w:rPr>
              <w:t>March 31, 2017</w:t>
            </w:r>
          </w:p>
        </w:tc>
        <w:tc>
          <w:tcPr>
            <w:tcW w:w="2740" w:type="dxa"/>
            <w:vAlign w:val="bottom"/>
            <w:gridSpan w:val="2"/>
          </w:tcPr>
          <w:p>
            <w:pPr>
              <w:ind w:left="680"/>
              <w:spacing w:after="0"/>
              <w:rPr>
                <w:sz w:val="20"/>
                <w:szCs w:val="20"/>
                <w:color w:val="auto"/>
              </w:rPr>
            </w:pPr>
            <w:r>
              <w:rPr>
                <w:rFonts w:ascii="Arial" w:cs="Arial" w:eastAsia="Arial" w:hAnsi="Arial"/>
                <w:sz w:val="16"/>
                <w:szCs w:val="16"/>
                <w:color w:val="auto"/>
              </w:rPr>
              <w:t>December 31, 2016</w:t>
            </w:r>
          </w:p>
        </w:tc>
        <w:tc>
          <w:tcPr>
            <w:tcW w:w="2580" w:type="dxa"/>
            <w:vAlign w:val="bottom"/>
            <w:gridSpan w:val="2"/>
          </w:tcPr>
          <w:p>
            <w:pPr>
              <w:ind w:left="780"/>
              <w:spacing w:after="0"/>
              <w:rPr>
                <w:sz w:val="20"/>
                <w:szCs w:val="20"/>
                <w:color w:val="auto"/>
              </w:rPr>
            </w:pPr>
            <w:r>
              <w:rPr>
                <w:rFonts w:ascii="Arial" w:cs="Arial" w:eastAsia="Arial" w:hAnsi="Arial"/>
                <w:sz w:val="16"/>
                <w:szCs w:val="16"/>
                <w:color w:val="auto"/>
              </w:rPr>
              <w:t>March 31, 2016</w:t>
            </w: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98"/>
              </w:rPr>
              <w:t>Maximum</w:t>
            </w:r>
          </w:p>
        </w:tc>
        <w:tc>
          <w:tcPr>
            <w:tcW w:w="148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5"/>
              </w:rPr>
              <w:t>Maximum</w:t>
            </w:r>
          </w:p>
        </w:tc>
        <w:tc>
          <w:tcPr>
            <w:tcW w:w="1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Maximum</w:t>
            </w: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Notional</w:t>
            </w: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0"/>
              </w:rPr>
              <w:t>Term</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0"/>
              </w:rPr>
              <w:t>Term</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Term</w:t>
            </w:r>
          </w:p>
        </w:tc>
      </w:tr>
      <w:tr>
        <w:trPr>
          <w:trHeight w:val="239"/>
        </w:trPr>
        <w:tc>
          <w:tcPr>
            <w:tcW w:w="20" w:type="dxa"/>
            <w:vAlign w:val="bottom"/>
          </w:tcPr>
          <w:p>
            <w:pPr>
              <w:spacing w:after="0"/>
              <w:rPr>
                <w:sz w:val="20"/>
                <w:szCs w:val="20"/>
                <w:color w:val="auto"/>
              </w:rPr>
            </w:pPr>
          </w:p>
        </w:tc>
        <w:tc>
          <w:tcPr>
            <w:tcW w:w="3320" w:type="dxa"/>
            <w:vAlign w:val="bottom"/>
            <w:tcBorders>
              <w:bottom w:val="single" w:sz="8" w:color="CEFFE7"/>
            </w:tcBorders>
          </w:tcPr>
          <w:p>
            <w:pPr>
              <w:spacing w:after="0"/>
              <w:rPr>
                <w:sz w:val="20"/>
                <w:szCs w:val="20"/>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(MMBtus)</w:t>
            </w:r>
          </w:p>
        </w:tc>
        <w:tc>
          <w:tcPr>
            <w:tcW w:w="128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4"/>
              </w:rPr>
              <w:t xml:space="preserve">(months) </w:t>
            </w:r>
            <w:r>
              <w:rPr>
                <w:rFonts w:ascii="Arial" w:cs="Arial" w:eastAsia="Arial" w:hAnsi="Arial"/>
                <w:sz w:val="21"/>
                <w:szCs w:val="21"/>
                <w:color w:val="auto"/>
                <w:w w:val="84"/>
                <w:vertAlign w:val="superscript"/>
              </w:rPr>
              <w:t>(a)</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26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14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r>
      <w:tr>
        <w:trPr>
          <w:trHeight w:val="244"/>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12,330,000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45</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14,770,000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48</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18,270,000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57</w:t>
            </w: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500,000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21</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3,020,000</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5</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990,000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21</w:t>
            </w: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11,230,000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45</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12,250,000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48</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16,810,000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57</w:t>
            </w:r>
          </w:p>
        </w:tc>
      </w:tr>
      <w:tr>
        <w:trPr>
          <w:trHeight w:val="270"/>
        </w:trPr>
        <w:tc>
          <w:tcPr>
            <w:tcW w:w="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3,165,952</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26</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4,622,302</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28</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1,557,011</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physical contracts, net</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3,015,234</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12</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21,504,378</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10</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2,135,050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12</w:t>
            </w:r>
          </w:p>
        </w:tc>
      </w:tr>
      <w:tr>
        <w:trPr>
          <w:trHeight w:val="22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1,180,000 MMBtus were designated as cash flow hedges for the natural gas fixed for float swaps purchased.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October 2015 and January 2016, we entered into forward starting interest rate swaps with a notional value totaling $400 million to reduce the interest rate risk associated with the anticipated issuance of senior notes. These swaps were settled at a loss of $29 million in connection with the issuance of our $400 million of unsecured ten-year senior notes on August 10, 2016. The effective portion of the loss in the amount of $28 million was recognized as a component of AOCI and will be recognized as a component of interest expense over the ten-year life of the $400 million unsecured senior note issued on August 19, 2016. Amortization of approximately $2.9 million, including the amortization of the $28 million loss currently deferred in AOCI will be recognized, reported in pre-tax earnings and reclassified from AOCI during the next 12 months. The ineffective portion of $1.0 million, related to the timing of the debt issuance, was recognized in earnings as a component of interest expense. The contract or notional amounts, terms of our interest rate swaps and the interest rate swaps balances reflected on the Condensed Consolidated Balance Sheets were as follows (dollars in thousands) as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color w:val="auto"/>
                <w:w w:val="93"/>
              </w:rPr>
              <w:t>March 31, 2017</w:t>
            </w:r>
          </w:p>
        </w:tc>
        <w:tc>
          <w:tcPr>
            <w:tcW w:w="220" w:type="dxa"/>
            <w:vAlign w:val="bottom"/>
          </w:tcPr>
          <w:p>
            <w:pPr>
              <w:spacing w:after="0"/>
              <w:rPr>
                <w:sz w:val="19"/>
                <w:szCs w:val="19"/>
                <w:color w:val="auto"/>
              </w:rPr>
            </w:pPr>
          </w:p>
        </w:tc>
        <w:tc>
          <w:tcPr>
            <w:tcW w:w="1620" w:type="dxa"/>
            <w:vAlign w:val="bottom"/>
          </w:tcPr>
          <w:p>
            <w:pPr>
              <w:jc w:val="center"/>
              <w:ind w:right="139"/>
              <w:spacing w:after="0"/>
              <w:rPr>
                <w:sz w:val="20"/>
                <w:szCs w:val="20"/>
                <w:color w:val="auto"/>
              </w:rPr>
            </w:pPr>
            <w:r>
              <w:rPr>
                <w:rFonts w:ascii="Arial" w:cs="Arial" w:eastAsia="Arial" w:hAnsi="Arial"/>
                <w:sz w:val="16"/>
                <w:szCs w:val="16"/>
                <w:color w:val="auto"/>
                <w:w w:val="91"/>
              </w:rPr>
              <w:t>December 31, 2016</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8"/>
              </w:rPr>
              <w:t>March 31, 2016</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3"/>
        </w:trPr>
        <w:tc>
          <w:tcPr>
            <w:tcW w:w="3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color w:val="auto"/>
                <w:w w:val="88"/>
              </w:rPr>
              <w:t>Designated</w:t>
            </w:r>
          </w:p>
        </w:tc>
        <w:tc>
          <w:tcPr>
            <w:tcW w:w="220" w:type="dxa"/>
            <w:vAlign w:val="bottom"/>
          </w:tcPr>
          <w:p>
            <w:pPr>
              <w:spacing w:after="0"/>
              <w:rPr>
                <w:sz w:val="21"/>
                <w:szCs w:val="21"/>
                <w:color w:val="auto"/>
              </w:rPr>
            </w:pPr>
          </w:p>
        </w:tc>
        <w:tc>
          <w:tcPr>
            <w:tcW w:w="1620" w:type="dxa"/>
            <w:vAlign w:val="bottom"/>
          </w:tcPr>
          <w:p>
            <w:pPr>
              <w:jc w:val="center"/>
              <w:ind w:right="179"/>
              <w:spacing w:after="0"/>
              <w:rPr>
                <w:sz w:val="20"/>
                <w:szCs w:val="20"/>
                <w:color w:val="auto"/>
              </w:rPr>
            </w:pPr>
            <w:r>
              <w:rPr>
                <w:rFonts w:ascii="Arial" w:cs="Arial" w:eastAsia="Arial" w:hAnsi="Arial"/>
                <w:sz w:val="16"/>
                <w:szCs w:val="16"/>
                <w:color w:val="auto"/>
                <w:w w:val="88"/>
              </w:rPr>
              <w:t>Designated</w:t>
            </w:r>
          </w:p>
        </w:tc>
        <w:tc>
          <w:tcPr>
            <w:tcW w:w="260" w:type="dxa"/>
            <w:vAlign w:val="bottom"/>
          </w:tcPr>
          <w:p>
            <w:pPr>
              <w:spacing w:after="0"/>
              <w:rPr>
                <w:sz w:val="21"/>
                <w:szCs w:val="21"/>
                <w:color w:val="auto"/>
              </w:rPr>
            </w:pPr>
          </w:p>
        </w:tc>
        <w:tc>
          <w:tcPr>
            <w:tcW w:w="1280" w:type="dxa"/>
            <w:vAlign w:val="bottom"/>
          </w:tcPr>
          <w:p>
            <w:pPr>
              <w:jc w:val="center"/>
              <w:ind w:right="157"/>
              <w:spacing w:after="0"/>
              <w:rPr>
                <w:sz w:val="20"/>
                <w:szCs w:val="20"/>
                <w:color w:val="auto"/>
              </w:rPr>
            </w:pPr>
            <w:r>
              <w:rPr>
                <w:rFonts w:ascii="Arial" w:cs="Arial" w:eastAsia="Arial" w:hAnsi="Arial"/>
                <w:sz w:val="16"/>
                <w:szCs w:val="16"/>
                <w:color w:val="auto"/>
                <w:w w:val="88"/>
              </w:rPr>
              <w:t>Designated</w:t>
            </w:r>
          </w:p>
        </w:tc>
        <w:tc>
          <w:tcPr>
            <w:tcW w:w="180" w:type="dxa"/>
            <w:vAlign w:val="bottom"/>
          </w:tcPr>
          <w:p>
            <w:pPr>
              <w:spacing w:after="0"/>
              <w:rPr>
                <w:sz w:val="21"/>
                <w:szCs w:val="21"/>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color w:val="auto"/>
                <w:w w:val="88"/>
              </w:rPr>
              <w:t>Designated</w:t>
            </w:r>
          </w:p>
        </w:tc>
        <w:tc>
          <w:tcPr>
            <w:tcW w:w="220" w:type="dxa"/>
            <w:vAlign w:val="bottom"/>
          </w:tcPr>
          <w:p>
            <w:pPr>
              <w:spacing w:after="0"/>
              <w:rPr>
                <w:sz w:val="21"/>
                <w:szCs w:val="21"/>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color w:val="auto"/>
                <w:w w:val="88"/>
              </w:rPr>
              <w:t>Designated</w:t>
            </w:r>
          </w:p>
        </w:tc>
      </w:tr>
      <w:tr>
        <w:trPr>
          <w:trHeight w:val="203"/>
        </w:trPr>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color w:val="auto"/>
                <w:w w:val="89"/>
              </w:rPr>
              <w:t>Interest Rate</w:t>
            </w:r>
          </w:p>
        </w:tc>
        <w:tc>
          <w:tcPr>
            <w:tcW w:w="220" w:type="dxa"/>
            <w:vAlign w:val="bottom"/>
          </w:tcPr>
          <w:p>
            <w:pPr>
              <w:spacing w:after="0"/>
              <w:rPr>
                <w:sz w:val="17"/>
                <w:szCs w:val="17"/>
                <w:color w:val="auto"/>
              </w:rPr>
            </w:pPr>
          </w:p>
        </w:tc>
        <w:tc>
          <w:tcPr>
            <w:tcW w:w="1620" w:type="dxa"/>
            <w:vAlign w:val="bottom"/>
          </w:tcPr>
          <w:p>
            <w:pPr>
              <w:jc w:val="center"/>
              <w:ind w:right="199"/>
              <w:spacing w:after="0"/>
              <w:rPr>
                <w:sz w:val="20"/>
                <w:szCs w:val="20"/>
                <w:color w:val="auto"/>
              </w:rPr>
            </w:pPr>
            <w:r>
              <w:rPr>
                <w:rFonts w:ascii="Arial" w:cs="Arial" w:eastAsia="Arial" w:hAnsi="Arial"/>
                <w:sz w:val="16"/>
                <w:szCs w:val="16"/>
                <w:color w:val="auto"/>
                <w:w w:val="89"/>
              </w:rPr>
              <w:t>Interest Rate</w:t>
            </w:r>
          </w:p>
        </w:tc>
        <w:tc>
          <w:tcPr>
            <w:tcW w:w="260" w:type="dxa"/>
            <w:vAlign w:val="bottom"/>
          </w:tcPr>
          <w:p>
            <w:pPr>
              <w:spacing w:after="0"/>
              <w:rPr>
                <w:sz w:val="17"/>
                <w:szCs w:val="17"/>
                <w:color w:val="auto"/>
              </w:rPr>
            </w:pPr>
          </w:p>
        </w:tc>
        <w:tc>
          <w:tcPr>
            <w:tcW w:w="1280" w:type="dxa"/>
            <w:vAlign w:val="bottom"/>
          </w:tcPr>
          <w:p>
            <w:pPr>
              <w:jc w:val="center"/>
              <w:ind w:right="157"/>
              <w:spacing w:after="0"/>
              <w:rPr>
                <w:sz w:val="20"/>
                <w:szCs w:val="20"/>
                <w:color w:val="auto"/>
              </w:rPr>
            </w:pPr>
            <w:r>
              <w:rPr>
                <w:rFonts w:ascii="Arial" w:cs="Arial" w:eastAsia="Arial" w:hAnsi="Arial"/>
                <w:sz w:val="16"/>
                <w:szCs w:val="16"/>
                <w:color w:val="auto"/>
                <w:w w:val="91"/>
              </w:rPr>
              <w:t>Interest Rate</w:t>
            </w:r>
          </w:p>
        </w:tc>
        <w:tc>
          <w:tcPr>
            <w:tcW w:w="180" w:type="dxa"/>
            <w:vAlign w:val="bottom"/>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w w:val="89"/>
              </w:rPr>
              <w:t>Interest Rate</w:t>
            </w:r>
          </w:p>
        </w:tc>
        <w:tc>
          <w:tcPr>
            <w:tcW w:w="220" w:type="dxa"/>
            <w:vAlign w:val="bottom"/>
          </w:tcPr>
          <w:p>
            <w:pPr>
              <w:spacing w:after="0"/>
              <w:rPr>
                <w:sz w:val="17"/>
                <w:szCs w:val="17"/>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89"/>
              </w:rPr>
              <w:t>Interest Rate</w:t>
            </w:r>
          </w:p>
        </w:tc>
      </w:tr>
      <w:tr>
        <w:trPr>
          <w:trHeight w:val="239"/>
        </w:trPr>
        <w:tc>
          <w:tcPr>
            <w:tcW w:w="3460" w:type="dxa"/>
            <w:vAlign w:val="bottom"/>
            <w:tcBorders>
              <w:bottom w:val="single" w:sz="8" w:color="CEFFE7"/>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7"/>
              </w:rPr>
              <w:t>Swaps</w:t>
            </w: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9"/>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(a)</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7"/>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(b)</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(b)</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9"/>
              <w:spacing w:after="0" w:line="239" w:lineRule="exact"/>
              <w:rPr>
                <w:sz w:val="20"/>
                <w:szCs w:val="20"/>
                <w:color w:val="auto"/>
              </w:rPr>
            </w:pPr>
            <w:r>
              <w:rPr>
                <w:rFonts w:ascii="Arial" w:cs="Arial" w:eastAsia="Arial" w:hAnsi="Arial"/>
                <w:sz w:val="16"/>
                <w:szCs w:val="16"/>
                <w:color w:val="auto"/>
                <w:w w:val="83"/>
              </w:rPr>
              <w:t xml:space="preserve">Swaps </w:t>
            </w:r>
            <w:r>
              <w:rPr>
                <w:rFonts w:ascii="Arial" w:cs="Arial" w:eastAsia="Arial" w:hAnsi="Arial"/>
                <w:sz w:val="21"/>
                <w:szCs w:val="21"/>
                <w:color w:val="auto"/>
                <w:w w:val="83"/>
                <w:vertAlign w:val="superscript"/>
              </w:rPr>
              <w:t>(a)</w:t>
            </w:r>
          </w:p>
        </w:tc>
      </w:tr>
      <w:tr>
        <w:trPr>
          <w:trHeight w:val="244"/>
        </w:trPr>
        <w:tc>
          <w:tcPr>
            <w:tcW w:w="3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Notional</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50,000</w:t>
            </w:r>
          </w:p>
        </w:tc>
        <w:tc>
          <w:tcPr>
            <w:tcW w:w="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EFFE7"/>
            </w:tcBorders>
            <w:shd w:val="clear" w:color="auto" w:fill="CEFFE7"/>
          </w:tcPr>
          <w:p>
            <w:pPr>
              <w:jc w:val="right"/>
              <w:ind w:right="77"/>
              <w:spacing w:after="0"/>
              <w:rPr>
                <w:sz w:val="20"/>
                <w:szCs w:val="20"/>
                <w:color w:val="auto"/>
              </w:rPr>
            </w:pPr>
            <w:r>
              <w:rPr>
                <w:rFonts w:ascii="Arial" w:cs="Arial" w:eastAsia="Arial" w:hAnsi="Arial"/>
                <w:sz w:val="16"/>
                <w:szCs w:val="16"/>
                <w:color w:val="auto"/>
              </w:rPr>
              <w:t>150,000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250,000</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75,000</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Weighted average fixed interest rate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4.94%</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Maximum terms in months</w:t>
            </w:r>
          </w:p>
        </w:tc>
        <w:tc>
          <w:tcPr>
            <w:tcW w:w="2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0</w:t>
            </w:r>
          </w:p>
        </w:tc>
        <w:tc>
          <w:tcPr>
            <w:tcW w:w="22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77"/>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w:t>
            </w:r>
          </w:p>
        </w:tc>
      </w:tr>
      <w:tr>
        <w:trPr>
          <w:trHeight w:val="243"/>
        </w:trPr>
        <w:tc>
          <w:tcPr>
            <w:tcW w:w="3460" w:type="dxa"/>
            <w:vAlign w:val="bottom"/>
          </w:tcPr>
          <w:p>
            <w:pPr>
              <w:ind w:left="40"/>
              <w:spacing w:after="0"/>
              <w:rPr>
                <w:sz w:val="20"/>
                <w:szCs w:val="20"/>
                <w:color w:val="auto"/>
              </w:rPr>
            </w:pPr>
            <w:r>
              <w:rPr>
                <w:rFonts w:ascii="Arial" w:cs="Arial" w:eastAsia="Arial" w:hAnsi="Arial"/>
                <w:sz w:val="16"/>
                <w:szCs w:val="16"/>
                <w:color w:val="auto"/>
              </w:rPr>
              <w:t>Derivative assets, non-current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 liabilities, current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w:t>
            </w:r>
          </w:p>
        </w:tc>
        <w:tc>
          <w:tcPr>
            <w:tcW w:w="13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2,290</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Derivative liabilities, non-current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7"/>
              <w:spacing w:after="0"/>
              <w:rPr>
                <w:sz w:val="20"/>
                <w:szCs w:val="20"/>
                <w:color w:val="auto"/>
              </w:rPr>
            </w:pPr>
            <w:r>
              <w:rPr>
                <w:rFonts w:ascii="Arial" w:cs="Arial" w:eastAsia="Arial" w:hAnsi="Arial"/>
                <w:sz w:val="16"/>
                <w:szCs w:val="16"/>
                <w:color w:val="auto"/>
              </w:rPr>
              <w:t>3,785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10,693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9"/>
        </w:trPr>
        <w:tc>
          <w:tcPr>
            <w:tcW w:w="346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ind w:left="340" w:right="200" w:hanging="332"/>
        <w:spacing w:after="0" w:line="249"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$25 million in swaps expired in October 2016 and the $50 million in swaps expired in January 2017. These swaps were designated to borrowings on our Revolving Credit Facility and were priced using three-month LIBOR, matching the floating portion of the related borrowings.</w:t>
      </w: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swaps were settled and terminated in August 2016 in conjunction with the refinancing of acquired SourceGas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impacts of cash flow hedges on our Condensed Consolidated Statements of Income is presented below for the three months ended March 31, 2017 and 2016 (in thousands).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900"/>
              <w:spacing w:after="0"/>
              <w:rPr>
                <w:sz w:val="20"/>
                <w:szCs w:val="20"/>
                <w:color w:val="auto"/>
              </w:rPr>
            </w:pPr>
            <w:r>
              <w:rPr>
                <w:rFonts w:ascii="Arial" w:cs="Arial" w:eastAsia="Arial" w:hAnsi="Arial"/>
                <w:sz w:val="16"/>
                <w:szCs w:val="16"/>
                <w:b w:val="1"/>
                <w:bCs w:val="1"/>
                <w:color w:val="auto"/>
              </w:rPr>
              <w:t>Three Months Ended March 31, 2017</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(712)</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58</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900"/>
              <w:spacing w:after="0"/>
              <w:rPr>
                <w:sz w:val="20"/>
                <w:szCs w:val="20"/>
                <w:color w:val="auto"/>
              </w:rPr>
            </w:pPr>
            <w:r>
              <w:rPr>
                <w:rFonts w:ascii="Arial" w:cs="Arial" w:eastAsia="Arial" w:hAnsi="Arial"/>
                <w:sz w:val="16"/>
                <w:szCs w:val="16"/>
                <w:b w:val="1"/>
                <w:bCs w:val="1"/>
                <w:color w:val="auto"/>
              </w:rPr>
              <w:t>Three Months Ended March 31, 2016</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1,709</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3,592</w:t>
            </w:r>
          </w:p>
        </w:tc>
        <w:tc>
          <w:tcPr>
            <w:tcW w:w="2500" w:type="dxa"/>
            <w:vAlign w:val="bottom"/>
          </w:tcPr>
          <w:p>
            <w:pPr>
              <w:ind w:left="1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spacing w:after="0"/>
              <w:rPr>
                <w:sz w:val="20"/>
                <w:szCs w:val="20"/>
                <w:color w:val="auto"/>
              </w:rPr>
            </w:pP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57</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5,358</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following table summarizes the gains and losses arising from hedging transactions that were recognized as a component of other comprehensive income (loss) for the three months ended March 31, 2017 and 2016. The amounts included in the table below exclude gains and losses arising from ineffectiveness because these amounts are immediately recognized in the Consolidated Statements of Net Income as incurred.</w:t>
      </w:r>
    </w:p>
    <w:p>
      <w:pPr>
        <w:spacing w:after="0" w:line="111" w:lineRule="exact"/>
        <w:rPr>
          <w:sz w:val="20"/>
          <w:szCs w:val="20"/>
          <w:color w:val="auto"/>
        </w:rPr>
      </w:pPr>
    </w:p>
    <w:p>
      <w:pPr>
        <w:jc w:val="center"/>
        <w:ind w:left="77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77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22860</wp:posOffset>
            </wp:positionV>
            <wp:extent cx="2383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860" w:type="dxa"/>
            <w:vAlign w:val="bottom"/>
            <w:gridSpan w:val="2"/>
          </w:tcPr>
          <w:p>
            <w:pPr>
              <w:jc w:val="right"/>
              <w:ind w:right="10"/>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(In thousands)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Increase (decrease) in fair value:</w:t>
            </w:r>
          </w:p>
        </w:tc>
        <w:tc>
          <w:tcPr>
            <w:tcW w:w="2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3860" w:type="dxa"/>
            <w:vAlign w:val="bottom"/>
            <w:tcBorders>
              <w:bottom w:val="single" w:sz="8" w:color="CEFFE7"/>
            </w:tcBorders>
            <w:gridSpan w:val="2"/>
            <w:shd w:val="clear" w:color="auto" w:fill="CEFFE7"/>
          </w:tcPr>
          <w:p>
            <w:pPr>
              <w:jc w:val="right"/>
              <w:ind w:right="9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90</w:t>
            </w:r>
          </w:p>
        </w:tc>
        <w:tc>
          <w:tcPr>
            <w:tcW w:w="66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(15,047)</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926</w:t>
            </w:r>
          </w:p>
        </w:tc>
        <w:tc>
          <w:tcPr>
            <w:tcW w:w="6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26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712</w:t>
            </w:r>
          </w:p>
        </w:tc>
        <w:tc>
          <w:tcPr>
            <w:tcW w:w="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Forward commodity contracts</w:t>
            </w:r>
          </w:p>
        </w:tc>
        <w:tc>
          <w:tcPr>
            <w:tcW w:w="26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(287)</w:t>
            </w:r>
          </w:p>
        </w:tc>
        <w:tc>
          <w:tcPr>
            <w:tcW w:w="6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26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1,441</w:t>
            </w:r>
          </w:p>
        </w:tc>
        <w:tc>
          <w:tcPr>
            <w:tcW w:w="6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60" w:type="dxa"/>
            <w:vAlign w:val="bottom"/>
            <w:vMerge w:val="restart"/>
          </w:tcPr>
          <w:p>
            <w:pPr>
              <w:jc w:val="right"/>
              <w:ind w:right="1770"/>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Consolidated Statements of Income for the three months ended March 31, 2017 and 2016 (in thousands).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3"/>
          </w:tcPr>
          <w:p>
            <w:pPr>
              <w:jc w:val="right"/>
              <w:ind w:right="290"/>
              <w:spacing w:after="0"/>
              <w:rPr>
                <w:sz w:val="20"/>
                <w:szCs w:val="20"/>
                <w:color w:val="auto"/>
              </w:rPr>
            </w:pPr>
            <w:r>
              <w:rPr>
                <w:rFonts w:ascii="Arial" w:cs="Arial" w:eastAsia="Arial" w:hAnsi="Arial"/>
                <w:sz w:val="18"/>
                <w:szCs w:val="18"/>
                <w:color w:val="auto"/>
              </w:rPr>
              <w:t>Three Months Ended March 31,</w:t>
            </w:r>
          </w:p>
        </w:tc>
        <w:tc>
          <w:tcPr>
            <w:tcW w:w="38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1440" w:type="dxa"/>
            <w:vAlign w:val="bottom"/>
          </w:tcPr>
          <w:p>
            <w:pPr>
              <w:jc w:val="center"/>
              <w:ind w:left="270"/>
              <w:spacing w:after="0"/>
              <w:rPr>
                <w:sz w:val="20"/>
                <w:szCs w:val="20"/>
                <w:color w:val="auto"/>
              </w:rPr>
            </w:pPr>
            <w:r>
              <w:rPr>
                <w:rFonts w:ascii="Arial" w:cs="Arial" w:eastAsia="Arial" w:hAnsi="Arial"/>
                <w:sz w:val="18"/>
                <w:szCs w:val="18"/>
                <w:color w:val="auto"/>
                <w:w w:val="89"/>
              </w:rPr>
              <w:t>2016</w:t>
            </w:r>
          </w:p>
        </w:tc>
        <w:tc>
          <w:tcPr>
            <w:tcW w:w="38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22"/>
        </w:trPr>
        <w:tc>
          <w:tcPr>
            <w:tcW w:w="5240" w:type="dxa"/>
            <w:vAlign w:val="bottom"/>
          </w:tcPr>
          <w:p>
            <w:pPr>
              <w:spacing w:after="0"/>
              <w:rPr>
                <w:sz w:val="19"/>
                <w:szCs w:val="19"/>
                <w:color w:val="auto"/>
              </w:rPr>
            </w:pPr>
          </w:p>
        </w:tc>
        <w:tc>
          <w:tcPr>
            <w:tcW w:w="2320" w:type="dxa"/>
            <w:vAlign w:val="bottom"/>
          </w:tcPr>
          <w:p>
            <w:pPr>
              <w:ind w:left="520"/>
              <w:spacing w:after="0"/>
              <w:rPr>
                <w:sz w:val="20"/>
                <w:szCs w:val="20"/>
                <w:color w:val="auto"/>
              </w:rPr>
            </w:pPr>
            <w:r>
              <w:rPr>
                <w:rFonts w:ascii="Arial" w:cs="Arial" w:eastAsia="Arial" w:hAnsi="Arial"/>
                <w:sz w:val="18"/>
                <w:szCs w:val="18"/>
                <w:color w:val="auto"/>
                <w:w w:val="95"/>
              </w:rPr>
              <w:t>Location of Gain/(Loss)</w:t>
            </w:r>
          </w:p>
        </w:tc>
        <w:tc>
          <w:tcPr>
            <w:tcW w:w="20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Amount of Gain/(Loss)</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5240" w:type="dxa"/>
            <w:vAlign w:val="bottom"/>
          </w:tcPr>
          <w:p>
            <w:pPr>
              <w:spacing w:after="0"/>
              <w:rPr>
                <w:sz w:val="18"/>
                <w:szCs w:val="18"/>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on Derivatives</w:t>
            </w:r>
          </w:p>
        </w:tc>
        <w:tc>
          <w:tcPr>
            <w:tcW w:w="24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on Derivatives</w:t>
            </w:r>
          </w:p>
        </w:tc>
        <w:tc>
          <w:tcPr>
            <w:tcW w:w="1440" w:type="dxa"/>
            <w:vAlign w:val="bottom"/>
          </w:tcPr>
          <w:p>
            <w:pPr>
              <w:jc w:val="center"/>
              <w:ind w:left="290"/>
              <w:spacing w:after="0"/>
              <w:rPr>
                <w:sz w:val="20"/>
                <w:szCs w:val="20"/>
                <w:color w:val="auto"/>
              </w:rPr>
            </w:pPr>
            <w:r>
              <w:rPr>
                <w:rFonts w:ascii="Arial" w:cs="Arial" w:eastAsia="Arial" w:hAnsi="Arial"/>
                <w:sz w:val="18"/>
                <w:szCs w:val="18"/>
                <w:color w:val="auto"/>
                <w:w w:val="92"/>
              </w:rPr>
              <w:t>on Derivatives</w:t>
            </w:r>
          </w:p>
        </w:tc>
        <w:tc>
          <w:tcPr>
            <w:tcW w:w="380" w:type="dxa"/>
            <w:vAlign w:val="bottom"/>
          </w:tcPr>
          <w:p>
            <w:pPr>
              <w:spacing w:after="0"/>
              <w:rPr>
                <w:sz w:val="18"/>
                <w:szCs w:val="18"/>
                <w:color w:val="auto"/>
              </w:rPr>
            </w:pPr>
          </w:p>
        </w:tc>
      </w:tr>
      <w:tr>
        <w:trPr>
          <w:trHeight w:val="230"/>
        </w:trPr>
        <w:tc>
          <w:tcPr>
            <w:tcW w:w="5240" w:type="dxa"/>
            <w:vAlign w:val="bottom"/>
          </w:tcPr>
          <w:p>
            <w:pPr>
              <w:ind w:left="980"/>
              <w:spacing w:after="0"/>
              <w:rPr>
                <w:sz w:val="20"/>
                <w:szCs w:val="20"/>
                <w:color w:val="auto"/>
              </w:rPr>
            </w:pPr>
            <w:r>
              <w:rPr>
                <w:rFonts w:ascii="Arial" w:cs="Arial" w:eastAsia="Arial" w:hAnsi="Arial"/>
                <w:sz w:val="18"/>
                <w:szCs w:val="18"/>
                <w:color w:val="auto"/>
              </w:rPr>
              <w:t>Derivatives Not Designated as Hedging Instruments</w:t>
            </w:r>
          </w:p>
        </w:tc>
        <w:tc>
          <w:tcPr>
            <w:tcW w:w="2320" w:type="dxa"/>
            <w:vAlign w:val="bottom"/>
          </w:tcPr>
          <w:p>
            <w:pPr>
              <w:ind w:left="580"/>
              <w:spacing w:after="0"/>
              <w:rPr>
                <w:sz w:val="20"/>
                <w:szCs w:val="20"/>
                <w:color w:val="auto"/>
              </w:rPr>
            </w:pPr>
            <w:r>
              <w:rPr>
                <w:rFonts w:ascii="Arial" w:cs="Arial" w:eastAsia="Arial" w:hAnsi="Arial"/>
                <w:sz w:val="18"/>
                <w:szCs w:val="18"/>
                <w:color w:val="auto"/>
                <w:w w:val="96"/>
              </w:rPr>
              <w:t>Recognized in Income</w:t>
            </w:r>
          </w:p>
        </w:tc>
        <w:tc>
          <w:tcPr>
            <w:tcW w:w="20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Recognized in Income</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52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318"/>
        </w:trPr>
        <w:tc>
          <w:tcPr>
            <w:tcW w:w="5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5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2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FFFE7"/>
            </w:tcBorders>
            <w:shd w:val="clear" w:color="auto" w:fill="CFFFE7"/>
          </w:tcPr>
          <w:p>
            <w:pPr>
              <w:spacing w:after="0"/>
              <w:rPr>
                <w:sz w:val="21"/>
                <w:szCs w:val="21"/>
                <w:color w:val="auto"/>
              </w:rPr>
            </w:pPr>
          </w:p>
        </w:tc>
        <w:tc>
          <w:tcPr>
            <w:tcW w:w="1440" w:type="dxa"/>
            <w:vAlign w:val="bottom"/>
            <w:tcBorders>
              <w:bottom w:val="single" w:sz="8" w:color="CFFFE7"/>
            </w:tcBorders>
            <w:shd w:val="clear" w:color="auto" w:fill="CFFFE7"/>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320" w:type="dxa"/>
            <w:vAlign w:val="bottom"/>
          </w:tcPr>
          <w:p>
            <w:pPr>
              <w:ind w:left="500"/>
              <w:spacing w:after="0"/>
              <w:rPr>
                <w:sz w:val="20"/>
                <w:szCs w:val="20"/>
                <w:color w:val="auto"/>
              </w:rPr>
            </w:pPr>
            <w:r>
              <w:rPr>
                <w:rFonts w:ascii="Arial" w:cs="Arial" w:eastAsia="Arial" w:hAnsi="Arial"/>
                <w:sz w:val="18"/>
                <w:szCs w:val="18"/>
                <w:color w:val="auto"/>
                <w:w w:val="98"/>
              </w:rPr>
              <w:t>Fuel, purchased power</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6"/>
        </w:trPr>
        <w:tc>
          <w:tcPr>
            <w:tcW w:w="5240" w:type="dxa"/>
            <w:vAlign w:val="bottom"/>
          </w:tcPr>
          <w:p>
            <w:pPr>
              <w:spacing w:after="0"/>
              <w:rPr>
                <w:sz w:val="18"/>
                <w:szCs w:val="18"/>
                <w:color w:val="auto"/>
              </w:rPr>
            </w:pPr>
          </w:p>
        </w:tc>
        <w:tc>
          <w:tcPr>
            <w:tcW w:w="2320" w:type="dxa"/>
            <w:vAlign w:val="bottom"/>
          </w:tcPr>
          <w:p>
            <w:pPr>
              <w:ind w:left="500"/>
              <w:spacing w:after="0"/>
              <w:rPr>
                <w:sz w:val="20"/>
                <w:szCs w:val="20"/>
                <w:color w:val="auto"/>
              </w:rPr>
            </w:pPr>
            <w:r>
              <w:rPr>
                <w:rFonts w:ascii="Arial" w:cs="Arial" w:eastAsia="Arial" w:hAnsi="Arial"/>
                <w:sz w:val="18"/>
                <w:szCs w:val="18"/>
                <w:color w:val="auto"/>
                <w:w w:val="98"/>
              </w:rPr>
              <w:t>and cost of natural gas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p>
        </w:tc>
        <w:tc>
          <w:tcPr>
            <w:tcW w:w="2320" w:type="dxa"/>
            <w:vAlign w:val="bottom"/>
          </w:tcPr>
          <w:p>
            <w:pPr>
              <w:ind w:left="500"/>
              <w:spacing w:after="0"/>
              <w:rPr>
                <w:sz w:val="20"/>
                <w:szCs w:val="20"/>
                <w:color w:val="auto"/>
              </w:rPr>
            </w:pPr>
            <w:r>
              <w:rPr>
                <w:rFonts w:ascii="Arial" w:cs="Arial" w:eastAsia="Arial" w:hAnsi="Arial"/>
                <w:sz w:val="18"/>
                <w:szCs w:val="18"/>
                <w:color w:val="auto"/>
              </w:rPr>
              <w:t>sold</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634</w:t>
            </w:r>
          </w:p>
        </w:tc>
      </w:tr>
      <w:tr>
        <w:trPr>
          <w:trHeight w:val="27"/>
        </w:trPr>
        <w:tc>
          <w:tcPr>
            <w:tcW w:w="5240" w:type="dxa"/>
            <w:vAlign w:val="bottom"/>
            <w:tcBorders>
              <w:bottom w:val="single" w:sz="8" w:color="CEFFE7"/>
            </w:tcBorders>
          </w:tcPr>
          <w:p>
            <w:pPr>
              <w:spacing w:after="0"/>
              <w:rPr>
                <w:sz w:val="2"/>
                <w:szCs w:val="2"/>
                <w:color w:val="auto"/>
              </w:rPr>
            </w:pPr>
          </w:p>
        </w:tc>
        <w:tc>
          <w:tcPr>
            <w:tcW w:w="23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EFFE7"/>
            </w:tcBorders>
            <w:shd w:val="clear" w:color="auto" w:fill="CEFFE7"/>
          </w:tcPr>
          <w:p>
            <w:pPr>
              <w:spacing w:after="0"/>
              <w:rPr>
                <w:sz w:val="22"/>
                <w:szCs w:val="22"/>
                <w:color w:val="auto"/>
              </w:rPr>
            </w:pPr>
          </w:p>
        </w:tc>
        <w:tc>
          <w:tcPr>
            <w:tcW w:w="232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Borders>
              <w:bottom w:val="single" w:sz="8" w:color="CEFFE7"/>
            </w:tcBorders>
            <w:shd w:val="clear" w:color="auto" w:fill="CEFFE7"/>
          </w:tcPr>
          <w:p>
            <w:pPr>
              <w:spacing w:after="0"/>
              <w:rPr>
                <w:sz w:val="22"/>
                <w:szCs w:val="22"/>
                <w:color w:val="auto"/>
              </w:rPr>
            </w:pPr>
          </w:p>
        </w:tc>
        <w:tc>
          <w:tcPr>
            <w:tcW w:w="1440" w:type="dxa"/>
            <w:vAlign w:val="bottom"/>
            <w:tcBorders>
              <w:bottom w:val="single" w:sz="8" w:color="CEFFE7"/>
            </w:tcBorders>
            <w:shd w:val="clear" w:color="auto" w:fill="CEFFE7"/>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634</w:t>
            </w:r>
          </w:p>
        </w:tc>
      </w:tr>
      <w:tr>
        <w:trPr>
          <w:trHeight w:val="20"/>
        </w:trPr>
        <w:tc>
          <w:tcPr>
            <w:tcW w:w="5240" w:type="dxa"/>
            <w:vAlign w:val="bottom"/>
            <w:tcBorders>
              <w:top w:val="single" w:sz="8" w:color="CEFFE7"/>
            </w:tcBorders>
          </w:tcPr>
          <w:p>
            <w:pPr>
              <w:spacing w:after="0" w:line="20" w:lineRule="exact"/>
              <w:rPr>
                <w:sz w:val="1"/>
                <w:szCs w:val="1"/>
                <w:color w:val="auto"/>
              </w:rPr>
            </w:pPr>
          </w:p>
        </w:tc>
        <w:tc>
          <w:tcPr>
            <w:tcW w:w="23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The net unrealized losses included in our Regulatory assets related to the hedges in our Utilities were $12 million, $8.8 million and $20 million at March 31, 2017, December 31, 2016 and March 31,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8400" w:firstLine="8"/>
        <w:spacing w:after="0" w:line="530" w:lineRule="auto"/>
        <w:tabs>
          <w:tab w:leader="none" w:pos="473"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FAIR VALUE MEASUREMENTS </w:t>
      </w:r>
      <w:r>
        <w:rPr>
          <w:rFonts w:ascii="Arial" w:cs="Arial" w:eastAsia="Arial" w:hAnsi="Arial"/>
          <w:sz w:val="17"/>
          <w:szCs w:val="17"/>
          <w:u w:val="single" w:color="auto"/>
          <w:color w:val="auto"/>
        </w:rPr>
        <w:t>Derivative Financial Instruments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 Notes 1, 9, 10 and 11 to the Consolidated Financial Statements included in our 2016 Annual Report on Form 10-K filed with the SEC.</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Oil and Gas Segment:</w:t>
      </w:r>
    </w:p>
    <w:p>
      <w:pPr>
        <w:spacing w:after="0" w:line="225" w:lineRule="exact"/>
        <w:rPr>
          <w:sz w:val="20"/>
          <w:szCs w:val="20"/>
          <w:color w:val="auto"/>
        </w:rPr>
      </w:pPr>
    </w:p>
    <w:p>
      <w:pPr>
        <w:ind w:left="660" w:right="20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commodity contracts for our Oil and Gas segment are valued using the market approach and include exchange-traded futures, basis swaps and call options. Fair value was derived using exchange quoted settlement prices from third party brokers for similar instruments as to quantity and timing. The prices are then validated through third-party sources and therefore support Level 2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Utilities Segments:</w:t>
      </w:r>
    </w:p>
    <w:p>
      <w:pPr>
        <w:spacing w:after="0" w:line="225" w:lineRule="exact"/>
        <w:rPr>
          <w:sz w:val="20"/>
          <w:szCs w:val="20"/>
          <w:color w:val="auto"/>
        </w:rPr>
      </w:pPr>
    </w:p>
    <w:p>
      <w:pPr>
        <w:ind w:left="660" w:right="2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commodity contracts for our Utilities Segments, valued using the market approach,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component based on the credit spreads of the counterparties when we are in an unrealized gain position or on our own credit spread when we are in an unrealized loss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Activities:</w:t>
      </w:r>
    </w:p>
    <w:p>
      <w:pPr>
        <w:spacing w:after="0" w:line="225" w:lineRule="exact"/>
        <w:rPr>
          <w:sz w:val="20"/>
          <w:szCs w:val="20"/>
          <w:color w:val="auto"/>
        </w:rPr>
      </w:pPr>
    </w:p>
    <w:p>
      <w:pPr>
        <w:ind w:left="660" w:right="80" w:hanging="328"/>
        <w:spacing w:after="0" w:line="27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of March 31, 2017, we no longer have derivatives within our corporate activities as our interest rate swaps matured in January 2017. The interest rate swaps that were in place prior to January 2017 were valued using the market approach. We established fair value by obtaining price quotes directly from the counterparty which were based on the floating three-month LIBOR curve for the term of the contract. The fair value obtained from the counterparty was validated by utilizing a nationally recognized service that obtains observable inputs to compute fair value for the same instrument. In addition, the fair value for the interest rate swap derivatives included a CVA component. The CVA considered the fair value of the interest rate swap and the probability of default based on the life of the contract. For the probability of a default component, we utilized observable inputs supporting a Level 2 disclosure by using the credit default spread of the obligor, if available, or a generic credit default spread curve that took into account our credit ratings, and the credit rating of our counterparty.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There have been no significant transfers between Level 1 and Level 2 derivative balances. 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5" w:name="page26"/>
    <w:bookmarkEnd w:id="25"/>
    <w:p>
      <w:pPr>
        <w:ind w:right="880"/>
        <w:spacing w:after="0" w:line="342" w:lineRule="auto"/>
        <w:rPr>
          <w:sz w:val="20"/>
          <w:szCs w:val="20"/>
          <w:color w:val="auto"/>
        </w:rPr>
      </w:pPr>
      <w:r>
        <w:rPr>
          <w:rFonts w:ascii="Arial" w:cs="Arial" w:eastAsia="Arial" w:hAnsi="Arial"/>
          <w:sz w:val="16"/>
          <w:szCs w:val="16"/>
          <w:color w:val="auto"/>
        </w:rPr>
        <w:t>The following tables set forth by level within the fair value hierarchy are gross assets and gross liabilities and related offsetting cash collateral and counterparty netting as permitted by GAAP that were accounted for at fair value on a recurring basis for derivative instruments.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gridSpan w:val="6"/>
          </w:tcPr>
          <w:p>
            <w:pPr>
              <w:jc w:val="center"/>
              <w:ind w:right="1130"/>
              <w:spacing w:after="0"/>
              <w:rPr>
                <w:sz w:val="20"/>
                <w:szCs w:val="20"/>
                <w:color w:val="auto"/>
              </w:rPr>
            </w:pPr>
            <w:r>
              <w:rPr>
                <w:rFonts w:ascii="Arial" w:cs="Arial" w:eastAsia="Arial" w:hAnsi="Arial"/>
                <w:sz w:val="18"/>
                <w:szCs w:val="18"/>
                <w:color w:val="auto"/>
                <w:w w:val="92"/>
              </w:rPr>
              <w:t>As of March 31, 2017</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2,642</w:t>
            </w:r>
          </w:p>
        </w:tc>
        <w:tc>
          <w:tcPr>
            <w:tcW w:w="20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(1,651)</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991</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(2,628)</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1,550</w:t>
            </w:r>
          </w:p>
        </w:tc>
      </w:tr>
      <w:tr>
        <w:trPr>
          <w:trHeight w:val="163"/>
        </w:trPr>
        <w:tc>
          <w:tcPr>
            <w:tcW w:w="4120" w:type="dxa"/>
            <w:vAlign w:val="bottom"/>
            <w:shd w:val="clear" w:color="auto" w:fill="CEFFE7"/>
          </w:tcPr>
          <w:p>
            <w:pPr>
              <w:spacing w:after="0"/>
              <w:rPr>
                <w:sz w:val="14"/>
                <w:szCs w:val="14"/>
                <w:color w:val="auto"/>
              </w:rPr>
            </w:pPr>
          </w:p>
        </w:tc>
        <w:tc>
          <w:tcPr>
            <w:tcW w:w="960" w:type="dxa"/>
            <w:vAlign w:val="bottom"/>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40" w:type="dxa"/>
            <w:vAlign w:val="bottom"/>
            <w:shd w:val="clear" w:color="auto" w:fill="CEFFE7"/>
          </w:tcPr>
          <w:p>
            <w:pPr>
              <w:spacing w:after="0"/>
              <w:rPr>
                <w:sz w:val="14"/>
                <w:szCs w:val="14"/>
                <w:color w:val="auto"/>
              </w:rPr>
            </w:pPr>
          </w:p>
        </w:tc>
        <w:tc>
          <w:tcPr>
            <w:tcW w:w="140" w:type="dxa"/>
            <w:vAlign w:val="bottom"/>
            <w:shd w:val="clear" w:color="auto" w:fill="CEFFE7"/>
          </w:tcPr>
          <w:p>
            <w:pPr>
              <w:spacing w:after="0"/>
              <w:rPr>
                <w:sz w:val="14"/>
                <w:szCs w:val="14"/>
                <w:color w:val="auto"/>
              </w:rPr>
            </w:pPr>
          </w:p>
        </w:tc>
        <w:tc>
          <w:tcPr>
            <w:tcW w:w="104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200" w:type="dxa"/>
            <w:vAlign w:val="bottom"/>
            <w:shd w:val="clear" w:color="auto" w:fill="CEFFE7"/>
          </w:tcPr>
          <w:p>
            <w:pPr>
              <w:spacing w:after="0"/>
              <w:rPr>
                <w:sz w:val="14"/>
                <w:szCs w:val="14"/>
                <w:color w:val="auto"/>
              </w:rPr>
            </w:pPr>
          </w:p>
        </w:tc>
        <w:tc>
          <w:tcPr>
            <w:tcW w:w="14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c>
          <w:tcPr>
            <w:tcW w:w="34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(12,933)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13,573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(12,933)</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640</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1"/>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7"/>
          </w:tcPr>
          <w:p>
            <w:pPr>
              <w:jc w:val="center"/>
              <w:ind w:right="1090"/>
              <w:spacing w:after="0"/>
              <w:rPr>
                <w:sz w:val="20"/>
                <w:szCs w:val="20"/>
                <w:color w:val="auto"/>
              </w:rPr>
            </w:pPr>
            <w:r>
              <w:rPr>
                <w:rFonts w:ascii="Arial" w:cs="Arial" w:eastAsia="Arial" w:hAnsi="Arial"/>
                <w:sz w:val="18"/>
                <w:szCs w:val="18"/>
                <w:color w:val="auto"/>
                <w:w w:val="91"/>
              </w:rPr>
              <w:t>As of December 31,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(2,733)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—Utilities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7,469</w:t>
            </w: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(3,262)</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4,207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10,355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(5,995)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4,360</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1,586</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12,201</w:t>
            </w: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(11,144)</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1,057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13,877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spacing w:after="0"/>
              <w:rPr>
                <w:sz w:val="22"/>
                <w:szCs w:val="22"/>
                <w:color w:val="auto"/>
              </w:rPr>
            </w:pPr>
          </w:p>
        </w:tc>
        <w:tc>
          <w:tcPr>
            <w:tcW w:w="1040" w:type="dxa"/>
            <w:vAlign w:val="bottom"/>
            <w:tcBorders>
              <w:bottom w:val="single" w:sz="8" w:color="auto"/>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(11,144)</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2,733</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14"/>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gridSpan w:val="6"/>
          </w:tcPr>
          <w:p>
            <w:pPr>
              <w:jc w:val="center"/>
              <w:ind w:right="1130"/>
              <w:spacing w:after="0"/>
              <w:rPr>
                <w:sz w:val="20"/>
                <w:szCs w:val="20"/>
                <w:color w:val="auto"/>
              </w:rPr>
            </w:pPr>
            <w:r>
              <w:rPr>
                <w:rFonts w:ascii="Arial" w:cs="Arial" w:eastAsia="Arial" w:hAnsi="Arial"/>
                <w:sz w:val="18"/>
                <w:szCs w:val="18"/>
                <w:color w:val="auto"/>
                <w:w w:val="92"/>
              </w:rPr>
              <w:t>As of March 31,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(8,429)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3,070</w:t>
            </w:r>
          </w:p>
        </w:tc>
        <w:tc>
          <w:tcPr>
            <w:tcW w:w="20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(1,499)</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1,571</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(9,928)</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1,571</w:t>
            </w:r>
          </w:p>
        </w:tc>
      </w:tr>
      <w:tr>
        <w:trPr>
          <w:trHeight w:val="176"/>
        </w:trPr>
        <w:tc>
          <w:tcPr>
            <w:tcW w:w="412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98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4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0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4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140" w:type="dxa"/>
            <w:vAlign w:val="bottom"/>
            <w:shd w:val="clear" w:color="auto" w:fill="CEFFE7"/>
          </w:tcPr>
          <w:p>
            <w:pPr>
              <w:spacing w:after="0"/>
              <w:rPr>
                <w:sz w:val="15"/>
                <w:szCs w:val="15"/>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 — Oil and Gas</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23,428</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(21,709)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1,719</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9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16,768</w:t>
            </w:r>
          </w:p>
        </w:tc>
        <w:tc>
          <w:tcPr>
            <w:tcW w:w="20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16,768</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(21,960)</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18,487</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80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Fair Value Measures by Balance Sheet Classification</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 Additionally, as of December 31, 2016, and March 31, 2016, the amounts below will not agree with the amounts presented on our Condensed Consolidated Balance Sheets, nor will they correspond to the fair value measurements presented in Note 10 as they are netted in other current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and balance sheet classification of our derivative instruments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4"/>
          </w:tcPr>
          <w:p>
            <w:pPr>
              <w:jc w:val="center"/>
              <w:ind w:right="2160"/>
              <w:spacing w:after="0"/>
              <w:rPr>
                <w:sz w:val="20"/>
                <w:szCs w:val="20"/>
                <w:color w:val="auto"/>
              </w:rPr>
            </w:pPr>
            <w:r>
              <w:rPr>
                <w:rFonts w:ascii="Arial" w:cs="Arial" w:eastAsia="Arial" w:hAnsi="Arial"/>
                <w:sz w:val="16"/>
                <w:szCs w:val="16"/>
                <w:color w:val="auto"/>
                <w:w w:val="93"/>
              </w:rPr>
              <w:t>As of March 31, 2017</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rPr>
              <w:t>of Liability</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3"/>
          </w:tcPr>
          <w:p>
            <w:pPr>
              <w:ind w:left="94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3"/>
              </w:rPr>
              <w:t>Derivatives</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722</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3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4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722</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not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assets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4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4"/>
        </w:trPr>
        <w:tc>
          <w:tcPr>
            <w:tcW w:w="3820" w:type="dxa"/>
            <w:vAlign w:val="bottom"/>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760" w:type="dxa"/>
            <w:vAlign w:val="bottom"/>
            <w:gridSpan w:val="6"/>
            <w:vMerge w:val="restart"/>
          </w:tcPr>
          <w:p>
            <w:pPr>
              <w:jc w:val="center"/>
              <w:ind w:right="980"/>
              <w:spacing w:after="0"/>
              <w:rPr>
                <w:sz w:val="20"/>
                <w:szCs w:val="20"/>
                <w:color w:val="auto"/>
              </w:rPr>
            </w:pPr>
            <w:r>
              <w:rPr>
                <w:rFonts w:ascii="Arial" w:cs="Arial" w:eastAsia="Arial" w:hAnsi="Arial"/>
                <w:sz w:val="16"/>
                <w:szCs w:val="16"/>
                <w:color w:val="auto"/>
                <w:w w:val="91"/>
              </w:rPr>
              <w:t>As of December 31, 2016</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820" w:type="dxa"/>
            <w:vAlign w:val="bottom"/>
          </w:tcPr>
          <w:p>
            <w:pPr>
              <w:spacing w:after="0"/>
              <w:rPr>
                <w:sz w:val="24"/>
                <w:szCs w:val="24"/>
                <w:color w:val="auto"/>
              </w:rPr>
            </w:pPr>
          </w:p>
        </w:tc>
        <w:tc>
          <w:tcPr>
            <w:tcW w:w="47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rPr>
              <w:t>of Liability</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3"/>
          </w:tcPr>
          <w:p>
            <w:pPr>
              <w:ind w:left="94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3"/>
              </w:rPr>
              <w:t>Derivatives</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assets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3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4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1,285</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non-current</w:t>
      </w:r>
    </w:p>
    <w:p>
      <w:pPr>
        <w:spacing w:after="0" w:line="8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non-current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tabs>
          <w:tab w:leader="none" w:pos="840" w:val="left"/>
          <w:tab w:leader="none" w:pos="1340" w:val="left"/>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2,977</w:t>
        <w:tab/>
        <w:t>$</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1080"/>
        <w:spacing w:after="0"/>
        <w:tabs>
          <w:tab w:leader="none" w:pos="2500" w:val="left"/>
        </w:tabs>
        <w:rPr>
          <w:sz w:val="20"/>
          <w:szCs w:val="20"/>
          <w:color w:val="auto"/>
        </w:rPr>
      </w:pPr>
      <w:r>
        <w:rPr>
          <w:rFonts w:ascii="Arial" w:cs="Arial" w:eastAsia="Arial" w:hAnsi="Arial"/>
          <w:sz w:val="16"/>
          <w:szCs w:val="16"/>
          <w:color w:val="auto"/>
        </w:rPr>
        <w:t>98</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1,279</w:t>
      </w:r>
    </w:p>
    <w:p>
      <w:pPr>
        <w:spacing w:after="0" w:line="86" w:lineRule="exact"/>
        <w:rPr>
          <w:sz w:val="20"/>
          <w:szCs w:val="20"/>
          <w:color w:val="auto"/>
        </w:rPr>
      </w:pPr>
    </w:p>
    <w:p>
      <w:pPr>
        <w:jc w:val="both"/>
        <w:ind w:left="1080"/>
        <w:spacing w:after="0"/>
        <w:tabs>
          <w:tab w:leader="none" w:pos="2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6" w:lineRule="exact"/>
        <w:rPr>
          <w:sz w:val="20"/>
          <w:szCs w:val="20"/>
          <w:color w:val="auto"/>
        </w:rPr>
      </w:pPr>
    </w:p>
    <w:p>
      <w:pPr>
        <w:spacing w:after="0"/>
        <w:tabs>
          <w:tab w:leader="none" w:pos="840" w:val="left"/>
          <w:tab w:leader="none" w:pos="1340" w:val="left"/>
          <w:tab w:leader="none" w:pos="2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3,075</w:t>
        <w:tab/>
        <w:t>$</w:t>
      </w:r>
      <w:r>
        <w:rPr>
          <w:sz w:val="20"/>
          <w:szCs w:val="20"/>
          <w:color w:val="auto"/>
        </w:rPr>
        <w:tab/>
      </w:r>
      <w:r>
        <w:rPr>
          <w:rFonts w:ascii="Arial" w:cs="Arial" w:eastAsia="Arial" w:hAnsi="Arial"/>
          <w:sz w:val="15"/>
          <w:szCs w:val="15"/>
          <w:color w:val="auto"/>
        </w:rPr>
        <w:t>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1800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52070</wp:posOffset>
            </wp:positionV>
            <wp:extent cx="1800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900" w:space="720"/>
            <w:col w:w="2800"/>
          </w:cols>
          <w:pgMar w:left="240" w:top="773" w:right="239" w:bottom="1440" w:gutter="0" w:footer="0" w:header="0"/>
          <w:type w:val="continuous"/>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73"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3580" w:type="dxa"/>
            <w:vAlign w:val="bottom"/>
            <w:gridSpan w:val="3"/>
          </w:tcPr>
          <w:p>
            <w:pPr>
              <w:spacing w:after="0"/>
              <w:rPr>
                <w:sz w:val="20"/>
                <w:szCs w:val="20"/>
                <w:color w:val="auto"/>
              </w:rPr>
            </w:pPr>
            <w:r>
              <w:rPr>
                <w:rFonts w:ascii="Arial" w:cs="Arial" w:eastAsia="Arial" w:hAnsi="Arial"/>
                <w:sz w:val="16"/>
                <w:szCs w:val="16"/>
                <w:color w:val="auto"/>
              </w:rPr>
              <w:t>As of March 31, 2016</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7"/>
        </w:trPr>
        <w:tc>
          <w:tcPr>
            <w:tcW w:w="500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Fair Value</w:t>
            </w:r>
          </w:p>
        </w:tc>
      </w:tr>
      <w:tr>
        <w:trPr>
          <w:trHeight w:val="203"/>
        </w:trPr>
        <w:tc>
          <w:tcPr>
            <w:tcW w:w="5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of Liability</w:t>
            </w:r>
          </w:p>
        </w:tc>
      </w:tr>
      <w:tr>
        <w:trPr>
          <w:trHeight w:val="206"/>
        </w:trPr>
        <w:tc>
          <w:tcPr>
            <w:tcW w:w="5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2"/>
          </w:tcPr>
          <w:p>
            <w:pPr>
              <w:ind w:left="94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Derivatives</w:t>
            </w:r>
          </w:p>
        </w:tc>
      </w:tr>
      <w:tr>
        <w:trPr>
          <w:trHeight w:val="33"/>
        </w:trPr>
        <w:tc>
          <w:tcPr>
            <w:tcW w:w="500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21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4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assets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4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770</w:t>
            </w:r>
          </w:p>
        </w:tc>
      </w:tr>
      <w:tr>
        <w:trPr>
          <w:trHeight w:val="33"/>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4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2,290</w:t>
            </w:r>
          </w:p>
        </w:tc>
      </w:tr>
      <w:tr>
        <w:trPr>
          <w:trHeight w:val="33"/>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Interest rate swaps</w:t>
            </w:r>
          </w:p>
        </w:tc>
        <w:tc>
          <w:tcPr>
            <w:tcW w:w="4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14,478</w:t>
            </w:r>
          </w:p>
        </w:tc>
      </w:tr>
      <w:tr>
        <w:trPr>
          <w:trHeight w:val="284"/>
        </w:trPr>
        <w:tc>
          <w:tcPr>
            <w:tcW w:w="500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Total derivatives designated as hedges</w:t>
            </w:r>
          </w:p>
        </w:tc>
        <w:tc>
          <w:tcPr>
            <w:tcW w:w="40" w:type="dxa"/>
            <w:vAlign w:val="bottom"/>
            <w:tcBorders>
              <w:bottom w:val="single" w:sz="8" w:color="CEFFE7"/>
            </w:tcBorders>
          </w:tcPr>
          <w:p>
            <w:pPr>
              <w:spacing w:after="0"/>
              <w:rPr>
                <w:sz w:val="24"/>
                <w:szCs w:val="24"/>
                <w:color w:val="auto"/>
              </w:rPr>
            </w:pPr>
          </w:p>
        </w:tc>
        <w:tc>
          <w:tcPr>
            <w:tcW w:w="1380" w:type="dxa"/>
            <w:vAlign w:val="bottom"/>
            <w:tcBorders>
              <w:bottom w:val="single" w:sz="8" w:color="CEFFE7"/>
            </w:tcBorders>
          </w:tcPr>
          <w:p>
            <w:pPr>
              <w:spacing w:after="0"/>
              <w:rPr>
                <w:sz w:val="24"/>
                <w:szCs w:val="24"/>
                <w:color w:val="auto"/>
              </w:rPr>
            </w:pPr>
          </w:p>
        </w:tc>
        <w:tc>
          <w:tcPr>
            <w:tcW w:w="216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17,571</w:t>
            </w:r>
          </w:p>
        </w:tc>
      </w:tr>
      <w:tr>
        <w:trPr>
          <w:trHeight w:val="271"/>
        </w:trPr>
        <w:tc>
          <w:tcPr>
            <w:tcW w:w="50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380" w:type="dxa"/>
            <w:vAlign w:val="bottom"/>
            <w:shd w:val="clear" w:color="auto" w:fill="CEFFE7"/>
          </w:tcPr>
          <w:p>
            <w:pPr>
              <w:spacing w:after="0"/>
              <w:rPr>
                <w:sz w:val="23"/>
                <w:szCs w:val="23"/>
                <w:color w:val="auto"/>
              </w:rPr>
            </w:pPr>
          </w:p>
        </w:tc>
        <w:tc>
          <w:tcPr>
            <w:tcW w:w="216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Derivatives not designated as hedges:</w:t>
            </w: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1,327</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4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assets — non-current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4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905</w:t>
            </w:r>
          </w:p>
        </w:tc>
      </w:tr>
      <w:tr>
        <w:trPr>
          <w:trHeight w:val="237"/>
        </w:trPr>
        <w:tc>
          <w:tcPr>
            <w:tcW w:w="500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4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non-current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500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380" w:type="dxa"/>
            <w:vAlign w:val="bottom"/>
            <w:tcBorders>
              <w:bottom w:val="single" w:sz="8" w:color="CEFFE7"/>
            </w:tcBorders>
          </w:tcPr>
          <w:p>
            <w:pPr>
              <w:spacing w:after="0"/>
              <w:rPr>
                <w:sz w:val="2"/>
                <w:szCs w:val="2"/>
                <w:color w:val="auto"/>
              </w:rPr>
            </w:pPr>
          </w:p>
        </w:tc>
        <w:tc>
          <w:tcPr>
            <w:tcW w:w="216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21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1,406</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916</w:t>
            </w: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39" w:right="239" w:bottom="1440" w:gutter="0" w:footer="0" w:header="0"/>
        </w:sectPr>
      </w:pPr>
    </w:p>
    <w:bookmarkStart w:id="28" w:name="page29"/>
    <w:bookmarkEnd w:id="28"/>
    <w:p>
      <w:pPr>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our financial instruments, excluding derivatives which are presented in Note 11, were as follows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March 31, 2017</w:t>
            </w:r>
          </w:p>
        </w:tc>
        <w:tc>
          <w:tcPr>
            <w:tcW w:w="200" w:type="dxa"/>
            <w:vAlign w:val="bottom"/>
          </w:tcPr>
          <w:p>
            <w:pPr>
              <w:spacing w:after="0"/>
              <w:rPr>
                <w:sz w:val="20"/>
                <w:szCs w:val="20"/>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December 31, 2016</w:t>
            </w:r>
          </w:p>
        </w:tc>
        <w:tc>
          <w:tcPr>
            <w:tcW w:w="180" w:type="dxa"/>
            <w:vAlign w:val="bottom"/>
          </w:tcPr>
          <w:p>
            <w:pPr>
              <w:spacing w:after="0"/>
              <w:rPr>
                <w:sz w:val="20"/>
                <w:szCs w:val="20"/>
                <w:color w:val="auto"/>
              </w:rPr>
            </w:pPr>
          </w:p>
        </w:tc>
        <w:tc>
          <w:tcPr>
            <w:tcW w:w="2080" w:type="dxa"/>
            <w:vAlign w:val="bottom"/>
            <w:gridSpan w:val="3"/>
          </w:tcPr>
          <w:p>
            <w:pPr>
              <w:jc w:val="right"/>
              <w:ind w:right="450"/>
              <w:spacing w:after="0"/>
              <w:rPr>
                <w:sz w:val="20"/>
                <w:szCs w:val="20"/>
                <w:color w:val="auto"/>
              </w:rPr>
            </w:pPr>
            <w:r>
              <w:rPr>
                <w:rFonts w:ascii="Arial" w:cs="Arial" w:eastAsia="Arial" w:hAnsi="Arial"/>
                <w:sz w:val="18"/>
                <w:szCs w:val="18"/>
                <w:color w:val="auto"/>
              </w:rPr>
              <w:t>March 31, 2016</w:t>
            </w:r>
          </w:p>
        </w:tc>
      </w:tr>
      <w:tr>
        <w:trPr>
          <w:trHeight w:val="27"/>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9"/>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2"/>
              </w:rPr>
              <w:t>Fair Value</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11,353</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11,353</w:t>
            </w:r>
          </w:p>
        </w:tc>
        <w:tc>
          <w:tcPr>
            <w:tcW w:w="120" w:type="dxa"/>
            <w:vAlign w:val="bottom"/>
            <w:shd w:val="clear" w:color="auto" w:fill="CEFFE7"/>
          </w:tcPr>
          <w:p>
            <w:pPr>
              <w:spacing w:after="0"/>
              <w:rPr>
                <w:sz w:val="22"/>
                <w:szCs w:val="22"/>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13,580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13,580</w:t>
            </w:r>
          </w:p>
        </w:tc>
        <w:tc>
          <w:tcPr>
            <w:tcW w:w="12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26,046</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26,046</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equivalents </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2,409</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1,839</w:t>
            </w:r>
          </w:p>
        </w:tc>
      </w:tr>
      <w:tr>
        <w:trPr>
          <w:trHeight w:val="270"/>
        </w:trPr>
        <w:tc>
          <w:tcPr>
            <w:tcW w:w="4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color w:val="auto"/>
                <w:vertAlign w:val="superscript"/>
              </w:rPr>
              <w:t>(b)</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50,950</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50,950</w:t>
            </w: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96,600</w:t>
            </w:r>
          </w:p>
        </w:tc>
        <w:tc>
          <w:tcPr>
            <w:tcW w:w="120" w:type="dxa"/>
            <w:vAlign w:val="bottom"/>
            <w:shd w:val="clear" w:color="auto" w:fill="CEFFE7"/>
          </w:tcPr>
          <w:p>
            <w:pPr>
              <w:spacing w:after="0"/>
              <w:rPr>
                <w:sz w:val="23"/>
                <w:szCs w:val="23"/>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215,600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215,600</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7"/>
              </w:rPr>
              <w:t>Long-term debt, including current maturities, net of</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4000" w:type="dxa"/>
            <w:vAlign w:val="bottom"/>
          </w:tcPr>
          <w:p>
            <w:pPr>
              <w:ind w:left="40"/>
              <w:spacing w:after="0" w:line="242"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3,216,473</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3,388,809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3,216,932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3,351,305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3,159,055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3,392,652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left="340" w:right="180" w:hanging="332"/>
        <w:spacing w:after="0" w:line="249"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Carrying value approximates fair value due to either the short-term length of maturity or variable interest rates that approximate prevailing market rates, and therefore is classified in Level 1 in the fair value hierarchy.</w:t>
      </w:r>
    </w:p>
    <w:p>
      <w:pPr>
        <w:ind w:left="340" w:right="30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Notes payable consist of commercial paper borrowings and borrowings on our Revolving Credit Facility. Carrying value approximates fair value due to the short-term length of maturity; since these borrowings are not traded on an exchange, they are classified in Level 2 in the fair value hierarchy.</w:t>
      </w:r>
    </w:p>
    <w:p>
      <w:pPr>
        <w:ind w:left="340" w:right="18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3"/>
          </w:tcPr>
          <w:p>
            <w:pPr>
              <w:jc w:val="right"/>
              <w:ind w:right="290"/>
              <w:spacing w:after="0"/>
              <w:rPr>
                <w:sz w:val="20"/>
                <w:szCs w:val="20"/>
                <w:color w:val="auto"/>
              </w:rPr>
            </w:pPr>
            <w:r>
              <w:rPr>
                <w:rFonts w:ascii="Arial" w:cs="Arial" w:eastAsia="Arial" w:hAnsi="Arial"/>
                <w:sz w:val="18"/>
                <w:szCs w:val="18"/>
                <w:color w:val="auto"/>
              </w:rPr>
              <w:t>Amount Reclassified from AOCI</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380" w:type="dxa"/>
            <w:vAlign w:val="bottom"/>
            <w:vMerge w:val="restart"/>
          </w:tcPr>
          <w:p>
            <w:pPr>
              <w:ind w:left="240"/>
              <w:spacing w:after="0"/>
              <w:rPr>
                <w:sz w:val="20"/>
                <w:szCs w:val="20"/>
                <w:color w:val="auto"/>
              </w:rPr>
            </w:pPr>
            <w:r>
              <w:rPr>
                <w:rFonts w:ascii="Arial" w:cs="Arial" w:eastAsia="Arial" w:hAnsi="Arial"/>
                <w:sz w:val="18"/>
                <w:szCs w:val="18"/>
                <w:color w:val="auto"/>
                <w:w w:val="94"/>
              </w:rPr>
              <w:t>Location on the Condensed Consolidated</w:t>
            </w:r>
          </w:p>
        </w:tc>
        <w:tc>
          <w:tcPr>
            <w:tcW w:w="160" w:type="dxa"/>
            <w:vAlign w:val="bottom"/>
          </w:tcPr>
          <w:p>
            <w:pPr>
              <w:spacing w:after="0"/>
              <w:rPr>
                <w:sz w:val="23"/>
                <w:szCs w:val="23"/>
                <w:color w:val="auto"/>
              </w:rPr>
            </w:pPr>
          </w:p>
        </w:tc>
        <w:tc>
          <w:tcPr>
            <w:tcW w:w="3020" w:type="dxa"/>
            <w:vAlign w:val="bottom"/>
            <w:gridSpan w:val="3"/>
          </w:tcPr>
          <w:p>
            <w:pPr>
              <w:jc w:val="right"/>
              <w:ind w:right="75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380" w:type="dxa"/>
            <w:vAlign w:val="bottom"/>
          </w:tcPr>
          <w:p>
            <w:pPr>
              <w:ind w:left="940"/>
              <w:spacing w:after="0"/>
              <w:rPr>
                <w:sz w:val="20"/>
                <w:szCs w:val="20"/>
                <w:color w:val="auto"/>
              </w:rPr>
            </w:pPr>
            <w:r>
              <w:rPr>
                <w:rFonts w:ascii="Arial" w:cs="Arial" w:eastAsia="Arial" w:hAnsi="Arial"/>
                <w:sz w:val="18"/>
                <w:szCs w:val="18"/>
                <w:color w:val="auto"/>
              </w:rPr>
              <w:t>Statements of Income</w:t>
            </w:r>
          </w:p>
        </w:tc>
        <w:tc>
          <w:tcPr>
            <w:tcW w:w="16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94"/>
              </w:rPr>
              <w:t>March 31, 2017</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w w:val="94"/>
              </w:rPr>
              <w:t>March 31, 2016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Gains and (losses) on cash flow hedges:</w:t>
            </w:r>
          </w:p>
        </w:tc>
        <w:tc>
          <w:tcPr>
            <w:tcW w:w="33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33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29"/>
        </w:trPr>
        <w:tc>
          <w:tcPr>
            <w:tcW w:w="486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3380" w:type="dxa"/>
            <w:vAlign w:val="bottom"/>
          </w:tcPr>
          <w:p>
            <w:pPr>
              <w:ind w:left="100"/>
              <w:spacing w:after="0"/>
              <w:rPr>
                <w:sz w:val="20"/>
                <w:szCs w:val="20"/>
                <w:color w:val="auto"/>
              </w:rPr>
            </w:pPr>
            <w:r>
              <w:rPr>
                <w:rFonts w:ascii="Arial" w:cs="Arial" w:eastAsia="Arial" w:hAnsi="Arial"/>
                <w:sz w:val="18"/>
                <w:szCs w:val="18"/>
                <w:color w:val="auto"/>
                <w:w w:val="96"/>
              </w:rPr>
              <w:t>Fuel, purchased power and cost of natural</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gas sold</w:t>
            </w:r>
          </w:p>
        </w:tc>
        <w:tc>
          <w:tcPr>
            <w:tcW w:w="160" w:type="dxa"/>
            <w:vAlign w:val="bottom"/>
          </w:tcPr>
          <w:p>
            <w:pPr>
              <w:spacing w:after="0"/>
              <w:rPr>
                <w:sz w:val="20"/>
                <w:szCs w:val="20"/>
                <w:color w:val="auto"/>
              </w:rPr>
            </w:pP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EFFE7"/>
            </w:tcBorders>
            <w:shd w:val="clear" w:color="auto" w:fill="CEFFE7"/>
          </w:tcPr>
          <w:p>
            <w:pPr>
              <w:spacing w:after="0"/>
              <w:rPr>
                <w:sz w:val="21"/>
                <w:szCs w:val="21"/>
                <w:color w:val="auto"/>
              </w:rPr>
            </w:pPr>
          </w:p>
        </w:tc>
        <w:tc>
          <w:tcPr>
            <w:tcW w:w="33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3380" w:type="dxa"/>
            <w:vAlign w:val="bottom"/>
          </w:tcPr>
          <w:p>
            <w:pPr>
              <w:ind w:left="10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EFFE7"/>
          </w:tcPr>
          <w:p>
            <w:pPr>
              <w:ind w:left="40"/>
              <w:spacing w:after="0"/>
              <w:rPr>
                <w:sz w:val="20"/>
                <w:szCs w:val="20"/>
                <w:color w:val="auto"/>
              </w:rPr>
            </w:pPr>
            <w:r>
              <w:rPr>
                <w:rFonts w:ascii="Arial" w:cs="Arial" w:eastAsia="Arial" w:hAnsi="Arial"/>
                <w:sz w:val="18"/>
                <w:szCs w:val="18"/>
                <w:color w:val="auto"/>
                <w:w w:val="91"/>
              </w:rPr>
              <w:t>Total reclassification adjustments related to cash flow hedges, net</w:t>
            </w:r>
          </w:p>
        </w:tc>
        <w:tc>
          <w:tcPr>
            <w:tcW w:w="3380" w:type="dxa"/>
            <w:vAlign w:val="bottom"/>
            <w:shd w:val="clear" w:color="auto" w:fill="CEFFE7"/>
          </w:tcPr>
          <w:p>
            <w:pPr>
              <w:spacing w:after="0"/>
              <w:rPr>
                <w:sz w:val="18"/>
                <w:szCs w:val="18"/>
                <w:color w:val="auto"/>
              </w:rPr>
            </w:pPr>
          </w:p>
        </w:tc>
        <w:tc>
          <w:tcPr>
            <w:tcW w:w="1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(282)</w:t>
            </w: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of tax</w:t>
            </w:r>
          </w:p>
        </w:tc>
        <w:tc>
          <w:tcPr>
            <w:tcW w:w="338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auto"/>
            </w:tcBorders>
            <w:vMerge w:val="continue"/>
            <w:shd w:val="clear" w:color="auto" w:fill="CEFFE7"/>
          </w:tcPr>
          <w:p>
            <w:pPr>
              <w:spacing w:after="0"/>
              <w:rPr>
                <w:sz w:val="20"/>
                <w:szCs w:val="20"/>
                <w:color w:val="auto"/>
              </w:rPr>
            </w:pPr>
          </w:p>
        </w:tc>
        <w:tc>
          <w:tcPr>
            <w:tcW w:w="1420" w:type="dxa"/>
            <w:vAlign w:val="bottom"/>
            <w:tcBorders>
              <w:bottom w:val="single" w:sz="8" w:color="auto"/>
            </w:tcBorders>
            <w:vMerge w:val="continue"/>
            <w:shd w:val="clear" w:color="auto" w:fill="CEFFE7"/>
          </w:tcPr>
          <w:p>
            <w:pPr>
              <w:spacing w:after="0"/>
              <w:rPr>
                <w:sz w:val="20"/>
                <w:szCs w:val="20"/>
                <w:color w:val="auto"/>
              </w:rPr>
            </w:pPr>
          </w:p>
        </w:tc>
        <w:tc>
          <w:tcPr>
            <w:tcW w:w="180" w:type="dxa"/>
            <w:vAlign w:val="bottom"/>
            <w:tcBorders>
              <w:bottom w:val="single" w:sz="8" w:color="auto"/>
            </w:tcBorders>
            <w:vMerge w:val="continue"/>
            <w:shd w:val="clear" w:color="auto" w:fill="CEFFE7"/>
          </w:tcPr>
          <w:p>
            <w:pPr>
              <w:spacing w:after="0"/>
              <w:rPr>
                <w:sz w:val="20"/>
                <w:szCs w:val="20"/>
                <w:color w:val="auto"/>
              </w:rPr>
            </w:pPr>
          </w:p>
        </w:tc>
        <w:tc>
          <w:tcPr>
            <w:tcW w:w="142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Amortization of components of defined benefit plans:</w:t>
            </w:r>
          </w:p>
        </w:tc>
        <w:tc>
          <w:tcPr>
            <w:tcW w:w="33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3380" w:type="dxa"/>
            <w:vAlign w:val="bottom"/>
          </w:tcPr>
          <w:p>
            <w:pPr>
              <w:ind w:left="100"/>
              <w:spacing w:after="0"/>
              <w:rPr>
                <w:sz w:val="20"/>
                <w:szCs w:val="20"/>
                <w:color w:val="auto"/>
              </w:rPr>
            </w:pPr>
            <w:r>
              <w:rPr>
                <w:rFonts w:ascii="Arial" w:cs="Arial" w:eastAsia="Arial" w:hAnsi="Arial"/>
                <w:sz w:val="18"/>
                <w:szCs w:val="18"/>
                <w:color w:val="auto"/>
              </w:rPr>
              <w:t>Operations and maintenance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860" w:type="dxa"/>
            <w:vAlign w:val="bottom"/>
            <w:shd w:val="clear" w:color="auto" w:fill="CEFFE7"/>
          </w:tcPr>
          <w:p>
            <w:pPr>
              <w:spacing w:after="0"/>
              <w:rPr>
                <w:sz w:val="24"/>
                <w:szCs w:val="24"/>
                <w:color w:val="auto"/>
              </w:rPr>
            </w:pPr>
          </w:p>
        </w:tc>
        <w:tc>
          <w:tcPr>
            <w:tcW w:w="338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3380" w:type="dxa"/>
            <w:vAlign w:val="bottom"/>
          </w:tcPr>
          <w:p>
            <w:pPr>
              <w:ind w:left="100"/>
              <w:spacing w:after="0"/>
              <w:rPr>
                <w:sz w:val="20"/>
                <w:szCs w:val="20"/>
                <w:color w:val="auto"/>
              </w:rPr>
            </w:pPr>
            <w:r>
              <w:rPr>
                <w:rFonts w:ascii="Arial" w:cs="Arial" w:eastAsia="Arial" w:hAnsi="Arial"/>
                <w:sz w:val="18"/>
                <w:szCs w:val="18"/>
                <w:color w:val="auto"/>
              </w:rPr>
              <w:t>Operations and maintenance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EFFE7"/>
            </w:tcBorders>
            <w:shd w:val="clear" w:color="auto" w:fill="CEFFE7"/>
          </w:tcPr>
          <w:p>
            <w:pPr>
              <w:spacing w:after="0"/>
              <w:rPr>
                <w:sz w:val="22"/>
                <w:szCs w:val="22"/>
                <w:color w:val="auto"/>
              </w:rPr>
            </w:pPr>
          </w:p>
        </w:tc>
        <w:tc>
          <w:tcPr>
            <w:tcW w:w="338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3380" w:type="dxa"/>
            <w:vAlign w:val="bottom"/>
          </w:tcPr>
          <w:p>
            <w:pPr>
              <w:ind w:left="100"/>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shd w:val="clear" w:color="auto" w:fill="CEFFE7"/>
          </w:tcPr>
          <w:p>
            <w:pPr>
              <w:ind w:left="40"/>
              <w:spacing w:after="0"/>
              <w:rPr>
                <w:sz w:val="20"/>
                <w:szCs w:val="20"/>
                <w:color w:val="auto"/>
              </w:rPr>
            </w:pPr>
            <w:r>
              <w:rPr>
                <w:rFonts w:ascii="Arial" w:cs="Arial" w:eastAsia="Arial" w:hAnsi="Arial"/>
                <w:sz w:val="18"/>
                <w:szCs w:val="18"/>
                <w:color w:val="auto"/>
                <w:w w:val="92"/>
              </w:rPr>
              <w:t>Total reclassification adjustments related to defined benefit plans,</w:t>
            </w:r>
          </w:p>
        </w:tc>
        <w:tc>
          <w:tcPr>
            <w:tcW w:w="3380" w:type="dxa"/>
            <w:vAlign w:val="bottom"/>
            <w:shd w:val="clear" w:color="auto" w:fill="CEFFE7"/>
          </w:tcPr>
          <w:p>
            <w:pPr>
              <w:spacing w:after="0"/>
              <w:rPr>
                <w:sz w:val="19"/>
                <w:szCs w:val="19"/>
                <w:color w:val="auto"/>
              </w:rPr>
            </w:pPr>
          </w:p>
        </w:tc>
        <w:tc>
          <w:tcPr>
            <w:tcW w:w="1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(229)</w:t>
            </w: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of tax</w:t>
            </w:r>
          </w:p>
        </w:tc>
        <w:tc>
          <w:tcPr>
            <w:tcW w:w="338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auto"/>
            </w:tcBorders>
            <w:vMerge w:val="continue"/>
            <w:shd w:val="clear" w:color="auto" w:fill="CEFFE7"/>
          </w:tcPr>
          <w:p>
            <w:pPr>
              <w:spacing w:after="0"/>
              <w:rPr>
                <w:sz w:val="20"/>
                <w:szCs w:val="20"/>
                <w:color w:val="auto"/>
              </w:rPr>
            </w:pPr>
          </w:p>
        </w:tc>
        <w:tc>
          <w:tcPr>
            <w:tcW w:w="1420" w:type="dxa"/>
            <w:vAlign w:val="bottom"/>
            <w:tcBorders>
              <w:bottom w:val="single" w:sz="8" w:color="auto"/>
            </w:tcBorders>
            <w:vMerge w:val="continue"/>
            <w:shd w:val="clear" w:color="auto" w:fill="CEFFE7"/>
          </w:tcPr>
          <w:p>
            <w:pPr>
              <w:spacing w:after="0"/>
              <w:rPr>
                <w:sz w:val="20"/>
                <w:szCs w:val="20"/>
                <w:color w:val="auto"/>
              </w:rPr>
            </w:pPr>
          </w:p>
        </w:tc>
        <w:tc>
          <w:tcPr>
            <w:tcW w:w="180" w:type="dxa"/>
            <w:vAlign w:val="bottom"/>
            <w:tcBorders>
              <w:bottom w:val="single" w:sz="8" w:color="auto"/>
            </w:tcBorders>
            <w:vMerge w:val="continue"/>
            <w:shd w:val="clear" w:color="auto" w:fill="CEFFE7"/>
          </w:tcPr>
          <w:p>
            <w:pPr>
              <w:spacing w:after="0"/>
              <w:rPr>
                <w:sz w:val="20"/>
                <w:szCs w:val="20"/>
                <w:color w:val="auto"/>
              </w:rPr>
            </w:pPr>
          </w:p>
        </w:tc>
        <w:tc>
          <w:tcPr>
            <w:tcW w:w="142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60" w:type="dxa"/>
            <w:vAlign w:val="bottom"/>
          </w:tcPr>
          <w:p>
            <w:pPr>
              <w:ind w:left="40"/>
              <w:spacing w:after="0"/>
              <w:rPr>
                <w:sz w:val="20"/>
                <w:szCs w:val="20"/>
                <w:color w:val="auto"/>
              </w:rPr>
            </w:pPr>
            <w:r>
              <w:rPr>
                <w:rFonts w:ascii="Arial" w:cs="Arial" w:eastAsia="Arial" w:hAnsi="Arial"/>
                <w:sz w:val="18"/>
                <w:szCs w:val="18"/>
                <w:color w:val="auto"/>
              </w:rPr>
              <w:t>Total reclassifications</w:t>
            </w:r>
          </w:p>
        </w:tc>
        <w:tc>
          <w:tcPr>
            <w:tcW w:w="33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vMerge w:val="restart"/>
          </w:tcPr>
          <w:p>
            <w:pPr>
              <w:ind w:left="76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gridSpan w:val="4"/>
          </w:tcPr>
          <w:p>
            <w:pPr>
              <w:jc w:val="right"/>
              <w:ind w:right="430"/>
              <w:spacing w:after="0"/>
              <w:rPr>
                <w:sz w:val="20"/>
                <w:szCs w:val="20"/>
                <w:color w:val="auto"/>
              </w:rPr>
            </w:pPr>
            <w:r>
              <w:rPr>
                <w:rFonts w:ascii="Arial" w:cs="Arial" w:eastAsia="Arial" w:hAnsi="Arial"/>
                <w:sz w:val="18"/>
                <w:szCs w:val="18"/>
                <w:color w:val="auto"/>
                <w:w w:val="96"/>
              </w:rPr>
              <w:t>Derivatives Designated as Cash Flow Hedges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2016</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(16,541)</w:t>
            </w:r>
          </w:p>
        </w:tc>
        <w:tc>
          <w:tcPr>
            <w:tcW w:w="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(34,883)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584</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229</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March 31, 2017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(17,588)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(16,312)</w:t>
            </w:r>
          </w:p>
        </w:tc>
        <w:tc>
          <w:tcPr>
            <w:tcW w:w="40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(33,730)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gridSpan w:val="4"/>
          </w:tcPr>
          <w:p>
            <w:pPr>
              <w:jc w:val="right"/>
              <w:ind w:right="430"/>
              <w:spacing w:after="0"/>
              <w:rPr>
                <w:sz w:val="20"/>
                <w:szCs w:val="20"/>
                <w:color w:val="auto"/>
              </w:rPr>
            </w:pPr>
            <w:r>
              <w:rPr>
                <w:rFonts w:ascii="Arial" w:cs="Arial" w:eastAsia="Arial" w:hAnsi="Arial"/>
                <w:sz w:val="18"/>
                <w:szCs w:val="18"/>
                <w:color w:val="auto"/>
                <w:w w:val="96"/>
              </w:rPr>
              <w:t>Derivatives Designated as Cash Flow Hedges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as of December 31, 2015</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7,066</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(15,780)</w:t>
            </w:r>
          </w:p>
        </w:tc>
        <w:tc>
          <w:tcPr>
            <w:tcW w:w="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(9,796)</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1,152</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(2,301)</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286</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March 31, 2016</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(11,248)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5,917</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(15,494)</w:t>
            </w:r>
          </w:p>
        </w:tc>
        <w:tc>
          <w:tcPr>
            <w:tcW w:w="40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(20,825)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180" w:type="dxa"/>
            <w:vAlign w:val="bottom"/>
            <w:gridSpan w:val="3"/>
          </w:tcPr>
          <w:p>
            <w:pPr>
              <w:spacing w:after="0"/>
              <w:rPr>
                <w:sz w:val="20"/>
                <w:szCs w:val="20"/>
                <w:color w:val="auto"/>
              </w:rPr>
            </w:pPr>
            <w:r>
              <w:rPr>
                <w:rFonts w:ascii="Arial" w:cs="Arial" w:eastAsia="Arial" w:hAnsi="Arial"/>
                <w:sz w:val="18"/>
                <w:szCs w:val="18"/>
                <w:color w:val="auto"/>
              </w:rPr>
              <w:t>(14)  SUPPLEMENTAL DISCLOSURE OF CASH FLOW INFORMATION</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00" w:type="dxa"/>
            <w:vAlign w:val="bottom"/>
          </w:tcPr>
          <w:p>
            <w:pPr>
              <w:ind w:left="4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gridSpan w:val="3"/>
          </w:tcPr>
          <w:p>
            <w:pPr>
              <w:jc w:val="right"/>
              <w:ind w:right="150"/>
              <w:spacing w:after="0"/>
              <w:rPr>
                <w:sz w:val="20"/>
                <w:szCs w:val="20"/>
                <w:color w:val="auto"/>
              </w:rPr>
            </w:pPr>
            <w:r>
              <w:rPr>
                <w:rFonts w:ascii="Arial" w:cs="Arial" w:eastAsia="Arial" w:hAnsi="Arial"/>
                <w:sz w:val="18"/>
                <w:szCs w:val="18"/>
                <w:color w:val="auto"/>
              </w:rPr>
              <w:t>March 31, 2017</w:t>
            </w:r>
          </w:p>
        </w:tc>
        <w:tc>
          <w:tcPr>
            <w:tcW w:w="38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March 31, 2016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ind w:left="760"/>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28,358</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30,260</w:t>
            </w: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(paid) refunded during the period —</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(36,362)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taxes, net</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(15)  EMPLOYEE BENEFIT PLANS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The components of net periodic benefit cost for the Defined Benefit Pension Plans were as follows (in thousands):</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8000" w:type="dxa"/>
            <w:vAlign w:val="bottom"/>
          </w:tcPr>
          <w:p>
            <w:pPr>
              <w:spacing w:after="0"/>
              <w:rPr>
                <w:sz w:val="24"/>
                <w:szCs w:val="24"/>
                <w:color w:val="auto"/>
              </w:rPr>
            </w:pPr>
          </w:p>
        </w:tc>
        <w:tc>
          <w:tcPr>
            <w:tcW w:w="342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 March 31,</w:t>
            </w:r>
          </w:p>
        </w:tc>
      </w:tr>
      <w:tr>
        <w:trPr>
          <w:trHeight w:val="270"/>
        </w:trPr>
        <w:tc>
          <w:tcPr>
            <w:tcW w:w="80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800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2,005</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3,880</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3,936</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(6,129)</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(5,765)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100" w:type="dxa"/>
            <w:vAlign w:val="bottom"/>
            <w:tcBorders>
              <w:bottom w:val="single" w:sz="8" w:color="CEFFE7"/>
            </w:tcBorders>
            <w:shd w:val="clear" w:color="auto" w:fill="CEFFE7"/>
          </w:tcPr>
          <w:p>
            <w:pPr>
              <w:spacing w:after="0"/>
              <w:rPr>
                <w:sz w:val="23"/>
                <w:szCs w:val="23"/>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1,002</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1,793</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2,057</w:t>
            </w: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Three Months Ended March 31,</w:t>
            </w:r>
          </w:p>
        </w:tc>
        <w:tc>
          <w:tcPr>
            <w:tcW w:w="500" w:type="dxa"/>
            <w:vAlign w:val="bottom"/>
          </w:tcPr>
          <w:p>
            <w:pPr>
              <w:spacing w:after="0"/>
              <w:rPr>
                <w:sz w:val="20"/>
                <w:szCs w:val="20"/>
                <w:color w:val="auto"/>
              </w:rPr>
            </w:pPr>
          </w:p>
        </w:tc>
      </w:tr>
      <w:tr>
        <w:trPr>
          <w:trHeight w:val="270"/>
        </w:trPr>
        <w:tc>
          <w:tcPr>
            <w:tcW w:w="80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3"/>
                <w:szCs w:val="23"/>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3"/>
                <w:szCs w:val="23"/>
                <w:color w:val="auto"/>
              </w:rPr>
            </w:pPr>
          </w:p>
        </w:tc>
      </w:tr>
      <w:tr>
        <w:trPr>
          <w:trHeight w:val="27"/>
        </w:trPr>
        <w:tc>
          <w:tcPr>
            <w:tcW w:w="8000" w:type="dxa"/>
            <w:vAlign w:val="bottom"/>
            <w:tcBorders>
              <w:bottom w:val="single" w:sz="8" w:color="CEFFE7"/>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20" w:type="dxa"/>
            <w:vAlign w:val="bottom"/>
            <w:tcBorders>
              <w:bottom w:val="single" w:sz="8" w:color="CEFFE7"/>
            </w:tcBorders>
            <w:shd w:val="clear" w:color="auto" w:fill="CEFFE7"/>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603</w:t>
            </w:r>
          </w:p>
        </w:tc>
        <w:tc>
          <w:tcPr>
            <w:tcW w:w="1220" w:type="dxa"/>
            <w:vAlign w:val="bottom"/>
            <w:tcBorders>
              <w:bottom w:val="single" w:sz="8" w:color="CEFFE7"/>
            </w:tcBorders>
            <w:shd w:val="clear" w:color="auto" w:fill="CEFFE7"/>
          </w:tcPr>
          <w:p>
            <w:pPr>
              <w:jc w:val="right"/>
              <w:ind w:right="9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467</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w:t>
            </w:r>
          </w:p>
        </w:tc>
        <w:tc>
          <w:tcPr>
            <w:tcW w:w="12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8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1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w:t>
            </w:r>
          </w:p>
        </w:tc>
        <w:tc>
          <w:tcPr>
            <w:tcW w:w="122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8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12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125</w:t>
            </w:r>
          </w:p>
        </w:tc>
        <w:tc>
          <w:tcPr>
            <w:tcW w:w="1220" w:type="dxa"/>
            <w:vAlign w:val="bottom"/>
            <w:tcBorders>
              <w:bottom w:val="single" w:sz="8" w:color="CEFFE7"/>
            </w:tcBorders>
            <w:shd w:val="clear" w:color="auto" w:fill="CEFFE7"/>
          </w:tcPr>
          <w:p>
            <w:pPr>
              <w:spacing w:after="0"/>
              <w:rPr>
                <w:sz w:val="23"/>
                <w:szCs w:val="23"/>
                <w:color w:val="auto"/>
              </w:rPr>
            </w:pPr>
          </w:p>
        </w:tc>
        <w:tc>
          <w:tcPr>
            <w:tcW w:w="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2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w:t>
            </w:r>
          </w:p>
        </w:tc>
      </w:tr>
      <w:tr>
        <w:trPr>
          <w:trHeight w:val="20"/>
        </w:trPr>
        <w:tc>
          <w:tcPr>
            <w:tcW w:w="8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960" w:type="dxa"/>
            <w:vAlign w:val="bottom"/>
            <w:gridSpan w:val="3"/>
          </w:tcPr>
          <w:p>
            <w:pPr>
              <w:jc w:val="right"/>
              <w:spacing w:after="0"/>
              <w:rPr>
                <w:sz w:val="20"/>
                <w:szCs w:val="20"/>
                <w:color w:val="auto"/>
              </w:rPr>
            </w:pPr>
            <w:r>
              <w:rPr>
                <w:rFonts w:ascii="Arial" w:cs="Arial" w:eastAsia="Arial" w:hAnsi="Arial"/>
                <w:sz w:val="18"/>
                <w:szCs w:val="18"/>
                <w:color w:val="auto"/>
              </w:rPr>
              <w:t>Three Months Ended March 31,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EFFE7"/>
            </w:tcBorders>
          </w:tcPr>
          <w:p>
            <w:pPr>
              <w:spacing w:after="0"/>
              <w:rPr>
                <w:sz w:val="2"/>
                <w:szCs w:val="2"/>
                <w:color w:val="auto"/>
              </w:rPr>
            </w:pPr>
          </w:p>
        </w:tc>
        <w:tc>
          <w:tcPr>
            <w:tcW w:w="4280" w:type="dxa"/>
            <w:vAlign w:val="bottom"/>
            <w:tcBorders>
              <w:bottom w:val="single" w:sz="8" w:color="CEFFE7"/>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5400" w:type="dxa"/>
            <w:vAlign w:val="bottom"/>
            <w:tcBorders>
              <w:bottom w:val="single" w:sz="8" w:color="CEFFE7"/>
            </w:tcBorders>
            <w:gridSpan w:val="2"/>
            <w:shd w:val="clear" w:color="auto" w:fill="CEFFE7"/>
          </w:tcPr>
          <w:p>
            <w:pPr>
              <w:jc w:val="right"/>
              <w:ind w:right="9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827</w:t>
            </w:r>
          </w:p>
        </w:tc>
        <w:tc>
          <w:tcPr>
            <w:tcW w:w="1280" w:type="dxa"/>
            <w:vAlign w:val="bottom"/>
            <w:tcBorders>
              <w:bottom w:val="single" w:sz="8" w:color="CEFFE7"/>
            </w:tcBorders>
            <w:shd w:val="clear" w:color="auto" w:fill="CEFFE7"/>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4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w:t>
            </w:r>
          </w:p>
        </w:tc>
        <w:tc>
          <w:tcPr>
            <w:tcW w:w="12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Prior service cost</w:t>
            </w:r>
          </w:p>
        </w:tc>
        <w:tc>
          <w:tcPr>
            <w:tcW w:w="42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4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12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EFFE7"/>
            </w:tcBorders>
          </w:tcPr>
          <w:p>
            <w:pPr>
              <w:spacing w:after="0"/>
              <w:rPr>
                <w:sz w:val="2"/>
                <w:szCs w:val="2"/>
                <w:color w:val="auto"/>
              </w:rPr>
            </w:pPr>
          </w:p>
        </w:tc>
        <w:tc>
          <w:tcPr>
            <w:tcW w:w="4280" w:type="dxa"/>
            <w:vAlign w:val="bottom"/>
            <w:tcBorders>
              <w:bottom w:val="single" w:sz="8" w:color="CEFFE7"/>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EFFE7"/>
          </w:tcPr>
          <w:p>
            <w:pPr>
              <w:ind w:left="40"/>
              <w:spacing w:after="0"/>
              <w:rPr>
                <w:sz w:val="20"/>
                <w:szCs w:val="20"/>
                <w:color w:val="auto"/>
              </w:rPr>
            </w:pPr>
            <w:r>
              <w:rPr>
                <w:rFonts w:ascii="Arial" w:cs="Arial" w:eastAsia="Arial" w:hAnsi="Arial"/>
                <w:sz w:val="18"/>
                <w:szCs w:val="18"/>
                <w:color w:val="auto"/>
              </w:rPr>
              <w:t>Net periodic benefit cost</w:t>
            </w:r>
          </w:p>
        </w:tc>
        <w:tc>
          <w:tcPr>
            <w:tcW w:w="5400" w:type="dxa"/>
            <w:vAlign w:val="bottom"/>
            <w:gridSpan w:val="2"/>
            <w:shd w:val="clear" w:color="auto" w:fill="CEFFE7"/>
          </w:tcPr>
          <w:p>
            <w:pPr>
              <w:jc w:val="right"/>
              <w:ind w:right="9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1,397</w:t>
            </w:r>
          </w:p>
        </w:tc>
        <w:tc>
          <w:tcPr>
            <w:tcW w:w="1280" w:type="dxa"/>
            <w:vAlign w:val="bottom"/>
            <w:shd w:val="clear" w:color="auto" w:fill="CEFFE7"/>
          </w:tcPr>
          <w:p>
            <w:pPr>
              <w:jc w:val="right"/>
              <w:ind w:right="10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3720" w:type="dxa"/>
            <w:vAlign w:val="bottom"/>
            <w:tcBorders>
              <w:top w:val="single" w:sz="8" w:color="CEFFE7"/>
            </w:tcBorders>
          </w:tcPr>
          <w:p>
            <w:pPr>
              <w:spacing w:after="0" w:line="20" w:lineRule="exact"/>
              <w:rPr>
                <w:sz w:val="1"/>
                <w:szCs w:val="1"/>
                <w:color w:val="auto"/>
              </w:rPr>
            </w:pPr>
          </w:p>
        </w:tc>
        <w:tc>
          <w:tcPr>
            <w:tcW w:w="4280" w:type="dxa"/>
            <w:vAlign w:val="bottom"/>
            <w:tcBorders>
              <w:top w:val="single" w:sz="8" w:color="CEFFE7"/>
              <w:bottom w:val="single" w:sz="8" w:color="CEFFE7"/>
            </w:tcBorders>
            <w:vMerge w:val="restart"/>
          </w:tcPr>
          <w:p>
            <w:pPr>
              <w:jc w:val="right"/>
              <w:ind w:right="2110"/>
              <w:spacing w:after="0"/>
              <w:rPr>
                <w:sz w:val="20"/>
                <w:szCs w:val="20"/>
                <w:color w:val="auto"/>
              </w:rPr>
            </w:pPr>
            <w:r>
              <w:rPr>
                <w:rFonts w:ascii="Arial" w:cs="Arial" w:eastAsia="Arial" w:hAnsi="Arial"/>
                <w:sz w:val="18"/>
                <w:szCs w:val="18"/>
                <w:color w:val="auto"/>
              </w:rPr>
              <w:t>32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Contributions to the Defined Benefit Pension Plan are cash contributions made directly to the Pension Plan Trust accounts. Contributions to the Healthcare and Supplemental Plans are made in the form of benefit payments. Contributions made in 2017 and anticipated contributions for 2017 and 2018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Additional</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90"/>
              <w:spacing w:after="0"/>
              <w:rPr>
                <w:sz w:val="20"/>
                <w:szCs w:val="20"/>
                <w:color w:val="auto"/>
              </w:rPr>
            </w:pPr>
            <w:r>
              <w:rPr>
                <w:rFonts w:ascii="Arial" w:cs="Arial" w:eastAsia="Arial" w:hAnsi="Arial"/>
                <w:sz w:val="18"/>
                <w:szCs w:val="18"/>
                <w:color w:val="auto"/>
                <w:w w:val="92"/>
              </w:rPr>
              <w:t>Contributions Made</w:t>
            </w:r>
          </w:p>
        </w:tc>
        <w:tc>
          <w:tcPr>
            <w:tcW w:w="24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9"/>
              </w:rPr>
              <w:t>Contributions</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9"/>
              </w:rPr>
              <w:t>Contributions</w:t>
            </w:r>
          </w:p>
        </w:tc>
      </w:tr>
      <w:tr>
        <w:trPr>
          <w:trHeight w:val="256"/>
        </w:trPr>
        <w:tc>
          <w:tcPr>
            <w:tcW w:w="6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w w:val="94"/>
              </w:rPr>
              <w:t>Anticipated for 2017</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4"/>
              </w:rPr>
              <w:t>Anticipated for 2018</w:t>
            </w:r>
          </w:p>
        </w:tc>
      </w:tr>
      <w:tr>
        <w:trPr>
          <w:trHeight w:val="230"/>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70"/>
              <w:spacing w:after="0"/>
              <w:rPr>
                <w:sz w:val="20"/>
                <w:szCs w:val="20"/>
                <w:color w:val="auto"/>
              </w:rPr>
            </w:pPr>
            <w:r>
              <w:rPr>
                <w:rFonts w:ascii="Arial" w:cs="Arial" w:eastAsia="Arial" w:hAnsi="Arial"/>
                <w:sz w:val="18"/>
                <w:szCs w:val="18"/>
                <w:color w:val="auto"/>
                <w:w w:val="91"/>
              </w:rPr>
              <w:t>March 31, 2017</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1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Defined Benefit Pension Plans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10,200</w:t>
            </w:r>
          </w:p>
        </w:tc>
        <w:tc>
          <w:tcPr>
            <w:tcW w:w="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10,200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Non-pension Defined Benefit Postretirement Healthcare Plans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1,270</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3,811</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5,115</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6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 Benefit and Defined Contribution Plans</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61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COMMITMENTS AND CONTINGENCIES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have been no significant changes to commitments and contingencies from those previously disclosed in Note 19 of our Notes to the Consolidated Financial Statements in our 2016 Annual Report on Form 10-K except for those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Revolving Credit Facility and other debt obligations contain restrictions on the payment of cash dividends upon a default or event of default. As of March 31, 2017, we were in compliance with the debt covenants.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Due to our holding company structure, substantially all of our operating cash flows are provided by dividends paid or distributions made by our subsidiaries. The cash to pay dividends to our stockholders is derived from these cash flows. As a result, certain statutory limitations or regulatory or financing agreements could affect the levels of distributions allowed to be made by our subsidiaries.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utilities are generally limited to the amount of dividends allowed to be paid to us as a utility holding company under the Federal Power Act and settlement agreements with state regulatory jurisdictions and financing agreements. As of March 31, 2017, the restricted net assets at our Electric Utilities and Gas Utilities were approximately $257 million.</w:t>
      </w:r>
    </w:p>
    <w:p>
      <w:pPr>
        <w:spacing w:after="0" w:line="181" w:lineRule="exact"/>
        <w:rPr>
          <w:sz w:val="20"/>
          <w:szCs w:val="20"/>
          <w:color w:val="auto"/>
        </w:rPr>
      </w:pPr>
    </w:p>
    <w:p>
      <w:pPr>
        <w:ind w:right="8840" w:firstLine="8"/>
        <w:spacing w:after="0" w:line="501"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IMPAIRMENT OF ASSETS </w:t>
      </w:r>
      <w:r>
        <w:rPr>
          <w:rFonts w:ascii="Arial" w:cs="Arial" w:eastAsia="Arial" w:hAnsi="Arial"/>
          <w:sz w:val="18"/>
          <w:szCs w:val="18"/>
          <w:u w:val="single" w:color="auto"/>
          <w:color w:val="auto"/>
        </w:rPr>
        <w:t>Long-lived Assets</w:t>
      </w:r>
    </w:p>
    <w:p>
      <w:pPr>
        <w:ind w:right="20"/>
        <w:spacing w:after="0" w:line="276" w:lineRule="auto"/>
        <w:rPr>
          <w:sz w:val="20"/>
          <w:szCs w:val="20"/>
          <w:color w:val="auto"/>
        </w:rPr>
      </w:pPr>
      <w:r>
        <w:rPr>
          <w:rFonts w:ascii="Arial" w:cs="Arial" w:eastAsia="Arial" w:hAnsi="Arial"/>
          <w:sz w:val="17"/>
          <w:szCs w:val="17"/>
          <w:color w:val="auto"/>
        </w:rPr>
        <w:t>Our Oil and Gas segment accounts for oil and gas activities under the full cost method of accounting. Under the full cost method, all productive and non-productive costs related to acquisition, exploration, development, abandonment and reclamation activities are capitalized. These capitalized costs, less accumulated amortization and related deferred income taxes, are subject to a ceiling test which limits the pooled costs to the aggregate of the discounted value of future net revenue attributable to proved natural gas and crude oil reserves using a discount rate defined by the SEC plus the lower of cost or market value of unevaluated properties. Any costs in excess of the ceiling are written off as a non-cash charge.</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determining the ceiling value of our assets under the full cost accounting rules of the SEC, we utilized the average of the quoted prices from the first day of each month from the previous 12 months. At March 31, 2017, the average NYMEX natural gas price was $2.73 per Mcf, adjusted to $2.48 per Mcf at the wellhead; the average NYMEX crude oil price was $47.61 per barrel, adjusted to $42.81 per barrel at the wellhead. There were no impairments for the three months ended March 31, 2017. At March 31, 2016, the average NYMEX natural gas price was $2.40 per Mcf, adjusted to $1.13 per Mcf at the wellhead; the average NYMEX crude oil price was $46.26 per barrel, adjusted to $39.80 per barrel at the wellhead. During the three months ended March 31, 2016, we recorded a pre-tax non-cash impairment of oil and gas assets included in our Oil and Gas segment of $14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(18)  INCOME TAXES</w:t>
            </w:r>
          </w:p>
        </w:tc>
        <w:tc>
          <w:tcPr>
            <w:tcW w:w="2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tcPr>
          <w:p>
            <w:pPr>
              <w:spacing w:after="0"/>
              <w:rPr>
                <w:sz w:val="20"/>
                <w:szCs w:val="20"/>
                <w:color w:val="auto"/>
              </w:rPr>
            </w:pPr>
            <w:r>
              <w:rPr>
                <w:rFonts w:ascii="Arial" w:cs="Arial" w:eastAsia="Arial" w:hAnsi="Arial"/>
                <w:sz w:val="18"/>
                <w:szCs w:val="18"/>
                <w:color w:val="auto"/>
              </w:rPr>
              <w:t>The effective tax rate differs from the federal statutory rate as follows:</w:t>
            </w: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20" w:type="dxa"/>
            <w:vAlign w:val="bottom"/>
          </w:tcPr>
          <w:p>
            <w:pPr>
              <w:spacing w:after="0"/>
              <w:rPr>
                <w:sz w:val="24"/>
                <w:szCs w:val="24"/>
                <w:color w:val="auto"/>
              </w:rPr>
            </w:pPr>
          </w:p>
        </w:tc>
        <w:tc>
          <w:tcPr>
            <w:tcW w:w="3600" w:type="dxa"/>
            <w:vAlign w:val="bottom"/>
            <w:gridSpan w:val="2"/>
          </w:tcPr>
          <w:p>
            <w:pPr>
              <w:jc w:val="right"/>
              <w:ind w:right="55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7820" w:type="dxa"/>
            <w:vAlign w:val="bottom"/>
          </w:tcPr>
          <w:p>
            <w:pPr>
              <w:ind w:left="40"/>
              <w:spacing w:after="0"/>
              <w:rPr>
                <w:sz w:val="20"/>
                <w:szCs w:val="20"/>
                <w:color w:val="auto"/>
              </w:rPr>
            </w:pPr>
            <w:r>
              <w:rPr>
                <w:rFonts w:ascii="Arial" w:cs="Arial" w:eastAsia="Arial" w:hAnsi="Arial"/>
                <w:sz w:val="18"/>
                <w:szCs w:val="18"/>
                <w:color w:val="auto"/>
              </w:rPr>
              <w:t>Tax (benefit) expense</w:t>
            </w:r>
          </w:p>
        </w:tc>
        <w:tc>
          <w:tcPr>
            <w:tcW w:w="2140" w:type="dxa"/>
            <w:vAlign w:val="bottom"/>
          </w:tcPr>
          <w:p>
            <w:pPr>
              <w:jc w:val="right"/>
              <w:ind w:right="970"/>
              <w:spacing w:after="0"/>
              <w:rPr>
                <w:sz w:val="20"/>
                <w:szCs w:val="20"/>
                <w:color w:val="auto"/>
              </w:rPr>
            </w:pPr>
            <w:r>
              <w:rPr>
                <w:rFonts w:ascii="Arial" w:cs="Arial" w:eastAsia="Arial" w:hAnsi="Arial"/>
                <w:sz w:val="18"/>
                <w:szCs w:val="18"/>
                <w:color w:val="auto"/>
              </w:rPr>
              <w:t>2017</w:t>
            </w: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 statutory rate</w:t>
            </w:r>
          </w:p>
        </w:tc>
        <w:tc>
          <w:tcPr>
            <w:tcW w:w="21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35.0 %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State income tax (net of federal tax effect) </w:t>
            </w:r>
            <w:r>
              <w:rPr>
                <w:rFonts w:ascii="Arial" w:cs="Arial" w:eastAsia="Arial" w:hAnsi="Arial"/>
                <w:sz w:val="25"/>
                <w:szCs w:val="25"/>
                <w:color w:val="auto"/>
                <w:vertAlign w:val="superscript"/>
              </w:rPr>
              <w:t>(a)</w:t>
            </w: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1.3</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78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Percentage depletion in excess of cost </w:t>
            </w:r>
            <w:r>
              <w:rPr>
                <w:rFonts w:ascii="Arial" w:cs="Arial" w:eastAsia="Arial" w:hAnsi="Arial"/>
                <w:sz w:val="25"/>
                <w:szCs w:val="25"/>
                <w:color w:val="auto"/>
                <w:vertAlign w:val="superscript"/>
              </w:rPr>
              <w:t>(b)</w:t>
            </w:r>
          </w:p>
        </w:tc>
        <w:tc>
          <w:tcPr>
            <w:tcW w:w="214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(0.4)</w:t>
            </w:r>
          </w:p>
        </w:tc>
        <w:tc>
          <w:tcPr>
            <w:tcW w:w="14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Accounting for uncertain tax positions adjustment </w:t>
            </w:r>
            <w:r>
              <w:rPr>
                <w:rFonts w:ascii="Arial" w:cs="Arial" w:eastAsia="Arial" w:hAnsi="Arial"/>
                <w:sz w:val="25"/>
                <w:szCs w:val="25"/>
                <w:color w:val="auto"/>
                <w:vertAlign w:val="superscript"/>
              </w:rPr>
              <w:t>(c)</w:t>
            </w: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78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(d)</w:t>
            </w:r>
          </w:p>
        </w:tc>
        <w:tc>
          <w:tcPr>
            <w:tcW w:w="214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(1.1)</w:t>
            </w:r>
          </w:p>
        </w:tc>
        <w:tc>
          <w:tcPr>
            <w:tcW w:w="14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IRC 172(f) carryback claim </w:t>
            </w:r>
            <w:r>
              <w:rPr>
                <w:rFonts w:ascii="Arial" w:cs="Arial" w:eastAsia="Arial" w:hAnsi="Arial"/>
                <w:sz w:val="25"/>
                <w:szCs w:val="25"/>
                <w:color w:val="auto"/>
                <w:vertAlign w:val="superscript"/>
              </w:rPr>
              <w:t>(e)</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Tax Credits </w:t>
            </w:r>
            <w:r>
              <w:rPr>
                <w:rFonts w:ascii="Arial" w:cs="Arial" w:eastAsia="Arial" w:hAnsi="Arial"/>
                <w:sz w:val="25"/>
                <w:szCs w:val="25"/>
                <w:color w:val="auto"/>
                <w:vertAlign w:val="superscript"/>
              </w:rPr>
              <w:t>(f)</w:t>
            </w:r>
          </w:p>
        </w:tc>
        <w:tc>
          <w:tcPr>
            <w:tcW w:w="214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(1.2)</w:t>
            </w:r>
          </w:p>
        </w:tc>
        <w:tc>
          <w:tcPr>
            <w:tcW w:w="14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Effective tax rate adjustment </w:t>
            </w:r>
            <w:r>
              <w:rPr>
                <w:rFonts w:ascii="Arial" w:cs="Arial" w:eastAsia="Arial" w:hAnsi="Arial"/>
                <w:sz w:val="25"/>
                <w:szCs w:val="25"/>
                <w:color w:val="auto"/>
                <w:vertAlign w:val="superscript"/>
              </w:rPr>
              <w:t>(g)</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(2.4)</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Transaction costs</w:t>
            </w:r>
          </w:p>
        </w:tc>
        <w:tc>
          <w:tcPr>
            <w:tcW w:w="214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Other tax differences</w:t>
            </w: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EFFE7"/>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EFFE7"/>
            </w:tcBorders>
            <w:shd w:val="clear" w:color="auto" w:fill="CEFFE7"/>
          </w:tcPr>
          <w:p>
            <w:pPr>
              <w:spacing w:after="0"/>
              <w:rPr>
                <w:sz w:val="22"/>
                <w:szCs w:val="22"/>
                <w:color w:val="auto"/>
              </w:rPr>
            </w:pPr>
          </w:p>
        </w:tc>
        <w:tc>
          <w:tcPr>
            <w:tcW w:w="21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29.4 %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78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w:t>
            </w: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state income tax benefit is primarily attributable to favorable flow-through adjustments.</w:t>
      </w:r>
    </w:p>
    <w:p>
      <w:pPr>
        <w:spacing w:after="0" w:line="9" w:lineRule="exact"/>
        <w:rPr>
          <w:rFonts w:ascii="Arial" w:cs="Arial" w:eastAsia="Arial" w:hAnsi="Arial"/>
          <w:sz w:val="16"/>
          <w:szCs w:val="16"/>
          <w:color w:val="auto"/>
        </w:rPr>
      </w:pPr>
    </w:p>
    <w:p>
      <w:pPr>
        <w:ind w:left="340" w:right="36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tax benefit for the three months ended March 31, 2016 relates to additional percentage depletion deductions that are being claimed with respect to the oil and gas properties involving prior tax years. Such deductions are primarily the result of a change in the application of the maximum daily limitation of 1,000 barrels of oil equivalent as allowed under the Internal Revenue Code.</w:t>
      </w:r>
    </w:p>
    <w:p>
      <w:pPr>
        <w:spacing w:after="0" w:line="1" w:lineRule="exact"/>
        <w:rPr>
          <w:rFonts w:ascii="Arial" w:cs="Arial" w:eastAsia="Arial" w:hAnsi="Arial"/>
          <w:sz w:val="16"/>
          <w:szCs w:val="16"/>
          <w:color w:val="auto"/>
        </w:rPr>
      </w:pPr>
    </w:p>
    <w:p>
      <w:pPr>
        <w:jc w:val="both"/>
        <w:ind w:left="340" w:right="140" w:hanging="332"/>
        <w:spacing w:after="0" w:line="263"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tax benefit for the three months ended March 31, 2016 relates to the release of after-tax interest expense that was previously accrued with respect to the liability for uncertain tax positions involving the like-kind exchange transaction effectuated in connection with the IPP Transaction and Aquila Transaction that occurred in 2008. In addition, the tax benefit includes the release of reserves involving research and development credits and deductions. Both adjustments are the result of a re-measurement of the liability for uncertain tax positions predicated on an agreement reached with IRS Appeals in early 2016.</w:t>
      </w:r>
    </w:p>
    <w:p>
      <w:pPr>
        <w:ind w:left="340" w:right="100" w:hanging="332"/>
        <w:spacing w:after="0" w:line="263"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Black Hills Colorado IPP went from a single member LLC, wholly-owned by Black Hills Electric Generation, to a partnership as a result of the sale of 49.9 percent of its membership interest in April 2016. The effective tax rate reflects the income attributable to the noncontrolling interest for which a tax provision is not recorded.</w:t>
      </w:r>
    </w:p>
    <w:p>
      <w:pPr>
        <w:ind w:left="340" w:right="18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Q1 2017, the Company filed amended income tax returns for the years 2006 through 2008 to carryback specified liability losses in accordance with IRC172(f). As a result of filing the amended returns, the Company's accrued tax liability interest decreased, certain valuation allowances increased and the previously recorded domestic production activities deduction decreased.</w:t>
      </w:r>
    </w:p>
    <w:p>
      <w:pPr>
        <w:spacing w:after="0" w:line="1"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tax credits for the three months ended March 31, 2017 are the result of Colorado Electric placing the Peak View Wind Project into service in November 2016. Peak View began generating production tax credits during the fourth quarter of 2016.</w:t>
      </w: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Adjustment to reflect our projected annual effective tax rate, pursuant to ASC 740-270.</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quarter of 2016, we reached an agreement in principle with IRS Appeals in regards to the like-kind exchange transaction associated with the gain deferred from the tax treatment related to the 2008 IPP Transaction and the Aquila Transaction. An agreement in principle was also reached with respect to research and development credits and deductions. Both issues were the subject of an IRS Appeals process involving the 2007 to 2009 tax years. We reversed approximately $35 million of the liability for unrecognized tax benefits, including interest, during the first quarter of 2016. The vast majority of such reversal was to restore accumulated deferred income taxes. We reversed accrued after-tax interest expense and tax credits of approximately $5.1 million associated with these liabilities in the first quarter of 2016. The cash taxes due as a result of the agreement in principle with IRS Appeals is estimated to be $8.0 million excluding interest.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tabs>
          <w:tab w:leader="none" w:pos="460" w:val="left"/>
        </w:tabs>
        <w:rPr>
          <w:sz w:val="20"/>
          <w:szCs w:val="20"/>
          <w:color w:val="auto"/>
        </w:rPr>
      </w:pPr>
      <w:r>
        <w:rPr>
          <w:rFonts w:ascii="Arial" w:cs="Arial" w:eastAsia="Arial" w:hAnsi="Arial"/>
          <w:sz w:val="18"/>
          <w:szCs w:val="18"/>
          <w:color w:val="auto"/>
        </w:rPr>
        <w:t>(19)</w:t>
        <w:tab/>
        <w:t>ACCRUED LIABILITIES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in the accompanying Condensed Consolidated Balance Sheets (in thousands) as of:</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0" w:type="dxa"/>
            <w:vAlign w:val="bottom"/>
          </w:tcPr>
          <w:p>
            <w:pPr>
              <w:spacing w:after="0"/>
              <w:rPr>
                <w:sz w:val="24"/>
                <w:szCs w:val="24"/>
                <w:color w:val="auto"/>
              </w:rPr>
            </w:pPr>
          </w:p>
        </w:tc>
        <w:tc>
          <w:tcPr>
            <w:tcW w:w="5540" w:type="dxa"/>
            <w:vAlign w:val="bottom"/>
            <w:tcBorders>
              <w:bottom w:val="single" w:sz="8" w:color="CEFFE7"/>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March 31, 2017</w:t>
            </w: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December 31, 2016</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 xml:space="preserve">March 31, 2016 </w:t>
            </w:r>
            <w:r>
              <w:rPr>
                <w:rFonts w:ascii="Arial" w:cs="Arial" w:eastAsia="Arial" w:hAnsi="Arial"/>
                <w:sz w:val="25"/>
                <w:szCs w:val="25"/>
                <w:color w:val="auto"/>
                <w:w w:val="93"/>
                <w:vertAlign w:val="superscript"/>
              </w:rPr>
              <w:t>(b)</w:t>
            </w: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employee compensation, benefits and withholdings</w:t>
            </w: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47,361</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56,926</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50,345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Accrued property taxes</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41,675</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40,004</w:t>
            </w:r>
          </w:p>
        </w:tc>
        <w:tc>
          <w:tcPr>
            <w:tcW w:w="2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40,638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54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Gas-gathering contract </w:t>
            </w:r>
            <w:r>
              <w:rPr>
                <w:rFonts w:ascii="Arial" w:cs="Arial" w:eastAsia="Arial" w:hAnsi="Arial"/>
                <w:sz w:val="25"/>
                <w:szCs w:val="25"/>
                <w:color w:val="auto"/>
                <w:vertAlign w:val="superscript"/>
              </w:rPr>
              <w:t>(a)</w:t>
            </w:r>
          </w:p>
        </w:tc>
        <w:tc>
          <w:tcPr>
            <w:tcW w:w="240" w:type="dxa"/>
            <w:vAlign w:val="bottom"/>
            <w:shd w:val="clear" w:color="auto" w:fill="CEFFE7"/>
          </w:tcPr>
          <w:p>
            <w:pPr>
              <w:spacing w:after="0"/>
              <w:rPr>
                <w:sz w:val="23"/>
                <w:szCs w:val="23"/>
                <w:color w:val="auto"/>
              </w:rPr>
            </w:pP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EFFE7"/>
          </w:tcPr>
          <w:p>
            <w:pPr>
              <w:spacing w:after="0"/>
              <w:rPr>
                <w:sz w:val="23"/>
                <w:szCs w:val="23"/>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EFFE7"/>
          </w:tcPr>
          <w:p>
            <w:pPr>
              <w:spacing w:after="0"/>
              <w:rPr>
                <w:sz w:val="23"/>
                <w:szCs w:val="23"/>
                <w:color w:val="auto"/>
              </w:rPr>
            </w:pPr>
          </w:p>
        </w:tc>
        <w:tc>
          <w:tcPr>
            <w:tcW w:w="1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39,944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Customer deposits and prepayments</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39,288</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51,628</w:t>
            </w:r>
          </w:p>
        </w:tc>
        <w:tc>
          <w:tcPr>
            <w:tcW w:w="2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42,573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interest and contract adjustment payments</w:t>
            </w:r>
          </w:p>
        </w:tc>
        <w:tc>
          <w:tcPr>
            <w:tcW w:w="24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30,488</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45,503</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33,381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CIAC current portion</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1,575</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20,466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(none of which is individually significant)</w:t>
            </w:r>
          </w:p>
        </w:tc>
        <w:tc>
          <w:tcPr>
            <w:tcW w:w="24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43,080</w:t>
            </w:r>
          </w:p>
        </w:tc>
        <w:tc>
          <w:tcPr>
            <w:tcW w:w="22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49,973</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540" w:type="dxa"/>
            <w:vAlign w:val="bottom"/>
          </w:tcPr>
          <w:p>
            <w:pPr>
              <w:ind w:left="26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203,467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244,034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272,181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4710"/>
              <w:spacing w:after="0"/>
              <w:rPr>
                <w:sz w:val="20"/>
                <w:szCs w:val="20"/>
                <w:color w:val="auto"/>
              </w:rPr>
            </w:pPr>
            <w:r>
              <w:rPr>
                <w:rFonts w:ascii="Arial" w:cs="Arial" w:eastAsia="Arial" w:hAnsi="Arial"/>
                <w:sz w:val="18"/>
                <w:szCs w:val="18"/>
                <w:color w:val="auto"/>
                <w:w w:val="88"/>
              </w:rPr>
              <w:t>_________</w:t>
            </w: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contract was settled on April 29, 2016.</w:t>
      </w:r>
    </w:p>
    <w:p>
      <w:pPr>
        <w:spacing w:after="0" w:line="9"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conform with the March 31, 2017 and December 31, 2016 presentation of accrued liabilities, the accrued employee compensation, benefits and withholdings, customer deposits and prepayments, accrued interest and contract adjustment payments and other line items presented above have been reclassified within the disclosure. These changes had no effect on total accrued liabilities.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584" w:right="27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financial segments: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u w:val="single" w:color="auto"/>
          <w:color w:val="auto"/>
        </w:rPr>
        <w:t>Electric Utilities</w:t>
      </w:r>
      <w:r>
        <w:rPr>
          <w:rFonts w:ascii="Arial" w:cs="Arial" w:eastAsia="Arial" w:hAnsi="Arial"/>
          <w:sz w:val="17"/>
          <w:szCs w:val="17"/>
          <w:color w:val="auto"/>
        </w:rPr>
        <w:t>: Our Electric Utilities segment generates, transmits and distributes electricity to approximately 208,500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66"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u w:val="single" w:color="auto"/>
          <w:color w:val="auto"/>
        </w:rPr>
        <w:t>Gas Utilities</w:t>
      </w:r>
      <w:r>
        <w:rPr>
          <w:rFonts w:ascii="Arial" w:cs="Arial" w:eastAsia="Arial" w:hAnsi="Arial"/>
          <w:sz w:val="16"/>
          <w:szCs w:val="16"/>
          <w:color w:val="auto"/>
        </w:rPr>
        <w:t>: Our Gas Utilities conduct natural gas utility operations through our Arkansas, Colorado, Iowa, Kansas, Nebraska and Wyoming subsidiaries. Our Gas Utilities distribute and transport natural gas through our pipeline network to approximately 1,030,800 natural gas customers. Additionally, we sell temporarily-available, contractual pipeline capacity and gas commodities to other utilities and marketing companies, including our affiliates.</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also provide non-regulated services through Black Hills Energy Services. Black Hills Energy Services provides approximately 55,000 retail distribution customers in Nebraska and Wyoming with unbundled natural gas commodity offerings under the regulatory-approved Choice Gas Program. We also sell, install and service air, heating and water-heating equipment, and provide associated repair service and protection plans under various trade names. Service Guard and CAPP primarily provide appliance repair services to approximately 61,000 and 33,000 residential customers, respectively, through Company technicians and third-party service providers, typically through on-going monthly service agreements. Tech Services primarily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generating plants and sells the electric capacity and energy principally to our utilities under long-term contracts.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produces coal at our coal mine near Gillette, Wyoming and sells the coal primarily to on-site, mine-mouth power generation facilities.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Oil and Gas</w:t>
      </w:r>
      <w:r>
        <w:rPr>
          <w:rFonts w:ascii="Arial" w:cs="Arial" w:eastAsia="Arial" w:hAnsi="Arial"/>
          <w:sz w:val="18"/>
          <w:szCs w:val="18"/>
          <w:color w:val="auto"/>
        </w:rPr>
        <w:t>: Our Oil and Gas segment engages in the production of crude oil and natural gas, primarily in the Rocky Mountain region. We are divesting non-core oil and gas assets while retaining those best suited for a cost of service gas program and we have refocused our professional staff on assisting our utilities with the implementation of a cost of service gas program.</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months ended March 31, 2017 and 2016, and our financial condition as of March 31, 2017, December 31, 2016 and March 31, 2016, are not necessarily indicative of the results of operations and financial condition to be expected as of or for any other period or for the entire year.</w:t>
      </w:r>
    </w:p>
    <w:p>
      <w:pPr>
        <w:spacing w:after="0" w:line="351"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See Forward-Looking Information in the Liquidity and Capital Resources section of this Item 2, beginning on Page </w:t>
      </w:r>
      <w:hyperlink w:anchor="page64">
        <w:r>
          <w:rPr>
            <w:rFonts w:ascii="Arial" w:cs="Arial" w:eastAsia="Arial" w:hAnsi="Arial"/>
            <w:sz w:val="18"/>
            <w:szCs w:val="18"/>
            <w:color w:val="0000EE"/>
          </w:rPr>
          <w:t>64</w:t>
        </w:r>
      </w:hyperlink>
      <w:r>
        <w:rPr>
          <w:rFonts w:ascii="Arial" w:cs="Arial" w:eastAsia="Arial" w:hAnsi="Arial"/>
          <w:sz w:val="18"/>
          <w:szCs w:val="18"/>
          <w:color w:val="auto"/>
        </w:rPr>
        <w:t>.</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Significant Events and Overview</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Three Months Ended March 31, 2017 Compared to Three Months Ended March 31, 2016. </w:t>
      </w:r>
      <w:r>
        <w:rPr>
          <w:rFonts w:ascii="Arial" w:cs="Arial" w:eastAsia="Arial" w:hAnsi="Arial"/>
          <w:sz w:val="17"/>
          <w:szCs w:val="17"/>
          <w:color w:val="auto"/>
        </w:rPr>
        <w:t>Net income (loss) available for common stock for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March 31, 2017 was $77 million, or $1.39 per share, compared to Net income (loss) available for common stock of $40 million, or $0.77 per share, reported for the same period in 2016. The Net income (loss) available for common stock for the three months ended March 31, 2017 increased over the same period in the prior year primarily due to higher earnings at our Gas Utilities and Electric Utilities, lower corporate expenses, and a decrease in impairment charges on our oil and gas properties, partially offset by tax benefits realized during the same period in the prior year.</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income (loss) available for common stock for the three months ended March 31, 2017 included a full quarter of earnings from our acquired SourceGas utilities compared to a partial quarter in the same period of the prior year, which increased earnings by approximately $12 million. Our Electric Utilities’ earnings increased by approximately $3.0 million driven primarily by returns on prior year generation investments. Corporate expenses decreased by a total of $17 million after-tax compared to the same period in the prior year driven primarily by a reduction of approximately $14 million of after-tax acquisition and transition costs. The Net income (loss) available for common stock for the three months ended March 31, 2017 is net of $3.6 million of net income attributable to noncontrolling interests. We recognized a $3.2 million net tax benefit comprised primarily of tax benefits from a carryback claim and an adjustment to the annual effective tax rate during the three months ended March 31, 2017 compared to the same period in the prior year, which included approximately $11 million in tax benefits recognized from additional percentage depletion deductions claimed with respect to our oil and gas properties and the re-measurement of the liability for uncertain tax positions predicated on an agreement reached with IRS Appeals in early 2016. The three months ended March 31, 2016 also included a non-cash after-tax ceiling test impairment on our oil and gas properties of $8.8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table summarizes select financial results by operating segment and details significant items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5"/>
          </w:tcPr>
          <w:p>
            <w:pPr>
              <w:jc w:val="right"/>
              <w:ind w:right="63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w w:val="98"/>
              </w:rPr>
              <w:t>Variance</w:t>
            </w:r>
          </w:p>
        </w:tc>
        <w:tc>
          <w:tcPr>
            <w:tcW w:w="0" w:type="dxa"/>
            <w:vAlign w:val="bottom"/>
          </w:tcPr>
          <w:p>
            <w:pPr>
              <w:spacing w:after="0"/>
              <w:rPr>
                <w:sz w:val="1"/>
                <w:szCs w:val="1"/>
                <w:color w:val="auto"/>
              </w:rPr>
            </w:pPr>
          </w:p>
        </w:tc>
      </w:tr>
      <w:tr>
        <w:trPr>
          <w:trHeight w:val="27"/>
        </w:trPr>
        <w:tc>
          <w:tcPr>
            <w:tcW w:w="7660" w:type="dxa"/>
            <w:vAlign w:val="bottom"/>
            <w:gridSpan w:val="4"/>
            <w:vMerge w:val="restart"/>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6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4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587,522</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485,714</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101,808</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Inter-company eliminations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(33,519)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(35,755)</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2700" w:type="dxa"/>
            <w:vAlign w:val="bottom"/>
            <w:tcBorders>
              <w:bottom w:val="single" w:sz="8" w:color="CEFFE7"/>
            </w:tcBorders>
          </w:tcPr>
          <w:p>
            <w:pPr>
              <w:spacing w:after="0"/>
              <w:rPr>
                <w:sz w:val="2"/>
                <w:szCs w:val="2"/>
                <w:color w:val="auto"/>
              </w:rPr>
            </w:pPr>
          </w:p>
        </w:tc>
        <w:tc>
          <w:tcPr>
            <w:tcW w:w="43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2700" w:type="dxa"/>
            <w:vAlign w:val="bottom"/>
            <w:tcBorders>
              <w:bottom w:val="single" w:sz="8" w:color="CEFFE7"/>
            </w:tcBorders>
            <w:shd w:val="clear" w:color="auto" w:fill="CEFFE7"/>
          </w:tcPr>
          <w:p>
            <w:pPr>
              <w:spacing w:after="0"/>
              <w:rPr>
                <w:sz w:val="22"/>
                <w:szCs w:val="22"/>
                <w:color w:val="auto"/>
              </w:rPr>
            </w:pPr>
          </w:p>
        </w:tc>
        <w:tc>
          <w:tcPr>
            <w:tcW w:w="43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554,003</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449,959</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104,044</w:t>
            </w:r>
          </w:p>
        </w:tc>
        <w:tc>
          <w:tcPr>
            <w:tcW w:w="0" w:type="dxa"/>
            <w:vAlign w:val="bottom"/>
          </w:tcPr>
          <w:p>
            <w:pPr>
              <w:spacing w:after="0"/>
              <w:rPr>
                <w:sz w:val="1"/>
                <w:szCs w:val="1"/>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620" w:type="dxa"/>
            <w:vAlign w:val="bottom"/>
            <w:tcBorders>
              <w:top w:val="single" w:sz="8" w:color="CEFFE7"/>
            </w:tcBorders>
          </w:tcPr>
          <w:p>
            <w:pPr>
              <w:spacing w:after="0" w:line="20" w:lineRule="exact"/>
              <w:rPr>
                <w:sz w:val="1"/>
                <w:szCs w:val="1"/>
                <w:color w:val="auto"/>
              </w:rPr>
            </w:pPr>
          </w:p>
        </w:tc>
        <w:tc>
          <w:tcPr>
            <w:tcW w:w="2700" w:type="dxa"/>
            <w:vAlign w:val="bottom"/>
            <w:tcBorders>
              <w:top w:val="single" w:sz="8" w:color="CEFFE7"/>
            </w:tcBorders>
          </w:tcPr>
          <w:p>
            <w:pPr>
              <w:spacing w:after="0" w:line="20" w:lineRule="exact"/>
              <w:rPr>
                <w:sz w:val="1"/>
                <w:szCs w:val="1"/>
                <w:color w:val="auto"/>
              </w:rPr>
            </w:pPr>
          </w:p>
        </w:tc>
        <w:tc>
          <w:tcPr>
            <w:tcW w:w="430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gridSpan w:val="4"/>
            <w:shd w:val="clear" w:color="auto" w:fill="CEFFE7"/>
          </w:tcPr>
          <w:p>
            <w:pPr>
              <w:ind w:left="40"/>
              <w:spacing w:after="0" w:line="202" w:lineRule="exact"/>
              <w:rPr>
                <w:sz w:val="20"/>
                <w:szCs w:val="20"/>
                <w:color w:val="auto"/>
              </w:rPr>
            </w:pPr>
            <w:r>
              <w:rPr>
                <w:rFonts w:ascii="Arial" w:cs="Arial" w:eastAsia="Arial" w:hAnsi="Arial"/>
                <w:sz w:val="18"/>
                <w:szCs w:val="18"/>
                <w:color w:val="auto"/>
              </w:rPr>
              <w:t>Net income (loss) available for common stock</w:t>
            </w:r>
          </w:p>
        </w:tc>
        <w:tc>
          <w:tcPr>
            <w:tcW w:w="280" w:type="dxa"/>
            <w:vAlign w:val="bottom"/>
            <w:shd w:val="clear" w:color="auto" w:fill="CEFFE7"/>
          </w:tcPr>
          <w:p>
            <w:pPr>
              <w:spacing w:after="0"/>
              <w:rPr>
                <w:sz w:val="17"/>
                <w:szCs w:val="17"/>
                <w:color w:val="auto"/>
              </w:rPr>
            </w:pPr>
          </w:p>
        </w:tc>
        <w:tc>
          <w:tcPr>
            <w:tcW w:w="96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9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620" w:type="dxa"/>
            <w:vAlign w:val="bottom"/>
            <w:tcBorders>
              <w:top w:val="single" w:sz="8" w:color="auto"/>
            </w:tcBorders>
            <w:shd w:val="clear" w:color="auto" w:fill="CEFFE7"/>
          </w:tcPr>
          <w:p>
            <w:pPr>
              <w:spacing w:after="0"/>
              <w:rPr>
                <w:sz w:val="4"/>
                <w:szCs w:val="4"/>
                <w:color w:val="auto"/>
              </w:rPr>
            </w:pPr>
          </w:p>
        </w:tc>
        <w:tc>
          <w:tcPr>
            <w:tcW w:w="2700" w:type="dxa"/>
            <w:vAlign w:val="bottom"/>
            <w:tcBorders>
              <w:top w:val="single" w:sz="8" w:color="auto"/>
            </w:tcBorders>
            <w:shd w:val="clear" w:color="auto" w:fill="CEFFE7"/>
          </w:tcPr>
          <w:p>
            <w:pPr>
              <w:spacing w:after="0"/>
              <w:rPr>
                <w:sz w:val="4"/>
                <w:szCs w:val="4"/>
                <w:color w:val="auto"/>
              </w:rPr>
            </w:pPr>
          </w:p>
        </w:tc>
        <w:tc>
          <w:tcPr>
            <w:tcW w:w="430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960" w:type="dxa"/>
            <w:vAlign w:val="bottom"/>
            <w:tcBorders>
              <w:top w:val="single" w:sz="8" w:color="CEFFE7"/>
            </w:tcBorders>
            <w:shd w:val="clear" w:color="auto" w:fill="CEFFE7"/>
          </w:tcPr>
          <w:p>
            <w:pPr>
              <w:spacing w:after="0"/>
              <w:rPr>
                <w:sz w:val="4"/>
                <w:szCs w:val="4"/>
                <w:color w:val="auto"/>
              </w:rPr>
            </w:pPr>
          </w:p>
        </w:tc>
        <w:tc>
          <w:tcPr>
            <w:tcW w:w="300" w:type="dxa"/>
            <w:vAlign w:val="bottom"/>
            <w:tcBorders>
              <w:top w:val="single" w:sz="8" w:color="CEFFE7"/>
            </w:tcBorders>
            <w:shd w:val="clear" w:color="auto" w:fill="CEFFE7"/>
          </w:tcPr>
          <w:p>
            <w:pPr>
              <w:spacing w:after="0"/>
              <w:rPr>
                <w:sz w:val="4"/>
                <w:szCs w:val="4"/>
                <w:color w:val="auto"/>
              </w:rPr>
            </w:pPr>
          </w:p>
        </w:tc>
        <w:tc>
          <w:tcPr>
            <w:tcW w:w="96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040" w:type="dxa"/>
            <w:vAlign w:val="bottom"/>
            <w:tcBorders>
              <w:top w:val="single" w:sz="8" w:color="CEFFE7"/>
            </w:tcBorders>
            <w:shd w:val="clear" w:color="auto" w:fill="CEFFE7"/>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Electric Utilities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22,230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19,215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Gas Utilities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46,010</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31,927</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14,083</w:t>
            </w:r>
          </w:p>
        </w:tc>
        <w:tc>
          <w:tcPr>
            <w:tcW w:w="0" w:type="dxa"/>
            <w:vAlign w:val="bottom"/>
          </w:tcPr>
          <w:p>
            <w:pPr>
              <w:spacing w:after="0"/>
              <w:rPr>
                <w:sz w:val="1"/>
                <w:szCs w:val="1"/>
                <w:color w:val="auto"/>
              </w:rPr>
            </w:pPr>
          </w:p>
        </w:tc>
      </w:tr>
      <w:tr>
        <w:trPr>
          <w:trHeight w:val="270"/>
        </w:trPr>
        <w:tc>
          <w:tcPr>
            <w:tcW w:w="766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6,530</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8,582</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2,890</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2,938</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CEFFE7"/>
            </w:tcBorders>
            <w:gridSpan w:val="4"/>
          </w:tcPr>
          <w:p>
            <w:pPr>
              <w:ind w:left="40"/>
              <w:spacing w:after="0" w:line="270" w:lineRule="exact"/>
              <w:rPr>
                <w:sz w:val="20"/>
                <w:szCs w:val="20"/>
                <w:color w:val="auto"/>
              </w:rPr>
            </w:pPr>
            <w:r>
              <w:rPr>
                <w:rFonts w:ascii="Arial" w:cs="Arial" w:eastAsia="Arial" w:hAnsi="Arial"/>
                <w:sz w:val="18"/>
                <w:szCs w:val="18"/>
                <w:color w:val="auto"/>
              </w:rPr>
              <w:t xml:space="preserve">Oil and Gas </w:t>
            </w:r>
            <w:r>
              <w:rPr>
                <w:rFonts w:ascii="Arial" w:cs="Arial" w:eastAsia="Arial" w:hAnsi="Arial"/>
                <w:sz w:val="25"/>
                <w:szCs w:val="25"/>
                <w:color w:val="auto"/>
                <w:vertAlign w:val="superscript"/>
              </w:rPr>
              <w:t>(b) (c)</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2700" w:type="dxa"/>
            <w:vAlign w:val="bottom"/>
            <w:tcBorders>
              <w:bottom w:val="single" w:sz="8" w:color="CEFFE7"/>
            </w:tcBorders>
            <w:shd w:val="clear" w:color="auto" w:fill="CEFFE7"/>
          </w:tcPr>
          <w:p>
            <w:pPr>
              <w:spacing w:after="0"/>
              <w:rPr>
                <w:sz w:val="22"/>
                <w:szCs w:val="22"/>
                <w:color w:val="auto"/>
              </w:rPr>
            </w:pPr>
          </w:p>
        </w:tc>
        <w:tc>
          <w:tcPr>
            <w:tcW w:w="43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74,709</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55,638</w:t>
            </w:r>
          </w:p>
        </w:tc>
        <w:tc>
          <w:tcPr>
            <w:tcW w:w="2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19,071</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gridSpan w:val="4"/>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Corporate activities and eliminations </w:t>
            </w:r>
            <w:r>
              <w:rPr>
                <w:rFonts w:ascii="Arial" w:cs="Arial" w:eastAsia="Arial" w:hAnsi="Arial"/>
                <w:sz w:val="25"/>
                <w:szCs w:val="25"/>
                <w:color w:val="auto"/>
                <w:vertAlign w:val="superscript"/>
              </w:rPr>
              <w:t>(d) (e)</w:t>
            </w:r>
          </w:p>
        </w:tc>
        <w:tc>
          <w:tcPr>
            <w:tcW w:w="2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1,814</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(15,636)</w:t>
            </w:r>
          </w:p>
        </w:tc>
        <w:tc>
          <w:tcPr>
            <w:tcW w:w="220" w:type="dxa"/>
            <w:vAlign w:val="bottom"/>
            <w:tcBorders>
              <w:bottom w:val="single" w:sz="8" w:color="auto"/>
            </w:tcBorders>
            <w:shd w:val="clear" w:color="auto" w:fill="CEFFE7"/>
          </w:tcPr>
          <w:p>
            <w:pPr>
              <w:spacing w:after="0"/>
              <w:rPr>
                <w:sz w:val="23"/>
                <w:szCs w:val="23"/>
                <w:color w:val="auto"/>
              </w:rPr>
            </w:pP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76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Net income (loss) available for common stock</w:t>
            </w:r>
          </w:p>
        </w:tc>
        <w:tc>
          <w:tcPr>
            <w:tcW w:w="2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76,523</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40,002</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36,521</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6"/>
                <w:szCs w:val="16"/>
                <w:color w:val="auto"/>
              </w:rPr>
              <w:t>__________</w:t>
            </w:r>
          </w:p>
        </w:tc>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3"/>
            <w:vMerge w:val="continue"/>
          </w:tcPr>
          <w:p>
            <w:pPr>
              <w:spacing w:after="0"/>
              <w:rPr>
                <w:sz w:val="15"/>
                <w:szCs w:val="15"/>
                <w:color w:val="auto"/>
              </w:rPr>
            </w:pPr>
          </w:p>
        </w:tc>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Net income (loss) available for common stock for the three months ended March 31, 2017 is net of net income attributable to noncontrolling interest of $3.5 million.</w:t>
      </w:r>
    </w:p>
    <w:p>
      <w:pPr>
        <w:spacing w:after="0" w:line="16" w:lineRule="exact"/>
        <w:rPr>
          <w:rFonts w:ascii="Arial" w:cs="Arial" w:eastAsia="Arial" w:hAnsi="Arial"/>
          <w:sz w:val="15"/>
          <w:szCs w:val="15"/>
          <w:color w:val="auto"/>
        </w:rPr>
      </w:pPr>
    </w:p>
    <w:p>
      <w:pPr>
        <w:ind w:left="340" w:right="16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months ended March 31, 2016 included a non-cash after-tax impairment of our oil and gas properties of $8.8 million. See Note 17 of the Condensed Consolidated Financial Statements in this Quarterly Report on Form 10-Q.</w:t>
      </w:r>
    </w:p>
    <w:p>
      <w:pPr>
        <w:ind w:left="340" w:right="2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months ended March 31, 2016 included a tax benefit of approximately $5.8 million recognized from additional percentage depletion deductions that are being claimed with respect to our oil and gas properties involving prior tax years.</w:t>
      </w:r>
    </w:p>
    <w:p>
      <w:pPr>
        <w:ind w:left="340" w:right="360" w:hanging="332"/>
        <w:spacing w:after="0" w:line="28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income (loss) available for common stock for the three months ended March 31, 2017 and March 31, 2016 included incremental, non-recurring acquisition costs, after-tax of $0.9 million and $15 million, respectively, and after-tax internal labor costs attributable to the acquisition of $0.3 million and $3.8 million, respectively.</w:t>
      </w:r>
    </w:p>
    <w:p>
      <w:pPr>
        <w:spacing w:after="0" w:line="1" w:lineRule="exact"/>
        <w:rPr>
          <w:rFonts w:ascii="Arial" w:cs="Arial" w:eastAsia="Arial" w:hAnsi="Arial"/>
          <w:sz w:val="14"/>
          <w:szCs w:val="14"/>
          <w:color w:val="auto"/>
        </w:rPr>
      </w:pPr>
    </w:p>
    <w:p>
      <w:pPr>
        <w:ind w:left="340" w:right="40" w:hanging="332"/>
        <w:spacing w:after="0" w:line="249"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(loss) available for common stock for the three months ended March 31, 2017 included a net tax benefit of approximately $3.2 million comprised primarily of tax benefits from a carryback claim for specified liability losses involving prior tax years and an adjustment to the projected annual effective tax rate. Net income (loss) available for common stock for the three months ended March 31, 2016 included tax benefits of approximately $4.4 million as a result of the re-measurement of the liability for uncertain tax positions predicated on an agreement reached with IRS Appeals in early 2016. See Note 18 of the Condensed Consolidated Financial Statements in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Segments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 Segment</w:t>
      </w:r>
    </w:p>
    <w:p>
      <w:pPr>
        <w:spacing w:after="0" w:line="225" w:lineRule="exact"/>
        <w:rPr>
          <w:sz w:val="20"/>
          <w:szCs w:val="20"/>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Electric Utilities experienced comparable weather during the three months ended March 31, 2017 compared to the three months ended March 31, 2016. Heating degree days for the three months ended March 31, 2017 were 11% lower than normal, compared to 12% lower than normal for the same period in 2016.</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January 17, 2017, Colorado Electric received approval from the CPUC for a settlement agreement of its electric resource plan which provides for the addition of 60 megawatts of renewable energy to be in service by 2019. The resource plan was filed June 3, 2016, to meet requirements under the Colorado Renewable Energy Standard. Colorado Electric plans to issue a request for proposals for the new generation in the second quarter of 2017 and expects to present the results to the CPUC by year-end.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left="660" w:hanging="328"/>
        <w:spacing w:after="0" w:line="31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Construction continued on the $54 million, 230-kV, 144 mile-long transmission line that will connect the Teckla Substation in northeast Wyoming to the Lange Substation near Rapid City, South Dakota. The first segment of this project connecting Teckla to Osage, WY was placed in service on August 31, 2016. The second segment connecting Osage to Lange is expected to be placed in service in the first half of 2017.</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 Segment</w:t>
      </w:r>
    </w:p>
    <w:p>
      <w:pPr>
        <w:spacing w:after="0" w:line="225" w:lineRule="exact"/>
        <w:rPr>
          <w:sz w:val="20"/>
          <w:szCs w:val="20"/>
          <w:color w:val="auto"/>
        </w:rPr>
      </w:pPr>
    </w:p>
    <w:p>
      <w:pPr>
        <w:ind w:left="660" w:right="4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Gas Utilities experienced warmer than normal temperatures during the three months ended March 31, 2017 compared to the three months ended March 31, 2016. Heating degree days for the three months ended March 31, 2017 were 13% lower than normal compared to 11% lower than normal for the same period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ind w:left="660" w:right="140" w:hanging="328"/>
        <w:spacing w:after="0" w:line="29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Oil and Gas production volumes decreased 21% for the three months ended March 31, 2017 compared to the same period in 2016. The decrease in production was due to the sale of non-core properties in 2016 and limiting natural gas production to meet minimum daily quantity contractual gas processing commitments in the Piceance. Crude oil production also decreased due to non-core property sales in the fourth quarter of 2016. The average hedged price received for natural gas increased by 33% for the three months ended March 31, 2017 compared to the same period in 2016. The average hedged price received for oil decreased by 4% for the three months ended March 31, 2017 compared to the same period in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Activities</w:t>
      </w:r>
    </w:p>
    <w:p>
      <w:pPr>
        <w:spacing w:after="0" w:line="225" w:lineRule="exact"/>
        <w:rPr>
          <w:sz w:val="20"/>
          <w:szCs w:val="20"/>
          <w:color w:val="auto"/>
        </w:rPr>
      </w:pPr>
    </w:p>
    <w:p>
      <w:pPr>
        <w:ind w:left="660" w:right="22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March 29, 2017, Fitch affirmed Black Hills’ credit rating at BBB+ rating and changed their outlook from Negative to Stable, citing successful integration of SourceGas, a low business risk profile focused on utility operations and expected improvement of credit metrics.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operating results from our segments and Corporate activities follows.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from the measure. The presentation of gross margin is intended to supplement investors’ understanding of our operating performance.</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purchases and natural gas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800"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Arial" w:cs="Arial" w:eastAsia="Arial" w:hAnsi="Arial"/>
                <w:sz w:val="18"/>
                <w:szCs w:val="18"/>
                <w:i w:val="1"/>
                <w:iCs w:val="1"/>
                <w:color w:val="auto"/>
              </w:rPr>
              <w:t>Electric Utilities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Three Months Ended March 31,</w:t>
            </w: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1"/>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176,024</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167,276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8,748</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Total fuel and purchased power</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68,400</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66,106</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2,294</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107,624</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101,170</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6,454</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40,783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39,325</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1,458</w:t>
            </w: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22,861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21,258</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1,603</w:t>
            </w:r>
          </w:p>
        </w:tc>
      </w:tr>
      <w:tr>
        <w:trPr>
          <w:trHeight w:val="27"/>
        </w:trPr>
        <w:tc>
          <w:tcPr>
            <w:tcW w:w="20" w:type="dxa"/>
            <w:vAlign w:val="bottom"/>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680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98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63,644</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60,583</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3,061</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43,980</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40,587</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3,393</w:t>
            </w: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(13,412)</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(12,499)</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(913)</w:t>
            </w: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(8,678)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(9,528)</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850</w:t>
            </w:r>
          </w:p>
        </w:tc>
      </w:tr>
      <w:tr>
        <w:trPr>
          <w:trHeight w:val="257"/>
        </w:trPr>
        <w:tc>
          <w:tcPr>
            <w:tcW w:w="20" w:type="dxa"/>
            <w:vAlign w:val="bottom"/>
          </w:tcPr>
          <w:p>
            <w:pPr>
              <w:spacing w:after="0"/>
              <w:rPr>
                <w:sz w:val="22"/>
                <w:szCs w:val="22"/>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22,230</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3,015</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Results of Operations for the Electric Utilities for the Three Months Ended March 31, 2017 Compared to the Three Months Ended March 31, 2016: </w:t>
      </w:r>
      <w:r>
        <w:rPr>
          <w:rFonts w:ascii="Arial" w:cs="Arial" w:eastAsia="Arial" w:hAnsi="Arial"/>
          <w:sz w:val="18"/>
          <w:szCs w:val="18"/>
          <w:color w:val="auto"/>
        </w:rPr>
        <w:t>Net income available for common stock for the Electric Utilities was $22 million for the three months ended March 31, 2017, compared to Net income available for common stock of $19 million for the three months ended March 31, 2016, as a result of:</w:t>
      </w:r>
    </w:p>
    <w:p>
      <w:pPr>
        <w:spacing w:after="0" w:line="18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u w:val="single" w:color="auto"/>
          <w:color w:val="auto"/>
        </w:rPr>
        <w:t>Gross margin</w:t>
      </w:r>
      <w:r>
        <w:rPr>
          <w:rFonts w:ascii="Arial" w:cs="Arial" w:eastAsia="Arial" w:hAnsi="Arial"/>
          <w:sz w:val="17"/>
          <w:szCs w:val="17"/>
          <w:color w:val="auto"/>
        </w:rPr>
        <w:t xml:space="preserve"> increased over the prior year reflecting a $2.3 million return on investment from the Peak View Wind Project, a $2.1 million increase in commercial and industrial margins driven by increased demand, and a $1.7 million increase in transmission revenues.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increased property taxes with higher asset base and increased employee related costs.</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partially by the addition of the Peak View Wind Project and the LM6000 generating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lower interest income from affiliate borrowings as compared to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lower than the prior year due primarily to wind production tax credits.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67" w:right="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2"/>
        </w:trPr>
        <w:tc>
          <w:tcPr>
            <w:tcW w:w="8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3"/>
          </w:tcPr>
          <w:p>
            <w:pPr>
              <w:jc w:val="right"/>
              <w:ind w:right="62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76"/>
        </w:trPr>
        <w:tc>
          <w:tcPr>
            <w:tcW w:w="8100" w:type="dxa"/>
            <w:vAlign w:val="bottom"/>
            <w:gridSpan w:val="2"/>
          </w:tcPr>
          <w:p>
            <w:pPr>
              <w:jc w:val="right"/>
              <w:ind w:right="6028"/>
              <w:spacing w:after="0"/>
              <w:rPr>
                <w:sz w:val="20"/>
                <w:szCs w:val="20"/>
                <w:color w:val="auto"/>
              </w:rPr>
            </w:pPr>
            <w:r>
              <w:rPr>
                <w:rFonts w:ascii="Arial" w:cs="Arial" w:eastAsia="Arial" w:hAnsi="Arial"/>
                <w:sz w:val="14"/>
                <w:szCs w:val="14"/>
                <w:color w:val="auto"/>
                <w:w w:val="95"/>
              </w:rPr>
              <w:t>Revenue - Electric (in thousands)</w:t>
            </w:r>
          </w:p>
        </w:tc>
        <w:tc>
          <w:tcPr>
            <w:tcW w:w="360" w:type="dxa"/>
            <w:vAlign w:val="bottom"/>
          </w:tcPr>
          <w:p>
            <w:pPr>
              <w:spacing w:after="0"/>
              <w:rPr>
                <w:sz w:val="24"/>
                <w:szCs w:val="24"/>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color w:val="auto"/>
              </w:rPr>
              <w:t>2017</w:t>
            </w:r>
          </w:p>
        </w:tc>
        <w:tc>
          <w:tcPr>
            <w:tcW w:w="460" w:type="dxa"/>
            <w:vAlign w:val="bottom"/>
          </w:tcPr>
          <w:p>
            <w:pPr>
              <w:spacing w:after="0"/>
              <w:rPr>
                <w:sz w:val="24"/>
                <w:szCs w:val="2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20" w:type="dxa"/>
            <w:vAlign w:val="bottom"/>
            <w:tcBorders>
              <w:top w:val="single" w:sz="8" w:color="auto"/>
            </w:tcBorders>
            <w:shd w:val="clear" w:color="auto" w:fill="CEFFE7"/>
          </w:tcPr>
          <w:p>
            <w:pPr>
              <w:ind w:left="20"/>
              <w:spacing w:after="0"/>
              <w:rPr>
                <w:sz w:val="20"/>
                <w:szCs w:val="20"/>
                <w:color w:val="auto"/>
              </w:rPr>
            </w:pPr>
            <w:r>
              <w:rPr>
                <w:rFonts w:ascii="Arial" w:cs="Arial" w:eastAsia="Arial" w:hAnsi="Arial"/>
                <w:sz w:val="14"/>
                <w:szCs w:val="14"/>
                <w:color w:val="auto"/>
              </w:rPr>
              <w:t>Residential:</w:t>
            </w:r>
          </w:p>
        </w:tc>
        <w:tc>
          <w:tcPr>
            <w:tcW w:w="360" w:type="dxa"/>
            <w:vAlign w:val="bottom"/>
            <w:tcBorders>
              <w:top w:val="single" w:sz="8" w:color="auto"/>
            </w:tcBorders>
            <w:shd w:val="clear" w:color="auto" w:fill="CEFFE7"/>
          </w:tcPr>
          <w:p>
            <w:pPr>
              <w:spacing w:after="0"/>
              <w:rPr>
                <w:sz w:val="23"/>
                <w:szCs w:val="23"/>
                <w:color w:val="auto"/>
              </w:rPr>
            </w:pPr>
          </w:p>
        </w:tc>
        <w:tc>
          <w:tcPr>
            <w:tcW w:w="1240" w:type="dxa"/>
            <w:vAlign w:val="bottom"/>
            <w:tcBorders>
              <w:top w:val="single" w:sz="8" w:color="auto"/>
            </w:tcBorders>
            <w:shd w:val="clear" w:color="auto" w:fill="CEFFE7"/>
          </w:tcPr>
          <w:p>
            <w:pPr>
              <w:spacing w:after="0"/>
              <w:rPr>
                <w:sz w:val="23"/>
                <w:szCs w:val="23"/>
                <w:color w:val="auto"/>
              </w:rPr>
            </w:pPr>
          </w:p>
        </w:tc>
        <w:tc>
          <w:tcPr>
            <w:tcW w:w="460" w:type="dxa"/>
            <w:vAlign w:val="bottom"/>
            <w:tcBorders>
              <w:top w:val="single" w:sz="8" w:color="auto"/>
            </w:tcBorders>
            <w:shd w:val="clear" w:color="auto" w:fill="CEFFE7"/>
          </w:tcPr>
          <w:p>
            <w:pPr>
              <w:spacing w:after="0"/>
              <w:rPr>
                <w:sz w:val="23"/>
                <w:szCs w:val="23"/>
                <w:color w:val="auto"/>
              </w:rPr>
            </w:pPr>
          </w:p>
        </w:tc>
        <w:tc>
          <w:tcPr>
            <w:tcW w:w="1200" w:type="dxa"/>
            <w:vAlign w:val="bottom"/>
            <w:tcBorders>
              <w:top w:val="single" w:sz="8" w:color="auto"/>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Pr>
          <w:p>
            <w:pPr>
              <w:ind w:left="220"/>
              <w:spacing w:after="0"/>
              <w:rPr>
                <w:sz w:val="20"/>
                <w:szCs w:val="20"/>
                <w:color w:val="auto"/>
              </w:rPr>
            </w:pPr>
            <w:r>
              <w:rPr>
                <w:rFonts w:ascii="Arial" w:cs="Arial" w:eastAsia="Arial" w:hAnsi="Arial"/>
                <w:sz w:val="14"/>
                <w:szCs w:val="14"/>
                <w:color w:val="auto"/>
              </w:rPr>
              <w:t>South Dakota Electric</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20,071</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19,315</w:t>
            </w: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80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Wyoming Electric</w:t>
            </w: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10,411</w:t>
            </w: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10,457</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Borders>
              <w:bottom w:val="single" w:sz="8" w:color="CEFFE7"/>
            </w:tcBorders>
          </w:tcPr>
          <w:p>
            <w:pPr>
              <w:ind w:left="220"/>
              <w:spacing w:after="0"/>
              <w:rPr>
                <w:sz w:val="20"/>
                <w:szCs w:val="20"/>
                <w:color w:val="auto"/>
              </w:rPr>
            </w:pPr>
            <w:r>
              <w:rPr>
                <w:rFonts w:ascii="Arial" w:cs="Arial" w:eastAsia="Arial" w:hAnsi="Arial"/>
                <w:sz w:val="14"/>
                <w:szCs w:val="14"/>
                <w:color w:val="auto"/>
              </w:rPr>
              <w:t>Colorado Electric</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23,736</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23,113</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shd w:val="clear" w:color="auto" w:fill="CEFFE7"/>
          </w:tcPr>
          <w:p>
            <w:pPr>
              <w:ind w:left="360"/>
              <w:spacing w:after="0"/>
              <w:rPr>
                <w:sz w:val="20"/>
                <w:szCs w:val="20"/>
                <w:color w:val="auto"/>
              </w:rPr>
            </w:pPr>
            <w:r>
              <w:rPr>
                <w:rFonts w:ascii="Arial" w:cs="Arial" w:eastAsia="Arial" w:hAnsi="Arial"/>
                <w:sz w:val="14"/>
                <w:szCs w:val="14"/>
                <w:color w:val="auto"/>
              </w:rPr>
              <w:t>Total Residential</w:t>
            </w:r>
          </w:p>
        </w:tc>
        <w:tc>
          <w:tcPr>
            <w:tcW w:w="360" w:type="dxa"/>
            <w:vAlign w:val="bottom"/>
            <w:tcBorders>
              <w:bottom w:val="single" w:sz="8" w:color="auto"/>
            </w:tcBorders>
            <w:shd w:val="clear" w:color="auto" w:fill="CEFFE7"/>
          </w:tcPr>
          <w:p>
            <w:pPr>
              <w:spacing w:after="0"/>
              <w:rPr>
                <w:sz w:val="22"/>
                <w:szCs w:val="22"/>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54,218</w:t>
            </w:r>
          </w:p>
        </w:tc>
        <w:tc>
          <w:tcPr>
            <w:tcW w:w="46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52,885</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2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Commercial:</w:t>
            </w:r>
          </w:p>
        </w:tc>
        <w:tc>
          <w:tcPr>
            <w:tcW w:w="36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Pr>
          <w:p>
            <w:pPr>
              <w:ind w:left="220"/>
              <w:spacing w:after="0"/>
              <w:rPr>
                <w:sz w:val="20"/>
                <w:szCs w:val="20"/>
                <w:color w:val="auto"/>
              </w:rPr>
            </w:pPr>
            <w:r>
              <w:rPr>
                <w:rFonts w:ascii="Arial" w:cs="Arial" w:eastAsia="Arial" w:hAnsi="Arial"/>
                <w:sz w:val="14"/>
                <w:szCs w:val="14"/>
                <w:color w:val="auto"/>
              </w:rPr>
              <w:t>South Dakota Electric</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24,291</w:t>
            </w:r>
          </w:p>
        </w:tc>
        <w:tc>
          <w:tcPr>
            <w:tcW w:w="4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23,589</w:t>
            </w: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80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Wyoming Electric</w:t>
            </w: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15,971</w:t>
            </w: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15,673</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Borders>
              <w:bottom w:val="single" w:sz="8" w:color="CEFFE7"/>
            </w:tcBorders>
          </w:tcPr>
          <w:p>
            <w:pPr>
              <w:ind w:left="220"/>
              <w:spacing w:after="0"/>
              <w:rPr>
                <w:sz w:val="20"/>
                <w:szCs w:val="20"/>
                <w:color w:val="auto"/>
              </w:rPr>
            </w:pPr>
            <w:r>
              <w:rPr>
                <w:rFonts w:ascii="Arial" w:cs="Arial" w:eastAsia="Arial" w:hAnsi="Arial"/>
                <w:sz w:val="14"/>
                <w:szCs w:val="14"/>
                <w:color w:val="auto"/>
              </w:rPr>
              <w:t>Colorado Electric</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23,251</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22,483</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shd w:val="clear" w:color="auto" w:fill="CEFFE7"/>
          </w:tcPr>
          <w:p>
            <w:pPr>
              <w:ind w:left="360"/>
              <w:spacing w:after="0"/>
              <w:rPr>
                <w:sz w:val="20"/>
                <w:szCs w:val="20"/>
                <w:color w:val="auto"/>
              </w:rPr>
            </w:pPr>
            <w:r>
              <w:rPr>
                <w:rFonts w:ascii="Arial" w:cs="Arial" w:eastAsia="Arial" w:hAnsi="Arial"/>
                <w:sz w:val="14"/>
                <w:szCs w:val="14"/>
                <w:color w:val="auto"/>
              </w:rPr>
              <w:t>Total Commercial</w:t>
            </w:r>
          </w:p>
        </w:tc>
        <w:tc>
          <w:tcPr>
            <w:tcW w:w="360" w:type="dxa"/>
            <w:vAlign w:val="bottom"/>
            <w:tcBorders>
              <w:bottom w:val="single" w:sz="8" w:color="auto"/>
            </w:tcBorders>
            <w:shd w:val="clear" w:color="auto" w:fill="CEFFE7"/>
          </w:tcPr>
          <w:p>
            <w:pPr>
              <w:spacing w:after="0"/>
              <w:rPr>
                <w:sz w:val="22"/>
                <w:szCs w:val="22"/>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63,513</w:t>
            </w:r>
          </w:p>
        </w:tc>
        <w:tc>
          <w:tcPr>
            <w:tcW w:w="46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61,745</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Industrial:</w:t>
            </w:r>
          </w:p>
        </w:tc>
        <w:tc>
          <w:tcPr>
            <w:tcW w:w="36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Pr>
          <w:p>
            <w:pPr>
              <w:ind w:left="220"/>
              <w:spacing w:after="0"/>
              <w:rPr>
                <w:sz w:val="20"/>
                <w:szCs w:val="20"/>
                <w:color w:val="auto"/>
              </w:rPr>
            </w:pPr>
            <w:r>
              <w:rPr>
                <w:rFonts w:ascii="Arial" w:cs="Arial" w:eastAsia="Arial" w:hAnsi="Arial"/>
                <w:sz w:val="14"/>
                <w:szCs w:val="14"/>
                <w:color w:val="auto"/>
              </w:rPr>
              <w:t>South Dakota Electric</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8,454</w:t>
            </w:r>
          </w:p>
        </w:tc>
        <w:tc>
          <w:tcPr>
            <w:tcW w:w="4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8,501</w:t>
            </w: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80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Wyoming Electric</w:t>
            </w: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12,802</w:t>
            </w: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Borders>
              <w:bottom w:val="single" w:sz="8" w:color="CEFFE7"/>
            </w:tcBorders>
          </w:tcPr>
          <w:p>
            <w:pPr>
              <w:ind w:left="220"/>
              <w:spacing w:after="0"/>
              <w:rPr>
                <w:sz w:val="20"/>
                <w:szCs w:val="20"/>
                <w:color w:val="auto"/>
              </w:rPr>
            </w:pPr>
            <w:r>
              <w:rPr>
                <w:rFonts w:ascii="Arial" w:cs="Arial" w:eastAsia="Arial" w:hAnsi="Arial"/>
                <w:sz w:val="14"/>
                <w:szCs w:val="14"/>
                <w:color w:val="auto"/>
              </w:rPr>
              <w:t>Colorado Electric</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9,027</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9,265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shd w:val="clear" w:color="auto" w:fill="CEFFE7"/>
          </w:tcPr>
          <w:p>
            <w:pPr>
              <w:ind w:left="360"/>
              <w:spacing w:after="0"/>
              <w:rPr>
                <w:sz w:val="20"/>
                <w:szCs w:val="20"/>
                <w:color w:val="auto"/>
              </w:rPr>
            </w:pPr>
            <w:r>
              <w:rPr>
                <w:rFonts w:ascii="Arial" w:cs="Arial" w:eastAsia="Arial" w:hAnsi="Arial"/>
                <w:sz w:val="14"/>
                <w:szCs w:val="14"/>
                <w:color w:val="auto"/>
              </w:rPr>
              <w:t>Total Industrial</w:t>
            </w:r>
          </w:p>
        </w:tc>
        <w:tc>
          <w:tcPr>
            <w:tcW w:w="360" w:type="dxa"/>
            <w:vAlign w:val="bottom"/>
            <w:tcBorders>
              <w:bottom w:val="single" w:sz="8" w:color="auto"/>
            </w:tcBorders>
            <w:shd w:val="clear" w:color="auto" w:fill="CEFFE7"/>
          </w:tcPr>
          <w:p>
            <w:pPr>
              <w:spacing w:after="0"/>
              <w:rPr>
                <w:sz w:val="22"/>
                <w:szCs w:val="22"/>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30,283</w:t>
            </w:r>
          </w:p>
        </w:tc>
        <w:tc>
          <w:tcPr>
            <w:tcW w:w="46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27,863</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20" w:type="dxa"/>
            <w:vAlign w:val="bottom"/>
            <w:shd w:val="clear" w:color="auto" w:fill="CEFFE7"/>
          </w:tcPr>
          <w:p>
            <w:pPr>
              <w:ind w:left="20"/>
              <w:spacing w:after="0"/>
              <w:rPr>
                <w:sz w:val="20"/>
                <w:szCs w:val="20"/>
                <w:color w:val="auto"/>
              </w:rPr>
            </w:pPr>
            <w:r>
              <w:rPr>
                <w:rFonts w:ascii="Arial" w:cs="Arial" w:eastAsia="Arial" w:hAnsi="Arial"/>
                <w:sz w:val="14"/>
                <w:szCs w:val="14"/>
                <w:color w:val="auto"/>
              </w:rPr>
              <w:t>Municipal:</w:t>
            </w:r>
          </w:p>
        </w:tc>
        <w:tc>
          <w:tcPr>
            <w:tcW w:w="36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Pr>
          <w:p>
            <w:pPr>
              <w:ind w:left="220"/>
              <w:spacing w:after="0"/>
              <w:rPr>
                <w:sz w:val="20"/>
                <w:szCs w:val="20"/>
                <w:color w:val="auto"/>
              </w:rPr>
            </w:pPr>
            <w:r>
              <w:rPr>
                <w:rFonts w:ascii="Arial" w:cs="Arial" w:eastAsia="Arial" w:hAnsi="Arial"/>
                <w:sz w:val="14"/>
                <w:szCs w:val="14"/>
                <w:color w:val="auto"/>
              </w:rPr>
              <w:t>South Dakota Electric</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4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80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Wyoming Electric</w:t>
            </w: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503</w:t>
            </w: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Borders>
              <w:bottom w:val="single" w:sz="8" w:color="CEFFE7"/>
            </w:tcBorders>
          </w:tcPr>
          <w:p>
            <w:pPr>
              <w:ind w:left="220"/>
              <w:spacing w:after="0"/>
              <w:rPr>
                <w:sz w:val="20"/>
                <w:szCs w:val="20"/>
                <w:color w:val="auto"/>
              </w:rPr>
            </w:pPr>
            <w:r>
              <w:rPr>
                <w:rFonts w:ascii="Arial" w:cs="Arial" w:eastAsia="Arial" w:hAnsi="Arial"/>
                <w:sz w:val="14"/>
                <w:szCs w:val="14"/>
                <w:color w:val="auto"/>
              </w:rPr>
              <w:t>Colorado Electric</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2,961</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shd w:val="clear" w:color="auto" w:fill="CEFFE7"/>
          </w:tcPr>
          <w:p>
            <w:pPr>
              <w:ind w:left="360"/>
              <w:spacing w:after="0"/>
              <w:rPr>
                <w:sz w:val="20"/>
                <w:szCs w:val="20"/>
                <w:color w:val="auto"/>
              </w:rPr>
            </w:pPr>
            <w:r>
              <w:rPr>
                <w:rFonts w:ascii="Arial" w:cs="Arial" w:eastAsia="Arial" w:hAnsi="Arial"/>
                <w:sz w:val="14"/>
                <w:szCs w:val="14"/>
                <w:color w:val="auto"/>
              </w:rPr>
              <w:t>Total Municipal</w:t>
            </w:r>
          </w:p>
        </w:tc>
        <w:tc>
          <w:tcPr>
            <w:tcW w:w="360" w:type="dxa"/>
            <w:vAlign w:val="bottom"/>
            <w:tcBorders>
              <w:bottom w:val="single" w:sz="8" w:color="auto"/>
            </w:tcBorders>
            <w:shd w:val="clear" w:color="auto" w:fill="CEFFE7"/>
          </w:tcPr>
          <w:p>
            <w:pPr>
              <w:spacing w:after="0"/>
              <w:rPr>
                <w:sz w:val="22"/>
                <w:szCs w:val="22"/>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4,300</w:t>
            </w:r>
          </w:p>
        </w:tc>
        <w:tc>
          <w:tcPr>
            <w:tcW w:w="46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4,037</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shd w:val="clear" w:color="auto" w:fill="CEFFE7"/>
          </w:tcPr>
          <w:p>
            <w:pPr>
              <w:ind w:left="20"/>
              <w:spacing w:after="0"/>
              <w:rPr>
                <w:sz w:val="20"/>
                <w:szCs w:val="20"/>
                <w:color w:val="auto"/>
              </w:rPr>
            </w:pPr>
            <w:r>
              <w:rPr>
                <w:rFonts w:ascii="Arial" w:cs="Arial" w:eastAsia="Arial" w:hAnsi="Arial"/>
                <w:sz w:val="14"/>
                <w:szCs w:val="14"/>
                <w:color w:val="auto"/>
              </w:rPr>
              <w:t>Total Retail Revenue - Electric</w:t>
            </w:r>
          </w:p>
        </w:tc>
        <w:tc>
          <w:tcPr>
            <w:tcW w:w="360" w:type="dxa"/>
            <w:vAlign w:val="bottom"/>
            <w:tcBorders>
              <w:bottom w:val="single" w:sz="8" w:color="auto"/>
            </w:tcBorders>
            <w:shd w:val="clear" w:color="auto" w:fill="CEFFE7"/>
          </w:tcPr>
          <w:p>
            <w:pPr>
              <w:spacing w:after="0"/>
              <w:rPr>
                <w:sz w:val="22"/>
                <w:szCs w:val="22"/>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152,314</w:t>
            </w:r>
          </w:p>
        </w:tc>
        <w:tc>
          <w:tcPr>
            <w:tcW w:w="46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146,530</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2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Contract Wholesale:</w:t>
            </w:r>
          </w:p>
        </w:tc>
        <w:tc>
          <w:tcPr>
            <w:tcW w:w="36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Borders>
              <w:bottom w:val="single" w:sz="8" w:color="CEFFE7"/>
            </w:tcBorders>
          </w:tcPr>
          <w:p>
            <w:pPr>
              <w:ind w:left="360"/>
              <w:spacing w:after="0"/>
              <w:rPr>
                <w:sz w:val="20"/>
                <w:szCs w:val="20"/>
                <w:color w:val="auto"/>
              </w:rPr>
            </w:pPr>
            <w:r>
              <w:rPr>
                <w:rFonts w:ascii="Arial" w:cs="Arial" w:eastAsia="Arial" w:hAnsi="Arial"/>
                <w:sz w:val="14"/>
                <w:szCs w:val="14"/>
                <w:color w:val="auto"/>
              </w:rPr>
              <w:t xml:space="preserve">Total Contract Wholesale - South Dakota Electric </w:t>
            </w:r>
            <w:r>
              <w:rPr>
                <w:rFonts w:ascii="Arial" w:cs="Arial" w:eastAsia="Arial" w:hAnsi="Arial"/>
                <w:sz w:val="8"/>
                <w:szCs w:val="8"/>
                <w:color w:val="auto"/>
              </w:rPr>
              <w:t>(a)</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7,843</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4,174</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8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Off-system Wholesale:</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80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South Dakota Electric</w:t>
            </w: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3,833</w:t>
            </w: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4,586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Pr>
          <w:p>
            <w:pPr>
              <w:ind w:left="220"/>
              <w:spacing w:after="0"/>
              <w:rPr>
                <w:sz w:val="20"/>
                <w:szCs w:val="20"/>
                <w:color w:val="auto"/>
              </w:rPr>
            </w:pPr>
            <w:r>
              <w:rPr>
                <w:rFonts w:ascii="Arial" w:cs="Arial" w:eastAsia="Arial" w:hAnsi="Arial"/>
                <w:sz w:val="14"/>
                <w:szCs w:val="14"/>
                <w:color w:val="auto"/>
              </w:rPr>
              <w:t>Wyoming Electric</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1,666</w:t>
            </w:r>
          </w:p>
        </w:tc>
        <w:tc>
          <w:tcPr>
            <w:tcW w:w="4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Colorado Electric</w:t>
            </w:r>
          </w:p>
        </w:tc>
        <w:tc>
          <w:tcPr>
            <w:tcW w:w="36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11</w:t>
            </w:r>
          </w:p>
        </w:tc>
        <w:tc>
          <w:tcPr>
            <w:tcW w:w="46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Borders>
              <w:bottom w:val="single" w:sz="8" w:color="CEFFE7"/>
            </w:tcBorders>
          </w:tcPr>
          <w:p>
            <w:pPr>
              <w:ind w:left="360"/>
              <w:spacing w:after="0"/>
              <w:rPr>
                <w:sz w:val="20"/>
                <w:szCs w:val="20"/>
                <w:color w:val="auto"/>
              </w:rPr>
            </w:pPr>
            <w:r>
              <w:rPr>
                <w:rFonts w:ascii="Arial" w:cs="Arial" w:eastAsia="Arial" w:hAnsi="Arial"/>
                <w:sz w:val="14"/>
                <w:szCs w:val="14"/>
                <w:color w:val="auto"/>
              </w:rPr>
              <w:t>Total Off-system Wholesale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5,510</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6,566</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8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80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South Dakota Electric</w:t>
            </w: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8,466</w:t>
            </w: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Pr>
          <w:p>
            <w:pPr>
              <w:ind w:left="220"/>
              <w:spacing w:after="0"/>
              <w:rPr>
                <w:sz w:val="20"/>
                <w:szCs w:val="20"/>
                <w:color w:val="auto"/>
              </w:rPr>
            </w:pPr>
            <w:r>
              <w:rPr>
                <w:rFonts w:ascii="Arial" w:cs="Arial" w:eastAsia="Arial" w:hAnsi="Arial"/>
                <w:sz w:val="14"/>
                <w:szCs w:val="14"/>
                <w:color w:val="auto"/>
              </w:rPr>
              <w:t>Wyoming Electric</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4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Colorado Electric</w:t>
            </w:r>
          </w:p>
        </w:tc>
        <w:tc>
          <w:tcPr>
            <w:tcW w:w="36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966</w:t>
            </w:r>
          </w:p>
        </w:tc>
        <w:tc>
          <w:tcPr>
            <w:tcW w:w="46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020" w:type="dxa"/>
            <w:vAlign w:val="bottom"/>
            <w:tcBorders>
              <w:bottom w:val="single" w:sz="8" w:color="CEFFE7"/>
            </w:tcBorders>
          </w:tcPr>
          <w:p>
            <w:pPr>
              <w:ind w:left="360"/>
              <w:spacing w:after="0"/>
              <w:rPr>
                <w:sz w:val="20"/>
                <w:szCs w:val="20"/>
                <w:color w:val="auto"/>
              </w:rPr>
            </w:pPr>
            <w:r>
              <w:rPr>
                <w:rFonts w:ascii="Arial" w:cs="Arial" w:eastAsia="Arial" w:hAnsi="Arial"/>
                <w:sz w:val="14"/>
                <w:szCs w:val="14"/>
                <w:color w:val="auto"/>
              </w:rPr>
              <w:t>Total Other Revenue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10,357</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10,006</w:t>
            </w: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0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Total Revenue - Electric</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176,024</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167,276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jc w:val="right"/>
              <w:ind w:right="7388"/>
              <w:spacing w:after="0"/>
              <w:rPr>
                <w:sz w:val="20"/>
                <w:szCs w:val="20"/>
                <w:color w:val="auto"/>
              </w:rPr>
            </w:pPr>
            <w:r>
              <w:rPr>
                <w:rFonts w:ascii="Arial" w:cs="Arial" w:eastAsia="Arial" w:hAnsi="Arial"/>
                <w:sz w:val="13"/>
                <w:szCs w:val="13"/>
                <w:color w:val="auto"/>
                <w:w w:val="85"/>
              </w:rPr>
              <w:t>__________</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Increase for the three months ended March 31, 2017 was primarily due to a new 50 MW power sales agreement with Cargill effective January 1, 2017.</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810"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280" w:type="dxa"/>
            <w:vAlign w:val="bottom"/>
            <w:gridSpan w:val="2"/>
          </w:tcPr>
          <w:p>
            <w:pPr>
              <w:jc w:val="right"/>
              <w:ind w:right="850"/>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60" w:type="dxa"/>
            <w:vAlign w:val="bottom"/>
          </w:tcPr>
          <w:p>
            <w:pPr>
              <w:jc w:val="right"/>
              <w:ind w:right="91"/>
              <w:spacing w:after="0"/>
              <w:rPr>
                <w:sz w:val="20"/>
                <w:szCs w:val="20"/>
                <w:color w:val="auto"/>
              </w:rPr>
            </w:pPr>
            <w:r>
              <w:rPr>
                <w:rFonts w:ascii="Arial" w:cs="Arial" w:eastAsia="Arial" w:hAnsi="Arial"/>
                <w:sz w:val="16"/>
                <w:szCs w:val="16"/>
                <w:color w:val="auto"/>
              </w:rPr>
              <w:t>March 31,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Quantities Generated and Purchased (in MWh)</w:t>
            </w:r>
          </w:p>
        </w:tc>
        <w:tc>
          <w:tcPr>
            <w:tcW w:w="2160" w:type="dxa"/>
            <w:vAlign w:val="bottom"/>
          </w:tcPr>
          <w:p>
            <w:pPr>
              <w:jc w:val="right"/>
              <w:ind w:right="1091"/>
              <w:spacing w:after="0"/>
              <w:rPr>
                <w:sz w:val="20"/>
                <w:szCs w:val="20"/>
                <w:color w:val="auto"/>
              </w:rPr>
            </w:pPr>
            <w:r>
              <w:rPr>
                <w:rFonts w:ascii="Arial" w:cs="Arial" w:eastAsia="Arial" w:hAnsi="Arial"/>
                <w:sz w:val="18"/>
                <w:szCs w:val="18"/>
                <w:color w:val="auto"/>
              </w:rPr>
              <w:t>2017</w:t>
            </w: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Generated —</w:t>
            </w:r>
          </w:p>
        </w:tc>
        <w:tc>
          <w:tcPr>
            <w:tcW w:w="21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Coal-fired:</w:t>
            </w:r>
          </w:p>
        </w:tc>
        <w:tc>
          <w:tcPr>
            <w:tcW w:w="2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South Dakota Electric</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387,985</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388,001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Wyoming Electric</w:t>
            </w:r>
          </w:p>
        </w:tc>
        <w:tc>
          <w:tcPr>
            <w:tcW w:w="2160" w:type="dxa"/>
            <w:vAlign w:val="bottom"/>
          </w:tcPr>
          <w:p>
            <w:pPr>
              <w:jc w:val="right"/>
              <w:ind w:right="591"/>
              <w:spacing w:after="0"/>
              <w:rPr>
                <w:sz w:val="20"/>
                <w:szCs w:val="20"/>
                <w:color w:val="auto"/>
              </w:rPr>
            </w:pPr>
            <w:r>
              <w:rPr>
                <w:rFonts w:ascii="Arial" w:cs="Arial" w:eastAsia="Arial" w:hAnsi="Arial"/>
                <w:sz w:val="18"/>
                <w:szCs w:val="18"/>
                <w:color w:val="auto"/>
              </w:rPr>
              <w:t>184,095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EFFE7"/>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Coal-fired</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572,080</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567,694</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Natural Gas and Oil:</w:t>
            </w:r>
          </w:p>
        </w:tc>
        <w:tc>
          <w:tcPr>
            <w:tcW w:w="21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2160" w:type="dxa"/>
            <w:vAlign w:val="bottom"/>
          </w:tcPr>
          <w:p>
            <w:pPr>
              <w:jc w:val="right"/>
              <w:ind w:right="591"/>
              <w:spacing w:after="0"/>
              <w:rPr>
                <w:sz w:val="20"/>
                <w:szCs w:val="20"/>
                <w:color w:val="auto"/>
              </w:rPr>
            </w:pPr>
            <w:r>
              <w:rPr>
                <w:rFonts w:ascii="Arial" w:cs="Arial" w:eastAsia="Arial" w:hAnsi="Arial"/>
                <w:sz w:val="18"/>
                <w:szCs w:val="18"/>
                <w:color w:val="auto"/>
              </w:rPr>
              <w:t>10,350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6,277</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Colorado Electric</w:t>
            </w:r>
          </w:p>
        </w:tc>
        <w:tc>
          <w:tcPr>
            <w:tcW w:w="2160" w:type="dxa"/>
            <w:vAlign w:val="bottom"/>
          </w:tcPr>
          <w:p>
            <w:pPr>
              <w:jc w:val="right"/>
              <w:ind w:right="591"/>
              <w:spacing w:after="0"/>
              <w:rPr>
                <w:sz w:val="20"/>
                <w:szCs w:val="20"/>
                <w:color w:val="auto"/>
              </w:rPr>
            </w:pPr>
            <w:r>
              <w:rPr>
                <w:rFonts w:ascii="Arial" w:cs="Arial" w:eastAsia="Arial" w:hAnsi="Arial"/>
                <w:sz w:val="18"/>
                <w:szCs w:val="18"/>
                <w:color w:val="auto"/>
              </w:rPr>
              <w:t>11,902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EFFE7"/>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Natural Gas and Oil</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28,529</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26,208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Wind:</w:t>
            </w:r>
          </w:p>
        </w:tc>
        <w:tc>
          <w:tcPr>
            <w:tcW w:w="21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(a)</w:t>
            </w:r>
          </w:p>
        </w:tc>
        <w:tc>
          <w:tcPr>
            <w:tcW w:w="21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70,543</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Wind</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70,543</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w:t>
            </w:r>
          </w:p>
        </w:tc>
        <w:tc>
          <w:tcPr>
            <w:tcW w:w="21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40"/>
              <w:spacing w:after="0"/>
              <w:rPr>
                <w:sz w:val="20"/>
                <w:szCs w:val="20"/>
                <w:color w:val="auto"/>
              </w:rPr>
            </w:pPr>
            <w:r>
              <w:rPr>
                <w:rFonts w:ascii="Arial" w:cs="Arial" w:eastAsia="Arial" w:hAnsi="Arial"/>
                <w:sz w:val="18"/>
                <w:szCs w:val="18"/>
                <w:color w:val="auto"/>
              </w:rPr>
              <w:t>South Dakota Electric</w:t>
            </w:r>
          </w:p>
        </w:tc>
        <w:tc>
          <w:tcPr>
            <w:tcW w:w="2160" w:type="dxa"/>
            <w:vAlign w:val="bottom"/>
          </w:tcPr>
          <w:p>
            <w:pPr>
              <w:jc w:val="right"/>
              <w:ind w:right="591"/>
              <w:spacing w:after="0"/>
              <w:rPr>
                <w:sz w:val="20"/>
                <w:szCs w:val="20"/>
                <w:color w:val="auto"/>
              </w:rPr>
            </w:pPr>
            <w:r>
              <w:rPr>
                <w:rFonts w:ascii="Arial" w:cs="Arial" w:eastAsia="Arial" w:hAnsi="Arial"/>
                <w:sz w:val="18"/>
                <w:szCs w:val="18"/>
                <w:color w:val="auto"/>
              </w:rPr>
              <w:t>398,335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190,372</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187,572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(a)</w:t>
            </w:r>
          </w:p>
        </w:tc>
        <w:tc>
          <w:tcPr>
            <w:tcW w:w="21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82,445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15,828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671,152</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606,963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 —</w:t>
            </w:r>
          </w:p>
        </w:tc>
        <w:tc>
          <w:tcPr>
            <w:tcW w:w="21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(b)</w:t>
            </w:r>
          </w:p>
        </w:tc>
        <w:tc>
          <w:tcPr>
            <w:tcW w:w="2160" w:type="dxa"/>
            <w:vAlign w:val="bottom"/>
          </w:tcPr>
          <w:p>
            <w:pPr>
              <w:jc w:val="right"/>
              <w:ind w:right="591"/>
              <w:spacing w:after="0"/>
              <w:rPr>
                <w:sz w:val="20"/>
                <w:szCs w:val="20"/>
                <w:color w:val="auto"/>
              </w:rPr>
            </w:pPr>
            <w:r>
              <w:rPr>
                <w:rFonts w:ascii="Arial" w:cs="Arial" w:eastAsia="Arial" w:hAnsi="Arial"/>
                <w:sz w:val="18"/>
                <w:szCs w:val="18"/>
                <w:color w:val="auto"/>
              </w:rPr>
              <w:t>447,497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339,690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249,535</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222,795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EFFE7"/>
            </w:tcBorders>
          </w:tcPr>
          <w:p>
            <w:pPr>
              <w:ind w:left="2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(a)</w:t>
            </w:r>
          </w:p>
        </w:tc>
        <w:tc>
          <w:tcPr>
            <w:tcW w:w="21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402,427</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477,883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Purchased</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1,099,459</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1,040,368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 and Purchased:</w:t>
            </w:r>
          </w:p>
        </w:tc>
        <w:tc>
          <w:tcPr>
            <w:tcW w:w="21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(b)</w:t>
            </w:r>
          </w:p>
        </w:tc>
        <w:tc>
          <w:tcPr>
            <w:tcW w:w="2160" w:type="dxa"/>
            <w:vAlign w:val="bottom"/>
          </w:tcPr>
          <w:p>
            <w:pPr>
              <w:jc w:val="right"/>
              <w:ind w:right="591"/>
              <w:spacing w:after="0"/>
              <w:rPr>
                <w:sz w:val="20"/>
                <w:szCs w:val="20"/>
                <w:color w:val="auto"/>
              </w:rPr>
            </w:pPr>
            <w:r>
              <w:rPr>
                <w:rFonts w:ascii="Arial" w:cs="Arial" w:eastAsia="Arial" w:hAnsi="Arial"/>
                <w:sz w:val="18"/>
                <w:szCs w:val="18"/>
                <w:color w:val="auto"/>
              </w:rPr>
              <w:t>845,832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743,253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Wyoming Electric</w:t>
            </w:r>
          </w:p>
        </w:tc>
        <w:tc>
          <w:tcPr>
            <w:tcW w:w="2160" w:type="dxa"/>
            <w:vAlign w:val="bottom"/>
            <w:tcBorders>
              <w:bottom w:val="single" w:sz="8" w:color="CEFFE7"/>
            </w:tcBorders>
            <w:shd w:val="clear" w:color="auto" w:fill="CEFFE7"/>
          </w:tcPr>
          <w:p>
            <w:pPr>
              <w:jc w:val="right"/>
              <w:ind w:right="591"/>
              <w:spacing w:after="0"/>
              <w:rPr>
                <w:sz w:val="20"/>
                <w:szCs w:val="20"/>
                <w:color w:val="auto"/>
              </w:rPr>
            </w:pPr>
            <w:r>
              <w:rPr>
                <w:rFonts w:ascii="Arial" w:cs="Arial" w:eastAsia="Arial" w:hAnsi="Arial"/>
                <w:sz w:val="18"/>
                <w:szCs w:val="18"/>
                <w:color w:val="auto"/>
              </w:rPr>
              <w:t>439,907</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410,367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Colorado Electric</w:t>
            </w:r>
          </w:p>
        </w:tc>
        <w:tc>
          <w:tcPr>
            <w:tcW w:w="2160" w:type="dxa"/>
            <w:vAlign w:val="bottom"/>
          </w:tcPr>
          <w:p>
            <w:pPr>
              <w:jc w:val="right"/>
              <w:ind w:right="591"/>
              <w:spacing w:after="0"/>
              <w:rPr>
                <w:sz w:val="20"/>
                <w:szCs w:val="20"/>
                <w:color w:val="auto"/>
              </w:rPr>
            </w:pPr>
            <w:r>
              <w:rPr>
                <w:rFonts w:ascii="Arial" w:cs="Arial" w:eastAsia="Arial" w:hAnsi="Arial"/>
                <w:sz w:val="18"/>
                <w:szCs w:val="18"/>
                <w:color w:val="auto"/>
              </w:rPr>
              <w:t>484,872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493,711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EFFE7"/>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Generated and Purchased</w:t>
            </w:r>
          </w:p>
        </w:tc>
        <w:tc>
          <w:tcPr>
            <w:tcW w:w="2160" w:type="dxa"/>
            <w:vAlign w:val="bottom"/>
            <w:tcBorders>
              <w:bottom w:val="single" w:sz="8" w:color="auto"/>
            </w:tcBorders>
            <w:shd w:val="clear" w:color="auto" w:fill="CEFFE7"/>
          </w:tcPr>
          <w:p>
            <w:pPr>
              <w:jc w:val="right"/>
              <w:ind w:right="591"/>
              <w:spacing w:after="0"/>
              <w:rPr>
                <w:sz w:val="20"/>
                <w:szCs w:val="20"/>
                <w:color w:val="auto"/>
              </w:rPr>
            </w:pPr>
            <w:r>
              <w:rPr>
                <w:rFonts w:ascii="Arial" w:cs="Arial" w:eastAsia="Arial" w:hAnsi="Arial"/>
                <w:sz w:val="18"/>
                <w:szCs w:val="18"/>
                <w:color w:val="auto"/>
              </w:rPr>
              <w:t>1,770,611</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1,647,331</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gridSpan w:val="2"/>
            <w:vMerge w:val="continue"/>
          </w:tcPr>
          <w:p>
            <w:pPr>
              <w:spacing w:after="0"/>
              <w:rPr>
                <w:sz w:val="15"/>
                <w:szCs w:val="15"/>
                <w:color w:val="auto"/>
              </w:rPr>
            </w:pPr>
          </w:p>
        </w:tc>
        <w:tc>
          <w:tcPr>
            <w:tcW w:w="2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 in 2017 is due to the addition of the Peak View Wind Project in November 2016. This generation replaced resources provided by PPAs in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 in 2017 is primarily driven by resource needs from a new 50MW power sales agreement with Cargill effective January 1, 2017.</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751"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3180" w:type="dxa"/>
            <w:vAlign w:val="bottom"/>
            <w:gridSpan w:val="2"/>
          </w:tcPr>
          <w:p>
            <w:pPr>
              <w:jc w:val="right"/>
              <w:ind w:right="58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Quantity Sold (in MWh)</w:t>
            </w:r>
          </w:p>
        </w:tc>
        <w:tc>
          <w:tcPr>
            <w:tcW w:w="186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2017</w:t>
            </w: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Residential:</w:t>
            </w:r>
          </w:p>
        </w:tc>
        <w:tc>
          <w:tcPr>
            <w:tcW w:w="186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4"/>
                <w:szCs w:val="14"/>
                <w:color w:val="auto"/>
              </w:rPr>
              <w:t>South Dakota Electric</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149,572</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142,753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Wyoming Electric</w:t>
            </w:r>
          </w:p>
        </w:tc>
        <w:tc>
          <w:tcPr>
            <w:tcW w:w="186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67,173</w:t>
            </w:r>
          </w:p>
        </w:tc>
        <w:tc>
          <w:tcPr>
            <w:tcW w:w="13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68,313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EFFE7"/>
            </w:tcBorders>
          </w:tcPr>
          <w:p>
            <w:pPr>
              <w:ind w:left="240"/>
              <w:spacing w:after="0"/>
              <w:rPr>
                <w:sz w:val="20"/>
                <w:szCs w:val="20"/>
                <w:color w:val="auto"/>
              </w:rPr>
            </w:pPr>
            <w:r>
              <w:rPr>
                <w:rFonts w:ascii="Arial" w:cs="Arial" w:eastAsia="Arial" w:hAnsi="Arial"/>
                <w:sz w:val="14"/>
                <w:szCs w:val="14"/>
                <w:color w:val="auto"/>
              </w:rPr>
              <w:t>Colorado Electric</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145,360</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EFFE7"/>
          </w:tcPr>
          <w:p>
            <w:pPr>
              <w:ind w:left="380"/>
              <w:spacing w:after="0"/>
              <w:rPr>
                <w:sz w:val="20"/>
                <w:szCs w:val="20"/>
                <w:color w:val="auto"/>
              </w:rPr>
            </w:pPr>
            <w:r>
              <w:rPr>
                <w:rFonts w:ascii="Arial" w:cs="Arial" w:eastAsia="Arial" w:hAnsi="Arial"/>
                <w:sz w:val="14"/>
                <w:szCs w:val="14"/>
                <w:color w:val="auto"/>
              </w:rPr>
              <w:t>Total Residential</w:t>
            </w:r>
          </w:p>
        </w:tc>
        <w:tc>
          <w:tcPr>
            <w:tcW w:w="186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362,105</w:t>
            </w:r>
          </w:p>
        </w:tc>
        <w:tc>
          <w:tcPr>
            <w:tcW w:w="13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360,094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Commercial:</w:t>
            </w:r>
          </w:p>
        </w:tc>
        <w:tc>
          <w:tcPr>
            <w:tcW w:w="186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4"/>
                <w:szCs w:val="14"/>
                <w:color w:val="auto"/>
              </w:rPr>
              <w:t>South Dakota Electric</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196,406</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188,888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Wyoming Electric</w:t>
            </w:r>
          </w:p>
        </w:tc>
        <w:tc>
          <w:tcPr>
            <w:tcW w:w="186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132,182</w:t>
            </w:r>
          </w:p>
        </w:tc>
        <w:tc>
          <w:tcPr>
            <w:tcW w:w="13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130,330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EFFE7"/>
            </w:tcBorders>
          </w:tcPr>
          <w:p>
            <w:pPr>
              <w:ind w:left="240"/>
              <w:spacing w:after="0"/>
              <w:rPr>
                <w:sz w:val="20"/>
                <w:szCs w:val="20"/>
                <w:color w:val="auto"/>
              </w:rPr>
            </w:pPr>
            <w:r>
              <w:rPr>
                <w:rFonts w:ascii="Arial" w:cs="Arial" w:eastAsia="Arial" w:hAnsi="Arial"/>
                <w:sz w:val="14"/>
                <w:szCs w:val="14"/>
                <w:color w:val="auto"/>
              </w:rPr>
              <w:t>Colorado Electric</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175,486</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EFFE7"/>
          </w:tcPr>
          <w:p>
            <w:pPr>
              <w:ind w:left="380"/>
              <w:spacing w:after="0"/>
              <w:rPr>
                <w:sz w:val="20"/>
                <w:szCs w:val="20"/>
                <w:color w:val="auto"/>
              </w:rPr>
            </w:pPr>
            <w:r>
              <w:rPr>
                <w:rFonts w:ascii="Arial" w:cs="Arial" w:eastAsia="Arial" w:hAnsi="Arial"/>
                <w:sz w:val="14"/>
                <w:szCs w:val="14"/>
                <w:color w:val="auto"/>
              </w:rPr>
              <w:t>Total Commercial</w:t>
            </w:r>
          </w:p>
        </w:tc>
        <w:tc>
          <w:tcPr>
            <w:tcW w:w="186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504,074</w:t>
            </w:r>
          </w:p>
        </w:tc>
        <w:tc>
          <w:tcPr>
            <w:tcW w:w="13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495,414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Industrial:</w:t>
            </w:r>
          </w:p>
        </w:tc>
        <w:tc>
          <w:tcPr>
            <w:tcW w:w="186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4"/>
                <w:szCs w:val="14"/>
                <w:color w:val="auto"/>
              </w:rPr>
              <w:t>South Dakota Electric</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109,796</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108,021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Wyoming Electric</w:t>
            </w:r>
          </w:p>
        </w:tc>
        <w:tc>
          <w:tcPr>
            <w:tcW w:w="186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177,987</w:t>
            </w:r>
          </w:p>
        </w:tc>
        <w:tc>
          <w:tcPr>
            <w:tcW w:w="13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142,742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EFFE7"/>
            </w:tcBorders>
          </w:tcPr>
          <w:p>
            <w:pPr>
              <w:ind w:left="240"/>
              <w:spacing w:after="0"/>
              <w:rPr>
                <w:sz w:val="20"/>
                <w:szCs w:val="20"/>
                <w:color w:val="auto"/>
              </w:rPr>
            </w:pPr>
            <w:r>
              <w:rPr>
                <w:rFonts w:ascii="Arial" w:cs="Arial" w:eastAsia="Arial" w:hAnsi="Arial"/>
                <w:sz w:val="14"/>
                <w:szCs w:val="14"/>
                <w:color w:val="auto"/>
              </w:rPr>
              <w:t>Colorado Electric</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102,791</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EFFE7"/>
          </w:tcPr>
          <w:p>
            <w:pPr>
              <w:ind w:left="380"/>
              <w:spacing w:after="0"/>
              <w:rPr>
                <w:sz w:val="20"/>
                <w:szCs w:val="20"/>
                <w:color w:val="auto"/>
              </w:rPr>
            </w:pPr>
            <w:r>
              <w:rPr>
                <w:rFonts w:ascii="Arial" w:cs="Arial" w:eastAsia="Arial" w:hAnsi="Arial"/>
                <w:sz w:val="14"/>
                <w:szCs w:val="14"/>
                <w:color w:val="auto"/>
              </w:rPr>
              <w:t>Total Industrial</w:t>
            </w:r>
          </w:p>
        </w:tc>
        <w:tc>
          <w:tcPr>
            <w:tcW w:w="186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390,574</w:t>
            </w:r>
          </w:p>
        </w:tc>
        <w:tc>
          <w:tcPr>
            <w:tcW w:w="13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350,252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Municipal:</w:t>
            </w:r>
          </w:p>
        </w:tc>
        <w:tc>
          <w:tcPr>
            <w:tcW w:w="186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4"/>
                <w:szCs w:val="14"/>
                <w:color w:val="auto"/>
              </w:rPr>
              <w:t>South Dakota Electric</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7,605</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7,441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Wyoming Electric</w:t>
            </w:r>
          </w:p>
        </w:tc>
        <w:tc>
          <w:tcPr>
            <w:tcW w:w="186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2,483</w:t>
            </w:r>
          </w:p>
        </w:tc>
        <w:tc>
          <w:tcPr>
            <w:tcW w:w="13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EFFE7"/>
            </w:tcBorders>
          </w:tcPr>
          <w:p>
            <w:pPr>
              <w:ind w:left="240"/>
              <w:spacing w:after="0"/>
              <w:rPr>
                <w:sz w:val="20"/>
                <w:szCs w:val="20"/>
                <w:color w:val="auto"/>
              </w:rPr>
            </w:pPr>
            <w:r>
              <w:rPr>
                <w:rFonts w:ascii="Arial" w:cs="Arial" w:eastAsia="Arial" w:hAnsi="Arial"/>
                <w:sz w:val="14"/>
                <w:szCs w:val="14"/>
                <w:color w:val="auto"/>
              </w:rPr>
              <w:t>Colorado Electric</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26,884</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EFFE7"/>
          </w:tcPr>
          <w:p>
            <w:pPr>
              <w:ind w:left="380"/>
              <w:spacing w:after="0"/>
              <w:rPr>
                <w:sz w:val="20"/>
                <w:szCs w:val="20"/>
                <w:color w:val="auto"/>
              </w:rPr>
            </w:pPr>
            <w:r>
              <w:rPr>
                <w:rFonts w:ascii="Arial" w:cs="Arial" w:eastAsia="Arial" w:hAnsi="Arial"/>
                <w:sz w:val="14"/>
                <w:szCs w:val="14"/>
                <w:color w:val="auto"/>
              </w:rPr>
              <w:t>Total Municipal</w:t>
            </w:r>
          </w:p>
        </w:tc>
        <w:tc>
          <w:tcPr>
            <w:tcW w:w="186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36,972</w:t>
            </w:r>
          </w:p>
        </w:tc>
        <w:tc>
          <w:tcPr>
            <w:tcW w:w="13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36,569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Total Retail Quantity Sold</w:t>
            </w:r>
          </w:p>
        </w:tc>
        <w:tc>
          <w:tcPr>
            <w:tcW w:w="186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1,293,725</w:t>
            </w:r>
          </w:p>
        </w:tc>
        <w:tc>
          <w:tcPr>
            <w:tcW w:w="13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1,242,329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Contract Wholesale:</w:t>
            </w:r>
          </w:p>
        </w:tc>
        <w:tc>
          <w:tcPr>
            <w:tcW w:w="186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EFFE7"/>
            </w:tcBorders>
          </w:tcPr>
          <w:p>
            <w:pPr>
              <w:ind w:left="340"/>
              <w:spacing w:after="0"/>
              <w:rPr>
                <w:sz w:val="20"/>
                <w:szCs w:val="20"/>
                <w:color w:val="auto"/>
              </w:rPr>
            </w:pPr>
            <w:r>
              <w:rPr>
                <w:rFonts w:ascii="Arial" w:cs="Arial" w:eastAsia="Arial" w:hAnsi="Arial"/>
                <w:sz w:val="14"/>
                <w:szCs w:val="14"/>
                <w:color w:val="auto"/>
              </w:rPr>
              <w:t xml:space="preserve">Total Contract Wholesale - South Dakota Electric </w:t>
            </w:r>
            <w:r>
              <w:rPr>
                <w:rFonts w:ascii="Arial" w:cs="Arial" w:eastAsia="Arial" w:hAnsi="Arial"/>
                <w:sz w:val="8"/>
                <w:szCs w:val="8"/>
                <w:color w:val="auto"/>
              </w:rPr>
              <w:t>(a)</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186,116</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63,453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shd w:val="clear" w:color="auto" w:fill="CEFFE7"/>
          </w:tcPr>
          <w:p>
            <w:pPr>
              <w:spacing w:after="0"/>
              <w:rPr>
                <w:sz w:val="15"/>
                <w:szCs w:val="15"/>
                <w:color w:val="auto"/>
              </w:rPr>
            </w:pPr>
          </w:p>
        </w:tc>
        <w:tc>
          <w:tcPr>
            <w:tcW w:w="186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200" w:type="dxa"/>
            <w:vAlign w:val="bottom"/>
          </w:tcPr>
          <w:p>
            <w:pPr>
              <w:ind w:left="20"/>
              <w:spacing w:after="0"/>
              <w:rPr>
                <w:sz w:val="20"/>
                <w:szCs w:val="20"/>
                <w:color w:val="auto"/>
              </w:rPr>
            </w:pPr>
            <w:r>
              <w:rPr>
                <w:rFonts w:ascii="Arial" w:cs="Arial" w:eastAsia="Arial" w:hAnsi="Arial"/>
                <w:sz w:val="14"/>
                <w:szCs w:val="14"/>
                <w:color w:val="auto"/>
              </w:rPr>
              <w:t>Off-system Wholesale:</w:t>
            </w:r>
          </w:p>
        </w:tc>
        <w:tc>
          <w:tcPr>
            <w:tcW w:w="1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 xml:space="preserve">South Dakota Electric </w:t>
            </w:r>
            <w:r>
              <w:rPr>
                <w:rFonts w:ascii="Arial" w:cs="Arial" w:eastAsia="Arial" w:hAnsi="Arial"/>
                <w:sz w:val="8"/>
                <w:szCs w:val="8"/>
                <w:color w:val="auto"/>
              </w:rPr>
              <w:t>(b)</w:t>
            </w:r>
          </w:p>
        </w:tc>
        <w:tc>
          <w:tcPr>
            <w:tcW w:w="186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154,496</w:t>
            </w:r>
          </w:p>
        </w:tc>
        <w:tc>
          <w:tcPr>
            <w:tcW w:w="13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193,373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4"/>
                <w:szCs w:val="14"/>
                <w:color w:val="auto"/>
              </w:rPr>
              <w:t>Wyoming Electric</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32,353</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 xml:space="preserve">Colorado Electric </w:t>
            </w:r>
            <w:r>
              <w:rPr>
                <w:rFonts w:ascii="Arial" w:cs="Arial" w:eastAsia="Arial" w:hAnsi="Arial"/>
                <w:sz w:val="8"/>
                <w:szCs w:val="8"/>
                <w:color w:val="auto"/>
              </w:rPr>
              <w:t>(b)</w:t>
            </w:r>
          </w:p>
        </w:tc>
        <w:tc>
          <w:tcPr>
            <w:tcW w:w="186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586</w:t>
            </w:r>
          </w:p>
        </w:tc>
        <w:tc>
          <w:tcPr>
            <w:tcW w:w="13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7,462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EFFE7"/>
            </w:tcBorders>
          </w:tcPr>
          <w:p>
            <w:pPr>
              <w:ind w:left="400"/>
              <w:spacing w:after="0"/>
              <w:rPr>
                <w:sz w:val="20"/>
                <w:szCs w:val="20"/>
                <w:color w:val="auto"/>
              </w:rPr>
            </w:pPr>
            <w:r>
              <w:rPr>
                <w:rFonts w:ascii="Arial" w:cs="Arial" w:eastAsia="Arial" w:hAnsi="Arial"/>
                <w:sz w:val="14"/>
                <w:szCs w:val="14"/>
                <w:color w:val="auto"/>
              </w:rPr>
              <w:t>Total Off-system Wholesale</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187,435</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238,328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shd w:val="clear" w:color="auto" w:fill="CEFFE7"/>
          </w:tcPr>
          <w:p>
            <w:pPr>
              <w:spacing w:after="0"/>
              <w:rPr>
                <w:sz w:val="15"/>
                <w:szCs w:val="15"/>
                <w:color w:val="auto"/>
              </w:rPr>
            </w:pPr>
          </w:p>
        </w:tc>
        <w:tc>
          <w:tcPr>
            <w:tcW w:w="186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200" w:type="dxa"/>
            <w:vAlign w:val="bottom"/>
          </w:tcPr>
          <w:p>
            <w:pPr>
              <w:ind w:left="20"/>
              <w:spacing w:after="0"/>
              <w:rPr>
                <w:sz w:val="20"/>
                <w:szCs w:val="20"/>
                <w:color w:val="auto"/>
              </w:rPr>
            </w:pPr>
            <w:r>
              <w:rPr>
                <w:rFonts w:ascii="Arial" w:cs="Arial" w:eastAsia="Arial" w:hAnsi="Arial"/>
                <w:sz w:val="14"/>
                <w:szCs w:val="14"/>
                <w:color w:val="auto"/>
              </w:rPr>
              <w:t>Total Quantity Sold:</w:t>
            </w:r>
          </w:p>
        </w:tc>
        <w:tc>
          <w:tcPr>
            <w:tcW w:w="1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South Dakota Electric</w:t>
            </w:r>
          </w:p>
        </w:tc>
        <w:tc>
          <w:tcPr>
            <w:tcW w:w="186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803,991</w:t>
            </w:r>
          </w:p>
        </w:tc>
        <w:tc>
          <w:tcPr>
            <w:tcW w:w="13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703,929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4"/>
                <w:szCs w:val="14"/>
                <w:color w:val="auto"/>
              </w:rPr>
              <w:t>Wyoming Electric</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412,178</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381,423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Colorado Electric</w:t>
            </w:r>
          </w:p>
        </w:tc>
        <w:tc>
          <w:tcPr>
            <w:tcW w:w="186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451,107</w:t>
            </w:r>
          </w:p>
        </w:tc>
        <w:tc>
          <w:tcPr>
            <w:tcW w:w="13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458,758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EFFE7"/>
            </w:tcBorders>
          </w:tcPr>
          <w:p>
            <w:pPr>
              <w:ind w:left="480"/>
              <w:spacing w:after="0"/>
              <w:rPr>
                <w:sz w:val="20"/>
                <w:szCs w:val="20"/>
                <w:color w:val="auto"/>
              </w:rPr>
            </w:pPr>
            <w:r>
              <w:rPr>
                <w:rFonts w:ascii="Arial" w:cs="Arial" w:eastAsia="Arial" w:hAnsi="Arial"/>
                <w:sz w:val="14"/>
                <w:szCs w:val="14"/>
                <w:color w:val="auto"/>
              </w:rPr>
              <w:t>Total Quantity Sold</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1,667,276</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1,544,110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shd w:val="clear" w:color="auto" w:fill="CEFFE7"/>
          </w:tcPr>
          <w:p>
            <w:pPr>
              <w:spacing w:after="0"/>
              <w:rPr>
                <w:sz w:val="15"/>
                <w:szCs w:val="15"/>
                <w:color w:val="auto"/>
              </w:rPr>
            </w:pPr>
          </w:p>
        </w:tc>
        <w:tc>
          <w:tcPr>
            <w:tcW w:w="186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200" w:type="dxa"/>
            <w:vAlign w:val="bottom"/>
          </w:tcPr>
          <w:p>
            <w:pPr>
              <w:ind w:left="20"/>
              <w:spacing w:after="0"/>
              <w:rPr>
                <w:sz w:val="20"/>
                <w:szCs w:val="20"/>
                <w:color w:val="auto"/>
              </w:rPr>
            </w:pPr>
            <w:r>
              <w:rPr>
                <w:rFonts w:ascii="Arial" w:cs="Arial" w:eastAsia="Arial" w:hAnsi="Arial"/>
                <w:sz w:val="14"/>
                <w:szCs w:val="14"/>
                <w:color w:val="auto"/>
              </w:rPr>
              <w:t xml:space="preserve">Other Uses, Losses or Generation, net </w:t>
            </w:r>
            <w:r>
              <w:rPr>
                <w:rFonts w:ascii="Arial" w:cs="Arial" w:eastAsia="Arial" w:hAnsi="Arial"/>
                <w:sz w:val="8"/>
                <w:szCs w:val="8"/>
                <w:color w:val="auto"/>
              </w:rPr>
              <w:t>(c)</w:t>
            </w:r>
            <w:r>
              <w:rPr>
                <w:rFonts w:ascii="Arial" w:cs="Arial" w:eastAsia="Arial" w:hAnsi="Arial"/>
                <w:sz w:val="14"/>
                <w:szCs w:val="14"/>
                <w:color w:val="auto"/>
              </w:rPr>
              <w:t>:</w:t>
            </w:r>
          </w:p>
        </w:tc>
        <w:tc>
          <w:tcPr>
            <w:tcW w:w="18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South Dakota Electric</w:t>
            </w:r>
          </w:p>
        </w:tc>
        <w:tc>
          <w:tcPr>
            <w:tcW w:w="186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41,841</w:t>
            </w:r>
          </w:p>
        </w:tc>
        <w:tc>
          <w:tcPr>
            <w:tcW w:w="13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39,324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Pr>
          <w:p>
            <w:pPr>
              <w:ind w:left="240"/>
              <w:spacing w:after="0"/>
              <w:rPr>
                <w:sz w:val="20"/>
                <w:szCs w:val="20"/>
                <w:color w:val="auto"/>
              </w:rPr>
            </w:pPr>
            <w:r>
              <w:rPr>
                <w:rFonts w:ascii="Arial" w:cs="Arial" w:eastAsia="Arial" w:hAnsi="Arial"/>
                <w:sz w:val="14"/>
                <w:szCs w:val="14"/>
                <w:color w:val="auto"/>
              </w:rPr>
              <w:t>Wyoming Electric</w:t>
            </w:r>
          </w:p>
        </w:tc>
        <w:tc>
          <w:tcPr>
            <w:tcW w:w="1860" w:type="dxa"/>
            <w:vAlign w:val="bottom"/>
          </w:tcPr>
          <w:p>
            <w:pPr>
              <w:jc w:val="right"/>
              <w:ind w:right="308"/>
              <w:spacing w:after="0"/>
              <w:rPr>
                <w:sz w:val="20"/>
                <w:szCs w:val="20"/>
                <w:color w:val="auto"/>
              </w:rPr>
            </w:pPr>
            <w:r>
              <w:rPr>
                <w:rFonts w:ascii="Arial" w:cs="Arial" w:eastAsia="Arial" w:hAnsi="Arial"/>
                <w:sz w:val="14"/>
                <w:szCs w:val="14"/>
                <w:color w:val="auto"/>
              </w:rPr>
              <w:t>27,729</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28,944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EFFE7"/>
          </w:tcPr>
          <w:p>
            <w:pPr>
              <w:ind w:left="240"/>
              <w:spacing w:after="0"/>
              <w:rPr>
                <w:sz w:val="20"/>
                <w:szCs w:val="20"/>
                <w:color w:val="auto"/>
              </w:rPr>
            </w:pPr>
            <w:r>
              <w:rPr>
                <w:rFonts w:ascii="Arial" w:cs="Arial" w:eastAsia="Arial" w:hAnsi="Arial"/>
                <w:sz w:val="14"/>
                <w:szCs w:val="14"/>
                <w:color w:val="auto"/>
              </w:rPr>
              <w:t>Colorado Electric</w:t>
            </w:r>
          </w:p>
        </w:tc>
        <w:tc>
          <w:tcPr>
            <w:tcW w:w="1860" w:type="dxa"/>
            <w:vAlign w:val="bottom"/>
            <w:tcBorders>
              <w:bottom w:val="single" w:sz="8" w:color="auto"/>
            </w:tcBorders>
            <w:shd w:val="clear" w:color="auto" w:fill="CEFFE7"/>
          </w:tcPr>
          <w:p>
            <w:pPr>
              <w:jc w:val="right"/>
              <w:ind w:right="308"/>
              <w:spacing w:after="0"/>
              <w:rPr>
                <w:sz w:val="20"/>
                <w:szCs w:val="20"/>
                <w:color w:val="auto"/>
              </w:rPr>
            </w:pPr>
            <w:r>
              <w:rPr>
                <w:rFonts w:ascii="Arial" w:cs="Arial" w:eastAsia="Arial" w:hAnsi="Arial"/>
                <w:sz w:val="14"/>
                <w:szCs w:val="14"/>
                <w:color w:val="auto"/>
              </w:rPr>
              <w:t>33,765</w:t>
            </w:r>
          </w:p>
        </w:tc>
        <w:tc>
          <w:tcPr>
            <w:tcW w:w="13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34,953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EFFE7"/>
            </w:tcBorders>
          </w:tcPr>
          <w:p>
            <w:pPr>
              <w:ind w:left="400"/>
              <w:spacing w:after="0"/>
              <w:rPr>
                <w:sz w:val="20"/>
                <w:szCs w:val="20"/>
                <w:color w:val="auto"/>
              </w:rPr>
            </w:pPr>
            <w:r>
              <w:rPr>
                <w:rFonts w:ascii="Arial" w:cs="Arial" w:eastAsia="Arial" w:hAnsi="Arial"/>
                <w:sz w:val="14"/>
                <w:szCs w:val="14"/>
                <w:color w:val="auto"/>
              </w:rPr>
              <w:t>Total Other Uses, Losses and Generation, net</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103,335</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103,221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0" w:type="dxa"/>
            <w:vAlign w:val="bottom"/>
            <w:shd w:val="clear" w:color="auto" w:fill="CEFFE7"/>
          </w:tcPr>
          <w:p>
            <w:pPr>
              <w:spacing w:after="0"/>
              <w:rPr>
                <w:sz w:val="15"/>
                <w:szCs w:val="15"/>
                <w:color w:val="auto"/>
              </w:rPr>
            </w:pPr>
          </w:p>
        </w:tc>
        <w:tc>
          <w:tcPr>
            <w:tcW w:w="186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
              <w:spacing w:after="0"/>
              <w:rPr>
                <w:sz w:val="20"/>
                <w:szCs w:val="20"/>
                <w:color w:val="auto"/>
              </w:rPr>
            </w:pPr>
            <w:r>
              <w:rPr>
                <w:rFonts w:ascii="Arial" w:cs="Arial" w:eastAsia="Arial" w:hAnsi="Arial"/>
                <w:sz w:val="14"/>
                <w:szCs w:val="14"/>
                <w:color w:val="auto"/>
              </w:rPr>
              <w:t>Total Energy</w:t>
            </w:r>
          </w:p>
        </w:tc>
        <w:tc>
          <w:tcPr>
            <w:tcW w:w="1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1,770,611</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1,647,331</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jc w:val="right"/>
              <w:ind w:right="7508"/>
              <w:spacing w:after="0"/>
              <w:rPr>
                <w:sz w:val="20"/>
                <w:szCs w:val="20"/>
                <w:color w:val="auto"/>
              </w:rPr>
            </w:pPr>
            <w:r>
              <w:rPr>
                <w:rFonts w:ascii="Arial" w:cs="Arial" w:eastAsia="Arial" w:hAnsi="Arial"/>
                <w:sz w:val="13"/>
                <w:szCs w:val="13"/>
                <w:color w:val="auto"/>
                <w:w w:val="85"/>
              </w:rPr>
              <w:t>__________</w:t>
            </w:r>
          </w:p>
        </w:tc>
        <w:tc>
          <w:tcPr>
            <w:tcW w:w="1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20" w:type="dxa"/>
            <w:vAlign w:val="bottom"/>
            <w:gridSpan w:val="2"/>
            <w:vMerge w:val="continue"/>
          </w:tcPr>
          <w:p>
            <w:pPr>
              <w:spacing w:after="0"/>
              <w:rPr>
                <w:sz w:val="10"/>
                <w:szCs w:val="10"/>
                <w:color w:val="auto"/>
              </w:rPr>
            </w:pPr>
          </w:p>
        </w:tc>
        <w:tc>
          <w:tcPr>
            <w:tcW w:w="18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Increase for the three months ended March 31, 2017 was primarily due to a new 50 MW power sales agreement with Cargill effective January 1,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Decrease in 2017 generation was primarily driven by commodity prices that impacted power marketing sales.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company uses, line losses, and excess exchange production.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999" w:right="2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gridSpan w:val="3"/>
          </w:tcPr>
          <w:p>
            <w:pPr>
              <w:jc w:val="center"/>
              <w:ind w:left="1330"/>
              <w:spacing w:after="0"/>
              <w:rPr>
                <w:sz w:val="20"/>
                <w:szCs w:val="20"/>
                <w:color w:val="auto"/>
              </w:rPr>
            </w:pPr>
            <w:r>
              <w:rPr>
                <w:rFonts w:ascii="Arial" w:cs="Arial" w:eastAsia="Arial" w:hAnsi="Arial"/>
                <w:sz w:val="18"/>
                <w:szCs w:val="18"/>
                <w:color w:val="auto"/>
                <w:w w:val="90"/>
              </w:rPr>
              <w:t>Three Months Ended March 31,</w:t>
            </w:r>
          </w:p>
        </w:tc>
        <w:tc>
          <w:tcPr>
            <w:tcW w:w="1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Degree Days</w:t>
            </w:r>
          </w:p>
        </w:tc>
        <w:tc>
          <w:tcPr>
            <w:tcW w:w="700" w:type="dxa"/>
            <w:vAlign w:val="bottom"/>
          </w:tcPr>
          <w:p>
            <w:pPr>
              <w:spacing w:after="0"/>
              <w:rPr>
                <w:sz w:val="23"/>
                <w:szCs w:val="23"/>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2016</w:t>
            </w:r>
          </w:p>
        </w:tc>
      </w:tr>
      <w:tr>
        <w:trPr>
          <w:trHeight w:val="27"/>
        </w:trPr>
        <w:tc>
          <w:tcPr>
            <w:tcW w:w="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80" w:type="dxa"/>
            <w:vAlign w:val="bottom"/>
          </w:tcPr>
          <w:p>
            <w:pPr>
              <w:jc w:val="center"/>
              <w:ind w:right="50"/>
              <w:spacing w:after="0"/>
              <w:rPr>
                <w:sz w:val="20"/>
                <w:szCs w:val="20"/>
                <w:color w:val="auto"/>
              </w:rPr>
            </w:pPr>
            <w:r>
              <w:rPr>
                <w:rFonts w:ascii="Arial" w:cs="Arial" w:eastAsia="Arial" w:hAnsi="Arial"/>
                <w:sz w:val="18"/>
                <w:szCs w:val="18"/>
                <w:color w:val="auto"/>
                <w:w w:val="91"/>
              </w:rPr>
              <w:t>Variance from</w:t>
            </w:r>
          </w:p>
        </w:tc>
        <w:tc>
          <w:tcPr>
            <w:tcW w:w="21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Actual Variance to</w:t>
            </w:r>
          </w:p>
        </w:tc>
        <w:tc>
          <w:tcPr>
            <w:tcW w:w="1200" w:type="dxa"/>
            <w:vAlign w:val="bottom"/>
          </w:tcPr>
          <w:p>
            <w:pPr>
              <w:spacing w:after="0"/>
              <w:rPr>
                <w:sz w:val="19"/>
                <w:szCs w:val="19"/>
                <w:color w:val="auto"/>
              </w:rPr>
            </w:pP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91"/>
              </w:rPr>
              <w:t>Variance from</w:t>
            </w: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w w:val="99"/>
              </w:rPr>
              <w:t>Actual</w:t>
            </w:r>
          </w:p>
        </w:tc>
        <w:tc>
          <w:tcPr>
            <w:tcW w:w="700" w:type="dxa"/>
            <w:vAlign w:val="bottom"/>
          </w:tcPr>
          <w:p>
            <w:pPr>
              <w:spacing w:after="0"/>
              <w:rPr>
                <w:sz w:val="20"/>
                <w:szCs w:val="20"/>
                <w:color w:val="auto"/>
              </w:rPr>
            </w:pPr>
          </w:p>
        </w:tc>
        <w:tc>
          <w:tcPr>
            <w:tcW w:w="1880" w:type="dxa"/>
            <w:vAlign w:val="bottom"/>
          </w:tcPr>
          <w:p>
            <w:pPr>
              <w:jc w:val="center"/>
              <w:ind w:right="50"/>
              <w:spacing w:after="0"/>
              <w:rPr>
                <w:sz w:val="20"/>
                <w:szCs w:val="20"/>
                <w:color w:val="auto"/>
              </w:rPr>
            </w:pPr>
            <w:r>
              <w:rPr>
                <w:rFonts w:ascii="Arial" w:cs="Arial" w:eastAsia="Arial" w:hAnsi="Arial"/>
                <w:sz w:val="18"/>
                <w:szCs w:val="18"/>
                <w:color w:val="auto"/>
                <w:w w:val="89"/>
              </w:rPr>
              <w:t>30-Year Average</w:t>
            </w:r>
          </w:p>
        </w:tc>
        <w:tc>
          <w:tcPr>
            <w:tcW w:w="21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Prior Year</w:t>
            </w:r>
          </w:p>
        </w:tc>
        <w:tc>
          <w:tcPr>
            <w:tcW w:w="1200" w:type="dxa"/>
            <w:vAlign w:val="bottom"/>
          </w:tcPr>
          <w:p>
            <w:pPr>
              <w:ind w:left="200"/>
              <w:spacing w:after="0"/>
              <w:rPr>
                <w:sz w:val="20"/>
                <w:szCs w:val="20"/>
                <w:color w:val="auto"/>
              </w:rPr>
            </w:pPr>
            <w:r>
              <w:rPr>
                <w:rFonts w:ascii="Arial" w:cs="Arial" w:eastAsia="Arial" w:hAnsi="Arial"/>
                <w:sz w:val="18"/>
                <w:szCs w:val="18"/>
                <w:color w:val="auto"/>
              </w:rPr>
              <w:t>Actual</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30-Year Average</w:t>
            </w:r>
          </w:p>
        </w:tc>
      </w:tr>
      <w:tr>
        <w:trPr>
          <w:trHeight w:val="27"/>
        </w:trPr>
        <w:tc>
          <w:tcPr>
            <w:tcW w:w="20" w:type="dxa"/>
            <w:vAlign w:val="bottom"/>
          </w:tcPr>
          <w:p>
            <w:pPr>
              <w:spacing w:after="0"/>
              <w:rPr>
                <w:sz w:val="2"/>
                <w:szCs w:val="2"/>
                <w:color w:val="auto"/>
              </w:rPr>
            </w:pPr>
          </w:p>
        </w:tc>
        <w:tc>
          <w:tcPr>
            <w:tcW w:w="234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Heating Degree Days:</w:t>
            </w:r>
          </w:p>
        </w:tc>
        <w:tc>
          <w:tcPr>
            <w:tcW w:w="7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c>
          <w:tcPr>
            <w:tcW w:w="160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South Dakota Electric</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3,130</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2,806</w:t>
            </w:r>
          </w:p>
        </w:tc>
        <w:tc>
          <w:tcPr>
            <w:tcW w:w="2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40" w:type="dxa"/>
            <w:vAlign w:val="bottom"/>
            <w:tcBorders>
              <w:bottom w:val="single" w:sz="8" w:color="CEFFE7"/>
            </w:tcBorders>
            <w:gridSpan w:val="2"/>
            <w:shd w:val="clear" w:color="auto" w:fill="CEFFE7"/>
          </w:tcPr>
          <w:p>
            <w:pPr>
              <w:ind w:left="400"/>
              <w:spacing w:after="0"/>
              <w:rPr>
                <w:sz w:val="20"/>
                <w:szCs w:val="20"/>
                <w:color w:val="auto"/>
              </w:rPr>
            </w:pPr>
            <w:r>
              <w:rPr>
                <w:rFonts w:ascii="Arial" w:cs="Arial" w:eastAsia="Arial" w:hAnsi="Arial"/>
                <w:sz w:val="18"/>
                <w:szCs w:val="18"/>
                <w:color w:val="auto"/>
              </w:rPr>
              <w:t>Wyoming Electric</w:t>
            </w:r>
          </w:p>
        </w:tc>
        <w:tc>
          <w:tcPr>
            <w:tcW w:w="7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7"/>
              </w:rPr>
              <w:t>2,730</w:t>
            </w: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(2)%</w:t>
            </w:r>
          </w:p>
        </w:tc>
        <w:tc>
          <w:tcPr>
            <w:tcW w:w="5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2,776</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Colorado Electric</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2,119</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2,285</w:t>
            </w: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40" w:type="dxa"/>
            <w:vAlign w:val="bottom"/>
            <w:gridSpan w:val="2"/>
            <w:shd w:val="clear" w:color="auto" w:fill="CEFFE7"/>
          </w:tcPr>
          <w:p>
            <w:pPr>
              <w:ind w:left="7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70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7"/>
              </w:rPr>
              <w:t>2,587</w:t>
            </w:r>
          </w:p>
        </w:tc>
        <w:tc>
          <w:tcPr>
            <w:tcW w:w="18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(11)%</w:t>
            </w:r>
          </w:p>
        </w:tc>
        <w:tc>
          <w:tcPr>
            <w:tcW w:w="16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1%</w:t>
            </w:r>
          </w:p>
        </w:tc>
        <w:tc>
          <w:tcPr>
            <w:tcW w:w="560" w:type="dxa"/>
            <w:vAlign w:val="bottom"/>
            <w:shd w:val="clear" w:color="auto" w:fill="CEFFE7"/>
          </w:tcPr>
          <w:p>
            <w:pPr>
              <w:spacing w:after="0"/>
              <w:rPr>
                <w:sz w:val="23"/>
                <w:szCs w:val="23"/>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2,561</w:t>
            </w:r>
          </w:p>
        </w:tc>
        <w:tc>
          <w:tcPr>
            <w:tcW w:w="2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w:t>
            </w:r>
          </w:p>
        </w:tc>
      </w:tr>
      <w:tr>
        <w:trPr>
          <w:trHeight w:val="179"/>
        </w:trPr>
        <w:tc>
          <w:tcPr>
            <w:tcW w:w="20" w:type="dxa"/>
            <w:vAlign w:val="bottom"/>
          </w:tcPr>
          <w:p>
            <w:pPr>
              <w:spacing w:after="0"/>
              <w:rPr>
                <w:sz w:val="15"/>
                <w:szCs w:val="15"/>
                <w:color w:val="auto"/>
              </w:rPr>
            </w:pPr>
          </w:p>
        </w:tc>
        <w:tc>
          <w:tcPr>
            <w:tcW w:w="234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6"/>
        </w:trPr>
        <w:tc>
          <w:tcPr>
            <w:tcW w:w="8200" w:type="dxa"/>
            <w:vAlign w:val="bottom"/>
            <w:gridSpan w:val="7"/>
          </w:tcPr>
          <w:p>
            <w:pPr>
              <w:spacing w:after="0"/>
              <w:rPr>
                <w:sz w:val="20"/>
                <w:szCs w:val="20"/>
                <w:color w:val="auto"/>
              </w:rPr>
            </w:pPr>
            <w:r>
              <w:rPr>
                <w:rFonts w:ascii="Arial" w:cs="Arial" w:eastAsia="Arial" w:hAnsi="Arial"/>
                <w:sz w:val="16"/>
                <w:szCs w:val="16"/>
                <w:color w:val="auto"/>
              </w:rPr>
              <w:t>(a)  Combined actuals are calculated based on the weighted average number of total customers by state.</w:t>
            </w:r>
          </w:p>
        </w:tc>
        <w:tc>
          <w:tcPr>
            <w:tcW w:w="12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816"/>
        </w:trPr>
        <w:tc>
          <w:tcPr>
            <w:tcW w:w="20" w:type="dxa"/>
            <w:vAlign w:val="bottom"/>
          </w:tcPr>
          <w:p>
            <w:pPr>
              <w:spacing w:after="0"/>
              <w:rPr>
                <w:sz w:val="24"/>
                <w:szCs w:val="24"/>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Electric Utilities Power Plant Availability</w:t>
            </w: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0" w:type="dxa"/>
            <w:vAlign w:val="bottom"/>
            <w:gridSpan w:val="2"/>
          </w:tcPr>
          <w:p>
            <w:pPr>
              <w:jc w:val="right"/>
              <w:ind w:right="630"/>
              <w:spacing w:after="0"/>
              <w:rPr>
                <w:sz w:val="20"/>
                <w:szCs w:val="20"/>
                <w:color w:val="auto"/>
              </w:rPr>
            </w:pPr>
            <w:r>
              <w:rPr>
                <w:rFonts w:ascii="Arial" w:cs="Arial" w:eastAsia="Arial" w:hAnsi="Arial"/>
                <w:sz w:val="18"/>
                <w:szCs w:val="18"/>
                <w:color w:val="auto"/>
                <w:w w:val="97"/>
              </w:rPr>
              <w:t>Three Months Ended March 31,</w:t>
            </w:r>
          </w:p>
        </w:tc>
      </w:tr>
      <w:tr>
        <w:trPr>
          <w:trHeight w:val="27"/>
        </w:trPr>
        <w:tc>
          <w:tcPr>
            <w:tcW w:w="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2017</w:t>
            </w:r>
          </w:p>
        </w:tc>
        <w:tc>
          <w:tcPr>
            <w:tcW w:w="2000" w:type="dxa"/>
            <w:vAlign w:val="bottom"/>
          </w:tcPr>
          <w:p>
            <w:pPr>
              <w:jc w:val="center"/>
              <w:ind w:left="30"/>
              <w:spacing w:after="0"/>
              <w:rPr>
                <w:sz w:val="20"/>
                <w:szCs w:val="20"/>
                <w:color w:val="auto"/>
              </w:rPr>
            </w:pPr>
            <w:r>
              <w:rPr>
                <w:rFonts w:ascii="Arial" w:cs="Arial" w:eastAsia="Arial" w:hAnsi="Arial"/>
                <w:sz w:val="18"/>
                <w:szCs w:val="18"/>
                <w:color w:val="auto"/>
                <w:w w:val="89"/>
              </w:rPr>
              <w:t>2016</w:t>
            </w:r>
          </w:p>
        </w:tc>
      </w:tr>
      <w:tr>
        <w:trPr>
          <w:trHeight w:val="27"/>
        </w:trPr>
        <w:tc>
          <w:tcPr>
            <w:tcW w:w="20" w:type="dxa"/>
            <w:vAlign w:val="bottom"/>
          </w:tcPr>
          <w:p>
            <w:pPr>
              <w:spacing w:after="0"/>
              <w:rPr>
                <w:sz w:val="2"/>
                <w:szCs w:val="2"/>
                <w:color w:val="auto"/>
              </w:rPr>
            </w:pPr>
          </w:p>
        </w:tc>
        <w:tc>
          <w:tcPr>
            <w:tcW w:w="3440" w:type="dxa"/>
            <w:vAlign w:val="bottom"/>
            <w:tcBorders>
              <w:bottom w:val="single" w:sz="8" w:color="CEFFE7"/>
            </w:tcBorders>
            <w:gridSpan w:val="2"/>
          </w:tcPr>
          <w:p>
            <w:pPr>
              <w:spacing w:after="0"/>
              <w:rPr>
                <w:sz w:val="2"/>
                <w:szCs w:val="2"/>
                <w:color w:val="auto"/>
              </w:rPr>
            </w:pPr>
          </w:p>
        </w:tc>
        <w:tc>
          <w:tcPr>
            <w:tcW w:w="700" w:type="dxa"/>
            <w:vAlign w:val="bottom"/>
            <w:tcBorders>
              <w:bottom w:val="single" w:sz="8" w:color="CEFFE7"/>
            </w:tcBorders>
          </w:tcPr>
          <w:p>
            <w:pPr>
              <w:spacing w:after="0"/>
              <w:rPr>
                <w:sz w:val="2"/>
                <w:szCs w:val="2"/>
                <w:color w:val="auto"/>
              </w:rPr>
            </w:pPr>
          </w:p>
        </w:tc>
        <w:tc>
          <w:tcPr>
            <w:tcW w:w="1880" w:type="dxa"/>
            <w:vAlign w:val="bottom"/>
            <w:tcBorders>
              <w:bottom w:val="single" w:sz="8" w:color="CEFFE7"/>
            </w:tcBorders>
          </w:tcPr>
          <w:p>
            <w:pPr>
              <w:spacing w:after="0"/>
              <w:rPr>
                <w:sz w:val="2"/>
                <w:szCs w:val="2"/>
                <w:color w:val="auto"/>
              </w:rPr>
            </w:pPr>
          </w:p>
        </w:tc>
        <w:tc>
          <w:tcPr>
            <w:tcW w:w="1600" w:type="dxa"/>
            <w:vAlign w:val="bottom"/>
            <w:tcBorders>
              <w:bottom w:val="single" w:sz="8" w:color="CEFFE7"/>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440" w:type="dxa"/>
            <w:vAlign w:val="bottom"/>
            <w:gridSpan w:val="2"/>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Coal-fired plants </w:t>
            </w:r>
            <w:r>
              <w:rPr>
                <w:rFonts w:ascii="Arial" w:cs="Arial" w:eastAsia="Arial" w:hAnsi="Arial"/>
                <w:sz w:val="25"/>
                <w:szCs w:val="25"/>
                <w:color w:val="auto"/>
                <w:vertAlign w:val="superscript"/>
              </w:rPr>
              <w:t>(a)</w:t>
            </w:r>
          </w:p>
        </w:tc>
        <w:tc>
          <w:tcPr>
            <w:tcW w:w="700" w:type="dxa"/>
            <w:vAlign w:val="bottom"/>
            <w:shd w:val="clear" w:color="auto" w:fill="CEFFE7"/>
          </w:tcPr>
          <w:p>
            <w:pPr>
              <w:spacing w:after="0"/>
              <w:rPr>
                <w:sz w:val="22"/>
                <w:szCs w:val="22"/>
                <w:color w:val="auto"/>
              </w:rPr>
            </w:pPr>
          </w:p>
        </w:tc>
        <w:tc>
          <w:tcPr>
            <w:tcW w:w="1880" w:type="dxa"/>
            <w:vAlign w:val="bottom"/>
            <w:shd w:val="clear" w:color="auto" w:fill="CEFFE7"/>
          </w:tcPr>
          <w:p>
            <w:pPr>
              <w:spacing w:after="0"/>
              <w:rPr>
                <w:sz w:val="22"/>
                <w:szCs w:val="22"/>
                <w:color w:val="auto"/>
              </w:rPr>
            </w:pPr>
          </w:p>
        </w:tc>
        <w:tc>
          <w:tcPr>
            <w:tcW w:w="1600" w:type="dxa"/>
            <w:vAlign w:val="bottom"/>
            <w:shd w:val="clear" w:color="auto" w:fill="CEFFE7"/>
          </w:tcPr>
          <w:p>
            <w:pPr>
              <w:spacing w:after="0"/>
              <w:rPr>
                <w:sz w:val="22"/>
                <w:szCs w:val="22"/>
                <w:color w:val="auto"/>
              </w:rPr>
            </w:pPr>
          </w:p>
        </w:tc>
        <w:tc>
          <w:tcPr>
            <w:tcW w:w="560" w:type="dxa"/>
            <w:vAlign w:val="bottom"/>
            <w:shd w:val="clear" w:color="auto" w:fill="CEFFE7"/>
          </w:tcPr>
          <w:p>
            <w:pPr>
              <w:spacing w:after="0"/>
              <w:rPr>
                <w:sz w:val="22"/>
                <w:szCs w:val="22"/>
                <w:color w:val="auto"/>
              </w:rPr>
            </w:pPr>
          </w:p>
        </w:tc>
        <w:tc>
          <w:tcPr>
            <w:tcW w:w="120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91.2%</w:t>
            </w:r>
          </w:p>
        </w:tc>
        <w:tc>
          <w:tcPr>
            <w:tcW w:w="200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93.9%</w:t>
            </w:r>
          </w:p>
        </w:tc>
      </w:tr>
      <w:tr>
        <w:trPr>
          <w:trHeight w:val="243"/>
        </w:trPr>
        <w:tc>
          <w:tcPr>
            <w:tcW w:w="20" w:type="dxa"/>
            <w:vAlign w:val="bottom"/>
          </w:tcPr>
          <w:p>
            <w:pPr>
              <w:spacing w:after="0"/>
              <w:rPr>
                <w:sz w:val="21"/>
                <w:szCs w:val="21"/>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plants</w:t>
            </w:r>
          </w:p>
        </w:tc>
        <w:tc>
          <w:tcPr>
            <w:tcW w:w="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97.6%</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95.0%</w:t>
            </w:r>
          </w:p>
        </w:tc>
      </w:tr>
      <w:tr>
        <w:trPr>
          <w:trHeight w:val="27"/>
        </w:trPr>
        <w:tc>
          <w:tcPr>
            <w:tcW w:w="2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Total availability</w:t>
            </w:r>
          </w:p>
        </w:tc>
        <w:tc>
          <w:tcPr>
            <w:tcW w:w="7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c>
          <w:tcPr>
            <w:tcW w:w="160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95.5%</w:t>
            </w:r>
          </w:p>
        </w:tc>
        <w:tc>
          <w:tcPr>
            <w:tcW w:w="20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94.6%</w:t>
            </w:r>
          </w:p>
        </w:tc>
      </w:tr>
      <w:tr>
        <w:trPr>
          <w:trHeight w:val="193"/>
        </w:trPr>
        <w:tc>
          <w:tcPr>
            <w:tcW w:w="20" w:type="dxa"/>
            <w:vAlign w:val="bottom"/>
          </w:tcPr>
          <w:p>
            <w:pPr>
              <w:spacing w:after="0"/>
              <w:rPr>
                <w:sz w:val="16"/>
                <w:szCs w:val="16"/>
                <w:color w:val="auto"/>
              </w:rPr>
            </w:pPr>
          </w:p>
        </w:tc>
        <w:tc>
          <w:tcPr>
            <w:tcW w:w="2340" w:type="dxa"/>
            <w:vAlign w:val="bottom"/>
          </w:tcPr>
          <w:p>
            <w:pPr>
              <w:spacing w:after="0"/>
              <w:rPr>
                <w:sz w:val="20"/>
                <w:szCs w:val="20"/>
                <w:color w:val="auto"/>
              </w:rPr>
            </w:pPr>
            <w:r>
              <w:rPr>
                <w:rFonts w:ascii="Arial" w:cs="Arial" w:eastAsia="Arial" w:hAnsi="Arial"/>
                <w:sz w:val="16"/>
                <w:szCs w:val="16"/>
                <w:color w:val="auto"/>
              </w:rPr>
              <w:t>__________</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Decrease is primarily due to a planned outage at Neil Simpson II during the three months ended March 31, 2017.</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44</w:t>
      </w:r>
    </w:p>
    <w:p>
      <w:pPr>
        <w:sectPr>
          <w:pgSz w:w="11900" w:h="16838" w:orient="portrait"/>
          <w:cols w:equalWidth="0" w:num="1">
            <w:col w:w="11400"/>
          </w:cols>
          <w:pgMar w:left="240" w:top="895" w:right="2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i w:val="1"/>
                <w:iCs w:val="1"/>
                <w:color w:val="auto"/>
              </w:rPr>
              <w:t>Gas Utilities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920" w:type="dxa"/>
            <w:vAlign w:val="bottom"/>
            <w:tcBorders>
              <w:top w:val="single" w:sz="8" w:color="auto"/>
            </w:tcBorders>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center"/>
              <w:ind w:right="130"/>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92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6"/>
                <w:szCs w:val="16"/>
                <w:color w:val="auto"/>
              </w:rPr>
              <w:t>Variance</w:t>
            </w:r>
          </w:p>
        </w:tc>
      </w:tr>
      <w:tr>
        <w:trPr>
          <w:trHeight w:val="27"/>
        </w:trPr>
        <w:tc>
          <w:tcPr>
            <w:tcW w:w="9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9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0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341,633</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254,453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87,180</w:t>
            </w: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23,277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16,020</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7,257</w:t>
            </w:r>
          </w:p>
        </w:tc>
      </w:tr>
      <w:tr>
        <w:trPr>
          <w:trHeight w:val="27"/>
        </w:trPr>
        <w:tc>
          <w:tcPr>
            <w:tcW w:w="920" w:type="dxa"/>
            <w:vAlign w:val="bottom"/>
            <w:tcBorders>
              <w:bottom w:val="single" w:sz="8" w:color="CEFFE7"/>
            </w:tcBorders>
          </w:tcPr>
          <w:p>
            <w:pPr>
              <w:spacing w:after="0"/>
              <w:rPr>
                <w:sz w:val="2"/>
                <w:szCs w:val="2"/>
                <w:color w:val="auto"/>
              </w:rPr>
            </w:pPr>
          </w:p>
        </w:tc>
        <w:tc>
          <w:tcPr>
            <w:tcW w:w="70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364,910</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270,473</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94,437</w:t>
            </w:r>
          </w:p>
        </w:tc>
      </w:tr>
      <w:tr>
        <w:trPr>
          <w:trHeight w:val="318"/>
        </w:trPr>
        <w:tc>
          <w:tcPr>
            <w:tcW w:w="9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169,702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129,765</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39,937</w:t>
            </w:r>
          </w:p>
        </w:tc>
      </w:tr>
      <w:tr>
        <w:trPr>
          <w:trHeight w:val="27"/>
        </w:trPr>
        <w:tc>
          <w:tcPr>
            <w:tcW w:w="9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11,680</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8,199</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3,481</w:t>
            </w:r>
          </w:p>
        </w:tc>
      </w:tr>
      <w:tr>
        <w:trPr>
          <w:trHeight w:val="237"/>
        </w:trPr>
        <w:tc>
          <w:tcPr>
            <w:tcW w:w="8000" w:type="dxa"/>
            <w:vAlign w:val="bottom"/>
            <w:gridSpan w:val="2"/>
          </w:tcPr>
          <w:p>
            <w:pPr>
              <w:ind w:left="600"/>
              <w:spacing w:after="0"/>
              <w:rPr>
                <w:sz w:val="20"/>
                <w:szCs w:val="20"/>
                <w:color w:val="auto"/>
              </w:rPr>
            </w:pPr>
            <w:r>
              <w:rPr>
                <w:rFonts w:ascii="Arial" w:cs="Arial" w:eastAsia="Arial" w:hAnsi="Arial"/>
                <w:sz w:val="18"/>
                <w:szCs w:val="18"/>
                <w:color w:val="auto"/>
              </w:rPr>
              <w:t>Total cost of sales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181,382</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137,964</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43,418</w:t>
            </w:r>
          </w:p>
        </w:tc>
      </w:tr>
      <w:tr>
        <w:trPr>
          <w:trHeight w:val="27"/>
        </w:trPr>
        <w:tc>
          <w:tcPr>
            <w:tcW w:w="920" w:type="dxa"/>
            <w:vAlign w:val="bottom"/>
            <w:tcBorders>
              <w:bottom w:val="single" w:sz="8" w:color="CEFFE7"/>
            </w:tcBorders>
          </w:tcPr>
          <w:p>
            <w:pPr>
              <w:spacing w:after="0"/>
              <w:rPr>
                <w:sz w:val="2"/>
                <w:szCs w:val="2"/>
                <w:color w:val="auto"/>
              </w:rPr>
            </w:pPr>
          </w:p>
        </w:tc>
        <w:tc>
          <w:tcPr>
            <w:tcW w:w="70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70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183,528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132,509</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51,019</w:t>
            </w:r>
          </w:p>
        </w:tc>
      </w:tr>
      <w:tr>
        <w:trPr>
          <w:trHeight w:val="27"/>
        </w:trPr>
        <w:tc>
          <w:tcPr>
            <w:tcW w:w="920" w:type="dxa"/>
            <w:vAlign w:val="bottom"/>
            <w:tcBorders>
              <w:bottom w:val="single" w:sz="8" w:color="CEFFE7"/>
            </w:tcBorders>
          </w:tcPr>
          <w:p>
            <w:pPr>
              <w:spacing w:after="0"/>
              <w:rPr>
                <w:sz w:val="2"/>
                <w:szCs w:val="2"/>
                <w:color w:val="auto"/>
              </w:rPr>
            </w:pPr>
          </w:p>
        </w:tc>
        <w:tc>
          <w:tcPr>
            <w:tcW w:w="70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70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70,759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52,687</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18,072</w:t>
            </w:r>
          </w:p>
        </w:tc>
      </w:tr>
      <w:tr>
        <w:trPr>
          <w:trHeight w:val="27"/>
        </w:trPr>
        <w:tc>
          <w:tcPr>
            <w:tcW w:w="9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20,797</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15,972</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4,825</w:t>
            </w:r>
          </w:p>
        </w:tc>
      </w:tr>
      <w:tr>
        <w:trPr>
          <w:trHeight w:val="237"/>
        </w:trPr>
        <w:tc>
          <w:tcPr>
            <w:tcW w:w="800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91,556</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68,659</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22,897</w:t>
            </w:r>
          </w:p>
        </w:tc>
      </w:tr>
      <w:tr>
        <w:trPr>
          <w:trHeight w:val="27"/>
        </w:trPr>
        <w:tc>
          <w:tcPr>
            <w:tcW w:w="920" w:type="dxa"/>
            <w:vAlign w:val="bottom"/>
            <w:tcBorders>
              <w:bottom w:val="single" w:sz="8" w:color="CEFFE7"/>
            </w:tcBorders>
          </w:tcPr>
          <w:p>
            <w:pPr>
              <w:spacing w:after="0"/>
              <w:rPr>
                <w:sz w:val="2"/>
                <w:szCs w:val="2"/>
                <w:color w:val="auto"/>
              </w:rPr>
            </w:pPr>
          </w:p>
        </w:tc>
        <w:tc>
          <w:tcPr>
            <w:tcW w:w="70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70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80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91,972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63,850</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28,122</w:t>
            </w:r>
          </w:p>
        </w:tc>
      </w:tr>
      <w:tr>
        <w:trPr>
          <w:trHeight w:val="27"/>
        </w:trPr>
        <w:tc>
          <w:tcPr>
            <w:tcW w:w="920" w:type="dxa"/>
            <w:vAlign w:val="bottom"/>
            <w:tcBorders>
              <w:bottom w:val="single" w:sz="8" w:color="CEFFE7"/>
            </w:tcBorders>
          </w:tcPr>
          <w:p>
            <w:pPr>
              <w:spacing w:after="0"/>
              <w:rPr>
                <w:sz w:val="2"/>
                <w:szCs w:val="2"/>
                <w:color w:val="auto"/>
              </w:rPr>
            </w:pPr>
          </w:p>
        </w:tc>
        <w:tc>
          <w:tcPr>
            <w:tcW w:w="70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920" w:type="dxa"/>
            <w:vAlign w:val="bottom"/>
            <w:shd w:val="clear" w:color="auto" w:fill="CEFFE7"/>
          </w:tcPr>
          <w:p>
            <w:pPr>
              <w:spacing w:after="0"/>
              <w:rPr>
                <w:sz w:val="24"/>
                <w:szCs w:val="24"/>
                <w:color w:val="auto"/>
              </w:rPr>
            </w:pPr>
          </w:p>
        </w:tc>
        <w:tc>
          <w:tcPr>
            <w:tcW w:w="70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(19,782)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(13,517)</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(6,265)</w:t>
            </w:r>
          </w:p>
        </w:tc>
      </w:tr>
      <w:tr>
        <w:trPr>
          <w:trHeight w:val="27"/>
        </w:trPr>
        <w:tc>
          <w:tcPr>
            <w:tcW w:w="9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651</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(474)</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(26,250)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(7,241)</w:t>
            </w:r>
          </w:p>
        </w:tc>
      </w:tr>
      <w:tr>
        <w:trPr>
          <w:trHeight w:val="27"/>
        </w:trPr>
        <w:tc>
          <w:tcPr>
            <w:tcW w:w="920" w:type="dxa"/>
            <w:vAlign w:val="bottom"/>
            <w:tcBorders>
              <w:bottom w:val="single" w:sz="8" w:color="CEFFE7"/>
            </w:tcBorders>
          </w:tcPr>
          <w:p>
            <w:pPr>
              <w:spacing w:after="0"/>
              <w:rPr>
                <w:sz w:val="2"/>
                <w:szCs w:val="2"/>
                <w:color w:val="auto"/>
              </w:rPr>
            </w:pPr>
          </w:p>
        </w:tc>
        <w:tc>
          <w:tcPr>
            <w:tcW w:w="70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46,117</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31,975</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14,142</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920" w:type="dxa"/>
            <w:vAlign w:val="bottom"/>
            <w:tcBorders>
              <w:bottom w:val="single" w:sz="8" w:color="CEFFE7"/>
            </w:tcBorders>
          </w:tcPr>
          <w:p>
            <w:pPr>
              <w:spacing w:after="0"/>
              <w:rPr>
                <w:sz w:val="2"/>
                <w:szCs w:val="2"/>
                <w:color w:val="auto"/>
              </w:rPr>
            </w:pPr>
          </w:p>
        </w:tc>
        <w:tc>
          <w:tcPr>
            <w:tcW w:w="70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46,010</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31,927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14,083</w:t>
            </w:r>
          </w:p>
        </w:tc>
      </w:tr>
      <w:tr>
        <w:trPr>
          <w:trHeight w:val="20"/>
        </w:trPr>
        <w:tc>
          <w:tcPr>
            <w:tcW w:w="9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Results of Operations for the Gas Utilities for the Three Months Ended March 31, 2017 Compared to the Three Months Ended March 31, 2016: </w:t>
      </w:r>
      <w:r>
        <w:rPr>
          <w:rFonts w:ascii="Arial" w:cs="Arial" w:eastAsia="Arial" w:hAnsi="Arial"/>
          <w:sz w:val="18"/>
          <w:szCs w:val="18"/>
          <w:color w:val="auto"/>
        </w:rPr>
        <w:t>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available for common stock for the Gas Utilities was $46 million for the three months ended March 31, 2017, compared to Net income available for common stock of $32 million for the three months ended March 31, 2016, as a result of:</w:t>
      </w:r>
    </w:p>
    <w:p>
      <w:pPr>
        <w:spacing w:after="0" w:line="1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increased primarily due to margins of approximately $51 million contributed by the SourceGas utilities reflecting a full quarter of results in 2017.</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additional operating costs of approximately $19 million for the acquired SourceGas utilities reflecting a full quarter of results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additional depreciation from the acquired SourceGas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additional interest expense from the acquired SourceGas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comparable to the same period in the prior year.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6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3"/>
          </w:tcPr>
          <w:p>
            <w:pPr>
              <w:jc w:val="right"/>
              <w:ind w:right="648"/>
              <w:spacing w:after="0"/>
              <w:rPr>
                <w:sz w:val="20"/>
                <w:szCs w:val="20"/>
                <w:color w:val="auto"/>
              </w:rPr>
            </w:pPr>
            <w:r>
              <w:rPr>
                <w:rFonts w:ascii="Arial" w:cs="Arial" w:eastAsia="Arial" w:hAnsi="Arial"/>
                <w:sz w:val="14"/>
                <w:szCs w:val="14"/>
                <w:color w:val="auto"/>
              </w:rPr>
              <w:t>Three Months Ended March 31,</w:t>
            </w:r>
          </w:p>
        </w:tc>
      </w:tr>
      <w:tr>
        <w:trPr>
          <w:trHeight w:val="27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Revenue (in thousands) </w:t>
            </w:r>
            <w:r>
              <w:rPr>
                <w:rFonts w:ascii="Arial" w:cs="Arial" w:eastAsia="Arial" w:hAnsi="Arial"/>
                <w:sz w:val="8"/>
                <w:szCs w:val="8"/>
                <w:color w:val="auto"/>
              </w:rPr>
              <w:t>(a)</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Arkansas</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36,356</w:t>
            </w:r>
          </w:p>
        </w:tc>
        <w:tc>
          <w:tcPr>
            <w:tcW w:w="4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15,778</w:t>
            </w: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Colorado</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46,781</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31,780</w:t>
            </w: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 xml:space="preserve">Nebraska </w:t>
            </w:r>
            <w:r>
              <w:rPr>
                <w:rFonts w:ascii="Arial" w:cs="Arial" w:eastAsia="Arial" w:hAnsi="Arial"/>
                <w:sz w:val="8"/>
                <w:szCs w:val="8"/>
                <w:color w:val="auto"/>
              </w:rPr>
              <w:t>(b)</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44,502</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42,546</w:t>
            </w: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Iowa</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36,313</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34,847</w:t>
            </w: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Kansas</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26,084</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22,348</w:t>
            </w:r>
          </w:p>
        </w:tc>
      </w:tr>
      <w:tr>
        <w:trPr>
          <w:trHeight w:val="264"/>
        </w:trPr>
        <w:tc>
          <w:tcPr>
            <w:tcW w:w="8120" w:type="dxa"/>
            <w:vAlign w:val="bottom"/>
            <w:tcBorders>
              <w:bottom w:val="single" w:sz="8" w:color="CEFFE7"/>
            </w:tcBorders>
          </w:tcPr>
          <w:p>
            <w:pPr>
              <w:ind w:left="240"/>
              <w:spacing w:after="0"/>
              <w:rPr>
                <w:sz w:val="20"/>
                <w:szCs w:val="20"/>
                <w:color w:val="auto"/>
              </w:rPr>
            </w:pPr>
            <w:r>
              <w:rPr>
                <w:rFonts w:ascii="Arial" w:cs="Arial" w:eastAsia="Arial" w:hAnsi="Arial"/>
                <w:sz w:val="14"/>
                <w:szCs w:val="14"/>
                <w:color w:val="auto"/>
              </w:rPr>
              <w:t xml:space="preserve">Wyoming </w:t>
            </w:r>
            <w:r>
              <w:rPr>
                <w:rFonts w:ascii="Arial" w:cs="Arial" w:eastAsia="Arial" w:hAnsi="Arial"/>
                <w:sz w:val="8"/>
                <w:szCs w:val="8"/>
                <w:color w:val="auto"/>
              </w:rPr>
              <w:t>(b)</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11,116</w:t>
            </w:r>
          </w:p>
        </w:tc>
      </w:tr>
      <w:tr>
        <w:trPr>
          <w:trHeight w:val="264"/>
        </w:trPr>
        <w:tc>
          <w:tcPr>
            <w:tcW w:w="8120" w:type="dxa"/>
            <w:vAlign w:val="bottom"/>
            <w:shd w:val="clear" w:color="auto" w:fill="CEFFE7"/>
          </w:tcPr>
          <w:p>
            <w:pPr>
              <w:ind w:left="380"/>
              <w:spacing w:after="0"/>
              <w:rPr>
                <w:sz w:val="20"/>
                <w:szCs w:val="20"/>
                <w:color w:val="auto"/>
              </w:rPr>
            </w:pPr>
            <w:r>
              <w:rPr>
                <w:rFonts w:ascii="Arial" w:cs="Arial" w:eastAsia="Arial" w:hAnsi="Arial"/>
                <w:sz w:val="14"/>
                <w:szCs w:val="14"/>
                <w:color w:val="auto"/>
              </w:rPr>
              <w:t>Total Residential</w:t>
            </w:r>
          </w:p>
        </w:tc>
        <w:tc>
          <w:tcPr>
            <w:tcW w:w="3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205,352</w:t>
            </w:r>
          </w:p>
        </w:tc>
        <w:tc>
          <w:tcPr>
            <w:tcW w:w="4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158,415</w:t>
            </w:r>
          </w:p>
        </w:tc>
      </w:tr>
      <w:tr>
        <w:trPr>
          <w:trHeight w:val="270"/>
        </w:trPr>
        <w:tc>
          <w:tcPr>
            <w:tcW w:w="8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8120" w:type="dxa"/>
            <w:vAlign w:val="bottom"/>
            <w:shd w:val="clear" w:color="auto" w:fill="CEFFE7"/>
          </w:tcPr>
          <w:p>
            <w:pPr>
              <w:ind w:left="40"/>
              <w:spacing w:after="0"/>
              <w:rPr>
                <w:sz w:val="20"/>
                <w:szCs w:val="20"/>
                <w:color w:val="auto"/>
              </w:rPr>
            </w:pPr>
            <w:r>
              <w:rPr>
                <w:rFonts w:ascii="Arial" w:cs="Arial" w:eastAsia="Arial" w:hAnsi="Arial"/>
                <w:sz w:val="14"/>
                <w:szCs w:val="14"/>
                <w:color w:val="auto"/>
              </w:rPr>
              <w:t>Commercial:</w:t>
            </w: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Arkansas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18,053</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7,728</w:t>
            </w: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Colorado</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16,947</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10,197</w:t>
            </w: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Nebraska</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13,902</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13,083</w:t>
            </w: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Iowa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15,964</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15,137</w:t>
            </w: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Kansas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8,916</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8,170</w:t>
            </w:r>
          </w:p>
        </w:tc>
      </w:tr>
      <w:tr>
        <w:trPr>
          <w:trHeight w:val="270"/>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Wyoming</w:t>
            </w:r>
          </w:p>
        </w:tc>
        <w:tc>
          <w:tcPr>
            <w:tcW w:w="38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7,954</w:t>
            </w:r>
          </w:p>
        </w:tc>
        <w:tc>
          <w:tcPr>
            <w:tcW w:w="48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5,703</w:t>
            </w:r>
          </w:p>
        </w:tc>
      </w:tr>
      <w:tr>
        <w:trPr>
          <w:trHeight w:val="264"/>
        </w:trPr>
        <w:tc>
          <w:tcPr>
            <w:tcW w:w="8120" w:type="dxa"/>
            <w:vAlign w:val="bottom"/>
            <w:tcBorders>
              <w:bottom w:val="single" w:sz="8" w:color="CEFFE7"/>
            </w:tcBorders>
          </w:tcPr>
          <w:p>
            <w:pPr>
              <w:ind w:left="380"/>
              <w:spacing w:after="0"/>
              <w:rPr>
                <w:sz w:val="20"/>
                <w:szCs w:val="20"/>
                <w:color w:val="auto"/>
              </w:rPr>
            </w:pPr>
            <w:r>
              <w:rPr>
                <w:rFonts w:ascii="Arial" w:cs="Arial" w:eastAsia="Arial" w:hAnsi="Arial"/>
                <w:sz w:val="14"/>
                <w:szCs w:val="14"/>
                <w:color w:val="auto"/>
              </w:rPr>
              <w:t>Total Commercial</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81,736</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60,018</w:t>
            </w:r>
          </w:p>
        </w:tc>
      </w:tr>
      <w:tr>
        <w:trPr>
          <w:trHeight w:val="270"/>
        </w:trPr>
        <w:tc>
          <w:tcPr>
            <w:tcW w:w="812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Industrial:</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Arkansas</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2,220</w:t>
            </w:r>
          </w:p>
        </w:tc>
        <w:tc>
          <w:tcPr>
            <w:tcW w:w="4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837</w:t>
            </w: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Colorado</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254</w:t>
            </w: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Nebraska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150</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118</w:t>
            </w: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Iowa</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811</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575</w:t>
            </w: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Kansas</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397</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630</w:t>
            </w:r>
          </w:p>
        </w:tc>
      </w:tr>
      <w:tr>
        <w:trPr>
          <w:trHeight w:val="264"/>
        </w:trPr>
        <w:tc>
          <w:tcPr>
            <w:tcW w:w="8120" w:type="dxa"/>
            <w:vAlign w:val="bottom"/>
            <w:tcBorders>
              <w:bottom w:val="single" w:sz="8" w:color="CEFFE7"/>
            </w:tcBorders>
          </w:tcPr>
          <w:p>
            <w:pPr>
              <w:ind w:left="240"/>
              <w:spacing w:after="0"/>
              <w:rPr>
                <w:sz w:val="20"/>
                <w:szCs w:val="20"/>
                <w:color w:val="auto"/>
              </w:rPr>
            </w:pPr>
            <w:r>
              <w:rPr>
                <w:rFonts w:ascii="Arial" w:cs="Arial" w:eastAsia="Arial" w:hAnsi="Arial"/>
                <w:sz w:val="14"/>
                <w:szCs w:val="14"/>
                <w:color w:val="auto"/>
              </w:rPr>
              <w:t>Wyoming</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999</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954</w:t>
            </w:r>
          </w:p>
        </w:tc>
      </w:tr>
      <w:tr>
        <w:trPr>
          <w:trHeight w:val="264"/>
        </w:trPr>
        <w:tc>
          <w:tcPr>
            <w:tcW w:w="8120" w:type="dxa"/>
            <w:vAlign w:val="bottom"/>
            <w:shd w:val="clear" w:color="auto" w:fill="CEFFE7"/>
          </w:tcPr>
          <w:p>
            <w:pPr>
              <w:ind w:left="380"/>
              <w:spacing w:after="0"/>
              <w:rPr>
                <w:sz w:val="20"/>
                <w:szCs w:val="20"/>
                <w:color w:val="auto"/>
              </w:rPr>
            </w:pPr>
            <w:r>
              <w:rPr>
                <w:rFonts w:ascii="Arial" w:cs="Arial" w:eastAsia="Arial" w:hAnsi="Arial"/>
                <w:sz w:val="14"/>
                <w:szCs w:val="14"/>
                <w:color w:val="auto"/>
              </w:rPr>
              <w:t>Total Industrial</w:t>
            </w:r>
          </w:p>
        </w:tc>
        <w:tc>
          <w:tcPr>
            <w:tcW w:w="3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4,946</w:t>
            </w:r>
          </w:p>
        </w:tc>
        <w:tc>
          <w:tcPr>
            <w:tcW w:w="4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3,368</w:t>
            </w:r>
          </w:p>
        </w:tc>
      </w:tr>
      <w:tr>
        <w:trPr>
          <w:trHeight w:val="270"/>
        </w:trPr>
        <w:tc>
          <w:tcPr>
            <w:tcW w:w="8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8120" w:type="dxa"/>
            <w:vAlign w:val="bottom"/>
            <w:shd w:val="clear" w:color="auto" w:fill="CEFFE7"/>
          </w:tcPr>
          <w:p>
            <w:pPr>
              <w:ind w:left="40"/>
              <w:spacing w:after="0"/>
              <w:rPr>
                <w:sz w:val="20"/>
                <w:szCs w:val="20"/>
                <w:color w:val="auto"/>
              </w:rPr>
            </w:pPr>
            <w:r>
              <w:rPr>
                <w:rFonts w:ascii="Arial" w:cs="Arial" w:eastAsia="Arial" w:hAnsi="Arial"/>
                <w:sz w:val="14"/>
                <w:szCs w:val="14"/>
                <w:color w:val="auto"/>
              </w:rPr>
              <w:t>Transportation:</w:t>
            </w: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Arkansas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1,623</w:t>
            </w: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Colorado</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1,383</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905</w:t>
            </w: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 xml:space="preserve">Nebraska </w:t>
            </w:r>
            <w:r>
              <w:rPr>
                <w:rFonts w:ascii="Arial" w:cs="Arial" w:eastAsia="Arial" w:hAnsi="Arial"/>
                <w:sz w:val="8"/>
                <w:szCs w:val="8"/>
                <w:color w:val="auto"/>
              </w:rPr>
              <w:t>(b)</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18,640</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11,777</w:t>
            </w:r>
          </w:p>
        </w:tc>
      </w:tr>
      <w:tr>
        <w:trPr>
          <w:trHeight w:val="276"/>
        </w:trPr>
        <w:tc>
          <w:tcPr>
            <w:tcW w:w="8120" w:type="dxa"/>
            <w:vAlign w:val="bottom"/>
            <w:shd w:val="clear" w:color="auto" w:fill="CEFFE7"/>
          </w:tcPr>
          <w:p>
            <w:pPr>
              <w:ind w:left="240"/>
              <w:spacing w:after="0"/>
              <w:rPr>
                <w:sz w:val="20"/>
                <w:szCs w:val="20"/>
                <w:color w:val="auto"/>
              </w:rPr>
            </w:pPr>
            <w:r>
              <w:rPr>
                <w:rFonts w:ascii="Arial" w:cs="Arial" w:eastAsia="Arial" w:hAnsi="Arial"/>
                <w:sz w:val="14"/>
                <w:szCs w:val="14"/>
                <w:color w:val="auto"/>
              </w:rPr>
              <w:t>Iowa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1,471</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1,475</w:t>
            </w:r>
          </w:p>
        </w:tc>
      </w:tr>
      <w:tr>
        <w:trPr>
          <w:trHeight w:val="264"/>
        </w:trPr>
        <w:tc>
          <w:tcPr>
            <w:tcW w:w="8120" w:type="dxa"/>
            <w:vAlign w:val="bottom"/>
          </w:tcPr>
          <w:p>
            <w:pPr>
              <w:ind w:left="240"/>
              <w:spacing w:after="0"/>
              <w:rPr>
                <w:sz w:val="20"/>
                <w:szCs w:val="20"/>
                <w:color w:val="auto"/>
              </w:rPr>
            </w:pPr>
            <w:r>
              <w:rPr>
                <w:rFonts w:ascii="Arial" w:cs="Arial" w:eastAsia="Arial" w:hAnsi="Arial"/>
                <w:sz w:val="14"/>
                <w:szCs w:val="14"/>
                <w:color w:val="auto"/>
              </w:rPr>
              <w:t>Kansas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1,942</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2,043</w:t>
            </w:r>
          </w:p>
        </w:tc>
      </w:tr>
      <w:tr>
        <w:trPr>
          <w:trHeight w:val="270"/>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 xml:space="preserve">Wyoming </w:t>
            </w:r>
            <w:r>
              <w:rPr>
                <w:rFonts w:ascii="Arial" w:cs="Arial" w:eastAsia="Arial" w:hAnsi="Arial"/>
                <w:sz w:val="8"/>
                <w:szCs w:val="8"/>
                <w:color w:val="auto"/>
              </w:rPr>
              <w:t>(b)</w:t>
            </w:r>
          </w:p>
        </w:tc>
        <w:tc>
          <w:tcPr>
            <w:tcW w:w="38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9,031</w:t>
            </w:r>
          </w:p>
        </w:tc>
        <w:tc>
          <w:tcPr>
            <w:tcW w:w="48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4,632</w:t>
            </w: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Total Transportation</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35,467</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22,455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1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3"/>
          </w:tcPr>
          <w:p>
            <w:pPr>
              <w:jc w:val="right"/>
              <w:ind w:right="64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7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 (in thousands) (continued)</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Transmission:</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Arkansas</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762</w:t>
            </w:r>
          </w:p>
        </w:tc>
        <w:tc>
          <w:tcPr>
            <w:tcW w:w="4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Colorado</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9,746</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5,044</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Nebraska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EFFE7"/>
            </w:tcBorders>
          </w:tcPr>
          <w:p>
            <w:pPr>
              <w:ind w:left="280"/>
              <w:spacing w:after="0"/>
              <w:rPr>
                <w:sz w:val="20"/>
                <w:szCs w:val="20"/>
                <w:color w:val="auto"/>
              </w:rPr>
            </w:pPr>
            <w:r>
              <w:rPr>
                <w:rFonts w:ascii="Arial" w:cs="Arial" w:eastAsia="Arial" w:hAnsi="Arial"/>
                <w:sz w:val="14"/>
                <w:szCs w:val="14"/>
                <w:color w:val="auto"/>
              </w:rPr>
              <w:t>Wyoming</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64"/>
        </w:trPr>
        <w:tc>
          <w:tcPr>
            <w:tcW w:w="8120" w:type="dxa"/>
            <w:vAlign w:val="bottom"/>
            <w:shd w:val="clear" w:color="auto" w:fill="CEFFE7"/>
          </w:tcPr>
          <w:p>
            <w:pPr>
              <w:ind w:left="380"/>
              <w:spacing w:after="0"/>
              <w:rPr>
                <w:sz w:val="20"/>
                <w:szCs w:val="20"/>
                <w:color w:val="auto"/>
              </w:rPr>
            </w:pPr>
            <w:r>
              <w:rPr>
                <w:rFonts w:ascii="Arial" w:cs="Arial" w:eastAsia="Arial" w:hAnsi="Arial"/>
                <w:sz w:val="14"/>
                <w:szCs w:val="14"/>
                <w:color w:val="auto"/>
              </w:rPr>
              <w:t>Total Transmission</w:t>
            </w:r>
          </w:p>
        </w:tc>
        <w:tc>
          <w:tcPr>
            <w:tcW w:w="3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11,786</w:t>
            </w:r>
          </w:p>
        </w:tc>
        <w:tc>
          <w:tcPr>
            <w:tcW w:w="4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5,956</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Sales Revenue:</w:t>
            </w: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Arkansas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Colorado</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330</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Nebraska</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Iowa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109</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Kansas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270"/>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Wyoming</w:t>
            </w:r>
          </w:p>
        </w:tc>
        <w:tc>
          <w:tcPr>
            <w:tcW w:w="38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288</w:t>
            </w:r>
          </w:p>
        </w:tc>
        <w:tc>
          <w:tcPr>
            <w:tcW w:w="48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EFFE7"/>
            </w:tcBorders>
          </w:tcPr>
          <w:p>
            <w:pPr>
              <w:ind w:left="380"/>
              <w:spacing w:after="0"/>
              <w:rPr>
                <w:sz w:val="20"/>
                <w:szCs w:val="20"/>
                <w:color w:val="auto"/>
              </w:rPr>
            </w:pPr>
            <w:r>
              <w:rPr>
                <w:rFonts w:ascii="Arial" w:cs="Arial" w:eastAsia="Arial" w:hAnsi="Arial"/>
                <w:sz w:val="14"/>
                <w:szCs w:val="14"/>
                <w:color w:val="auto"/>
              </w:rPr>
              <w:t>Total Other Sales Revenue</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2,346</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4,241</w:t>
            </w:r>
          </w:p>
        </w:tc>
        <w:tc>
          <w:tcPr>
            <w:tcW w:w="0" w:type="dxa"/>
            <w:vAlign w:val="bottom"/>
          </w:tcPr>
          <w:p>
            <w:pPr>
              <w:spacing w:after="0"/>
              <w:rPr>
                <w:sz w:val="1"/>
                <w:szCs w:val="1"/>
                <w:color w:val="auto"/>
              </w:rPr>
            </w:pPr>
          </w:p>
        </w:tc>
      </w:tr>
      <w:tr>
        <w:trPr>
          <w:trHeight w:val="270"/>
        </w:trPr>
        <w:tc>
          <w:tcPr>
            <w:tcW w:w="812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Total Regulated Revenue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341,633</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254,453</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Non-regulated Services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23,277</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16,020</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spacing w:after="0"/>
              <w:rPr>
                <w:sz w:val="24"/>
                <w:szCs w:val="24"/>
                <w:color w:val="auto"/>
              </w:rPr>
            </w:pPr>
          </w:p>
        </w:tc>
        <w:tc>
          <w:tcPr>
            <w:tcW w:w="380" w:type="dxa"/>
            <w:vAlign w:val="bottom"/>
            <w:tcBorders>
              <w:bottom w:val="single" w:sz="8" w:color="auto"/>
            </w:tcBorders>
            <w:shd w:val="clear" w:color="auto" w:fill="CEFFE7"/>
          </w:tcPr>
          <w:p>
            <w:pPr>
              <w:spacing w:after="0"/>
              <w:rPr>
                <w:sz w:val="24"/>
                <w:szCs w:val="24"/>
                <w:color w:val="auto"/>
              </w:rPr>
            </w:pPr>
          </w:p>
        </w:tc>
        <w:tc>
          <w:tcPr>
            <w:tcW w:w="1240" w:type="dxa"/>
            <w:vAlign w:val="bottom"/>
            <w:tcBorders>
              <w:bottom w:val="single" w:sz="8" w:color="auto"/>
            </w:tcBorders>
            <w:shd w:val="clear" w:color="auto" w:fill="CEFFE7"/>
          </w:tcPr>
          <w:p>
            <w:pPr>
              <w:spacing w:after="0"/>
              <w:rPr>
                <w:sz w:val="24"/>
                <w:szCs w:val="24"/>
                <w:color w:val="auto"/>
              </w:rPr>
            </w:pPr>
          </w:p>
        </w:tc>
        <w:tc>
          <w:tcPr>
            <w:tcW w:w="480" w:type="dxa"/>
            <w:vAlign w:val="bottom"/>
            <w:tcBorders>
              <w:bottom w:val="single" w:sz="8" w:color="auto"/>
            </w:tcBorders>
            <w:shd w:val="clear" w:color="auto" w:fill="CEFFE7"/>
          </w:tcPr>
          <w:p>
            <w:pPr>
              <w:spacing w:after="0"/>
              <w:rPr>
                <w:sz w:val="24"/>
                <w:szCs w:val="24"/>
                <w:color w:val="auto"/>
              </w:rPr>
            </w:pPr>
          </w:p>
        </w:tc>
        <w:tc>
          <w:tcPr>
            <w:tcW w:w="1200" w:type="dxa"/>
            <w:vAlign w:val="bottom"/>
            <w:tcBorders>
              <w:bottom w:val="single" w:sz="8" w:color="auto"/>
            </w:tcBorders>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364,910</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270,473</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Certain prior year revenue classes have been revised to conform to current year presentation.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 in prior year due to reclassification of Residential Choice customers from Residential to Transportation class.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3"/>
          </w:tcPr>
          <w:p>
            <w:pPr>
              <w:jc w:val="right"/>
              <w:ind w:right="648"/>
              <w:spacing w:after="0"/>
              <w:rPr>
                <w:sz w:val="20"/>
                <w:szCs w:val="20"/>
                <w:color w:val="auto"/>
              </w:rPr>
            </w:pPr>
            <w:r>
              <w:rPr>
                <w:rFonts w:ascii="Arial" w:cs="Arial" w:eastAsia="Arial" w:hAnsi="Arial"/>
                <w:sz w:val="14"/>
                <w:szCs w:val="14"/>
                <w:color w:val="auto"/>
              </w:rPr>
              <w:t>Three Months Ended March 31,</w:t>
            </w:r>
          </w:p>
        </w:tc>
      </w:tr>
      <w:tr>
        <w:trPr>
          <w:trHeight w:val="27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Gross Margin (in thousands) </w:t>
            </w:r>
            <w:r>
              <w:rPr>
                <w:rFonts w:ascii="Arial" w:cs="Arial" w:eastAsia="Arial" w:hAnsi="Arial"/>
                <w:sz w:val="8"/>
                <w:szCs w:val="8"/>
                <w:color w:val="auto"/>
              </w:rPr>
              <w:t>(a)</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Arkansas</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22,444</w:t>
            </w:r>
          </w:p>
        </w:tc>
        <w:tc>
          <w:tcPr>
            <w:tcW w:w="4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9,629</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Colorado</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16,832</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11,477</w:t>
            </w: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 xml:space="preserve">Nebraska </w:t>
            </w:r>
            <w:r>
              <w:rPr>
                <w:rFonts w:ascii="Arial" w:cs="Arial" w:eastAsia="Arial" w:hAnsi="Arial"/>
                <w:sz w:val="8"/>
                <w:szCs w:val="8"/>
                <w:color w:val="auto"/>
              </w:rPr>
              <w:t>(b)</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18,737</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18,484</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Iowa</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13,791</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13,607</w:t>
            </w: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Kansas</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11,441</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10,085</w:t>
            </w:r>
          </w:p>
        </w:tc>
      </w:tr>
      <w:tr>
        <w:trPr>
          <w:trHeight w:val="264"/>
        </w:trPr>
        <w:tc>
          <w:tcPr>
            <w:tcW w:w="8120" w:type="dxa"/>
            <w:vAlign w:val="bottom"/>
            <w:tcBorders>
              <w:bottom w:val="single" w:sz="8" w:color="CEFFE7"/>
            </w:tcBorders>
          </w:tcPr>
          <w:p>
            <w:pPr>
              <w:ind w:left="180"/>
              <w:spacing w:after="0"/>
              <w:rPr>
                <w:sz w:val="20"/>
                <w:szCs w:val="20"/>
                <w:color w:val="auto"/>
              </w:rPr>
            </w:pPr>
            <w:r>
              <w:rPr>
                <w:rFonts w:ascii="Arial" w:cs="Arial" w:eastAsia="Arial" w:hAnsi="Arial"/>
                <w:sz w:val="14"/>
                <w:szCs w:val="14"/>
                <w:color w:val="auto"/>
              </w:rPr>
              <w:t xml:space="preserve">Wyoming </w:t>
            </w:r>
            <w:r>
              <w:rPr>
                <w:rFonts w:ascii="Arial" w:cs="Arial" w:eastAsia="Arial" w:hAnsi="Arial"/>
                <w:sz w:val="8"/>
                <w:szCs w:val="8"/>
                <w:color w:val="auto"/>
              </w:rPr>
              <w:t>(b)</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7,806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6,300</w:t>
            </w:r>
          </w:p>
        </w:tc>
      </w:tr>
      <w:tr>
        <w:trPr>
          <w:trHeight w:val="264"/>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Total Residential</w:t>
            </w:r>
          </w:p>
        </w:tc>
        <w:tc>
          <w:tcPr>
            <w:tcW w:w="3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91,051</w:t>
            </w:r>
          </w:p>
        </w:tc>
        <w:tc>
          <w:tcPr>
            <w:tcW w:w="4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69,582</w:t>
            </w:r>
          </w:p>
        </w:tc>
      </w:tr>
      <w:tr>
        <w:trPr>
          <w:trHeight w:val="175"/>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70"/>
        </w:trPr>
        <w:tc>
          <w:tcPr>
            <w:tcW w:w="8120" w:type="dxa"/>
            <w:vAlign w:val="bottom"/>
            <w:shd w:val="clear" w:color="auto" w:fill="CEFFE7"/>
          </w:tcPr>
          <w:p>
            <w:pPr>
              <w:ind w:left="40"/>
              <w:spacing w:after="0"/>
              <w:rPr>
                <w:sz w:val="20"/>
                <w:szCs w:val="20"/>
                <w:color w:val="auto"/>
              </w:rPr>
            </w:pPr>
            <w:r>
              <w:rPr>
                <w:rFonts w:ascii="Arial" w:cs="Arial" w:eastAsia="Arial" w:hAnsi="Arial"/>
                <w:sz w:val="14"/>
                <w:szCs w:val="14"/>
                <w:color w:val="auto"/>
              </w:rPr>
              <w:t>Commercial:</w:t>
            </w: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Arkansas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9,571</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4,032</w:t>
            </w: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Colorado</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5,151</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3,155</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Nebraska</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4,548</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4,457</w:t>
            </w: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Iowa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4,371</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4,289</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Kansas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3,011</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2,911</w:t>
            </w:r>
          </w:p>
        </w:tc>
      </w:tr>
      <w:tr>
        <w:trPr>
          <w:trHeight w:val="270"/>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Wyoming</w:t>
            </w:r>
          </w:p>
        </w:tc>
        <w:tc>
          <w:tcPr>
            <w:tcW w:w="38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3,147</w:t>
            </w:r>
          </w:p>
        </w:tc>
        <w:tc>
          <w:tcPr>
            <w:tcW w:w="48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2,664</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Total Commercial</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29,799</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21,508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26"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3"/>
          </w:tcPr>
          <w:p>
            <w:pPr>
              <w:jc w:val="right"/>
              <w:ind w:right="64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7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Gross Margin (in thousands) (continued)</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Industrial:</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Arkansas</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850</w:t>
            </w:r>
          </w:p>
        </w:tc>
        <w:tc>
          <w:tcPr>
            <w:tcW w:w="4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Colorado</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Nebraska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52</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Iowa</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Kansas</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207</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EFFE7"/>
            </w:tcBorders>
          </w:tcPr>
          <w:p>
            <w:pPr>
              <w:ind w:left="180"/>
              <w:spacing w:after="0"/>
              <w:rPr>
                <w:sz w:val="20"/>
                <w:szCs w:val="20"/>
                <w:color w:val="auto"/>
              </w:rPr>
            </w:pPr>
            <w:r>
              <w:rPr>
                <w:rFonts w:ascii="Arial" w:cs="Arial" w:eastAsia="Arial" w:hAnsi="Arial"/>
                <w:sz w:val="14"/>
                <w:szCs w:val="14"/>
                <w:color w:val="auto"/>
              </w:rPr>
              <w:t>Wyoming</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64"/>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Total Industrial</w:t>
            </w:r>
          </w:p>
        </w:tc>
        <w:tc>
          <w:tcPr>
            <w:tcW w:w="3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1,482</w:t>
            </w:r>
          </w:p>
        </w:tc>
        <w:tc>
          <w:tcPr>
            <w:tcW w:w="4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75"/>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EFFE7"/>
          </w:tcPr>
          <w:p>
            <w:pPr>
              <w:ind w:left="40"/>
              <w:spacing w:after="0"/>
              <w:rPr>
                <w:sz w:val="20"/>
                <w:szCs w:val="20"/>
                <w:color w:val="auto"/>
              </w:rPr>
            </w:pPr>
            <w:r>
              <w:rPr>
                <w:rFonts w:ascii="Arial" w:cs="Arial" w:eastAsia="Arial" w:hAnsi="Arial"/>
                <w:sz w:val="14"/>
                <w:szCs w:val="14"/>
                <w:color w:val="auto"/>
              </w:rPr>
              <w:t>Transportation:</w:t>
            </w: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Arkansas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Colorado</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1,383</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 xml:space="preserve">Nebraska </w:t>
            </w:r>
            <w:r>
              <w:rPr>
                <w:rFonts w:ascii="Arial" w:cs="Arial" w:eastAsia="Arial" w:hAnsi="Arial"/>
                <w:sz w:val="8"/>
                <w:szCs w:val="8"/>
                <w:color w:val="auto"/>
              </w:rPr>
              <w:t>(b)</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18,640</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11,777</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Iowa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1,471</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1,475</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Kansas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1,942</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270"/>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 xml:space="preserve">Wyoming </w:t>
            </w:r>
            <w:r>
              <w:rPr>
                <w:rFonts w:ascii="Arial" w:cs="Arial" w:eastAsia="Arial" w:hAnsi="Arial"/>
                <w:sz w:val="8"/>
                <w:szCs w:val="8"/>
                <w:color w:val="auto"/>
              </w:rPr>
              <w:t>(b)</w:t>
            </w:r>
          </w:p>
        </w:tc>
        <w:tc>
          <w:tcPr>
            <w:tcW w:w="38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9,031</w:t>
            </w:r>
          </w:p>
        </w:tc>
        <w:tc>
          <w:tcPr>
            <w:tcW w:w="48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4,632</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EFFE7"/>
            </w:tcBorders>
          </w:tcPr>
          <w:p>
            <w:pPr>
              <w:ind w:left="280"/>
              <w:spacing w:after="0"/>
              <w:rPr>
                <w:sz w:val="20"/>
                <w:szCs w:val="20"/>
                <w:color w:val="auto"/>
              </w:rPr>
            </w:pPr>
            <w:r>
              <w:rPr>
                <w:rFonts w:ascii="Arial" w:cs="Arial" w:eastAsia="Arial" w:hAnsi="Arial"/>
                <w:sz w:val="14"/>
                <w:szCs w:val="14"/>
                <w:color w:val="auto"/>
              </w:rPr>
              <w:t>Total Transportation</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35,467</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22,455</w:t>
            </w:r>
          </w:p>
        </w:tc>
        <w:tc>
          <w:tcPr>
            <w:tcW w:w="0" w:type="dxa"/>
            <w:vAlign w:val="bottom"/>
          </w:tcPr>
          <w:p>
            <w:pPr>
              <w:spacing w:after="0"/>
              <w:rPr>
                <w:sz w:val="1"/>
                <w:szCs w:val="1"/>
                <w:color w:val="auto"/>
              </w:rPr>
            </w:pPr>
          </w:p>
        </w:tc>
      </w:tr>
      <w:tr>
        <w:trPr>
          <w:trHeight w:val="175"/>
        </w:trPr>
        <w:tc>
          <w:tcPr>
            <w:tcW w:w="8120" w:type="dxa"/>
            <w:vAlign w:val="bottom"/>
            <w:shd w:val="clear" w:color="auto" w:fill="CEFFE7"/>
          </w:tcPr>
          <w:p>
            <w:pPr>
              <w:spacing w:after="0"/>
              <w:rPr>
                <w:sz w:val="15"/>
                <w:szCs w:val="15"/>
                <w:color w:val="auto"/>
              </w:rPr>
            </w:pPr>
          </w:p>
        </w:tc>
        <w:tc>
          <w:tcPr>
            <w:tcW w:w="380" w:type="dxa"/>
            <w:vAlign w:val="bottom"/>
            <w:shd w:val="clear" w:color="auto" w:fill="CEFFE7"/>
          </w:tcPr>
          <w:p>
            <w:pPr>
              <w:spacing w:after="0"/>
              <w:rPr>
                <w:sz w:val="15"/>
                <w:szCs w:val="15"/>
                <w:color w:val="auto"/>
              </w:rPr>
            </w:pPr>
          </w:p>
        </w:tc>
        <w:tc>
          <w:tcPr>
            <w:tcW w:w="1240" w:type="dxa"/>
            <w:vAlign w:val="bottom"/>
            <w:shd w:val="clear" w:color="auto" w:fill="CEFFE7"/>
          </w:tcPr>
          <w:p>
            <w:pPr>
              <w:spacing w:after="0"/>
              <w:rPr>
                <w:sz w:val="15"/>
                <w:szCs w:val="15"/>
                <w:color w:val="auto"/>
              </w:rPr>
            </w:pPr>
          </w:p>
        </w:tc>
        <w:tc>
          <w:tcPr>
            <w:tcW w:w="480" w:type="dxa"/>
            <w:vAlign w:val="bottom"/>
            <w:shd w:val="clear" w:color="auto" w:fill="CEFFE7"/>
          </w:tcPr>
          <w:p>
            <w:pPr>
              <w:spacing w:after="0"/>
              <w:rPr>
                <w:sz w:val="15"/>
                <w:szCs w:val="15"/>
                <w:color w:val="auto"/>
              </w:rPr>
            </w:pPr>
          </w:p>
        </w:tc>
        <w:tc>
          <w:tcPr>
            <w:tcW w:w="120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Transmission:</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Arkansas</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762</w:t>
            </w:r>
          </w:p>
        </w:tc>
        <w:tc>
          <w:tcPr>
            <w:tcW w:w="4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Colorado</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9,746</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Nebraska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EFFE7"/>
            </w:tcBorders>
          </w:tcPr>
          <w:p>
            <w:pPr>
              <w:ind w:left="180"/>
              <w:spacing w:after="0"/>
              <w:rPr>
                <w:sz w:val="20"/>
                <w:szCs w:val="20"/>
                <w:color w:val="auto"/>
              </w:rPr>
            </w:pPr>
            <w:r>
              <w:rPr>
                <w:rFonts w:ascii="Arial" w:cs="Arial" w:eastAsia="Arial" w:hAnsi="Arial"/>
                <w:sz w:val="14"/>
                <w:szCs w:val="14"/>
                <w:color w:val="auto"/>
              </w:rPr>
              <w:t>Wyoming</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264"/>
        </w:trPr>
        <w:tc>
          <w:tcPr>
            <w:tcW w:w="8120" w:type="dxa"/>
            <w:vAlign w:val="bottom"/>
            <w:shd w:val="clear" w:color="auto" w:fill="CEFFE7"/>
          </w:tcPr>
          <w:p>
            <w:pPr>
              <w:ind w:left="280"/>
              <w:spacing w:after="0"/>
              <w:rPr>
                <w:sz w:val="20"/>
                <w:szCs w:val="20"/>
                <w:color w:val="auto"/>
              </w:rPr>
            </w:pPr>
            <w:r>
              <w:rPr>
                <w:rFonts w:ascii="Arial" w:cs="Arial" w:eastAsia="Arial" w:hAnsi="Arial"/>
                <w:sz w:val="14"/>
                <w:szCs w:val="14"/>
                <w:color w:val="auto"/>
              </w:rPr>
              <w:t>Total Transmission</w:t>
            </w:r>
          </w:p>
        </w:tc>
        <w:tc>
          <w:tcPr>
            <w:tcW w:w="3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11,786</w:t>
            </w:r>
          </w:p>
        </w:tc>
        <w:tc>
          <w:tcPr>
            <w:tcW w:w="4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5,955</w:t>
            </w:r>
          </w:p>
        </w:tc>
        <w:tc>
          <w:tcPr>
            <w:tcW w:w="0" w:type="dxa"/>
            <w:vAlign w:val="bottom"/>
          </w:tcPr>
          <w:p>
            <w:pPr>
              <w:spacing w:after="0"/>
              <w:rPr>
                <w:sz w:val="1"/>
                <w:szCs w:val="1"/>
                <w:color w:val="auto"/>
              </w:rPr>
            </w:pPr>
          </w:p>
        </w:tc>
      </w:tr>
      <w:tr>
        <w:trPr>
          <w:trHeight w:val="175"/>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Sales Margins:</w:t>
            </w:r>
          </w:p>
        </w:tc>
        <w:tc>
          <w:tcPr>
            <w:tcW w:w="3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12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Arkansas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Colorado</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330</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Nebraska</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76"/>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Iowa</w:t>
            </w: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109</w:t>
            </w: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Kansas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270"/>
        </w:trPr>
        <w:tc>
          <w:tcPr>
            <w:tcW w:w="81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Wyoming</w:t>
            </w:r>
          </w:p>
        </w:tc>
        <w:tc>
          <w:tcPr>
            <w:tcW w:w="380" w:type="dxa"/>
            <w:vAlign w:val="bottom"/>
            <w:tcBorders>
              <w:bottom w:val="single" w:sz="8" w:color="auto"/>
            </w:tcBorders>
            <w:shd w:val="clear" w:color="auto" w:fill="CEFFE7"/>
          </w:tcPr>
          <w:p>
            <w:pPr>
              <w:spacing w:after="0"/>
              <w:rPr>
                <w:sz w:val="23"/>
                <w:szCs w:val="23"/>
                <w:color w:val="auto"/>
              </w:rPr>
            </w:pPr>
          </w:p>
        </w:tc>
        <w:tc>
          <w:tcPr>
            <w:tcW w:w="1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288</w:t>
            </w:r>
          </w:p>
        </w:tc>
        <w:tc>
          <w:tcPr>
            <w:tcW w:w="480" w:type="dxa"/>
            <w:vAlign w:val="bottom"/>
            <w:tcBorders>
              <w:bottom w:val="single" w:sz="8" w:color="auto"/>
            </w:tcBorders>
            <w:shd w:val="clear" w:color="auto" w:fill="CEFFE7"/>
          </w:tcPr>
          <w:p>
            <w:pPr>
              <w:spacing w:after="0"/>
              <w:rPr>
                <w:sz w:val="23"/>
                <w:szCs w:val="23"/>
                <w:color w:val="auto"/>
              </w:rPr>
            </w:pPr>
          </w:p>
        </w:tc>
        <w:tc>
          <w:tcPr>
            <w:tcW w:w="12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EFFE7"/>
            </w:tcBorders>
          </w:tcPr>
          <w:p>
            <w:pPr>
              <w:ind w:left="280"/>
              <w:spacing w:after="0"/>
              <w:rPr>
                <w:sz w:val="20"/>
                <w:szCs w:val="20"/>
                <w:color w:val="auto"/>
              </w:rPr>
            </w:pPr>
            <w:r>
              <w:rPr>
                <w:rFonts w:ascii="Arial" w:cs="Arial" w:eastAsia="Arial" w:hAnsi="Arial"/>
                <w:sz w:val="14"/>
                <w:szCs w:val="14"/>
                <w:color w:val="auto"/>
              </w:rPr>
              <w:t>Total Other Sales Margins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2,346</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4,230</w:t>
            </w:r>
          </w:p>
        </w:tc>
        <w:tc>
          <w:tcPr>
            <w:tcW w:w="0" w:type="dxa"/>
            <w:vAlign w:val="bottom"/>
          </w:tcPr>
          <w:p>
            <w:pPr>
              <w:spacing w:after="0"/>
              <w:rPr>
                <w:sz w:val="1"/>
                <w:szCs w:val="1"/>
                <w:color w:val="auto"/>
              </w:rPr>
            </w:pPr>
          </w:p>
        </w:tc>
      </w:tr>
      <w:tr>
        <w:trPr>
          <w:trHeight w:val="297"/>
        </w:trPr>
        <w:tc>
          <w:tcPr>
            <w:tcW w:w="812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Total Regulated Gross Margin</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171,931</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124,688</w:t>
            </w:r>
          </w:p>
        </w:tc>
        <w:tc>
          <w:tcPr>
            <w:tcW w:w="0" w:type="dxa"/>
            <w:vAlign w:val="bottom"/>
          </w:tcPr>
          <w:p>
            <w:pPr>
              <w:spacing w:after="0"/>
              <w:rPr>
                <w:sz w:val="1"/>
                <w:szCs w:val="1"/>
                <w:color w:val="auto"/>
              </w:rPr>
            </w:pPr>
          </w:p>
        </w:tc>
      </w:tr>
      <w:tr>
        <w:trPr>
          <w:trHeight w:val="303"/>
        </w:trPr>
        <w:tc>
          <w:tcPr>
            <w:tcW w:w="812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Non-regulated Services</w:t>
            </w:r>
          </w:p>
        </w:tc>
        <w:tc>
          <w:tcPr>
            <w:tcW w:w="38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11,597</w:t>
            </w:r>
          </w:p>
        </w:tc>
        <w:tc>
          <w:tcPr>
            <w:tcW w:w="4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7,821</w:t>
            </w:r>
          </w:p>
        </w:tc>
        <w:tc>
          <w:tcPr>
            <w:tcW w:w="0" w:type="dxa"/>
            <w:vAlign w:val="bottom"/>
          </w:tcPr>
          <w:p>
            <w:pPr>
              <w:spacing w:after="0"/>
              <w:rPr>
                <w:sz w:val="1"/>
                <w:szCs w:val="1"/>
                <w:color w:val="auto"/>
              </w:rPr>
            </w:pPr>
          </w:p>
        </w:tc>
      </w:tr>
      <w:tr>
        <w:trPr>
          <w:trHeight w:val="303"/>
        </w:trPr>
        <w:tc>
          <w:tcPr>
            <w:tcW w:w="8120" w:type="dxa"/>
            <w:vAlign w:val="bottom"/>
            <w:shd w:val="clear" w:color="auto" w:fill="CEFFE7"/>
          </w:tcPr>
          <w:p>
            <w:pPr>
              <w:spacing w:after="0"/>
              <w:rPr>
                <w:sz w:val="24"/>
                <w:szCs w:val="24"/>
                <w:color w:val="auto"/>
              </w:rPr>
            </w:pPr>
          </w:p>
        </w:tc>
        <w:tc>
          <w:tcPr>
            <w:tcW w:w="380" w:type="dxa"/>
            <w:vAlign w:val="bottom"/>
            <w:tcBorders>
              <w:bottom w:val="single" w:sz="8" w:color="auto"/>
            </w:tcBorders>
            <w:shd w:val="clear" w:color="auto" w:fill="CEFFE7"/>
          </w:tcPr>
          <w:p>
            <w:pPr>
              <w:spacing w:after="0"/>
              <w:rPr>
                <w:sz w:val="24"/>
                <w:szCs w:val="24"/>
                <w:color w:val="auto"/>
              </w:rPr>
            </w:pPr>
          </w:p>
        </w:tc>
        <w:tc>
          <w:tcPr>
            <w:tcW w:w="1240" w:type="dxa"/>
            <w:vAlign w:val="bottom"/>
            <w:tcBorders>
              <w:bottom w:val="single" w:sz="8" w:color="auto"/>
            </w:tcBorders>
            <w:shd w:val="clear" w:color="auto" w:fill="CEFFE7"/>
          </w:tcPr>
          <w:p>
            <w:pPr>
              <w:spacing w:after="0"/>
              <w:rPr>
                <w:sz w:val="24"/>
                <w:szCs w:val="24"/>
                <w:color w:val="auto"/>
              </w:rPr>
            </w:pPr>
          </w:p>
        </w:tc>
        <w:tc>
          <w:tcPr>
            <w:tcW w:w="480" w:type="dxa"/>
            <w:vAlign w:val="bottom"/>
            <w:tcBorders>
              <w:bottom w:val="single" w:sz="8" w:color="auto"/>
            </w:tcBorders>
            <w:shd w:val="clear" w:color="auto" w:fill="CEFFE7"/>
          </w:tcPr>
          <w:p>
            <w:pPr>
              <w:spacing w:after="0"/>
              <w:rPr>
                <w:sz w:val="24"/>
                <w:szCs w:val="24"/>
                <w:color w:val="auto"/>
              </w:rPr>
            </w:pPr>
          </w:p>
        </w:tc>
        <w:tc>
          <w:tcPr>
            <w:tcW w:w="1200" w:type="dxa"/>
            <w:vAlign w:val="bottom"/>
            <w:tcBorders>
              <w:bottom w:val="single" w:sz="8" w:color="auto"/>
            </w:tcBorders>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Total Gross Margin</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183,528</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132,509</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Certain prior year revenue classes have been revised to conform to current year presentation.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 in prior year due to reclassification of Residential Choice customers from Residential to Transportation class.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26"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6"/>
        </w:trPr>
        <w:tc>
          <w:tcPr>
            <w:tcW w:w="8240" w:type="dxa"/>
            <w:vAlign w:val="bottom"/>
          </w:tcPr>
          <w:p>
            <w:pPr>
              <w:spacing w:after="0"/>
              <w:rPr>
                <w:sz w:val="17"/>
                <w:szCs w:val="17"/>
                <w:color w:val="auto"/>
              </w:rPr>
            </w:pPr>
          </w:p>
        </w:tc>
        <w:tc>
          <w:tcPr>
            <w:tcW w:w="3180" w:type="dxa"/>
            <w:vAlign w:val="bottom"/>
            <w:gridSpan w:val="2"/>
          </w:tcPr>
          <w:p>
            <w:pPr>
              <w:jc w:val="right"/>
              <w:ind w:right="45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9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Gas Utilities Quantities Sold and Transportation (in Dth) </w:t>
            </w:r>
            <w:r>
              <w:rPr>
                <w:rFonts w:ascii="Arial" w:cs="Arial" w:eastAsia="Arial" w:hAnsi="Arial"/>
                <w:sz w:val="21"/>
                <w:szCs w:val="21"/>
                <w:color w:val="auto"/>
                <w:vertAlign w:val="superscript"/>
              </w:rPr>
              <w:t>(a)</w:t>
            </w:r>
          </w:p>
        </w:tc>
        <w:tc>
          <w:tcPr>
            <w:tcW w:w="18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2017</w:t>
            </w: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31"/>
        </w:trPr>
        <w:tc>
          <w:tcPr>
            <w:tcW w:w="824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1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Arkansas</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3,563,745</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1,893,080</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Colorado</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6,037,439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4,417,834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40" w:type="dxa"/>
            <w:vAlign w:val="bottom"/>
            <w:shd w:val="clear" w:color="auto" w:fill="CEFFE7"/>
          </w:tcPr>
          <w:p>
            <w:pPr>
              <w:ind w:left="180"/>
              <w:spacing w:after="0"/>
              <w:rPr>
                <w:sz w:val="20"/>
                <w:szCs w:val="20"/>
                <w:color w:val="auto"/>
              </w:rPr>
            </w:pPr>
            <w:r>
              <w:rPr>
                <w:rFonts w:ascii="Arial" w:cs="Arial" w:eastAsia="Arial" w:hAnsi="Arial"/>
                <w:sz w:val="16"/>
                <w:szCs w:val="16"/>
                <w:color w:val="auto"/>
              </w:rPr>
              <w:t xml:space="preserve">Nebraska </w:t>
            </w:r>
            <w:r>
              <w:rPr>
                <w:rFonts w:ascii="Arial" w:cs="Arial" w:eastAsia="Arial" w:hAnsi="Arial"/>
                <w:sz w:val="21"/>
                <w:szCs w:val="21"/>
                <w:color w:val="auto"/>
                <w:vertAlign w:val="superscript"/>
              </w:rPr>
              <w:t>(b)</w:t>
            </w:r>
          </w:p>
        </w:tc>
        <w:tc>
          <w:tcPr>
            <w:tcW w:w="186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5,528,468</w:t>
            </w:r>
          </w:p>
        </w:tc>
        <w:tc>
          <w:tcPr>
            <w:tcW w:w="13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5,484,494</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Iowa</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5,030,403</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5,038,749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Kansas</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2,928,003</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2,918,074</w:t>
            </w:r>
          </w:p>
        </w:tc>
        <w:tc>
          <w:tcPr>
            <w:tcW w:w="0" w:type="dxa"/>
            <w:vAlign w:val="bottom"/>
          </w:tcPr>
          <w:p>
            <w:pPr>
              <w:spacing w:after="0"/>
              <w:rPr>
                <w:sz w:val="1"/>
                <w:szCs w:val="1"/>
                <w:color w:val="auto"/>
              </w:rPr>
            </w:pPr>
          </w:p>
        </w:tc>
      </w:tr>
      <w:tr>
        <w:trPr>
          <w:trHeight w:val="257"/>
        </w:trPr>
        <w:tc>
          <w:tcPr>
            <w:tcW w:w="8240" w:type="dxa"/>
            <w:vAlign w:val="bottom"/>
            <w:tcBorders>
              <w:bottom w:val="single" w:sz="8" w:color="CEFFE7"/>
            </w:tcBorders>
          </w:tcPr>
          <w:p>
            <w:pPr>
              <w:ind w:left="180"/>
              <w:spacing w:after="0"/>
              <w:rPr>
                <w:sz w:val="20"/>
                <w:szCs w:val="20"/>
                <w:color w:val="auto"/>
              </w:rPr>
            </w:pPr>
            <w:r>
              <w:rPr>
                <w:rFonts w:ascii="Arial" w:cs="Arial" w:eastAsia="Arial" w:hAnsi="Arial"/>
                <w:sz w:val="16"/>
                <w:szCs w:val="16"/>
                <w:color w:val="auto"/>
              </w:rPr>
              <w:t xml:space="preserve">Wyoming </w:t>
            </w:r>
            <w:r>
              <w:rPr>
                <w:rFonts w:ascii="Arial" w:cs="Arial" w:eastAsia="Arial" w:hAnsi="Arial"/>
                <w:sz w:val="21"/>
                <w:szCs w:val="21"/>
                <w:color w:val="auto"/>
                <w:vertAlign w:val="superscript"/>
              </w:rPr>
              <w:t>(b)</w:t>
            </w:r>
          </w:p>
        </w:tc>
        <w:tc>
          <w:tcPr>
            <w:tcW w:w="1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2,180,076</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1,707,235</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Total Residential</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25,268,134</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21,459,466</w:t>
            </w:r>
          </w:p>
        </w:tc>
        <w:tc>
          <w:tcPr>
            <w:tcW w:w="0" w:type="dxa"/>
            <w:vAlign w:val="bottom"/>
          </w:tcPr>
          <w:p>
            <w:pPr>
              <w:spacing w:after="0"/>
              <w:rPr>
                <w:sz w:val="1"/>
                <w:szCs w:val="1"/>
                <w:color w:val="auto"/>
              </w:rPr>
            </w:pPr>
          </w:p>
        </w:tc>
      </w:tr>
      <w:tr>
        <w:trPr>
          <w:trHeight w:val="169"/>
        </w:trPr>
        <w:tc>
          <w:tcPr>
            <w:tcW w:w="8240" w:type="dxa"/>
            <w:vAlign w:val="bottom"/>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18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Arkansas</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2,173,152</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1,153,574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Colorado</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2,257,750</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1,443,166</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Nebraska</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2,023,724</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1,990,729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Iowa</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2,600,186</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2,573,951</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Kansas</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1,201,527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1,274,888</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Wyoming</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1,447,975</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1,151,701</w:t>
            </w:r>
          </w:p>
        </w:tc>
        <w:tc>
          <w:tcPr>
            <w:tcW w:w="0" w:type="dxa"/>
            <w:vAlign w:val="bottom"/>
          </w:tcPr>
          <w:p>
            <w:pPr>
              <w:spacing w:after="0"/>
              <w:rPr>
                <w:sz w:val="1"/>
                <w:szCs w:val="1"/>
                <w:color w:val="auto"/>
              </w:rPr>
            </w:pPr>
          </w:p>
        </w:tc>
      </w:tr>
      <w:tr>
        <w:trPr>
          <w:trHeight w:val="217"/>
        </w:trPr>
        <w:tc>
          <w:tcPr>
            <w:tcW w:w="8240" w:type="dxa"/>
            <w:vAlign w:val="bottom"/>
          </w:tcPr>
          <w:p>
            <w:pPr>
              <w:ind w:left="280"/>
              <w:spacing w:after="0"/>
              <w:rPr>
                <w:sz w:val="20"/>
                <w:szCs w:val="20"/>
                <w:color w:val="auto"/>
              </w:rPr>
            </w:pPr>
            <w:r>
              <w:rPr>
                <w:rFonts w:ascii="Arial" w:cs="Arial" w:eastAsia="Arial" w:hAnsi="Arial"/>
                <w:sz w:val="16"/>
                <w:szCs w:val="16"/>
                <w:color w:val="auto"/>
              </w:rPr>
              <w:t>Total Commercial</w:t>
            </w:r>
          </w:p>
        </w:tc>
        <w:tc>
          <w:tcPr>
            <w:tcW w:w="1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11,704,314</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9,588,009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EFFE7"/>
          </w:tcPr>
          <w:p>
            <w:pPr>
              <w:spacing w:after="0"/>
              <w:rPr>
                <w:sz w:val="14"/>
                <w:szCs w:val="14"/>
                <w:color w:val="auto"/>
              </w:rPr>
            </w:pPr>
          </w:p>
        </w:tc>
        <w:tc>
          <w:tcPr>
            <w:tcW w:w="1860" w:type="dxa"/>
            <w:vAlign w:val="bottom"/>
            <w:shd w:val="clear" w:color="auto" w:fill="CEFFE7"/>
          </w:tcPr>
          <w:p>
            <w:pPr>
              <w:spacing w:after="0"/>
              <w:rPr>
                <w:sz w:val="14"/>
                <w:szCs w:val="14"/>
                <w:color w:val="auto"/>
              </w:rPr>
            </w:pPr>
          </w:p>
        </w:tc>
        <w:tc>
          <w:tcPr>
            <w:tcW w:w="132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1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Arkansas</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350,089</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161,692</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Colorado</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62,187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39,348</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Nebraska</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23,366</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18,337</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Iowa</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146,120</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127,199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Kansas</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81,849</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164,345</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Wyoming</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263,276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272,551</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Total Industrial</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926,887</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783,472</w:t>
            </w:r>
          </w:p>
        </w:tc>
        <w:tc>
          <w:tcPr>
            <w:tcW w:w="0" w:type="dxa"/>
            <w:vAlign w:val="bottom"/>
          </w:tcPr>
          <w:p>
            <w:pPr>
              <w:spacing w:after="0"/>
              <w:rPr>
                <w:sz w:val="1"/>
                <w:szCs w:val="1"/>
                <w:color w:val="auto"/>
              </w:rPr>
            </w:pPr>
          </w:p>
        </w:tc>
      </w:tr>
      <w:tr>
        <w:trPr>
          <w:trHeight w:val="169"/>
        </w:trPr>
        <w:tc>
          <w:tcPr>
            <w:tcW w:w="8240" w:type="dxa"/>
            <w:vAlign w:val="bottom"/>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Distribution Quantities Sold</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37,899,335</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31,830,947</w:t>
            </w:r>
          </w:p>
        </w:tc>
        <w:tc>
          <w:tcPr>
            <w:tcW w:w="0" w:type="dxa"/>
            <w:vAlign w:val="bottom"/>
          </w:tcPr>
          <w:p>
            <w:pPr>
              <w:spacing w:after="0"/>
              <w:rPr>
                <w:sz w:val="1"/>
                <w:szCs w:val="1"/>
                <w:color w:val="auto"/>
              </w:rPr>
            </w:pPr>
          </w:p>
        </w:tc>
      </w:tr>
      <w:tr>
        <w:trPr>
          <w:trHeight w:val="169"/>
        </w:trPr>
        <w:tc>
          <w:tcPr>
            <w:tcW w:w="8240" w:type="dxa"/>
            <w:vAlign w:val="bottom"/>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Transportation:</w:t>
            </w:r>
          </w:p>
        </w:tc>
        <w:tc>
          <w:tcPr>
            <w:tcW w:w="18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Arkansas</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2,479,210</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1,325,428</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Colorado</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1,010,676</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706,731</w:t>
            </w:r>
          </w:p>
        </w:tc>
        <w:tc>
          <w:tcPr>
            <w:tcW w:w="0" w:type="dxa"/>
            <w:vAlign w:val="bottom"/>
          </w:tcPr>
          <w:p>
            <w:pPr>
              <w:spacing w:after="0"/>
              <w:rPr>
                <w:sz w:val="1"/>
                <w:szCs w:val="1"/>
                <w:color w:val="auto"/>
              </w:rPr>
            </w:pPr>
          </w:p>
        </w:tc>
      </w:tr>
      <w:tr>
        <w:trPr>
          <w:trHeight w:val="257"/>
        </w:trPr>
        <w:tc>
          <w:tcPr>
            <w:tcW w:w="8240" w:type="dxa"/>
            <w:vAlign w:val="bottom"/>
          </w:tcPr>
          <w:p>
            <w:pPr>
              <w:ind w:left="180"/>
              <w:spacing w:after="0"/>
              <w:rPr>
                <w:sz w:val="20"/>
                <w:szCs w:val="20"/>
                <w:color w:val="auto"/>
              </w:rPr>
            </w:pPr>
            <w:r>
              <w:rPr>
                <w:rFonts w:ascii="Arial" w:cs="Arial" w:eastAsia="Arial" w:hAnsi="Arial"/>
                <w:sz w:val="16"/>
                <w:szCs w:val="16"/>
                <w:color w:val="auto"/>
              </w:rPr>
              <w:t xml:space="preserve">Nebraska </w:t>
            </w:r>
            <w:r>
              <w:rPr>
                <w:rFonts w:ascii="Arial" w:cs="Arial" w:eastAsia="Arial" w:hAnsi="Arial"/>
                <w:sz w:val="21"/>
                <w:szCs w:val="21"/>
                <w:color w:val="auto"/>
                <w:vertAlign w:val="superscript"/>
              </w:rPr>
              <w:t>(b)</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16,697,231</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12,171,095</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Iowa</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5,718,303</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5,830,344</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Kansas</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4,297,939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3,813,385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40" w:type="dxa"/>
            <w:vAlign w:val="bottom"/>
            <w:shd w:val="clear" w:color="auto" w:fill="CEFFE7"/>
          </w:tcPr>
          <w:p>
            <w:pPr>
              <w:ind w:left="180"/>
              <w:spacing w:after="0"/>
              <w:rPr>
                <w:sz w:val="20"/>
                <w:szCs w:val="20"/>
                <w:color w:val="auto"/>
              </w:rPr>
            </w:pPr>
            <w:r>
              <w:rPr>
                <w:rFonts w:ascii="Arial" w:cs="Arial" w:eastAsia="Arial" w:hAnsi="Arial"/>
                <w:sz w:val="16"/>
                <w:szCs w:val="16"/>
                <w:color w:val="auto"/>
              </w:rPr>
              <w:t xml:space="preserve">Wyoming </w:t>
            </w:r>
            <w:r>
              <w:rPr>
                <w:rFonts w:ascii="Arial" w:cs="Arial" w:eastAsia="Arial" w:hAnsi="Arial"/>
                <w:sz w:val="21"/>
                <w:szCs w:val="21"/>
                <w:color w:val="auto"/>
                <w:vertAlign w:val="superscript"/>
              </w:rPr>
              <w:t>(b)</w:t>
            </w:r>
          </w:p>
        </w:tc>
        <w:tc>
          <w:tcPr>
            <w:tcW w:w="186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6,877,976</w:t>
            </w:r>
          </w:p>
        </w:tc>
        <w:tc>
          <w:tcPr>
            <w:tcW w:w="13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4,801,927</w:t>
            </w:r>
          </w:p>
        </w:tc>
        <w:tc>
          <w:tcPr>
            <w:tcW w:w="0" w:type="dxa"/>
            <w:vAlign w:val="bottom"/>
          </w:tcPr>
          <w:p>
            <w:pPr>
              <w:spacing w:after="0"/>
              <w:rPr>
                <w:sz w:val="1"/>
                <w:szCs w:val="1"/>
                <w:color w:val="auto"/>
              </w:rPr>
            </w:pPr>
          </w:p>
        </w:tc>
      </w:tr>
      <w:tr>
        <w:trPr>
          <w:trHeight w:val="217"/>
        </w:trPr>
        <w:tc>
          <w:tcPr>
            <w:tcW w:w="8240" w:type="dxa"/>
            <w:vAlign w:val="bottom"/>
          </w:tcPr>
          <w:p>
            <w:pPr>
              <w:ind w:left="280"/>
              <w:spacing w:after="0"/>
              <w:rPr>
                <w:sz w:val="20"/>
                <w:szCs w:val="20"/>
                <w:color w:val="auto"/>
              </w:rPr>
            </w:pPr>
            <w:r>
              <w:rPr>
                <w:rFonts w:ascii="Arial" w:cs="Arial" w:eastAsia="Arial" w:hAnsi="Arial"/>
                <w:sz w:val="16"/>
                <w:szCs w:val="16"/>
                <w:color w:val="auto"/>
              </w:rPr>
              <w:t>Total Transportation</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37,081,335</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28,648,910</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240" w:type="dxa"/>
            <w:vAlign w:val="bottom"/>
            <w:shd w:val="clear" w:color="auto" w:fill="CEFFE7"/>
          </w:tcPr>
          <w:p>
            <w:pPr>
              <w:spacing w:after="0"/>
              <w:rPr>
                <w:sz w:val="14"/>
                <w:szCs w:val="14"/>
                <w:color w:val="auto"/>
              </w:rPr>
            </w:pPr>
          </w:p>
        </w:tc>
        <w:tc>
          <w:tcPr>
            <w:tcW w:w="1860" w:type="dxa"/>
            <w:vAlign w:val="bottom"/>
            <w:shd w:val="clear" w:color="auto" w:fill="CEFFE7"/>
          </w:tcPr>
          <w:p>
            <w:pPr>
              <w:spacing w:after="0"/>
              <w:rPr>
                <w:sz w:val="14"/>
                <w:szCs w:val="14"/>
                <w:color w:val="auto"/>
              </w:rPr>
            </w:pPr>
          </w:p>
        </w:tc>
        <w:tc>
          <w:tcPr>
            <w:tcW w:w="132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Transmission:</w:t>
            </w:r>
          </w:p>
        </w:tc>
        <w:tc>
          <w:tcPr>
            <w:tcW w:w="1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Arkansas</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645,889</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86,164</w:t>
            </w:r>
          </w:p>
        </w:tc>
        <w:tc>
          <w:tcPr>
            <w:tcW w:w="0" w:type="dxa"/>
            <w:vAlign w:val="bottom"/>
          </w:tcPr>
          <w:p>
            <w:pPr>
              <w:spacing w:after="0"/>
              <w:rPr>
                <w:sz w:val="1"/>
                <w:szCs w:val="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Colorado</w:t>
            </w:r>
          </w:p>
        </w:tc>
        <w:tc>
          <w:tcPr>
            <w:tcW w:w="1860" w:type="dxa"/>
            <w:vAlign w:val="bottom"/>
          </w:tcPr>
          <w:p>
            <w:pPr>
              <w:jc w:val="right"/>
              <w:ind w:right="299"/>
              <w:spacing w:after="0"/>
              <w:rPr>
                <w:sz w:val="20"/>
                <w:szCs w:val="20"/>
                <w:color w:val="auto"/>
              </w:rPr>
            </w:pPr>
            <w:r>
              <w:rPr>
                <w:rFonts w:ascii="Arial" w:cs="Arial" w:eastAsia="Arial" w:hAnsi="Arial"/>
                <w:sz w:val="16"/>
                <w:szCs w:val="16"/>
                <w:color w:val="auto"/>
              </w:rPr>
              <w:t>1,619,592</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91,862</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Wyoming</w:t>
            </w:r>
          </w:p>
        </w:tc>
        <w:tc>
          <w:tcPr>
            <w:tcW w:w="18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1,466,058</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463,856</w:t>
            </w:r>
          </w:p>
        </w:tc>
        <w:tc>
          <w:tcPr>
            <w:tcW w:w="0" w:type="dxa"/>
            <w:vAlign w:val="bottom"/>
          </w:tcPr>
          <w:p>
            <w:pPr>
              <w:spacing w:after="0"/>
              <w:rPr>
                <w:sz w:val="1"/>
                <w:szCs w:val="1"/>
                <w:color w:val="auto"/>
              </w:rPr>
            </w:pPr>
          </w:p>
        </w:tc>
      </w:tr>
      <w:tr>
        <w:trPr>
          <w:trHeight w:val="217"/>
        </w:trPr>
        <w:tc>
          <w:tcPr>
            <w:tcW w:w="8240" w:type="dxa"/>
            <w:vAlign w:val="bottom"/>
          </w:tcPr>
          <w:p>
            <w:pPr>
              <w:ind w:left="280"/>
              <w:spacing w:after="0"/>
              <w:rPr>
                <w:sz w:val="20"/>
                <w:szCs w:val="20"/>
                <w:color w:val="auto"/>
              </w:rPr>
            </w:pPr>
            <w:r>
              <w:rPr>
                <w:rFonts w:ascii="Arial" w:cs="Arial" w:eastAsia="Arial" w:hAnsi="Arial"/>
                <w:sz w:val="16"/>
                <w:szCs w:val="16"/>
                <w:color w:val="auto"/>
              </w:rPr>
              <w:t>Total Transmission</w:t>
            </w:r>
          </w:p>
        </w:tc>
        <w:tc>
          <w:tcPr>
            <w:tcW w:w="1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3,731,539</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641,882</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EFFE7"/>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240" w:type="dxa"/>
            <w:vAlign w:val="bottom"/>
            <w:shd w:val="clear" w:color="auto" w:fill="CEFFE7"/>
          </w:tcPr>
          <w:p>
            <w:pPr>
              <w:spacing w:after="0"/>
              <w:rPr>
                <w:sz w:val="24"/>
                <w:szCs w:val="24"/>
                <w:color w:val="auto"/>
              </w:rPr>
            </w:pPr>
          </w:p>
        </w:tc>
        <w:tc>
          <w:tcPr>
            <w:tcW w:w="18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Pr>
          <w:p>
            <w:pPr>
              <w:ind w:left="40"/>
              <w:spacing w:after="0"/>
              <w:rPr>
                <w:sz w:val="20"/>
                <w:szCs w:val="20"/>
                <w:color w:val="auto"/>
              </w:rPr>
            </w:pPr>
            <w:r>
              <w:rPr>
                <w:rFonts w:ascii="Arial" w:cs="Arial" w:eastAsia="Arial" w:hAnsi="Arial"/>
                <w:sz w:val="16"/>
                <w:szCs w:val="16"/>
                <w:color w:val="auto"/>
              </w:rPr>
              <w:t>Total Quantities Sold and Transportation</w:t>
            </w:r>
          </w:p>
        </w:tc>
        <w:tc>
          <w:tcPr>
            <w:tcW w:w="1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78,712,209</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61,121,739</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4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Certain prior year revenue classes have been revised to conform to current year presentation.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 in prior year due to reclassification of Residential Choice customers from Residential to Transportation class.</w:t>
      </w:r>
    </w:p>
    <w:p>
      <w:pPr>
        <w:sectPr>
          <w:pgSz w:w="11900" w:h="16838" w:orient="portrait"/>
          <w:cols w:equalWidth="0" w:num="1">
            <w:col w:w="11420"/>
          </w:cols>
          <w:pgMar w:left="240" w:top="764"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764" w:right="239" w:bottom="1440" w:gutter="0" w:footer="0" w:header="0"/>
          <w:type w:val="continuous"/>
        </w:sectPr>
      </w:pPr>
    </w:p>
    <w:bookmarkStart w:id="49" w:name="page50"/>
    <w:bookmarkEnd w:id="49"/>
    <w:p>
      <w:pPr>
        <w:ind w:right="200"/>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Over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20" w:type="dxa"/>
            <w:vAlign w:val="bottom"/>
            <w:gridSpan w:val="3"/>
          </w:tcPr>
          <w:p>
            <w:pPr>
              <w:ind w:left="1300"/>
              <w:spacing w:after="0"/>
              <w:rPr>
                <w:sz w:val="20"/>
                <w:szCs w:val="20"/>
                <w:color w:val="auto"/>
              </w:rPr>
            </w:pPr>
            <w:r>
              <w:rPr>
                <w:rFonts w:ascii="Arial" w:cs="Arial" w:eastAsia="Arial" w:hAnsi="Arial"/>
                <w:sz w:val="18"/>
                <w:szCs w:val="18"/>
                <w:color w:val="auto"/>
              </w:rPr>
              <w:t>Three Months Ended March 31,</w:t>
            </w:r>
          </w:p>
        </w:tc>
        <w:tc>
          <w:tcPr>
            <w:tcW w:w="1700" w:type="dxa"/>
            <w:vAlign w:val="bottom"/>
          </w:tcPr>
          <w:p>
            <w:pPr>
              <w:spacing w:after="0"/>
              <w:rPr>
                <w:sz w:val="20"/>
                <w:szCs w:val="20"/>
                <w:color w:val="auto"/>
              </w:rPr>
            </w:pPr>
          </w:p>
        </w:tc>
      </w:tr>
      <w:tr>
        <w:trPr>
          <w:trHeight w:val="270"/>
        </w:trPr>
        <w:tc>
          <w:tcPr>
            <w:tcW w:w="4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2017</w:t>
            </w:r>
          </w:p>
        </w:tc>
        <w:tc>
          <w:tcPr>
            <w:tcW w:w="1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2016</w:t>
            </w:r>
          </w:p>
        </w:tc>
      </w:tr>
      <w:tr>
        <w:trPr>
          <w:trHeight w:val="27"/>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4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87"/>
              </w:rPr>
              <w:t>Variance</w:t>
            </w:r>
          </w:p>
        </w:tc>
        <w:tc>
          <w:tcPr>
            <w:tcW w:w="1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0"/>
              </w:rPr>
              <w:t>Variance</w:t>
            </w:r>
          </w:p>
        </w:tc>
      </w:tr>
      <w:tr>
        <w:trPr>
          <w:trHeight w:val="216"/>
        </w:trPr>
        <w:tc>
          <w:tcPr>
            <w:tcW w:w="4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3"/>
              </w:rPr>
              <w:t>from 30-Year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Actual Variance</w:t>
            </w:r>
          </w:p>
        </w:tc>
        <w:tc>
          <w:tcPr>
            <w:tcW w:w="900" w:type="dxa"/>
            <w:vAlign w:val="bottom"/>
          </w:tcPr>
          <w:p>
            <w:pPr>
              <w:spacing w:after="0"/>
              <w:rPr>
                <w:sz w:val="18"/>
                <w:szCs w:val="18"/>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from 30-Year</w:t>
            </w:r>
          </w:p>
        </w:tc>
      </w:tr>
      <w:tr>
        <w:trPr>
          <w:trHeight w:val="257"/>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Heating Degree Days:</w:t>
            </w:r>
          </w:p>
        </w:tc>
        <w:tc>
          <w:tcPr>
            <w:tcW w:w="10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5"/>
              </w:rPr>
              <w:t>Actual</w:t>
            </w:r>
          </w:p>
        </w:tc>
        <w:tc>
          <w:tcPr>
            <w:tcW w:w="17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6"/>
              </w:rPr>
              <w:t>Average</w:t>
            </w:r>
          </w:p>
        </w:tc>
        <w:tc>
          <w:tcPr>
            <w:tcW w:w="16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 xml:space="preserve">to Prior Year </w:t>
            </w:r>
            <w:r>
              <w:rPr>
                <w:rFonts w:ascii="Arial" w:cs="Arial" w:eastAsia="Arial" w:hAnsi="Arial"/>
                <w:sz w:val="25"/>
                <w:szCs w:val="25"/>
                <w:color w:val="auto"/>
                <w:w w:val="87"/>
                <w:vertAlign w:val="superscript"/>
              </w:rPr>
              <w:t>(c)</w:t>
            </w: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Actual</w:t>
            </w:r>
          </w:p>
        </w:tc>
        <w:tc>
          <w:tcPr>
            <w:tcW w:w="17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9"/>
              </w:rPr>
              <w:t>Average</w:t>
            </w:r>
          </w:p>
        </w:tc>
      </w:tr>
      <w:tr>
        <w:trPr>
          <w:trHeight w:val="264"/>
        </w:trPr>
        <w:tc>
          <w:tcPr>
            <w:tcW w:w="446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104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88"/>
              </w:rPr>
              <w:t>1,569</w:t>
            </w:r>
          </w:p>
        </w:tc>
        <w:tc>
          <w:tcPr>
            <w:tcW w:w="17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5"/>
              </w:rPr>
              <w:t>(25)%</w:t>
            </w:r>
          </w:p>
        </w:tc>
        <w:tc>
          <w:tcPr>
            <w:tcW w:w="16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64%</w:t>
            </w:r>
          </w:p>
        </w:tc>
        <w:tc>
          <w:tcPr>
            <w:tcW w:w="900" w:type="dxa"/>
            <w:vAlign w:val="bottom"/>
            <w:shd w:val="clear" w:color="auto" w:fill="CEFFE7"/>
          </w:tcPr>
          <w:p>
            <w:pPr>
              <w:jc w:val="center"/>
              <w:ind w:left="30"/>
              <w:spacing w:after="0"/>
              <w:rPr>
                <w:sz w:val="20"/>
                <w:szCs w:val="20"/>
                <w:color w:val="auto"/>
              </w:rPr>
            </w:pPr>
            <w:r>
              <w:rPr>
                <w:rFonts w:ascii="Arial" w:cs="Arial" w:eastAsia="Arial" w:hAnsi="Arial"/>
                <w:sz w:val="18"/>
                <w:szCs w:val="18"/>
                <w:color w:val="auto"/>
                <w:w w:val="86"/>
              </w:rPr>
              <w:t>957</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1"/>
              </w:rPr>
              <w:t>(16)%</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Colorado</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2,465</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(16)%</w:t>
            </w: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4"/>
              </w:rPr>
              <w:t>(6)%</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2,628</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(9)%</w:t>
            </w:r>
          </w:p>
        </w:tc>
      </w:tr>
      <w:tr>
        <w:trPr>
          <w:trHeight w:val="27"/>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104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88"/>
              </w:rPr>
              <w:t>2,647</w:t>
            </w:r>
          </w:p>
        </w:tc>
        <w:tc>
          <w:tcPr>
            <w:tcW w:w="1700" w:type="dxa"/>
            <w:vAlign w:val="bottom"/>
            <w:tcBorders>
              <w:bottom w:val="single" w:sz="8" w:color="CEFFE7"/>
            </w:tcBorders>
            <w:shd w:val="clear" w:color="auto" w:fill="CEFFE7"/>
          </w:tcPr>
          <w:p>
            <w:pPr>
              <w:jc w:val="center"/>
              <w:ind w:left="270"/>
              <w:spacing w:after="0"/>
              <w:rPr>
                <w:sz w:val="20"/>
                <w:szCs w:val="20"/>
                <w:color w:val="auto"/>
              </w:rPr>
            </w:pPr>
            <w:r>
              <w:rPr>
                <w:rFonts w:ascii="Arial" w:cs="Arial" w:eastAsia="Arial" w:hAnsi="Arial"/>
                <w:sz w:val="18"/>
                <w:szCs w:val="18"/>
                <w:color w:val="auto"/>
                <w:w w:val="95"/>
              </w:rPr>
              <w:t>(13)%</w:t>
            </w:r>
          </w:p>
        </w:tc>
        <w:tc>
          <w:tcPr>
            <w:tcW w:w="162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4"/>
              </w:rPr>
              <w:t>(1)%</w:t>
            </w:r>
          </w:p>
        </w:tc>
        <w:tc>
          <w:tcPr>
            <w:tcW w:w="90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8"/>
              </w:rPr>
              <w:t>2,681</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91"/>
              </w:rPr>
              <w:t>(13)%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Iowa</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2,932</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(13)%</w:t>
            </w: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4"/>
              </w:rPr>
              <w:t>(5)%</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3,082</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(9)%</w:t>
            </w:r>
          </w:p>
        </w:tc>
      </w:tr>
      <w:tr>
        <w:trPr>
          <w:trHeight w:val="27"/>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46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104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88"/>
              </w:rPr>
              <w:t>2,102</w:t>
            </w:r>
          </w:p>
        </w:tc>
        <w:tc>
          <w:tcPr>
            <w:tcW w:w="17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5"/>
              </w:rPr>
              <w:t>(15)%</w:t>
            </w:r>
          </w:p>
        </w:tc>
        <w:tc>
          <w:tcPr>
            <w:tcW w:w="162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4"/>
              </w:rPr>
              <w:t>(3)%</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2,163</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1"/>
              </w:rPr>
              <w:t>(13)%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Wyoming</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2,984</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4"/>
              </w:rPr>
              <w:t>(7)%</w:t>
            </w: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2"/>
              </w:rPr>
              <w:t>5%</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2,849</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(8)%</w:t>
            </w:r>
          </w:p>
        </w:tc>
      </w:tr>
      <w:tr>
        <w:trPr>
          <w:trHeight w:val="27"/>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460" w:type="dxa"/>
            <w:vAlign w:val="bottom"/>
            <w:shd w:val="clear" w:color="auto" w:fill="CEFFE7"/>
          </w:tcPr>
          <w:p>
            <w:pPr>
              <w:ind w:left="40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104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88"/>
              </w:rPr>
              <w:t>2,718</w:t>
            </w:r>
          </w:p>
        </w:tc>
        <w:tc>
          <w:tcPr>
            <w:tcW w:w="17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5"/>
              </w:rPr>
              <w:t>(13)%</w:t>
            </w:r>
          </w:p>
        </w:tc>
        <w:tc>
          <w:tcPr>
            <w:tcW w:w="16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11%</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2,449</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1"/>
              </w:rPr>
              <w:t>(11)%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 w:lineRule="exact"/>
        <w:rPr>
          <w:sz w:val="20"/>
          <w:szCs w:val="20"/>
          <w:color w:val="auto"/>
        </w:rPr>
      </w:pPr>
    </w:p>
    <w:p>
      <w:pPr>
        <w:ind w:left="340" w:right="220" w:hanging="332"/>
        <w:spacing w:after="0" w:line="24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Arkansas has a weather normalization mechanism in effect during the months of November through April for customers with residential and business rate schedules. Kansas Gas has an approved weather normalization mechanism within its rate structure, which minimizes weather impact on gross margins. The weather normalization mechanism in Arkansas differs from that in Kansas in that it only uses one location to calculate the weather, compared to Kansas, which uses multiple locations. The weather normalization mechanism in Arkansas minimizes weather impact, but does not eliminate the impact.</w:t>
      </w:r>
    </w:p>
    <w:p>
      <w:pPr>
        <w:spacing w:after="0" w:line="1" w:lineRule="exact"/>
        <w:rPr>
          <w:rFonts w:ascii="Arial" w:cs="Arial" w:eastAsia="Arial" w:hAnsi="Arial"/>
          <w:sz w:val="16"/>
          <w:szCs w:val="16"/>
          <w:color w:val="auto"/>
        </w:rPr>
      </w:pPr>
    </w:p>
    <w:p>
      <w:pPr>
        <w:ind w:left="340" w:right="640" w:hanging="332"/>
        <w:spacing w:after="0" w:line="28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Distribution is partially excluded based on the weather normalization mechanism in effect from November through April.</w:t>
      </w:r>
    </w:p>
    <w:p>
      <w:pPr>
        <w:spacing w:after="0" w:line="1" w:lineRule="exact"/>
        <w:rPr>
          <w:rFonts w:ascii="Arial" w:cs="Arial" w:eastAsia="Arial" w:hAnsi="Arial"/>
          <w:sz w:val="14"/>
          <w:szCs w:val="14"/>
          <w:color w:val="auto"/>
        </w:rPr>
      </w:pPr>
    </w:p>
    <w:p>
      <w:pPr>
        <w:ind w:left="340" w:right="40" w:hanging="332"/>
        <w:spacing w:after="0" w:line="25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actual variance in heating degree days for the three months ended March 31, 2017 compared to prior year is not a meaningful measurement of weather impacts due to the exclusion of the pre-acquisition heating degree days for the SourceGas utilities in Arkansas, Colorado, Nebraska and Wyoming. These utilities were acquired on February 12, 2016.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more information on enacted regulatory provisions with respect to the states in which our Utilities operate, see Part I, Items 1 and 2 of our 2016 Annual Report on Form 10-K filed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Colorado Electric Rate Case filing</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December 19, 2016, Colorado Electric received approval from the CPUC to increase its annual revenues by $1.2 million to recover investments in a $63 million, 40 MW natural gas-fired combustion turbine and normal increases in operating expenses. This increase is in addition to approximately $5.9 million in annualized revenue being recovered under the Clean Air Clean Jobs Act construction financing rider. The turbine was completed in the fourth quarter of 2016, achieving commercial operation on December 29, 2016. The approval allowed a return on rate base of 6.02% for this turbine, with a 9.37% return on equity and a capital structure of 67.34% debt and 32.66% equity. An authorized return on rate base of 7.4% was received for the remaining system investments, with a return on equity of 9.37% and an approved capital structure of 47.6% debt and 52.4% equity.</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January 9, 2017, we filed an application with the CPUC for rehearing, reargument or reconsideration of the Commission’s December 19, 2016 decision which reduced our proposed $8.9 million annual revenue increase to $1.2 million.</w:t>
      </w:r>
    </w:p>
    <w:p>
      <w:pPr>
        <w:spacing w:after="0" w:line="17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believe the CPUC made errors in their December decision by demonstrating bias, making decisions not supported by evidence, making findings inconsistent with cost-recovery provisions of the Colorado Clean Air-Clean Jobs Act and the Commission’s own prior decisions, and treating Colorado Electric differently than other regulated utilities in Colorado have been treated in similar situations.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 Rates and Rate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recent activity of certain state and federal rate reviews, riders and surcharges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Revenue Amount</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Revenue Amount</w:t>
            </w:r>
          </w:p>
        </w:tc>
      </w:tr>
      <w:tr>
        <w:trPr>
          <w:trHeight w:val="234"/>
        </w:trPr>
        <w:tc>
          <w:tcPr>
            <w:tcW w:w="3120" w:type="dxa"/>
            <w:vAlign w:val="bottom"/>
          </w:tcPr>
          <w:p>
            <w:pPr>
              <w:spacing w:after="0"/>
              <w:rPr>
                <w:sz w:val="20"/>
                <w:szCs w:val="20"/>
                <w:color w:val="auto"/>
              </w:rPr>
            </w:pPr>
          </w:p>
        </w:tc>
        <w:tc>
          <w:tcPr>
            <w:tcW w:w="2400" w:type="dxa"/>
            <w:vAlign w:val="bottom"/>
          </w:tcPr>
          <w:p>
            <w:pPr>
              <w:jc w:val="center"/>
              <w:ind w:left="770"/>
              <w:spacing w:after="0"/>
              <w:rPr>
                <w:sz w:val="20"/>
                <w:szCs w:val="20"/>
                <w:color w:val="auto"/>
              </w:rPr>
            </w:pPr>
            <w:r>
              <w:rPr>
                <w:rFonts w:ascii="Arial" w:cs="Arial" w:eastAsia="Arial" w:hAnsi="Arial"/>
                <w:sz w:val="18"/>
                <w:szCs w:val="18"/>
                <w:b w:val="1"/>
                <w:bCs w:val="1"/>
                <w:color w:val="auto"/>
                <w:w w:val="88"/>
              </w:rPr>
              <w:t>Type of Service</w:t>
            </w:r>
          </w:p>
        </w:tc>
        <w:tc>
          <w:tcPr>
            <w:tcW w:w="1480" w:type="dxa"/>
            <w:vAlign w:val="bottom"/>
          </w:tcPr>
          <w:p>
            <w:pPr>
              <w:ind w:left="120"/>
              <w:spacing w:after="0"/>
              <w:rPr>
                <w:sz w:val="20"/>
                <w:szCs w:val="20"/>
                <w:color w:val="auto"/>
              </w:rPr>
            </w:pPr>
            <w:r>
              <w:rPr>
                <w:rFonts w:ascii="Arial" w:cs="Arial" w:eastAsia="Arial" w:hAnsi="Arial"/>
                <w:sz w:val="18"/>
                <w:szCs w:val="18"/>
                <w:b w:val="1"/>
                <w:bCs w:val="1"/>
                <w:color w:val="auto"/>
                <w:w w:val="98"/>
              </w:rPr>
              <w:t>Date Requested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3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Requested</w:t>
            </w:r>
          </w:p>
        </w:tc>
        <w:tc>
          <w:tcPr>
            <w:tcW w:w="26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Approved</w:t>
            </w:r>
          </w:p>
        </w:tc>
      </w:tr>
      <w:tr>
        <w:trPr>
          <w:trHeight w:val="27"/>
        </w:trPr>
        <w:tc>
          <w:tcPr>
            <w:tcW w:w="3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Arkansas Stockton Storage </w:t>
            </w:r>
            <w:r>
              <w:rPr>
                <w:rFonts w:ascii="Arial" w:cs="Arial" w:eastAsia="Arial" w:hAnsi="Arial"/>
                <w:sz w:val="25"/>
                <w:szCs w:val="25"/>
                <w:color w:val="auto"/>
                <w:vertAlign w:val="superscript"/>
              </w:rPr>
              <w:t>(a)</w:t>
            </w:r>
          </w:p>
        </w:tc>
        <w:tc>
          <w:tcPr>
            <w:tcW w:w="2400" w:type="dxa"/>
            <w:vAlign w:val="bottom"/>
            <w:shd w:val="clear" w:color="auto" w:fill="CEFFE7"/>
          </w:tcPr>
          <w:p>
            <w:pPr>
              <w:jc w:val="center"/>
              <w:ind w:left="770"/>
              <w:spacing w:after="0"/>
              <w:rPr>
                <w:sz w:val="20"/>
                <w:szCs w:val="20"/>
                <w:color w:val="auto"/>
              </w:rPr>
            </w:pPr>
            <w:r>
              <w:rPr>
                <w:rFonts w:ascii="Arial" w:cs="Arial" w:eastAsia="Arial" w:hAnsi="Arial"/>
                <w:sz w:val="18"/>
                <w:szCs w:val="18"/>
                <w:color w:val="auto"/>
                <w:w w:val="86"/>
              </w:rPr>
              <w:t>Gas - storage</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11/2016</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1/2017</w:t>
            </w:r>
          </w:p>
        </w:tc>
        <w:tc>
          <w:tcPr>
            <w:tcW w:w="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Arkansas MRP/ARMRP </w:t>
            </w:r>
            <w:r>
              <w:rPr>
                <w:rFonts w:ascii="Arial" w:cs="Arial" w:eastAsia="Arial" w:hAnsi="Arial"/>
                <w:sz w:val="25"/>
                <w:szCs w:val="25"/>
                <w:color w:val="auto"/>
                <w:vertAlign w:val="superscript"/>
              </w:rPr>
              <w:t>(b)</w:t>
            </w:r>
          </w:p>
        </w:tc>
        <w:tc>
          <w:tcPr>
            <w:tcW w:w="2400" w:type="dxa"/>
            <w:vAlign w:val="bottom"/>
          </w:tcPr>
          <w:p>
            <w:pPr>
              <w:jc w:val="center"/>
              <w:ind w:left="750"/>
              <w:spacing w:after="0"/>
              <w:rPr>
                <w:sz w:val="20"/>
                <w:szCs w:val="20"/>
                <w:color w:val="auto"/>
              </w:rPr>
            </w:pPr>
            <w:r>
              <w:rPr>
                <w:rFonts w:ascii="Arial" w:cs="Arial" w:eastAsia="Arial" w:hAnsi="Arial"/>
                <w:sz w:val="18"/>
                <w:szCs w:val="18"/>
                <w:color w:val="auto"/>
                <w:w w:val="84"/>
              </w:rPr>
              <w:t>Gas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1/2017</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1/2017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29"/>
        </w:trPr>
        <w:tc>
          <w:tcPr>
            <w:tcW w:w="3120" w:type="dxa"/>
            <w:vAlign w:val="bottom"/>
            <w:shd w:val="clear" w:color="auto" w:fill="CEFFE7"/>
          </w:tcPr>
          <w:p>
            <w:pPr>
              <w:ind w:left="40"/>
              <w:spacing w:after="0" w:line="228" w:lineRule="exact"/>
              <w:rPr>
                <w:sz w:val="20"/>
                <w:szCs w:val="20"/>
                <w:color w:val="auto"/>
              </w:rPr>
            </w:pPr>
            <w:r>
              <w:rPr>
                <w:rFonts w:ascii="Arial" w:cs="Arial" w:eastAsia="Arial" w:hAnsi="Arial"/>
                <w:sz w:val="18"/>
                <w:szCs w:val="18"/>
                <w:color w:val="auto"/>
              </w:rPr>
              <w:t xml:space="preserve">RMNG </w:t>
            </w:r>
            <w:r>
              <w:rPr>
                <w:rFonts w:ascii="Arial" w:cs="Arial" w:eastAsia="Arial" w:hAnsi="Arial"/>
                <w:sz w:val="25"/>
                <w:szCs w:val="25"/>
                <w:color w:val="auto"/>
                <w:vertAlign w:val="superscript"/>
              </w:rPr>
              <w:t>(c)</w:t>
            </w:r>
          </w:p>
        </w:tc>
        <w:tc>
          <w:tcPr>
            <w:tcW w:w="2400" w:type="dxa"/>
            <w:vAlign w:val="bottom"/>
            <w:shd w:val="clear" w:color="auto" w:fill="CEFFE7"/>
          </w:tcPr>
          <w:p>
            <w:pPr>
              <w:jc w:val="center"/>
              <w:ind w:left="770"/>
              <w:spacing w:after="0"/>
              <w:rPr>
                <w:sz w:val="20"/>
                <w:szCs w:val="20"/>
                <w:color w:val="auto"/>
              </w:rPr>
            </w:pPr>
            <w:r>
              <w:rPr>
                <w:rFonts w:ascii="Arial" w:cs="Arial" w:eastAsia="Arial" w:hAnsi="Arial"/>
                <w:sz w:val="18"/>
                <w:szCs w:val="18"/>
                <w:color w:val="auto"/>
                <w:w w:val="89"/>
              </w:rPr>
              <w:t>Gas - transmission</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11/2016</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1/2017</w:t>
            </w:r>
          </w:p>
        </w:tc>
        <w:tc>
          <w:tcPr>
            <w:tcW w:w="3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3120" w:type="dxa"/>
            <w:vAlign w:val="bottom"/>
            <w:tcBorders>
              <w:bottom w:val="single" w:sz="8" w:color="CEFFE7"/>
            </w:tcBorders>
            <w:shd w:val="clear" w:color="auto" w:fill="CEFFE7"/>
          </w:tcPr>
          <w:p>
            <w:pPr>
              <w:spacing w:after="0"/>
              <w:rPr>
                <w:sz w:val="20"/>
                <w:szCs w:val="20"/>
                <w:color w:val="auto"/>
              </w:rPr>
            </w:pPr>
          </w:p>
        </w:tc>
        <w:tc>
          <w:tcPr>
            <w:tcW w:w="2400" w:type="dxa"/>
            <w:vAlign w:val="bottom"/>
            <w:tcBorders>
              <w:bottom w:val="single" w:sz="8" w:color="CEFFE7"/>
            </w:tcBorders>
            <w:shd w:val="clear" w:color="auto" w:fill="CEFFE7"/>
          </w:tcPr>
          <w:p>
            <w:pPr>
              <w:jc w:val="center"/>
              <w:ind w:left="770"/>
              <w:spacing w:after="0"/>
              <w:rPr>
                <w:sz w:val="20"/>
                <w:szCs w:val="20"/>
                <w:color w:val="auto"/>
              </w:rPr>
            </w:pPr>
            <w:r>
              <w:rPr>
                <w:rFonts w:ascii="Arial" w:cs="Arial" w:eastAsia="Arial" w:hAnsi="Arial"/>
                <w:sz w:val="18"/>
                <w:szCs w:val="18"/>
                <w:color w:val="auto"/>
                <w:w w:val="86"/>
              </w:rPr>
              <w:t>and storage</w:t>
            </w:r>
          </w:p>
        </w:tc>
        <w:tc>
          <w:tcPr>
            <w:tcW w:w="1480" w:type="dxa"/>
            <w:vAlign w:val="bottom"/>
            <w:tcBorders>
              <w:bottom w:val="single" w:sz="8" w:color="CEFFE7"/>
            </w:tcBorders>
            <w:shd w:val="clear" w:color="auto" w:fill="CEFFE7"/>
          </w:tcPr>
          <w:p>
            <w:pPr>
              <w:spacing w:after="0"/>
              <w:rPr>
                <w:sz w:val="20"/>
                <w:szCs w:val="20"/>
                <w:color w:val="auto"/>
              </w:rPr>
            </w:pPr>
          </w:p>
        </w:tc>
        <w:tc>
          <w:tcPr>
            <w:tcW w:w="1380" w:type="dxa"/>
            <w:vAlign w:val="bottom"/>
            <w:tcBorders>
              <w:bottom w:val="single" w:sz="8" w:color="CEFFE7"/>
            </w:tcBorders>
            <w:shd w:val="clear" w:color="auto" w:fill="CEFFE7"/>
          </w:tcPr>
          <w:p>
            <w:pPr>
              <w:spacing w:after="0"/>
              <w:rPr>
                <w:sz w:val="20"/>
                <w:szCs w:val="20"/>
                <w:color w:val="auto"/>
              </w:rPr>
            </w:pPr>
          </w:p>
        </w:tc>
        <w:tc>
          <w:tcPr>
            <w:tcW w:w="32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spacing w:after="0"/>
              <w:rPr>
                <w:sz w:val="20"/>
                <w:szCs w:val="20"/>
                <w:color w:val="auto"/>
              </w:rPr>
            </w:pPr>
          </w:p>
        </w:tc>
      </w:tr>
      <w:tr>
        <w:trPr>
          <w:trHeight w:val="256"/>
        </w:trPr>
        <w:tc>
          <w:tcPr>
            <w:tcW w:w="312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Nebraska Gas Dist. </w:t>
            </w:r>
            <w:r>
              <w:rPr>
                <w:rFonts w:ascii="Arial" w:cs="Arial" w:eastAsia="Arial" w:hAnsi="Arial"/>
                <w:sz w:val="25"/>
                <w:szCs w:val="25"/>
                <w:color w:val="auto"/>
                <w:vertAlign w:val="superscript"/>
              </w:rPr>
              <w:t>(d)</w:t>
            </w:r>
          </w:p>
        </w:tc>
        <w:tc>
          <w:tcPr>
            <w:tcW w:w="2400" w:type="dxa"/>
            <w:vAlign w:val="bottom"/>
          </w:tcPr>
          <w:p>
            <w:pPr>
              <w:jc w:val="center"/>
              <w:ind w:left="750"/>
              <w:spacing w:after="0"/>
              <w:rPr>
                <w:sz w:val="20"/>
                <w:szCs w:val="20"/>
                <w:color w:val="auto"/>
              </w:rPr>
            </w:pPr>
            <w:r>
              <w:rPr>
                <w:rFonts w:ascii="Arial" w:cs="Arial" w:eastAsia="Arial" w:hAnsi="Arial"/>
                <w:sz w:val="18"/>
                <w:szCs w:val="18"/>
                <w:color w:val="auto"/>
                <w:w w:val="84"/>
              </w:rPr>
              <w:t>Gas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10/2016</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2/2017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____________________</w:t>
            </w:r>
          </w:p>
        </w:tc>
        <w:tc>
          <w:tcPr>
            <w:tcW w:w="2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ind w:left="340" w:right="380" w:hanging="332"/>
        <w:spacing w:after="0" w:line="284"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November 15, 2016, Arkansas Gas filed for the recovery of the Stockton Storage revenue requirement through the Stockton Storage Acquisition Rates regulatory mechanism with the rider effective January 1, 2017. This recovery mechanism was initially approved on October 15, 2015 for the Stockton Storage acquisition.</w:t>
      </w:r>
    </w:p>
    <w:p>
      <w:pPr>
        <w:spacing w:after="0" w:line="1" w:lineRule="exact"/>
        <w:rPr>
          <w:rFonts w:ascii="Arial" w:cs="Arial" w:eastAsia="Arial" w:hAnsi="Arial"/>
          <w:sz w:val="14"/>
          <w:szCs w:val="14"/>
          <w:color w:val="auto"/>
        </w:rPr>
      </w:pPr>
    </w:p>
    <w:p>
      <w:pPr>
        <w:ind w:left="340" w:right="440" w:hanging="332"/>
        <w:spacing w:after="0" w:line="28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January 3, 2017 Arkansas Gas filed for recovery of $1.5 million related to projects for the replacement of eligible mains (MRP) and the recovery of $0.2 million related to projects for the relocation of certain at risk meters (ARMRP). Pursuant to the Arkansas Gas Tariff, the filed rates go into effect on the date of the filing.</w:t>
      </w:r>
    </w:p>
    <w:p>
      <w:pPr>
        <w:spacing w:after="0" w:line="1" w:lineRule="exact"/>
        <w:rPr>
          <w:rFonts w:ascii="Arial" w:cs="Arial" w:eastAsia="Arial" w:hAnsi="Arial"/>
          <w:sz w:val="14"/>
          <w:szCs w:val="14"/>
          <w:color w:val="auto"/>
        </w:rPr>
      </w:pPr>
    </w:p>
    <w:p>
      <w:pPr>
        <w:ind w:left="340" w:right="20" w:hanging="332"/>
        <w:spacing w:after="0" w:line="28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November 3, 2016, RMNG filed with the CPUC requesting recovery of $2.9 million, which includes $1.2 million of new revenue related to system safety and integrity expenditures on projects for the period of 2014 through 2017. This SSIR request was approved by the CPUC in December 2016, and went into effect on January 1, 2017.</w:t>
      </w:r>
    </w:p>
    <w:p>
      <w:pPr>
        <w:spacing w:after="0" w:line="1" w:lineRule="exact"/>
        <w:rPr>
          <w:rFonts w:ascii="Arial" w:cs="Arial" w:eastAsia="Arial" w:hAnsi="Arial"/>
          <w:sz w:val="14"/>
          <w:szCs w:val="14"/>
          <w:color w:val="auto"/>
        </w:rPr>
      </w:pPr>
    </w:p>
    <w:p>
      <w:pPr>
        <w:ind w:left="340" w:right="20" w:hanging="332"/>
        <w:spacing w:after="0" w:line="25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October 3, 2016, Nebraska Gas Dist. filed with the NPSC requesting recovery of $6.5 million, which includes $1.7 million of new revenue related to system safety and integrity expenditures on projects for the period of 2012 through 2017. This SSIR tariff was approved by the NPSC in January 2017, and went into effect on February 1,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Arial" w:cs="Arial" w:eastAsia="Arial" w:hAnsi="Arial"/>
                <w:sz w:val="18"/>
                <w:szCs w:val="18"/>
                <w:i w:val="1"/>
                <w:iCs w:val="1"/>
                <w:color w:val="auto"/>
              </w:rPr>
              <w:t>Power Generation</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1"/>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gridSpan w:val="2"/>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23,567</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23,308</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8,054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8,042</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gridSpan w:val="2"/>
          </w:tcPr>
          <w:p>
            <w:pPr>
              <w:ind w:left="2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1,031</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9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9,261</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9,073</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14,306</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14,235</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(3,655)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(4,862)</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10,046</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8,582</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6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 (loss) available for common stock</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6,530</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8,582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66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40" w:type="dxa"/>
            <w:vAlign w:val="bottom"/>
            <w:gridSpan w:val="2"/>
            <w:vMerge w:val="continue"/>
          </w:tcPr>
          <w:p>
            <w:pPr>
              <w:spacing w:after="0"/>
              <w:rPr>
                <w:sz w:val="13"/>
                <w:szCs w:val="13"/>
                <w:color w:val="auto"/>
              </w:rPr>
            </w:pPr>
          </w:p>
        </w:tc>
        <w:tc>
          <w:tcPr>
            <w:tcW w:w="6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40" w:hanging="332"/>
        <w:spacing w:after="0" w:line="25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generating facility located in Pueblo, Colorado is accounted for as a capital lease under GAAP; as such, revenue and depreciation expense are impacted by the accounting for this lease. Under the lease, the original cost of the facility is recorded at Colorado Electric and is being depreciated by Colorado Electric for segment reporting purposes.</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14, 2016, Black Hills Electric Generation sold a 49.9%, noncontrolling interest in Black Hills Colorado IPP for $216 million. Black Hills Electric Generation continues to be the majority owner and operator of the facility, which is contracted to provide capacity and energy through 2031 to Black Hills Colorado Electric. Net income available for common stock for the three months ended March 31, 2017, was reduced by $3.5 million, attributable to this noncontrolling interest.</w:t>
      </w:r>
    </w:p>
    <w:p>
      <w:pPr>
        <w:spacing w:after="0" w:line="183"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Results of Operations for Power Generation for the Three Months Ended March 31, 2017 Compared to the Three Months Ended March 31, 2016: </w:t>
      </w:r>
      <w:r>
        <w:rPr>
          <w:rFonts w:ascii="Arial" w:cs="Arial" w:eastAsia="Arial" w:hAnsi="Arial"/>
          <w:sz w:val="18"/>
          <w:szCs w:val="18"/>
          <w:color w:val="auto"/>
        </w:rPr>
        <w:t>Net income available for common stock for the Power Generation segment was $6.5 million for the three months ended March 31, 2017, compared to Net income available for common stock of $8.6 million for the same period in 2016 as a result 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was comparable to the same period in the prior year, reflecting a year over year increase in PPA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decreased due to higher interest income associated with the proceeds from the noncontrolling interest sale in April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Income tax (expense) benefit</w:t>
      </w:r>
      <w:r>
        <w:rPr>
          <w:rFonts w:ascii="Arial" w:cs="Arial" w:eastAsia="Arial" w:hAnsi="Arial"/>
          <w:sz w:val="18"/>
          <w:szCs w:val="18"/>
          <w:color w:val="auto"/>
        </w:rPr>
        <w:t>: Black Hills Colorado IPP went from a single member LLC, wholly owned by Black Hills Electric Generation, to a partnership as a result of the sale of 49.9 percent of its membership interest in April 2016. The effective tax rate reflects the income attributable to the noncontrolling interest for which a tax provision is not recorded.</w:t>
      </w:r>
    </w:p>
    <w:p>
      <w:pPr>
        <w:spacing w:after="0" w:line="18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u w:val="single" w:color="auto"/>
          <w:color w:val="auto"/>
        </w:rPr>
        <w:t>Net income attributable to noncontrolling interest</w:t>
      </w:r>
      <w:r>
        <w:rPr>
          <w:rFonts w:ascii="Arial" w:cs="Arial" w:eastAsia="Arial" w:hAnsi="Arial"/>
          <w:sz w:val="18"/>
          <w:szCs w:val="18"/>
          <w:color w:val="auto"/>
        </w:rPr>
        <w:t>: Net income attributable to noncontrolling interest increased by $3.5 million as a result of the noncontrolling interest sale in April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783" w:right="2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table summarizes MWh for our Power Generation segment:</w:t>
            </w:r>
          </w:p>
        </w:tc>
        <w:tc>
          <w:tcPr>
            <w:tcW w:w="1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0" w:type="dxa"/>
            <w:vAlign w:val="bottom"/>
            <w:gridSpan w:val="2"/>
          </w:tcPr>
          <w:p>
            <w:pPr>
              <w:jc w:val="right"/>
              <w:ind w:right="43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1980" w:type="dxa"/>
            <w:vAlign w:val="bottom"/>
          </w:tcPr>
          <w:p>
            <w:pPr>
              <w:jc w:val="right"/>
              <w:ind w:right="850"/>
              <w:spacing w:after="0"/>
              <w:rPr>
                <w:sz w:val="20"/>
                <w:szCs w:val="20"/>
                <w:color w:val="auto"/>
              </w:rPr>
            </w:pPr>
            <w:r>
              <w:rPr>
                <w:rFonts w:ascii="Arial" w:cs="Arial" w:eastAsia="Arial" w:hAnsi="Arial"/>
                <w:sz w:val="18"/>
                <w:szCs w:val="18"/>
                <w:color w:val="auto"/>
              </w:rPr>
              <w:t>2017</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 xml:space="preserve">Quantities Sold, Generated and Purchased (MWh) </w:t>
            </w:r>
            <w:r>
              <w:rPr>
                <w:rFonts w:ascii="Arial" w:cs="Arial" w:eastAsia="Arial" w:hAnsi="Arial"/>
                <w:sz w:val="25"/>
                <w:szCs w:val="25"/>
                <w:color w:val="auto"/>
                <w:vertAlign w:val="superscript"/>
              </w:rPr>
              <w:t>(a)</w:t>
            </w:r>
          </w:p>
        </w:tc>
        <w:tc>
          <w:tcPr>
            <w:tcW w:w="1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980" w:type="dxa"/>
            <w:vAlign w:val="bottom"/>
            <w:vMerge w:val="continue"/>
          </w:tcPr>
          <w:p>
            <w:pPr>
              <w:spacing w:after="0"/>
              <w:rPr>
                <w:sz w:val="22"/>
                <w:szCs w:val="22"/>
                <w:color w:val="auto"/>
              </w:rPr>
            </w:pPr>
          </w:p>
        </w:tc>
        <w:tc>
          <w:tcPr>
            <w:tcW w:w="19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Sold</w:t>
            </w:r>
          </w:p>
        </w:tc>
        <w:tc>
          <w:tcPr>
            <w:tcW w:w="19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980" w:type="dxa"/>
            <w:vAlign w:val="bottom"/>
          </w:tcPr>
          <w:p>
            <w:pPr>
              <w:jc w:val="right"/>
              <w:ind w:right="290"/>
              <w:spacing w:after="0"/>
              <w:rPr>
                <w:sz w:val="20"/>
                <w:szCs w:val="20"/>
                <w:color w:val="auto"/>
              </w:rPr>
            </w:pPr>
            <w:r>
              <w:rPr>
                <w:rFonts w:ascii="Arial" w:cs="Arial" w:eastAsia="Arial" w:hAnsi="Arial"/>
                <w:sz w:val="18"/>
                <w:szCs w:val="18"/>
                <w:color w:val="auto"/>
              </w:rPr>
              <w:t>254,965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333,878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98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170,376</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167,031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80" w:type="dxa"/>
            <w:vAlign w:val="bottom"/>
            <w:tcBorders>
              <w:bottom w:val="single" w:sz="8" w:color="CEFFE7"/>
            </w:tcBorders>
          </w:tcPr>
          <w:p>
            <w:pPr>
              <w:ind w:left="820"/>
              <w:spacing w:after="0"/>
              <w:rPr>
                <w:sz w:val="20"/>
                <w:szCs w:val="20"/>
                <w:color w:val="auto"/>
              </w:rPr>
            </w:pPr>
            <w:r>
              <w:rPr>
                <w:rFonts w:ascii="Arial" w:cs="Arial" w:eastAsia="Arial" w:hAnsi="Arial"/>
                <w:sz w:val="18"/>
                <w:szCs w:val="18"/>
                <w:color w:val="auto"/>
              </w:rPr>
              <w:t>Total Sold</w:t>
            </w: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425,341</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500,909</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980" w:type="dxa"/>
            <w:vAlign w:val="bottom"/>
            <w:shd w:val="clear" w:color="auto" w:fill="CEFFE7"/>
          </w:tcPr>
          <w:p>
            <w:pPr>
              <w:spacing w:after="0"/>
              <w:rPr>
                <w:sz w:val="24"/>
                <w:szCs w:val="24"/>
                <w:color w:val="auto"/>
              </w:rPr>
            </w:pPr>
          </w:p>
        </w:tc>
        <w:tc>
          <w:tcPr>
            <w:tcW w:w="19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Generated</w:t>
            </w:r>
          </w:p>
        </w:tc>
        <w:tc>
          <w:tcPr>
            <w:tcW w:w="19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98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254,965</w:t>
            </w:r>
          </w:p>
        </w:tc>
        <w:tc>
          <w:tcPr>
            <w:tcW w:w="14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333,878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140,240</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138,919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198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395,205</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472,797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w:t>
            </w:r>
          </w:p>
        </w:tc>
        <w:tc>
          <w:tcPr>
            <w:tcW w:w="19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21,255</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Purchased</w:t>
            </w:r>
          </w:p>
        </w:tc>
        <w:tc>
          <w:tcPr>
            <w:tcW w:w="198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21,255</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28,303</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0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right="260" w:hanging="332"/>
        <w:spacing w:after="0" w:line="24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Decrease from the prior year is a result of the 2017 impact of Colorado Electric’s wind generation. Black Hills Colorado IPP’s units back up the wind generation assets owned by Colorado Electric.</w:t>
      </w:r>
    </w:p>
    <w:p>
      <w:pPr>
        <w:ind w:left="340" w:hanging="332"/>
        <w:spacing w:after="0" w:line="25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jc w:val="right"/>
              <w:ind w:right="1050"/>
              <w:spacing w:after="0"/>
              <w:rPr>
                <w:sz w:val="20"/>
                <w:szCs w:val="20"/>
                <w:color w:val="auto"/>
              </w:rPr>
            </w:pPr>
            <w:r>
              <w:rPr>
                <w:rFonts w:ascii="Arial" w:cs="Arial" w:eastAsia="Arial" w:hAnsi="Arial"/>
                <w:sz w:val="18"/>
                <w:szCs w:val="18"/>
                <w:color w:val="auto"/>
                <w:w w:val="91"/>
              </w:rPr>
              <w:t>The following table provides certain operating statistics for our plants within the Power Generation segment:</w:t>
            </w:r>
          </w:p>
        </w:tc>
        <w:tc>
          <w:tcPr>
            <w:tcW w:w="18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Three Months Ended March 31,</w:t>
            </w:r>
          </w:p>
        </w:tc>
        <w:tc>
          <w:tcPr>
            <w:tcW w:w="540" w:type="dxa"/>
            <w:vAlign w:val="bottom"/>
          </w:tcPr>
          <w:p>
            <w:pPr>
              <w:spacing w:after="0"/>
              <w:rPr>
                <w:sz w:val="24"/>
                <w:szCs w:val="24"/>
                <w:color w:val="auto"/>
              </w:rPr>
            </w:pPr>
          </w:p>
        </w:tc>
      </w:tr>
      <w:tr>
        <w:trPr>
          <w:trHeight w:val="270"/>
        </w:trPr>
        <w:tc>
          <w:tcPr>
            <w:tcW w:w="898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960" w:type="dxa"/>
            <w:vAlign w:val="bottom"/>
            <w:gridSpan w:val="2"/>
          </w:tcPr>
          <w:p>
            <w:pPr>
              <w:ind w:left="20"/>
              <w:spacing w:after="0"/>
              <w:rPr>
                <w:sz w:val="20"/>
                <w:szCs w:val="20"/>
                <w:color w:val="auto"/>
              </w:rPr>
            </w:pPr>
            <w:r>
              <w:rPr>
                <w:rFonts w:ascii="Arial" w:cs="Arial" w:eastAsia="Arial" w:hAnsi="Arial"/>
                <w:sz w:val="18"/>
                <w:szCs w:val="18"/>
                <w:color w:val="auto"/>
              </w:rPr>
              <w:t>Contracted power plant fleet availability:</w:t>
            </w:r>
          </w:p>
        </w:tc>
        <w:tc>
          <w:tcPr>
            <w:tcW w:w="18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96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Coal-fired plant</w:t>
            </w:r>
          </w:p>
        </w:tc>
        <w:tc>
          <w:tcPr>
            <w:tcW w:w="1880" w:type="dxa"/>
            <w:vAlign w:val="bottom"/>
            <w:tcBorders>
              <w:bottom w:val="single" w:sz="8" w:color="CEFFE7"/>
            </w:tcBorders>
            <w:shd w:val="clear" w:color="auto" w:fill="CEFFE7"/>
          </w:tcPr>
          <w:p>
            <w:pPr>
              <w:jc w:val="right"/>
              <w:ind w:right="1170"/>
              <w:spacing w:after="0"/>
              <w:rPr>
                <w:sz w:val="20"/>
                <w:szCs w:val="20"/>
                <w:color w:val="auto"/>
              </w:rPr>
            </w:pPr>
            <w:r>
              <w:rPr>
                <w:rFonts w:ascii="Arial" w:cs="Arial" w:eastAsia="Arial" w:hAnsi="Arial"/>
                <w:sz w:val="18"/>
                <w:szCs w:val="18"/>
                <w:color w:val="auto"/>
                <w:w w:val="98"/>
              </w:rPr>
              <w:t>100.0%</w:t>
            </w:r>
          </w:p>
        </w:tc>
        <w:tc>
          <w:tcPr>
            <w:tcW w:w="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3"/>
              </w:rPr>
              <w:t>97.8%</w:t>
            </w:r>
          </w:p>
        </w:tc>
      </w:tr>
      <w:tr>
        <w:trPr>
          <w:trHeight w:val="243"/>
        </w:trPr>
        <w:tc>
          <w:tcPr>
            <w:tcW w:w="20" w:type="dxa"/>
            <w:vAlign w:val="bottom"/>
          </w:tcPr>
          <w:p>
            <w:pPr>
              <w:spacing w:after="0"/>
              <w:rPr>
                <w:sz w:val="21"/>
                <w:szCs w:val="21"/>
                <w:color w:val="auto"/>
              </w:rPr>
            </w:pPr>
          </w:p>
        </w:tc>
        <w:tc>
          <w:tcPr>
            <w:tcW w:w="8960" w:type="dxa"/>
            <w:vAlign w:val="bottom"/>
            <w:gridSpan w:val="2"/>
          </w:tcPr>
          <w:p>
            <w:pPr>
              <w:ind w:left="240"/>
              <w:spacing w:after="0"/>
              <w:rPr>
                <w:sz w:val="20"/>
                <w:szCs w:val="20"/>
                <w:color w:val="auto"/>
              </w:rPr>
            </w:pPr>
            <w:r>
              <w:rPr>
                <w:rFonts w:ascii="Arial" w:cs="Arial" w:eastAsia="Arial" w:hAnsi="Arial"/>
                <w:sz w:val="18"/>
                <w:szCs w:val="18"/>
                <w:color w:val="auto"/>
              </w:rPr>
              <w:t>Natural gas-fired plants</w:t>
            </w:r>
          </w:p>
        </w:tc>
        <w:tc>
          <w:tcPr>
            <w:tcW w:w="1880" w:type="dxa"/>
            <w:vAlign w:val="bottom"/>
          </w:tcPr>
          <w:p>
            <w:pPr>
              <w:jc w:val="right"/>
              <w:ind w:right="1170"/>
              <w:spacing w:after="0"/>
              <w:rPr>
                <w:sz w:val="20"/>
                <w:szCs w:val="20"/>
                <w:color w:val="auto"/>
              </w:rPr>
            </w:pPr>
            <w:r>
              <w:rPr>
                <w:rFonts w:ascii="Arial" w:cs="Arial" w:eastAsia="Arial" w:hAnsi="Arial"/>
                <w:sz w:val="18"/>
                <w:szCs w:val="18"/>
                <w:color w:val="auto"/>
              </w:rPr>
              <w:t>99.1%</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99.3%</w:t>
            </w: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8960" w:type="dxa"/>
            <w:vAlign w:val="bottom"/>
            <w:gridSpan w:val="2"/>
            <w:shd w:val="clear" w:color="auto" w:fill="CEFFE7"/>
          </w:tcPr>
          <w:p>
            <w:pPr>
              <w:ind w:left="240"/>
              <w:spacing w:after="0"/>
              <w:rPr>
                <w:sz w:val="20"/>
                <w:szCs w:val="20"/>
                <w:color w:val="auto"/>
              </w:rPr>
            </w:pPr>
            <w:r>
              <w:rPr>
                <w:rFonts w:ascii="Arial" w:cs="Arial" w:eastAsia="Arial" w:hAnsi="Arial"/>
                <w:sz w:val="18"/>
                <w:szCs w:val="18"/>
                <w:color w:val="auto"/>
              </w:rPr>
              <w:t>Total availability</w:t>
            </w:r>
          </w:p>
        </w:tc>
        <w:tc>
          <w:tcPr>
            <w:tcW w:w="1880" w:type="dxa"/>
            <w:vAlign w:val="bottom"/>
            <w:shd w:val="clear" w:color="auto" w:fill="CEFFE7"/>
          </w:tcPr>
          <w:p>
            <w:pPr>
              <w:jc w:val="right"/>
              <w:ind w:right="1170"/>
              <w:spacing w:after="0"/>
              <w:rPr>
                <w:sz w:val="20"/>
                <w:szCs w:val="20"/>
                <w:color w:val="auto"/>
              </w:rPr>
            </w:pPr>
            <w:r>
              <w:rPr>
                <w:rFonts w:ascii="Arial" w:cs="Arial" w:eastAsia="Arial" w:hAnsi="Arial"/>
                <w:sz w:val="18"/>
                <w:szCs w:val="18"/>
                <w:color w:val="auto"/>
              </w:rPr>
              <w:t>99.3%</w:t>
            </w:r>
          </w:p>
        </w:tc>
        <w:tc>
          <w:tcPr>
            <w:tcW w:w="5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3"/>
              </w:rPr>
              <w:t>98.9%</w:t>
            </w:r>
          </w:p>
        </w:tc>
      </w:tr>
      <w:tr>
        <w:trPr>
          <w:trHeight w:val="27"/>
        </w:trPr>
        <w:tc>
          <w:tcPr>
            <w:tcW w:w="20" w:type="dxa"/>
            <w:vAlign w:val="bottom"/>
          </w:tcPr>
          <w:p>
            <w:pPr>
              <w:spacing w:after="0"/>
              <w:rPr>
                <w:sz w:val="2"/>
                <w:szCs w:val="2"/>
                <w:color w:val="auto"/>
              </w:rPr>
            </w:pPr>
          </w:p>
        </w:tc>
        <w:tc>
          <w:tcPr>
            <w:tcW w:w="784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1880" w:type="dxa"/>
            <w:vAlign w:val="bottom"/>
            <w:shd w:val="clear" w:color="auto" w:fill="CEFFE7"/>
          </w:tcPr>
          <w:p>
            <w:pPr>
              <w:spacing w:after="0"/>
              <w:rPr>
                <w:sz w:val="2"/>
                <w:szCs w:val="2"/>
                <w:color w:val="auto"/>
              </w:rPr>
            </w:pPr>
          </w:p>
        </w:tc>
        <w:tc>
          <w:tcPr>
            <w:tcW w:w="54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i w:val="1"/>
                <w:iCs w:val="1"/>
                <w:color w:val="auto"/>
              </w:rPr>
              <w:t>Mining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520" w:type="dxa"/>
            <w:vAlign w:val="bottom"/>
            <w:tcBorders>
              <w:top w:val="single" w:sz="8" w:color="auto"/>
            </w:tcBorders>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center"/>
              <w:ind w:right="130"/>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520" w:type="dxa"/>
            <w:vAlign w:val="bottom"/>
          </w:tcPr>
          <w:p>
            <w:pPr>
              <w:spacing w:after="0"/>
              <w:rPr>
                <w:sz w:val="23"/>
                <w:szCs w:val="23"/>
                <w:color w:val="auto"/>
              </w:rPr>
            </w:pPr>
          </w:p>
        </w:tc>
        <w:tc>
          <w:tcPr>
            <w:tcW w:w="7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r>
      <w:tr>
        <w:trPr>
          <w:trHeight w:val="27"/>
        </w:trPr>
        <w:tc>
          <w:tcPr>
            <w:tcW w:w="5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16,546</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16,282</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264</w:t>
            </w:r>
          </w:p>
        </w:tc>
      </w:tr>
      <w:tr>
        <w:trPr>
          <w:trHeight w:val="318"/>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11,094</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10,434</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660</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2,479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520" w:type="dxa"/>
            <w:vAlign w:val="bottom"/>
            <w:tcBorders>
              <w:bottom w:val="single" w:sz="8" w:color="CEFFE7"/>
            </w:tcBorders>
          </w:tcPr>
          <w:p>
            <w:pPr>
              <w:spacing w:after="0"/>
              <w:rPr>
                <w:sz w:val="2"/>
                <w:szCs w:val="2"/>
                <w:color w:val="auto"/>
              </w:rPr>
            </w:pPr>
          </w:p>
        </w:tc>
        <w:tc>
          <w:tcPr>
            <w:tcW w:w="74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13,259</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12,913</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346</w:t>
            </w:r>
          </w:p>
        </w:tc>
      </w:tr>
      <w:tr>
        <w:trPr>
          <w:trHeight w:val="318"/>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0"/>
        </w:trPr>
        <w:tc>
          <w:tcPr>
            <w:tcW w:w="80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3,287</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3,369</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w:t>
            </w:r>
          </w:p>
        </w:tc>
      </w:tr>
      <w:tr>
        <w:trPr>
          <w:trHeight w:val="318"/>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Interest (expense) income, net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5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4"/>
        </w:trPr>
        <w:tc>
          <w:tcPr>
            <w:tcW w:w="80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2,890</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2,938</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Three Months Ended March 31,</w:t>
            </w:r>
          </w:p>
        </w:tc>
        <w:tc>
          <w:tcPr>
            <w:tcW w:w="520" w:type="dxa"/>
            <w:vAlign w:val="bottom"/>
          </w:tcPr>
          <w:p>
            <w:pPr>
              <w:spacing w:after="0"/>
              <w:rPr>
                <w:sz w:val="20"/>
                <w:szCs w:val="20"/>
                <w:color w:val="auto"/>
              </w:rPr>
            </w:pPr>
          </w:p>
        </w:tc>
      </w:tr>
      <w:tr>
        <w:trPr>
          <w:trHeight w:val="270"/>
        </w:trPr>
        <w:tc>
          <w:tcPr>
            <w:tcW w:w="80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3"/>
                <w:szCs w:val="23"/>
                <w:color w:val="auto"/>
              </w:rPr>
            </w:pPr>
          </w:p>
        </w:tc>
      </w:tr>
      <w:tr>
        <w:trPr>
          <w:trHeight w:val="27"/>
        </w:trPr>
        <w:tc>
          <w:tcPr>
            <w:tcW w:w="8000" w:type="dxa"/>
            <w:vAlign w:val="bottom"/>
            <w:tcBorders>
              <w:bottom w:val="single" w:sz="8" w:color="CEFFE7"/>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11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1,049</w:t>
            </w:r>
          </w:p>
        </w:tc>
        <w:tc>
          <w:tcPr>
            <w:tcW w:w="122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8"/>
              </w:rPr>
              <w:t>1,002</w:t>
            </w:r>
          </w:p>
        </w:tc>
      </w:tr>
      <w:tr>
        <w:trPr>
          <w:trHeight w:val="270"/>
        </w:trPr>
        <w:tc>
          <w:tcPr>
            <w:tcW w:w="8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Cubic yards of overburden moved </w:t>
            </w:r>
            <w:r>
              <w:rPr>
                <w:rFonts w:ascii="Arial" w:cs="Arial" w:eastAsia="Arial" w:hAnsi="Arial"/>
                <w:sz w:val="25"/>
                <w:szCs w:val="25"/>
                <w:color w:val="auto"/>
                <w:vertAlign w:val="superscript"/>
              </w:rPr>
              <w:t>(a)</w:t>
            </w:r>
          </w:p>
        </w:tc>
        <w:tc>
          <w:tcPr>
            <w:tcW w:w="11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2,104</w:t>
            </w:r>
          </w:p>
        </w:tc>
        <w:tc>
          <w:tcPr>
            <w:tcW w:w="12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1,765</w:t>
            </w:r>
          </w:p>
        </w:tc>
      </w:tr>
      <w:tr>
        <w:trPr>
          <w:trHeight w:val="324"/>
        </w:trPr>
        <w:tc>
          <w:tcPr>
            <w:tcW w:w="800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Revenue per ton</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15.78</w:t>
            </w:r>
          </w:p>
        </w:tc>
        <w:tc>
          <w:tcPr>
            <w:tcW w:w="12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16.25</w:t>
            </w:r>
          </w:p>
        </w:tc>
      </w:tr>
      <w:tr>
        <w:trPr>
          <w:trHeight w:val="179"/>
        </w:trPr>
        <w:tc>
          <w:tcPr>
            <w:tcW w:w="8000" w:type="dxa"/>
            <w:vAlign w:val="bottom"/>
          </w:tcPr>
          <w:p>
            <w:pPr>
              <w:spacing w:after="0" w:line="179" w:lineRule="exact"/>
              <w:rPr>
                <w:sz w:val="20"/>
                <w:szCs w:val="20"/>
                <w:color w:val="auto"/>
              </w:rPr>
            </w:pPr>
            <w:r>
              <w:rPr>
                <w:rFonts w:ascii="Arial" w:cs="Arial" w:eastAsia="Arial" w:hAnsi="Arial"/>
                <w:sz w:val="16"/>
                <w:szCs w:val="16"/>
                <w:color w:val="auto"/>
              </w:rPr>
              <w:t>____________</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6"/>
        </w:trPr>
        <w:tc>
          <w:tcPr>
            <w:tcW w:w="8000" w:type="dxa"/>
            <w:vAlign w:val="bottom"/>
          </w:tcPr>
          <w:p>
            <w:pPr>
              <w:spacing w:after="0"/>
              <w:rPr>
                <w:sz w:val="20"/>
                <w:szCs w:val="20"/>
                <w:color w:val="auto"/>
              </w:rPr>
            </w:pPr>
            <w:r>
              <w:rPr>
                <w:rFonts w:ascii="Arial" w:cs="Arial" w:eastAsia="Arial" w:hAnsi="Arial"/>
                <w:sz w:val="16"/>
                <w:szCs w:val="16"/>
                <w:color w:val="auto"/>
              </w:rPr>
              <w:t>(a)  Increase is driven by mining in areas with more overburden than in the prior year.</w:t>
            </w: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19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Results of Operations for Mining for the Three Months Ended March 31, 2017 Compared to the Three Months Ended March 31, 2016: </w:t>
      </w:r>
      <w:r>
        <w:rPr>
          <w:rFonts w:ascii="Arial" w:cs="Arial" w:eastAsia="Arial" w:hAnsi="Arial"/>
          <w:sz w:val="18"/>
          <w:szCs w:val="18"/>
          <w:color w:val="auto"/>
        </w:rPr>
        <w:t>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for the Mining segment was $2.9 million for the three months ended March 31, 2017, compared to Net income available for common stock of $2.9 million for the same period in 2016 as a result of:</w:t>
      </w:r>
    </w:p>
    <w:p>
      <w:pPr>
        <w:spacing w:after="0" w:line="18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u w:val="single" w:color="auto"/>
          <w:color w:val="auto"/>
        </w:rPr>
        <w:t>Revenue</w:t>
      </w:r>
      <w:r>
        <w:rPr>
          <w:rFonts w:ascii="Arial" w:cs="Arial" w:eastAsia="Arial" w:hAnsi="Arial"/>
          <w:sz w:val="16"/>
          <w:szCs w:val="16"/>
          <w:color w:val="auto"/>
        </w:rPr>
        <w:t xml:space="preserve"> was comparable to the same period in the prior year reflecting a 5% increase in tons sold, partially offset by a 3% decrease in price per ton sold. The decrease in price per ton sold was driven by contract price adjustments based on actual mining costs. During the current period, approximately 47% of the mine’s production was sold under contracts that include price adjustments based on actual mining costs, including income taxes.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a production tax valuation adjustment related to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comparable to the same period in the prior year.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67"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i w:val="1"/>
                <w:iCs w:val="1"/>
                <w:color w:val="auto"/>
              </w:rPr>
              <w:t>Oil and Gas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880" w:type="dxa"/>
            <w:vAlign w:val="bottom"/>
            <w:tcBorders>
              <w:top w:val="single" w:sz="8" w:color="auto"/>
            </w:tcBorders>
          </w:tcPr>
          <w:p>
            <w:pPr>
              <w:spacing w:after="0"/>
              <w:rPr>
                <w:sz w:val="24"/>
                <w:szCs w:val="24"/>
                <w:color w:val="auto"/>
              </w:rPr>
            </w:pPr>
          </w:p>
        </w:tc>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center"/>
              <w:ind w:right="130"/>
              <w:spacing w:after="0"/>
              <w:rPr>
                <w:sz w:val="20"/>
                <w:szCs w:val="20"/>
                <w:color w:val="auto"/>
              </w:rPr>
            </w:pPr>
            <w:r>
              <w:rPr>
                <w:rFonts w:ascii="Arial" w:cs="Arial" w:eastAsia="Arial" w:hAnsi="Arial"/>
                <w:sz w:val="18"/>
                <w:szCs w:val="18"/>
                <w:color w:val="auto"/>
                <w:w w:val="90"/>
              </w:rPr>
              <w:t>Three Months Ended March 31,</w:t>
            </w:r>
          </w:p>
        </w:tc>
      </w:tr>
      <w:tr>
        <w:trPr>
          <w:trHeight w:val="270"/>
        </w:trPr>
        <w:tc>
          <w:tcPr>
            <w:tcW w:w="880" w:type="dxa"/>
            <w:vAlign w:val="bottom"/>
          </w:tcPr>
          <w:p>
            <w:pPr>
              <w:spacing w:after="0"/>
              <w:rPr>
                <w:sz w:val="23"/>
                <w:szCs w:val="23"/>
                <w:color w:val="auto"/>
              </w:rPr>
            </w:pPr>
          </w:p>
        </w:tc>
        <w:tc>
          <w:tcPr>
            <w:tcW w:w="7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r>
      <w:tr>
        <w:trPr>
          <w:trHeight w:val="27"/>
        </w:trPr>
        <w:tc>
          <w:tcPr>
            <w:tcW w:w="8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6,475</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8,375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(1,900)</w:t>
            </w:r>
          </w:p>
        </w:tc>
      </w:tr>
      <w:tr>
        <w:trPr>
          <w:trHeight w:val="318"/>
        </w:trPr>
        <w:tc>
          <w:tcPr>
            <w:tcW w:w="8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8,160</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9,035</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4,113</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w:t>
            </w:r>
          </w:p>
        </w:tc>
      </w:tr>
      <w:tr>
        <w:trPr>
          <w:trHeight w:val="27"/>
        </w:trPr>
        <w:tc>
          <w:tcPr>
            <w:tcW w:w="8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14,496</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(14,496)</w:t>
            </w:r>
          </w:p>
        </w:tc>
      </w:tr>
      <w:tr>
        <w:trPr>
          <w:trHeight w:val="237"/>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27,644</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(17,477)</w:t>
            </w:r>
          </w:p>
        </w:tc>
      </w:tr>
      <w:tr>
        <w:trPr>
          <w:trHeight w:val="27"/>
        </w:trPr>
        <w:tc>
          <w:tcPr>
            <w:tcW w:w="880" w:type="dxa"/>
            <w:vAlign w:val="bottom"/>
            <w:tcBorders>
              <w:bottom w:val="single" w:sz="8" w:color="CEFFE7"/>
            </w:tcBorders>
          </w:tcPr>
          <w:p>
            <w:pPr>
              <w:spacing w:after="0"/>
              <w:rPr>
                <w:sz w:val="2"/>
                <w:szCs w:val="2"/>
                <w:color w:val="auto"/>
              </w:rPr>
            </w:pPr>
          </w:p>
        </w:tc>
        <w:tc>
          <w:tcPr>
            <w:tcW w:w="7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880" w:type="dxa"/>
            <w:vAlign w:val="bottom"/>
            <w:shd w:val="clear" w:color="auto" w:fill="CEFFE7"/>
          </w:tcPr>
          <w:p>
            <w:pPr>
              <w:spacing w:after="0"/>
              <w:rPr>
                <w:sz w:val="24"/>
                <w:szCs w:val="24"/>
                <w:color w:val="auto"/>
              </w:rPr>
            </w:pPr>
          </w:p>
        </w:tc>
        <w:tc>
          <w:tcPr>
            <w:tcW w:w="71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(19,269)</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15,577</w:t>
            </w:r>
          </w:p>
        </w:tc>
      </w:tr>
      <w:tr>
        <w:trPr>
          <w:trHeight w:val="27"/>
        </w:trPr>
        <w:tc>
          <w:tcPr>
            <w:tcW w:w="880" w:type="dxa"/>
            <w:vAlign w:val="bottom"/>
            <w:tcBorders>
              <w:bottom w:val="single" w:sz="8" w:color="CEFFE7"/>
            </w:tcBorders>
          </w:tcPr>
          <w:p>
            <w:pPr>
              <w:spacing w:after="0"/>
              <w:rPr>
                <w:sz w:val="2"/>
                <w:szCs w:val="2"/>
                <w:color w:val="auto"/>
              </w:rPr>
            </w:pPr>
          </w:p>
        </w:tc>
        <w:tc>
          <w:tcPr>
            <w:tcW w:w="7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880" w:type="dxa"/>
            <w:vAlign w:val="bottom"/>
            <w:shd w:val="clear" w:color="auto" w:fill="CEFFE7"/>
          </w:tcPr>
          <w:p>
            <w:pPr>
              <w:spacing w:after="0"/>
              <w:rPr>
                <w:sz w:val="24"/>
                <w:szCs w:val="24"/>
                <w:color w:val="auto"/>
              </w:rPr>
            </w:pPr>
          </w:p>
        </w:tc>
        <w:tc>
          <w:tcPr>
            <w:tcW w:w="71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(1,074)</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1,842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13,280</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(11,438)</w:t>
            </w:r>
          </w:p>
        </w:tc>
      </w:tr>
      <w:tr>
        <w:trPr>
          <w:trHeight w:val="27"/>
        </w:trPr>
        <w:tc>
          <w:tcPr>
            <w:tcW w:w="880" w:type="dxa"/>
            <w:vAlign w:val="bottom"/>
            <w:tcBorders>
              <w:bottom w:val="single" w:sz="8" w:color="CEFFE7"/>
            </w:tcBorders>
          </w:tcPr>
          <w:p>
            <w:pPr>
              <w:spacing w:after="0"/>
              <w:rPr>
                <w:sz w:val="2"/>
                <w:szCs w:val="2"/>
                <w:color w:val="auto"/>
              </w:rPr>
            </w:pPr>
          </w:p>
        </w:tc>
        <w:tc>
          <w:tcPr>
            <w:tcW w:w="7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880" w:type="dxa"/>
            <w:vAlign w:val="bottom"/>
            <w:shd w:val="clear" w:color="auto" w:fill="CEFFE7"/>
          </w:tcPr>
          <w:p>
            <w:pPr>
              <w:spacing w:after="0"/>
              <w:rPr>
                <w:sz w:val="24"/>
                <w:szCs w:val="24"/>
                <w:color w:val="auto"/>
              </w:rPr>
            </w:pPr>
          </w:p>
        </w:tc>
        <w:tc>
          <w:tcPr>
            <w:tcW w:w="71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64"/>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4,073</w:t>
            </w:r>
          </w:p>
        </w:tc>
      </w:tr>
      <w:tr>
        <w:trPr>
          <w:trHeight w:val="20"/>
        </w:trPr>
        <w:tc>
          <w:tcPr>
            <w:tcW w:w="8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Results of Operations for Oil and Gas for the Three Months Ended March 31, 2017 Compared to the Three Months Ended March 31, 2016: </w:t>
      </w:r>
      <w:r>
        <w:rPr>
          <w:rFonts w:ascii="Arial" w:cs="Arial" w:eastAsia="Arial" w:hAnsi="Arial"/>
          <w:sz w:val="18"/>
          <w:szCs w:val="18"/>
          <w:color w:val="auto"/>
        </w:rPr>
        <w:t>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common stock for the Oil and Gas segment was $(3.0) million for the three months ended March 31, 2017, compared to Net loss available for common stock of $(7.0) million for the same period in 2016 as a result of:</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decreased primarily due to a 21% production decrease as compared to the same period in the prior year. Natural gas production decreased primarily due to the sale of non-core properties in 2016 and limiting production to meet minimum daily quantity contractual gas processing commitments in the Piceance. Crude oil production also decreased due to non-core property sales in the fourth quarter of 2016. The average hedged price received for crude oil sold decreased 4%. The lower production volumes and crude oil pricing was partially offset by a 33% increase in the average hedged price received for natural gas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decreased primarily due to lower employee costs and lower production and ad valorem taxes on lower revenue.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due to the reduction in our full cost pool resulting from the ceiling test impairments incurred in the prior year.</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represents a prior year non-cash write-down in the value of our natural gas and crude oil properties driven by low natural gas and crude oil prices. The ceiling test write-down of $14 million in the first quarter of 2016 used an average NYMEX natural gas price of $2.40 per Mcf, adjusted to $1.13 per Mcf at the wellhead, and $46.26 per barrel for crude oil, adjusted to $39.80 per barrel at the wellhead.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(expense), net</w:t>
      </w:r>
      <w:r>
        <w:rPr>
          <w:rFonts w:ascii="Arial" w:cs="Arial" w:eastAsia="Arial" w:hAnsi="Arial"/>
          <w:sz w:val="18"/>
          <w:szCs w:val="18"/>
          <w:color w:val="auto"/>
        </w:rPr>
        <w:t xml:space="preserve"> was comparable to the same period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u w:val="single" w:color="auto"/>
          <w:color w:val="auto"/>
        </w:rPr>
        <w:t>Income tax (expense) benefit</w:t>
      </w:r>
      <w:r>
        <w:rPr>
          <w:rFonts w:ascii="Arial" w:cs="Arial" w:eastAsia="Arial" w:hAnsi="Arial"/>
          <w:sz w:val="16"/>
          <w:szCs w:val="16"/>
          <w:color w:val="auto"/>
        </w:rPr>
        <w:t>: Each period represents a tax benefit. The effective tax rate for the first quarter of 2016 reflects a benefit of approximately $5.8 million from additional percentage depletion deductions being claimed with respect to a change in estimate for tax purposes. Such deductions were primarily the result of a change in the application of the maximum daily limitation of 1,000 Bbls of oil equivalent allowed under the Internal Revenue Code.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6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tables provide certain operating statistics for our Oil and Gas segment:</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3"/>
          </w:tcPr>
          <w:p>
            <w:pPr>
              <w:jc w:val="right"/>
              <w:ind w:right="4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Production:</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Bbls of oil sold</w:t>
            </w:r>
          </w:p>
        </w:tc>
        <w:tc>
          <w:tcPr>
            <w:tcW w:w="3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43,202</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98,067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20"/>
              <w:spacing w:after="0"/>
              <w:rPr>
                <w:sz w:val="20"/>
                <w:szCs w:val="20"/>
                <w:color w:val="auto"/>
              </w:rPr>
            </w:pPr>
            <w:r>
              <w:rPr>
                <w:rFonts w:ascii="Arial" w:cs="Arial" w:eastAsia="Arial" w:hAnsi="Arial"/>
                <w:sz w:val="18"/>
                <w:szCs w:val="18"/>
                <w:color w:val="auto"/>
              </w:rPr>
              <w:t>Mcf of natural gas sold</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2,051,722</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2,286,606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Bbls of NGL sold</w:t>
            </w:r>
          </w:p>
        </w:tc>
        <w:tc>
          <w:tcPr>
            <w:tcW w:w="3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24,743</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37,003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20"/>
              <w:spacing w:after="0"/>
              <w:rPr>
                <w:sz w:val="20"/>
                <w:szCs w:val="20"/>
                <w:color w:val="auto"/>
              </w:rPr>
            </w:pPr>
            <w:r>
              <w:rPr>
                <w:rFonts w:ascii="Arial" w:cs="Arial" w:eastAsia="Arial" w:hAnsi="Arial"/>
                <w:sz w:val="18"/>
                <w:szCs w:val="18"/>
                <w:color w:val="auto"/>
              </w:rPr>
              <w:t>Mcf equivalent sales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2,459,392</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3,097,026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3"/>
          </w:tcPr>
          <w:p>
            <w:pPr>
              <w:jc w:val="right"/>
              <w:ind w:right="4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 xml:space="preserve">Average price received: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98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Oil/Bbl</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45.82</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20"/>
              <w:spacing w:after="0"/>
              <w:rPr>
                <w:sz w:val="20"/>
                <w:szCs w:val="20"/>
                <w:color w:val="auto"/>
              </w:rPr>
            </w:pPr>
            <w:r>
              <w:rPr>
                <w:rFonts w:ascii="Arial" w:cs="Arial" w:eastAsia="Arial" w:hAnsi="Arial"/>
                <w:sz w:val="18"/>
                <w:szCs w:val="18"/>
                <w:color w:val="auto"/>
              </w:rPr>
              <w:t>Gas/Mcf</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NGL/Bbl</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22.06</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Depletion expense/Mcfe</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0.45</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__________</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Net of hedge settlement gains and losses.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certain average operating expenses per Mcfe: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w w:val="89"/>
              </w:rPr>
              <w:t>Three Months Ended March 31,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w w:val="90"/>
              </w:rPr>
              <w:t>Three Months Ended March 31, 2016</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Gathering,</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Gathering,</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Compression,</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Compression,</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Processing and</w:t>
            </w:r>
          </w:p>
        </w:tc>
        <w:tc>
          <w:tcPr>
            <w:tcW w:w="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2"/>
              </w:rPr>
              <w:t>Production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Processing and</w:t>
            </w:r>
          </w:p>
        </w:tc>
        <w:tc>
          <w:tcPr>
            <w:tcW w:w="1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92"/>
              </w:rPr>
              <w:t>Production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Producing Basin</w:t>
            </w:r>
          </w:p>
        </w:tc>
        <w:tc>
          <w:tcPr>
            <w:tcW w:w="180" w:type="dxa"/>
            <w:vAlign w:val="bottom"/>
          </w:tcPr>
          <w:p>
            <w:pPr>
              <w:spacing w:after="0"/>
              <w:rPr>
                <w:sz w:val="22"/>
                <w:szCs w:val="22"/>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LOE</w:t>
            </w:r>
          </w:p>
        </w:tc>
        <w:tc>
          <w:tcPr>
            <w:tcW w:w="160" w:type="dxa"/>
            <w:vAlign w:val="bottom"/>
          </w:tcPr>
          <w:p>
            <w:pPr>
              <w:spacing w:after="0"/>
              <w:rPr>
                <w:sz w:val="22"/>
                <w:szCs w:val="22"/>
                <w:color w:val="auto"/>
              </w:rPr>
            </w:pPr>
          </w:p>
        </w:tc>
        <w:tc>
          <w:tcPr>
            <w:tcW w:w="1560" w:type="dxa"/>
            <w:vAlign w:val="bottom"/>
          </w:tcPr>
          <w:p>
            <w:pPr>
              <w:jc w:val="center"/>
              <w:spacing w:after="0" w:line="257" w:lineRule="exact"/>
              <w:rPr>
                <w:sz w:val="20"/>
                <w:szCs w:val="20"/>
                <w:color w:val="auto"/>
              </w:rPr>
            </w:pPr>
            <w:r>
              <w:rPr>
                <w:rFonts w:ascii="Arial" w:cs="Arial" w:eastAsia="Arial" w:hAnsi="Arial"/>
                <w:sz w:val="18"/>
                <w:szCs w:val="18"/>
                <w:color w:val="auto"/>
                <w:w w:val="87"/>
              </w:rPr>
              <w:t xml:space="preserve">Transportation </w:t>
            </w:r>
            <w:r>
              <w:rPr>
                <w:rFonts w:ascii="Arial" w:cs="Arial" w:eastAsia="Arial" w:hAnsi="Arial"/>
                <w:sz w:val="25"/>
                <w:szCs w:val="25"/>
                <w:color w:val="auto"/>
                <w:w w:val="87"/>
                <w:vertAlign w:val="superscript"/>
              </w:rPr>
              <w:t>(a)</w:t>
            </w:r>
          </w:p>
        </w:tc>
        <w:tc>
          <w:tcPr>
            <w:tcW w:w="180" w:type="dxa"/>
            <w:vAlign w:val="bottom"/>
          </w:tcPr>
          <w:p>
            <w:pPr>
              <w:spacing w:after="0"/>
              <w:rPr>
                <w:sz w:val="22"/>
                <w:szCs w:val="22"/>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LOE</w:t>
            </w:r>
          </w:p>
        </w:tc>
        <w:tc>
          <w:tcPr>
            <w:tcW w:w="160" w:type="dxa"/>
            <w:vAlign w:val="bottom"/>
          </w:tcPr>
          <w:p>
            <w:pPr>
              <w:spacing w:after="0"/>
              <w:rPr>
                <w:sz w:val="22"/>
                <w:szCs w:val="22"/>
                <w:color w:val="auto"/>
              </w:rPr>
            </w:pPr>
          </w:p>
        </w:tc>
        <w:tc>
          <w:tcPr>
            <w:tcW w:w="1540" w:type="dxa"/>
            <w:vAlign w:val="bottom"/>
          </w:tcPr>
          <w:p>
            <w:pPr>
              <w:jc w:val="center"/>
              <w:spacing w:after="0" w:line="257" w:lineRule="exact"/>
              <w:rPr>
                <w:sz w:val="20"/>
                <w:szCs w:val="20"/>
                <w:color w:val="auto"/>
              </w:rPr>
            </w:pPr>
            <w:r>
              <w:rPr>
                <w:rFonts w:ascii="Arial" w:cs="Arial" w:eastAsia="Arial" w:hAnsi="Arial"/>
                <w:sz w:val="18"/>
                <w:szCs w:val="18"/>
                <w:color w:val="auto"/>
                <w:w w:val="86"/>
              </w:rPr>
              <w:t xml:space="preserve">Transportation </w:t>
            </w:r>
            <w:r>
              <w:rPr>
                <w:rFonts w:ascii="Arial" w:cs="Arial" w:eastAsia="Arial" w:hAnsi="Arial"/>
                <w:sz w:val="25"/>
                <w:szCs w:val="25"/>
                <w:color w:val="auto"/>
                <w:w w:val="86"/>
                <w:vertAlign w:val="superscript"/>
              </w:rPr>
              <w:t>(a)</w:t>
            </w:r>
          </w:p>
        </w:tc>
        <w:tc>
          <w:tcPr>
            <w:tcW w:w="180" w:type="dxa"/>
            <w:vAlign w:val="bottom"/>
          </w:tcPr>
          <w:p>
            <w:pPr>
              <w:spacing w:after="0"/>
              <w:rPr>
                <w:sz w:val="22"/>
                <w:szCs w:val="22"/>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2"/>
                <w:szCs w:val="22"/>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4"/>
        </w:trPr>
        <w:tc>
          <w:tcPr>
            <w:tcW w:w="2180" w:type="dxa"/>
            <w:vAlign w:val="bottom"/>
            <w:tcBorders>
              <w:top w:val="single" w:sz="8" w:color="auto"/>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San Juan</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0.44</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0.32</w:t>
            </w:r>
          </w:p>
        </w:tc>
        <w:tc>
          <w:tcPr>
            <w:tcW w:w="160" w:type="dxa"/>
            <w:vAlign w:val="bottom"/>
            <w:tcBorders>
              <w:top w:val="single" w:sz="8" w:color="auto"/>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Piceance</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Powder River</w:t>
            </w:r>
          </w:p>
        </w:tc>
        <w:tc>
          <w:tcPr>
            <w:tcW w:w="1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0.72</w:t>
            </w: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0.56</w:t>
            </w:r>
          </w:p>
        </w:tc>
        <w:tc>
          <w:tcPr>
            <w:tcW w:w="16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Williston</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0.95</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All other properties</w:t>
            </w:r>
          </w:p>
        </w:tc>
        <w:tc>
          <w:tcPr>
            <w:tcW w:w="18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0.36</w:t>
            </w:r>
          </w:p>
        </w:tc>
        <w:tc>
          <w:tcPr>
            <w:tcW w:w="18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57"/>
        </w:trPr>
        <w:tc>
          <w:tcPr>
            <w:tcW w:w="2180" w:type="dxa"/>
            <w:vAlign w:val="bottom"/>
          </w:tcPr>
          <w:p>
            <w:pPr>
              <w:ind w:left="180"/>
              <w:spacing w:after="0"/>
              <w:rPr>
                <w:sz w:val="20"/>
                <w:szCs w:val="20"/>
                <w:color w:val="auto"/>
              </w:rPr>
            </w:pPr>
            <w:r>
              <w:rPr>
                <w:rFonts w:ascii="Arial" w:cs="Arial" w:eastAsia="Arial" w:hAnsi="Arial"/>
                <w:sz w:val="18"/>
                <w:szCs w:val="18"/>
                <w:color w:val="auto"/>
              </w:rPr>
              <w:t>Total weighted average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0.25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These costs include both third-party costs and operations costs.</w:t>
      </w:r>
    </w:p>
    <w:p>
      <w:pPr>
        <w:spacing w:after="0" w:line="2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Piceance and San Juan Basins, our natural gas is transported through our own and third-party gathering systems and pipelines, for which we incur processing, gathering, compression and transportation fees. The sales price for natural gas, condensate and NGLs is reduced for these third-party costs, while the cost of operating our own gathering systems is included in operations and maintenance. The gathering, compression, processing and transportation costs shown in the tables above include amounts paid to third parties, as well as costs incurred in operations associated with our own gas gathering, compression, processing and transportation.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 ten-year gas gathering and processing contract for our natural gas production in the Piceance Basin which became effective in March of 2014. This take-or-pay contract requires us to pay a fee on a minimum of 20,000 Mcf per day, regardless of the volume delivered. Our gathering, compression and processing costs on a per Mcfe basis, as shown in the table above, will be higher in periods when we are not meeting the minimum contract requirements.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01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Corporate Activity</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Results of Operations for Corporate activities for the Three Months Ended March 31, 2017 Compared to the Three Months Ended March 31, 2016: </w:t>
      </w:r>
      <w:r>
        <w:rPr>
          <w:rFonts w:ascii="Arial" w:cs="Arial" w:eastAsia="Arial" w:hAnsi="Arial"/>
          <w:sz w:val="17"/>
          <w:szCs w:val="17"/>
          <w:color w:val="auto"/>
        </w:rPr>
        <w:t>Net income available for common stock for Corporate was $1.8 million for the three months ended March 31, 2017, compared to Net loss available for common stock of $(16) million for the three months ended March 31, 2016. The variance from the prior year was primarily due to higher corporate expenses incurred in the prior year related to the SourceGas Acquisition. Current year corporate expenses include approximately $0.9 million of after-tax acquisition and transition costs, compared to $15 million of after-tax acquisition and transition costs in the same period of the prior year. Current year corporate expenses also include approximately $0.3 million of after-tax internal labor that otherwise would have been charged to other business segments compared to $3.8 million of after-tax internal labor that otherwise would have been charged to other business segments in the same period of the prior year. During the three months ended March 31, 2017, we recognized a net tax benefit of approximately $3.2 million, which included a $1.4 million tax benefit from a carryback claim for specified liability losses involving prior years and a tax benefit of $1.8 million driven primarily by the adjustment to the projected annual effective tax rate. The same period in the prior year included a tax benefit of approximately $4.4 million recognized as a result of an agreement reached with IRS Appeals relating to the release of the reserve for after-tax interest expense previously accrued with respect to the liability for uncertain tax positions involving a like-kind exchange transaction from 2008.</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our critical accounting estimates from those reported in our 2016 Annual Report on Form 10-K filed with the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critical accounting estimates, see Part II, Item 7 of our 2016 Annual Report on Form 10-K.</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Company requires significant cash to support and grow our business.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most significant uses of cash are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debt maturities, anticipated dividends, and anticipated capital expenditures discussed in this section.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1013"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Significant Factors Affecting Liquidity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March 31, 2017, we had $3.2 million of collateral posted related to our wholesale commodity contracts transactions. At March 31, 2017, we had sufficient liquidity to cover any additional collateral that could be required to be posted under these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Increase</w:t>
            </w: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28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w w:val="98"/>
              </w:rPr>
              <w:t>(Decrease)</w:t>
            </w:r>
          </w:p>
        </w:tc>
      </w:tr>
      <w:tr>
        <w:trPr>
          <w:trHeight w:val="27"/>
        </w:trPr>
        <w:tc>
          <w:tcPr>
            <w:tcW w:w="4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activities</w:t>
            </w:r>
          </w:p>
        </w:tc>
        <w:tc>
          <w:tcPr>
            <w:tcW w:w="28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146,840</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133,083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13,757</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(69,494)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(1,216,532)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1,147,038</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20" w:type="dxa"/>
            <w:vAlign w:val="bottom"/>
            <w:shd w:val="clear" w:color="auto" w:fill="CEFFE7"/>
          </w:tcPr>
          <w:p>
            <w:pPr>
              <w:ind w:left="40"/>
              <w:spacing w:after="0"/>
              <w:rPr>
                <w:sz w:val="20"/>
                <w:szCs w:val="20"/>
                <w:color w:val="auto"/>
              </w:rPr>
            </w:pPr>
            <w:r>
              <w:rPr>
                <w:rFonts w:ascii="Arial" w:cs="Arial" w:eastAsia="Arial" w:hAnsi="Arial"/>
                <w:sz w:val="18"/>
                <w:szCs w:val="18"/>
                <w:color w:val="auto"/>
              </w:rPr>
              <w:t>Financing activities</w:t>
            </w:r>
          </w:p>
        </w:tc>
        <w:tc>
          <w:tcPr>
            <w:tcW w:w="280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(79,573)</w:t>
            </w:r>
          </w:p>
        </w:tc>
        <w:tc>
          <w:tcPr>
            <w:tcW w:w="3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668,634</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(748,207)</w:t>
            </w:r>
          </w:p>
        </w:tc>
      </w:tr>
      <w:tr>
        <w:trPr>
          <w:trHeight w:val="27"/>
        </w:trPr>
        <w:tc>
          <w:tcPr>
            <w:tcW w:w="4520" w:type="dxa"/>
            <w:vAlign w:val="bottom"/>
            <w:shd w:val="clear" w:color="auto" w:fill="CEFFE7"/>
          </w:tcPr>
          <w:p>
            <w:pPr>
              <w:spacing w:after="0"/>
              <w:rPr>
                <w:sz w:val="2"/>
                <w:szCs w:val="2"/>
                <w:color w:val="auto"/>
              </w:rPr>
            </w:pPr>
          </w:p>
        </w:tc>
        <w:tc>
          <w:tcPr>
            <w:tcW w:w="280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24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2017 Compared to Year-to-Date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Net cash provided by operating activities was $147 million for the three months ended March 31, 2017, compared to net cash provided by operating activities of $133 million for the same period in 2016 for a variance of $14 million. The variance was primarily attributable to:</w:t>
      </w:r>
    </w:p>
    <w:p>
      <w:pPr>
        <w:spacing w:after="0" w:line="170" w:lineRule="exact"/>
        <w:rPr>
          <w:sz w:val="20"/>
          <w:szCs w:val="20"/>
          <w:color w:val="auto"/>
        </w:rPr>
      </w:pPr>
    </w:p>
    <w:p>
      <w:pPr>
        <w:ind w:left="660" w:right="2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earnings (net income plus non-cash adjustments) were $41 million higher for the three months ended March 31, 2017 compared to the same period in the prior year;</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cash outflows from operating assets and liabilities were $30 million for the three months ended March 31, 2017, compared to net cash outflows of $3 million in the same period in the prior year. This $27 million variance was primarily due to:</w:t>
      </w:r>
    </w:p>
    <w:p>
      <w:pPr>
        <w:spacing w:after="0" w:line="170" w:lineRule="exact"/>
        <w:rPr>
          <w:rFonts w:ascii="Arial" w:cs="Arial" w:eastAsia="Arial" w:hAnsi="Arial"/>
          <w:sz w:val="18"/>
          <w:szCs w:val="18"/>
          <w:color w:val="auto"/>
        </w:rPr>
      </w:pPr>
    </w:p>
    <w:p>
      <w:pPr>
        <w:ind w:left="1140" w:right="280" w:hanging="322"/>
        <w:spacing w:after="0" w:line="308" w:lineRule="auto"/>
        <w:tabs>
          <w:tab w:leader="none" w:pos="11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Cash inflows increased by approximately $13 million for the three months ended March 31, 2017 compared to the same period in the prior year primarily as a result of changes in our accounts receivable for the three months ended March 31, 2017;</w:t>
      </w:r>
    </w:p>
    <w:p>
      <w:pPr>
        <w:spacing w:after="0" w:line="146" w:lineRule="exact"/>
        <w:rPr>
          <w:rFonts w:ascii="Arial" w:cs="Arial" w:eastAsia="Arial" w:hAnsi="Arial"/>
          <w:sz w:val="17"/>
          <w:szCs w:val="17"/>
          <w:color w:val="auto"/>
        </w:rPr>
      </w:pPr>
    </w:p>
    <w:p>
      <w:pPr>
        <w:ind w:left="1140" w:right="120" w:hanging="322"/>
        <w:spacing w:after="0" w:line="277"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Cash inflows decreased by approximately $15 million as a result of changes in our current regulatory assets and liabilities driven by fuel cost adjustments and commodity prices compared to the same period in the prior year; and</w:t>
      </w:r>
    </w:p>
    <w:p>
      <w:pPr>
        <w:spacing w:after="0" w:line="170" w:lineRule="exact"/>
        <w:rPr>
          <w:rFonts w:ascii="Arial" w:cs="Arial" w:eastAsia="Arial" w:hAnsi="Arial"/>
          <w:sz w:val="18"/>
          <w:szCs w:val="18"/>
          <w:color w:val="auto"/>
        </w:rPr>
      </w:pPr>
    </w:p>
    <w:p>
      <w:pPr>
        <w:ind w:left="1140" w:right="120" w:hanging="322"/>
        <w:spacing w:after="0" w:line="342" w:lineRule="auto"/>
        <w:tabs>
          <w:tab w:leader="none" w:pos="1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Cash outflows increased by approximately $26 million as a result of changes in accounts payable and other operating liabilities driven primarily by higher commodity prices, changes in accrued income taxes and employee liabilities for the three months ended March 31, 2017.</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investing activities was $69 million for the three months ended March 31, 2017, compared to net cash used in investing activities of $1.2 billion for the same period in 2016. The variance was primarily driven by:</w:t>
      </w:r>
    </w:p>
    <w:p>
      <w:pPr>
        <w:spacing w:after="0" w:line="170" w:lineRule="exact"/>
        <w:rPr>
          <w:sz w:val="20"/>
          <w:szCs w:val="20"/>
          <w:color w:val="auto"/>
        </w:rPr>
      </w:pPr>
    </w:p>
    <w:p>
      <w:pPr>
        <w:ind w:left="660" w:right="1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 year’s cash outflows included $1.1 billion for the acquisition of SourceGas, net of $760 million of long term debt assumed (See Note 2 of our Notes to the Consolidated Financial Statements in our 2016 Annual Report on Form 10-K for more details); and</w:t>
      </w:r>
    </w:p>
    <w:p>
      <w:pPr>
        <w:spacing w:after="0" w:line="170" w:lineRule="exact"/>
        <w:rPr>
          <w:rFonts w:ascii="Arial" w:cs="Arial" w:eastAsia="Arial" w:hAnsi="Arial"/>
          <w:sz w:val="18"/>
          <w:szCs w:val="18"/>
          <w:color w:val="auto"/>
        </w:rPr>
      </w:pPr>
    </w:p>
    <w:p>
      <w:pPr>
        <w:jc w:val="both"/>
        <w:ind w:left="660" w:right="14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Capital expenditures of approximately $69 million for the three months ended March 31, 2017 compared to $84 million for the three months ended March 31, 2016. The prior year had higher capital expenditures at our Electric Utilities primarily from generation investments at Colorado Electric.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financing activities for the three months ended March 31, 2017 was $80 million, compared to $669 million of net cash provided by financing activities for the same period in 2016. The $748 million variance was primarily driven by:</w:t>
      </w:r>
    </w:p>
    <w:p>
      <w:pPr>
        <w:spacing w:after="0" w:line="170" w:lineRule="exact"/>
        <w:rPr>
          <w:sz w:val="20"/>
          <w:szCs w:val="20"/>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Long-term borrowings were higher in the prior year due to the $546 million of net proceeds from our January 13, 2016 public debt offering used to partially finance the SourceGas Acquisition;</w:t>
      </w:r>
    </w:p>
    <w:p>
      <w:pPr>
        <w:spacing w:after="0" w:line="170"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Net short-term borrowings decreased by $185 million. Prior year revolver borrowings were used to partially fund the SourceGas acquisition compared to current year net payments made primarily due to lower working capital requirements and lower capital expenditures;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Proceeds from common stock decreased by approximately $5.7 million due to prior year stock issuances under our ATM equity offering program;</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distributions to noncontrolling interests of $4.3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dividend payments of approximately $2.2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current year payments on long-term debt of $1.4 million; and</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other financing activities in the current year primarily driven by the $5.6 million paid for a redeemable noncontrolling interest in March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Dividends paid on our common stock totaled $24 million for the three months ended March 31, 2017, or $0.445 per share. On April 24, 2017, our board of directors declared a quarterly dividend of $0.445 per share payable June 1, 2017, which is equivalent to an annual dividend rate of $1.78 per share. The determination of the amount of future cash dividends, if any, to be declared and paid will depend upon, among other things, our financial condition, funds from operations, the level of our capital expenditures, restrictions under our Revolving Credit Facility and our future business prospects.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Transactions and Short-Term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sources to meet day-to-day operating cash requirements are cash from operations, our CP Program and our corporate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9, 2016, we amended and restated our corporate Revolving Credit Facility to increase total commitments to $750 million from $500 million and extended the term through August 9, 2021 with two one-year extension options. This facility is similar to the former agreement, which includes an accordion feature that allows us, with the consent of the administrative agent and issuing agents, to increase total commitments of the facility to up to $1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S&amp;P or Moody’s for our unsecured debt. Based on our credit ratings, the margins for base rate borrowings, Eurodollar borrowings, and letters of credit were 0.250%, 1.250%, and 1.250%, respectively, at March 31, 2017. A 0.200% commitment fee is charged on the unused amount of the Revolving Credit Facility.</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December 22, 2016, we implemented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color w:val="auto"/>
                <w:w w:val="92"/>
              </w:rPr>
              <w:t>Revolver</w:t>
            </w: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8"/>
              </w:rPr>
              <w:t>CP Program</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Current</w:t>
            </w:r>
          </w:p>
        </w:tc>
        <w:tc>
          <w:tcPr>
            <w:tcW w:w="220" w:type="dxa"/>
            <w:vAlign w:val="bottom"/>
          </w:tcPr>
          <w:p>
            <w:pPr>
              <w:spacing w:after="0"/>
              <w:rPr>
                <w:sz w:val="20"/>
                <w:szCs w:val="20"/>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color w:val="auto"/>
                <w:w w:val="92"/>
              </w:rPr>
              <w:t>Borrowings at</w:t>
            </w: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94"/>
              </w:rPr>
              <w:t>Borrowings at</w:t>
            </w:r>
          </w:p>
        </w:tc>
        <w:tc>
          <w:tcPr>
            <w:tcW w:w="20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1"/>
              </w:rPr>
              <w:t>Letters of Credit at</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460" w:type="dxa"/>
            <w:vAlign w:val="bottom"/>
          </w:tcPr>
          <w:p>
            <w:pPr>
              <w:jc w:val="center"/>
              <w:ind w:left="130"/>
              <w:spacing w:after="0"/>
              <w:rPr>
                <w:sz w:val="20"/>
                <w:szCs w:val="20"/>
                <w:color w:val="auto"/>
              </w:rPr>
            </w:pPr>
            <w:r>
              <w:rPr>
                <w:rFonts w:ascii="Arial" w:cs="Arial" w:eastAsia="Arial" w:hAnsi="Arial"/>
                <w:sz w:val="18"/>
                <w:szCs w:val="18"/>
                <w:color w:val="auto"/>
                <w:w w:val="94"/>
              </w:rPr>
              <w:t>Expiration</w:t>
            </w:r>
          </w:p>
        </w:tc>
        <w:tc>
          <w:tcPr>
            <w:tcW w:w="220" w:type="dxa"/>
            <w:vAlign w:val="bottom"/>
          </w:tcPr>
          <w:p>
            <w:pPr>
              <w:spacing w:after="0"/>
              <w:rPr>
                <w:sz w:val="23"/>
                <w:szCs w:val="23"/>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1"/>
              </w:rPr>
              <w:t>Capacity</w:t>
            </w:r>
          </w:p>
        </w:tc>
        <w:tc>
          <w:tcPr>
            <w:tcW w:w="220" w:type="dxa"/>
            <w:vAlign w:val="bottom"/>
          </w:tcPr>
          <w:p>
            <w:pPr>
              <w:spacing w:after="0"/>
              <w:rPr>
                <w:sz w:val="23"/>
                <w:szCs w:val="23"/>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March 31, 2017</w:t>
            </w: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92"/>
              </w:rPr>
              <w:t>March 31, 2017</w:t>
            </w:r>
          </w:p>
        </w:tc>
        <w:tc>
          <w:tcPr>
            <w:tcW w:w="200" w:type="dxa"/>
            <w:vAlign w:val="bottom"/>
          </w:tcPr>
          <w:p>
            <w:pPr>
              <w:spacing w:after="0"/>
              <w:rPr>
                <w:sz w:val="23"/>
                <w:szCs w:val="23"/>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color w:val="auto"/>
                <w:w w:val="91"/>
              </w:rPr>
              <w:t>March 31, 2017</w:t>
            </w:r>
          </w:p>
        </w:tc>
        <w:tc>
          <w:tcPr>
            <w:tcW w:w="24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1"/>
              </w:rPr>
              <w:t>March 31, 2017</w:t>
            </w:r>
          </w:p>
        </w:tc>
      </w:tr>
      <w:tr>
        <w:trPr>
          <w:trHeight w:val="27"/>
        </w:trPr>
        <w:tc>
          <w:tcPr>
            <w:tcW w:w="2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16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1460" w:type="dxa"/>
            <w:vAlign w:val="bottom"/>
            <w:shd w:val="clear" w:color="auto" w:fill="CEFFE7"/>
          </w:tcPr>
          <w:p>
            <w:pPr>
              <w:jc w:val="center"/>
              <w:ind w:left="110"/>
              <w:spacing w:after="0"/>
              <w:rPr>
                <w:sz w:val="20"/>
                <w:szCs w:val="20"/>
                <w:color w:val="auto"/>
              </w:rPr>
            </w:pPr>
            <w:r>
              <w:rPr>
                <w:rFonts w:ascii="Arial" w:cs="Arial" w:eastAsia="Arial" w:hAnsi="Arial"/>
                <w:sz w:val="18"/>
                <w:szCs w:val="18"/>
                <w:color w:val="auto"/>
                <w:w w:val="90"/>
              </w:rPr>
              <w:t>August 9, 2021</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EFFE7"/>
          </w:tcPr>
          <w:p>
            <w:pPr>
              <w:ind w:left="1140"/>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671</w:t>
            </w:r>
          </w:p>
        </w:tc>
      </w:tr>
      <w:tr>
        <w:trPr>
          <w:trHeight w:val="27"/>
        </w:trPr>
        <w:tc>
          <w:tcPr>
            <w:tcW w:w="2160" w:type="dxa"/>
            <w:vAlign w:val="bottom"/>
            <w:shd w:val="clear" w:color="auto" w:fill="CEFFE7"/>
          </w:tcPr>
          <w:p>
            <w:pPr>
              <w:spacing w:after="0"/>
              <w:rPr>
                <w:sz w:val="2"/>
                <w:szCs w:val="2"/>
                <w:color w:val="auto"/>
              </w:rPr>
            </w:pPr>
          </w:p>
        </w:tc>
        <w:tc>
          <w:tcPr>
            <w:tcW w:w="146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82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60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50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weighted average interest rate on CP Program borrowings at March 31, 2017 was 1.27%. Revolving Credit Facility and CP Program financing activity for the quarter ended March 31, 2017 was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20" w:type="dxa"/>
            <w:vAlign w:val="bottom"/>
          </w:tcPr>
          <w:p>
            <w:pPr>
              <w:jc w:val="right"/>
              <w:ind w:right="110"/>
              <w:spacing w:after="0"/>
              <w:rPr>
                <w:sz w:val="20"/>
                <w:szCs w:val="20"/>
                <w:color w:val="auto"/>
              </w:rPr>
            </w:pPr>
            <w:r>
              <w:rPr>
                <w:rFonts w:ascii="Arial" w:cs="Arial" w:eastAsia="Arial" w:hAnsi="Arial"/>
                <w:sz w:val="18"/>
                <w:szCs w:val="18"/>
                <w:color w:val="auto"/>
                <w:w w:val="91"/>
              </w:rPr>
              <w:t>For the Three Months Ended</w:t>
            </w:r>
          </w:p>
        </w:tc>
      </w:tr>
      <w:tr>
        <w:trPr>
          <w:trHeight w:val="230"/>
        </w:trPr>
        <w:tc>
          <w:tcPr>
            <w:tcW w:w="7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20" w:type="dxa"/>
            <w:vAlign w:val="bottom"/>
          </w:tcPr>
          <w:p>
            <w:pPr>
              <w:jc w:val="right"/>
              <w:ind w:right="570"/>
              <w:spacing w:after="0"/>
              <w:rPr>
                <w:sz w:val="20"/>
                <w:szCs w:val="20"/>
                <w:color w:val="auto"/>
              </w:rPr>
            </w:pPr>
            <w:r>
              <w:rPr>
                <w:rFonts w:ascii="Arial" w:cs="Arial" w:eastAsia="Arial" w:hAnsi="Arial"/>
                <w:sz w:val="18"/>
                <w:szCs w:val="18"/>
                <w:color w:val="auto"/>
              </w:rPr>
              <w:t>March 31, 2017</w:t>
            </w:r>
          </w:p>
        </w:tc>
      </w:tr>
      <w:tr>
        <w:trPr>
          <w:trHeight w:val="27"/>
        </w:trPr>
        <w:tc>
          <w:tcPr>
            <w:tcW w:w="7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commercial paper (based on daily outstanding balances)</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111</w:t>
            </w:r>
          </w:p>
        </w:tc>
      </w:tr>
      <w:tr>
        <w:trPr>
          <w:trHeight w:val="243"/>
        </w:trPr>
        <w:tc>
          <w:tcPr>
            <w:tcW w:w="7980" w:type="dxa"/>
            <w:vAlign w:val="bottom"/>
          </w:tcPr>
          <w:p>
            <w:pPr>
              <w:ind w:left="12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97</w:t>
            </w:r>
          </w:p>
        </w:tc>
      </w:tr>
      <w:tr>
        <w:trPr>
          <w:trHeight w:val="27"/>
        </w:trPr>
        <w:tc>
          <w:tcPr>
            <w:tcW w:w="7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798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Average amount outstanding - commercial paper (based on daily outstanding balances) </w:t>
            </w:r>
            <w:r>
              <w:rPr>
                <w:rFonts w:ascii="Arial" w:cs="Arial" w:eastAsia="Arial" w:hAnsi="Arial"/>
                <w:sz w:val="25"/>
                <w:szCs w:val="25"/>
                <w:color w:val="auto"/>
                <w:vertAlign w:val="superscript"/>
              </w:rPr>
              <w:t>(a)</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32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76</w:t>
            </w:r>
          </w:p>
        </w:tc>
      </w:tr>
      <w:tr>
        <w:trPr>
          <w:trHeight w:val="270"/>
        </w:trPr>
        <w:tc>
          <w:tcPr>
            <w:tcW w:w="798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Average amount outstanding - revolving credit facility (based on daily outstanding balances) </w:t>
            </w:r>
            <w:r>
              <w:rPr>
                <w:rFonts w:ascii="Arial" w:cs="Arial" w:eastAsia="Arial" w:hAnsi="Arial"/>
                <w:sz w:val="25"/>
                <w:szCs w:val="25"/>
                <w:color w:val="auto"/>
                <w:vertAlign w:val="superscript"/>
              </w:rPr>
              <w:t>(a)</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55</w:t>
            </w:r>
          </w:p>
        </w:tc>
      </w:tr>
      <w:tr>
        <w:trPr>
          <w:trHeight w:val="270"/>
        </w:trPr>
        <w:tc>
          <w:tcPr>
            <w:tcW w:w="798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Weighted average interest rates - commercial paper </w:t>
            </w:r>
            <w:r>
              <w:rPr>
                <w:rFonts w:ascii="Arial" w:cs="Arial" w:eastAsia="Arial" w:hAnsi="Arial"/>
                <w:sz w:val="25"/>
                <w:szCs w:val="25"/>
                <w:color w:val="auto"/>
                <w:vertAlign w:val="superscript"/>
              </w:rPr>
              <w:t>(a)</w:t>
            </w:r>
          </w:p>
        </w:tc>
        <w:tc>
          <w:tcPr>
            <w:tcW w:w="1120" w:type="dxa"/>
            <w:vAlign w:val="bottom"/>
            <w:shd w:val="clear" w:color="auto" w:fill="CEFFE7"/>
          </w:tcPr>
          <w:p>
            <w:pPr>
              <w:spacing w:after="0"/>
              <w:rPr>
                <w:sz w:val="23"/>
                <w:szCs w:val="23"/>
                <w:color w:val="auto"/>
              </w:rPr>
            </w:pPr>
          </w:p>
        </w:tc>
        <w:tc>
          <w:tcPr>
            <w:tcW w:w="23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1.16%</w:t>
            </w:r>
          </w:p>
        </w:tc>
      </w:tr>
      <w:tr>
        <w:trPr>
          <w:trHeight w:val="274"/>
        </w:trPr>
        <w:tc>
          <w:tcPr>
            <w:tcW w:w="7980" w:type="dxa"/>
            <w:vAlign w:val="bottom"/>
          </w:tcPr>
          <w:p>
            <w:pPr>
              <w:ind w:left="120"/>
              <w:spacing w:after="0" w:line="274" w:lineRule="exact"/>
              <w:rPr>
                <w:sz w:val="20"/>
                <w:szCs w:val="20"/>
                <w:color w:val="auto"/>
              </w:rPr>
            </w:pPr>
            <w:r>
              <w:rPr>
                <w:rFonts w:ascii="Arial" w:cs="Arial" w:eastAsia="Arial" w:hAnsi="Arial"/>
                <w:sz w:val="18"/>
                <w:szCs w:val="18"/>
                <w:color w:val="auto"/>
              </w:rPr>
              <w:t xml:space="preserve">Weighted average interest rates - revolving credit facility </w:t>
            </w:r>
            <w:r>
              <w:rPr>
                <w:rFonts w:ascii="Arial" w:cs="Arial" w:eastAsia="Arial" w:hAnsi="Arial"/>
                <w:sz w:val="25"/>
                <w:szCs w:val="25"/>
                <w:color w:val="auto"/>
                <w:vertAlign w:val="superscript"/>
              </w:rPr>
              <w:t>(a)</w:t>
            </w:r>
          </w:p>
        </w:tc>
        <w:tc>
          <w:tcPr>
            <w:tcW w:w="1120" w:type="dxa"/>
            <w:vAlign w:val="bottom"/>
          </w:tcPr>
          <w:p>
            <w:pPr>
              <w:spacing w:after="0"/>
              <w:rPr>
                <w:sz w:val="23"/>
                <w:szCs w:val="23"/>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2.07%</w:t>
            </w:r>
          </w:p>
        </w:tc>
      </w:tr>
    </w:tbl>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Averages for the Revolving Credit Facility are for the first 29 days of the quarter after which all borrowings were through the CP Program.</w:t>
      </w:r>
    </w:p>
    <w:p>
      <w:pPr>
        <w:spacing w:after="0" w:line="20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certain guarantees issued and excludes RSNs by</w:t>
      </w:r>
    </w:p>
    <w:p>
      <w:pPr>
        <w:ind w:right="20" w:firstLine="8"/>
        <w:spacing w:after="0" w:line="254"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Capital, which includes Consolidated Indebtedness plus Net Worth, which excludes noncontrolling interests in subsidiaries and includes the aggregate outstanding amount of the RSNs.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March 31, 2017.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0" w:name="page61"/>
    <w:bookmarkEnd w:id="60"/>
    <w:p>
      <w:pPr>
        <w:ind w:right="620"/>
        <w:spacing w:after="0" w:line="308" w:lineRule="auto"/>
        <w:rPr>
          <w:sz w:val="20"/>
          <w:szCs w:val="20"/>
          <w:color w:val="auto"/>
        </w:rPr>
      </w:pPr>
      <w:r>
        <w:rPr>
          <w:rFonts w:ascii="Arial" w:cs="Arial" w:eastAsia="Arial" w:hAnsi="Arial"/>
          <w:sz w:val="17"/>
          <w:szCs w:val="17"/>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Financing activities for the three months ended March 31, 2017 consisted of short-term borrowings from our Revolving Credit Facility and CP Program. We did not issue any shares of common stock under our ATM equity offering program.</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the CP Program and amended Revolving Credit Facility discussed above, other financing activities from the prior year consisted of completing the permanent financing for the SourceGas Acquisition. In addition to the net proceeds of $536 million from our November 2015 equity issuances, we completed the Acquisition financing with $546 million of net proceeds from our January 2016 debt offering. We also refinanced the long-term debt assumed with the SourceGas Acquisition primarily through $693 million of net proceeds from our August 19, 2016 debt offerings. In addition to our debt refinancings, we issued a total of 1.97 million shares of common stock throughout 2016 for net proceeds of approximately $119 million through our ATM equity offering program, and sold a 49.9% noncontrolling interest in Black Hills Colorado IPP for $216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the following financing activities: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Renewing our shelf registration and ATM equity offering program;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Remarketing junior subordinated notes maturing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utility holding company which owns several regulated utilities, we are subject to various regulations that could influence our liquidity. Our utilities in Arkansas, Colorado, Iowa, Kansas, Nebraska and Wyoming have regulatory agreements in which they cannot pay dividends if they have issued debt to third parties and the payment of a dividend would reduce their equity ratio to below 40% of their total capitalization; and neither Black Hills Utility Holdings nor its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 As a result of our holding company structure, our right as a common shareholder to receive assets of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As of March 31, 2017, the restricted net assets at our Electric Utilities and Gas Utilities were approximately $257 million.</w:t>
      </w:r>
    </w:p>
    <w:p>
      <w:pPr>
        <w:spacing w:after="0" w:line="14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credit facilities and other debt obligations contain restrictions on the payment of cash dividends upon a default or event of default. An event of default would be deemed to have occurred if we did not meet certain financial covenants. The only financial covenant under our Revolving Credit Facility and existing term loans is a Consolidated Indebtedness to Capitalization Ratio, which requires us to maintain a Consolidated Indebtedness to Capitalization Ratio not to exceed 0.65 to 1.00 at the end of any fiscal quarter. Our Consolidated Indebtedness to Capitalization Ratio is calculated by dividing (i) Consolidated Indebtedness, which includes letters of credit, certain guarantees issued and excludes RSNs by (ii) Capital, which includes Consolidated Indebtedness plus Net Worth, which excludes noncontrolling interests in subsidiaries and includes the aggregate outstanding amount of the RSNs. Additionally, covenants within Cheyenne Light’s financing agreements require Cheyenne Light to maintain a debt to capitalization ratio of no more than 0.60 to 1.00. As of March 31, 2017, we were in compliance with these covenants.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other material changes in our financing transactions and short-term liquidity from those reported in Item 7 of our 2016 Annual Report on Form 10-K filed with the SEC.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our ability to maintain or expand our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the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r>
              <w:rPr>
                <w:rFonts w:ascii="Arial" w:cs="Arial" w:eastAsia="Arial" w:hAnsi="Arial"/>
                <w:sz w:val="18"/>
                <w:szCs w:val="18"/>
                <w:color w:val="auto"/>
                <w:w w:val="96"/>
              </w:rPr>
              <w:t>The following table represents the credit ratings and outlook and risk profile of BHC at March 31, 2017:</w:t>
            </w:r>
          </w:p>
        </w:tc>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w w:val="97"/>
              </w:rPr>
              <w:t>Senior Unsecured Rating</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7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86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440" w:type="dxa"/>
            <w:vAlign w:val="bottom"/>
            <w:shd w:val="clear" w:color="auto" w:fill="CEFFE7"/>
          </w:tcPr>
          <w:p>
            <w:pPr>
              <w:ind w:left="110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440" w:type="dxa"/>
            <w:vAlign w:val="bottom"/>
          </w:tcPr>
          <w:p>
            <w:pPr>
              <w:ind w:left="1100"/>
              <w:spacing w:after="0"/>
              <w:rPr>
                <w:sz w:val="20"/>
                <w:szCs w:val="20"/>
                <w:color w:val="auto"/>
              </w:rPr>
            </w:pPr>
            <w:r>
              <w:rPr>
                <w:rFonts w:ascii="Arial" w:cs="Arial" w:eastAsia="Arial" w:hAnsi="Arial"/>
                <w:sz w:val="18"/>
                <w:szCs w:val="18"/>
                <w:color w:val="auto"/>
              </w:rPr>
              <w:t>Baa2</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786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440" w:type="dxa"/>
            <w:vAlign w:val="bottom"/>
            <w:shd w:val="clear" w:color="auto" w:fill="CEFFE7"/>
          </w:tcPr>
          <w:p>
            <w:pPr>
              <w:ind w:left="110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193"/>
        </w:trPr>
        <w:tc>
          <w:tcPr>
            <w:tcW w:w="7860" w:type="dxa"/>
            <w:vAlign w:val="bottom"/>
          </w:tcPr>
          <w:p>
            <w:pPr>
              <w:spacing w:after="0"/>
              <w:rPr>
                <w:sz w:val="20"/>
                <w:szCs w:val="20"/>
                <w:color w:val="auto"/>
              </w:rPr>
            </w:pPr>
            <w:r>
              <w:rPr>
                <w:rFonts w:ascii="Arial" w:cs="Arial" w:eastAsia="Arial" w:hAnsi="Arial"/>
                <w:sz w:val="16"/>
                <w:szCs w:val="16"/>
                <w:color w:val="auto"/>
              </w:rPr>
              <w:t>__________</w:t>
            </w:r>
          </w:p>
        </w:tc>
        <w:tc>
          <w:tcPr>
            <w:tcW w:w="244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ind w:left="340" w:right="160" w:hanging="332"/>
        <w:spacing w:after="0" w:line="263" w:lineRule="auto"/>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On February 12, 2016, S&amp;P reaffirmed BBB rating and maintained a Stable outlook following the closing of the SourceGas Acquisition, reflecting their expectation that management will continue to focus on the core utility operations while maintaining an excellent business risk profile following the acquisition.</w:t>
      </w:r>
    </w:p>
    <w:p>
      <w:pPr>
        <w:ind w:left="340" w:right="220" w:hanging="332"/>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December 9, 2016, Moody’s issued a Baa2 rating with a Stable outlook, which reflects the higher debt leverage resulting from the incremental debt used to fund the SourceGas Acquisition.</w:t>
      </w:r>
    </w:p>
    <w:p>
      <w:pPr>
        <w:ind w:left="340" w:right="20" w:hanging="332"/>
        <w:spacing w:after="0" w:line="257"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March 29, 2017, Fitch affirmed BBB+ rating and changed their outlook from Negative to Stable, citing successful integration of SourceGas, a low business risk profile focused on utility operations and expected improvement of credit metrics.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credit ratings of Black Hills Power at March 31,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352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Senior Secured Rating</w:t>
            </w:r>
          </w:p>
        </w:tc>
      </w:tr>
      <w:tr>
        <w:trPr>
          <w:trHeight w:val="27"/>
        </w:trPr>
        <w:tc>
          <w:tcPr>
            <w:tcW w:w="79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S&amp;P</w:t>
            </w:r>
          </w:p>
        </w:tc>
        <w:tc>
          <w:tcPr>
            <w:tcW w:w="352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w w:val="99"/>
              </w:rPr>
              <w:t>A-</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Moody’s</w:t>
            </w:r>
          </w:p>
        </w:tc>
        <w:tc>
          <w:tcPr>
            <w:tcW w:w="3520" w:type="dxa"/>
            <w:vAlign w:val="bottom"/>
          </w:tcPr>
          <w:p>
            <w:pPr>
              <w:jc w:val="center"/>
              <w:ind w:left="1370"/>
              <w:spacing w:after="0"/>
              <w:rPr>
                <w:sz w:val="20"/>
                <w:szCs w:val="20"/>
                <w:color w:val="auto"/>
              </w:rPr>
            </w:pPr>
            <w:r>
              <w:rPr>
                <w:rFonts w:ascii="Arial" w:cs="Arial" w:eastAsia="Arial" w:hAnsi="Arial"/>
                <w:sz w:val="18"/>
                <w:szCs w:val="18"/>
                <w:color w:val="auto"/>
                <w:w w:val="99"/>
              </w:rPr>
              <w:t>A1</w:t>
            </w:r>
          </w:p>
        </w:tc>
      </w:tr>
      <w:tr>
        <w:trPr>
          <w:trHeight w:val="27"/>
        </w:trPr>
        <w:tc>
          <w:tcPr>
            <w:tcW w:w="790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Fitch</w:t>
            </w:r>
          </w:p>
        </w:tc>
        <w:tc>
          <w:tcPr>
            <w:tcW w:w="352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rPr>
              <w:t>A</w:t>
            </w: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There were no rating changes for Black Hills Power from previously disclosed ratings.</w:t>
            </w:r>
          </w:p>
        </w:tc>
        <w:tc>
          <w:tcPr>
            <w:tcW w:w="3520" w:type="dxa"/>
            <w:vAlign w:val="bottom"/>
          </w:tcPr>
          <w:p>
            <w:pPr>
              <w:spacing w:after="0"/>
              <w:rPr>
                <w:sz w:val="24"/>
                <w:szCs w:val="24"/>
                <w:color w:val="auto"/>
              </w:rPr>
            </w:pPr>
          </w:p>
        </w:tc>
      </w:tr>
      <w:tr>
        <w:trPr>
          <w:trHeight w:val="648"/>
        </w:trPr>
        <w:tc>
          <w:tcPr>
            <w:tcW w:w="7900" w:type="dxa"/>
            <w:vAlign w:val="bottom"/>
          </w:tcPr>
          <w:p>
            <w:pPr>
              <w:ind w:left="5620"/>
              <w:spacing w:after="0"/>
              <w:rPr>
                <w:sz w:val="20"/>
                <w:szCs w:val="20"/>
                <w:color w:val="auto"/>
              </w:rPr>
            </w:pPr>
            <w:r>
              <w:rPr>
                <w:rFonts w:ascii="Arial" w:cs="Arial" w:eastAsia="Arial" w:hAnsi="Arial"/>
                <w:sz w:val="18"/>
                <w:szCs w:val="18"/>
                <w:color w:val="auto"/>
              </w:rPr>
              <w:t>62</w:t>
            </w:r>
          </w:p>
        </w:tc>
        <w:tc>
          <w:tcPr>
            <w:tcW w:w="35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Actual and forecasted capital requirements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91"/>
              </w:rPr>
              <w:t>Expenditures for the</w:t>
            </w:r>
          </w:p>
        </w:tc>
        <w:tc>
          <w:tcPr>
            <w:tcW w:w="28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4"/>
              </w:rPr>
              <w:t>Total</w:t>
            </w:r>
          </w:p>
        </w:tc>
        <w:tc>
          <w:tcPr>
            <w:tcW w:w="3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Total</w:t>
            </w:r>
          </w:p>
        </w:tc>
        <w:tc>
          <w:tcPr>
            <w:tcW w:w="3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4"/>
              </w:rPr>
              <w:t>Total</w:t>
            </w:r>
          </w:p>
        </w:tc>
      </w:tr>
      <w:tr>
        <w:trPr>
          <w:trHeight w:val="256"/>
        </w:trPr>
        <w:tc>
          <w:tcPr>
            <w:tcW w:w="3780" w:type="dxa"/>
            <w:vAlign w:val="bottom"/>
          </w:tcPr>
          <w:p>
            <w:pPr>
              <w:spacing w:after="0"/>
              <w:rPr>
                <w:sz w:val="22"/>
                <w:szCs w:val="22"/>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91"/>
              </w:rPr>
              <w:t>Three Months Ended March</w:t>
            </w:r>
          </w:p>
        </w:tc>
        <w:tc>
          <w:tcPr>
            <w:tcW w:w="280" w:type="dxa"/>
            <w:vAlign w:val="bottom"/>
          </w:tcPr>
          <w:p>
            <w:pPr>
              <w:spacing w:after="0"/>
              <w:rPr>
                <w:sz w:val="22"/>
                <w:szCs w:val="22"/>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88"/>
              </w:rPr>
              <w:t>2017 Planned</w:t>
            </w:r>
          </w:p>
        </w:tc>
        <w:tc>
          <w:tcPr>
            <w:tcW w:w="320" w:type="dxa"/>
            <w:vAlign w:val="bottom"/>
          </w:tcPr>
          <w:p>
            <w:pPr>
              <w:spacing w:after="0"/>
              <w:rPr>
                <w:sz w:val="22"/>
                <w:szCs w:val="22"/>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2018 Planned</w:t>
            </w:r>
          </w:p>
        </w:tc>
        <w:tc>
          <w:tcPr>
            <w:tcW w:w="340" w:type="dxa"/>
            <w:vAlign w:val="bottom"/>
          </w:tcPr>
          <w:p>
            <w:pPr>
              <w:spacing w:after="0"/>
              <w:rPr>
                <w:sz w:val="22"/>
                <w:szCs w:val="22"/>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8"/>
              </w:rPr>
              <w:t>2019 Planned</w:t>
            </w:r>
          </w:p>
        </w:tc>
      </w:tr>
      <w:tr>
        <w:trPr>
          <w:trHeight w:val="257"/>
        </w:trPr>
        <w:tc>
          <w:tcPr>
            <w:tcW w:w="378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210"/>
              <w:spacing w:after="0" w:line="257" w:lineRule="exact"/>
              <w:rPr>
                <w:sz w:val="20"/>
                <w:szCs w:val="20"/>
                <w:color w:val="auto"/>
              </w:rPr>
            </w:pPr>
            <w:r>
              <w:rPr>
                <w:rFonts w:ascii="Arial" w:cs="Arial" w:eastAsia="Arial" w:hAnsi="Arial"/>
                <w:sz w:val="18"/>
                <w:szCs w:val="18"/>
                <w:color w:val="auto"/>
                <w:w w:val="85"/>
              </w:rPr>
              <w:t xml:space="preserve">31, 2017 </w:t>
            </w:r>
            <w:r>
              <w:rPr>
                <w:rFonts w:ascii="Arial" w:cs="Arial" w:eastAsia="Arial" w:hAnsi="Arial"/>
                <w:sz w:val="25"/>
                <w:szCs w:val="25"/>
                <w:color w:val="auto"/>
                <w:w w:val="85"/>
                <w:vertAlign w:val="superscript"/>
              </w:rPr>
              <w:t>(a)</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7"/>
              </w:rPr>
              <w:t xml:space="preserve">Expenditures </w:t>
            </w:r>
            <w:r>
              <w:rPr>
                <w:rFonts w:ascii="Arial" w:cs="Arial" w:eastAsia="Arial" w:hAnsi="Arial"/>
                <w:sz w:val="25"/>
                <w:szCs w:val="25"/>
                <w:color w:val="auto"/>
                <w:w w:val="87"/>
                <w:vertAlign w:val="superscript"/>
              </w:rPr>
              <w:t>(b)</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Expenditures</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Expenditures</w:t>
            </w:r>
          </w:p>
        </w:tc>
      </w:tr>
      <w:tr>
        <w:trPr>
          <w:trHeight w:val="244"/>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Electric Utilities</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37,956</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121,000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112,000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139,000</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Gas Utilities</w:t>
            </w:r>
          </w:p>
        </w:tc>
        <w:tc>
          <w:tcPr>
            <w:tcW w:w="24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27,072</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179,000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169,000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190,000</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Power Generation</w:t>
            </w:r>
          </w:p>
        </w:tc>
        <w:tc>
          <w:tcPr>
            <w:tcW w:w="24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1,343</w:t>
            </w:r>
          </w:p>
        </w:tc>
        <w:tc>
          <w:tcPr>
            <w:tcW w:w="2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2,000</w:t>
            </w:r>
          </w:p>
        </w:tc>
        <w:tc>
          <w:tcPr>
            <w:tcW w:w="3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9,000</w:t>
            </w:r>
          </w:p>
        </w:tc>
        <w:tc>
          <w:tcPr>
            <w:tcW w:w="3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18,000</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Mining</w:t>
            </w:r>
          </w:p>
        </w:tc>
        <w:tc>
          <w:tcPr>
            <w:tcW w:w="24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8,000</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Oil and Gas</w:t>
            </w:r>
          </w:p>
        </w:tc>
        <w:tc>
          <w:tcPr>
            <w:tcW w:w="24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2,608</w:t>
            </w:r>
          </w:p>
        </w:tc>
        <w:tc>
          <w:tcPr>
            <w:tcW w:w="2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3,000</w:t>
            </w:r>
          </w:p>
        </w:tc>
        <w:tc>
          <w:tcPr>
            <w:tcW w:w="3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5,000</w:t>
            </w:r>
          </w:p>
        </w:tc>
        <w:tc>
          <w:tcPr>
            <w:tcW w:w="3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1,129</w:t>
            </w:r>
          </w:p>
        </w:tc>
        <w:tc>
          <w:tcPr>
            <w:tcW w:w="2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8,000</w:t>
            </w:r>
          </w:p>
        </w:tc>
      </w:tr>
      <w:tr>
        <w:trPr>
          <w:trHeight w:val="27"/>
        </w:trPr>
        <w:tc>
          <w:tcPr>
            <w:tcW w:w="37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70,174</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324,000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305,000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365,000</w:t>
            </w:r>
          </w:p>
        </w:tc>
      </w:tr>
      <w:tr>
        <w:trPr>
          <w:trHeight w:val="20"/>
        </w:trPr>
        <w:tc>
          <w:tcPr>
            <w:tcW w:w="378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Expenditures for the three months ended March 31, 2017 include the impact of accruals for property, plant and equipment.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actual capital expenditures for the three months ended March 31, 2017.</w:t>
      </w:r>
    </w:p>
    <w:p>
      <w:pPr>
        <w:spacing w:after="0" w:line="1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removed planned Cost of Service Gas capital expenditures from this forecast due to uncertainties related to the timing of regulatory approvals and other information associated with those approvals, such as the quantity of gas to be provided from a cost of service gas program and whether such gas will be provided from producing reserve purchases or ongoing drilling programs, or both.</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continue to evaluate potential future acquisitions and other growth opportunities when they arise. As a result, capital expenditures may vary significantly from the estimates identified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have been no significant changes in contractual obligations from those previously disclosed in Note 19 of our Notes to the Consolidated Financial Statements in our 2016 Annual Report on Form 10-K except for those described in Note 16 of the Notes to Condensed Consolidated Financial Statements in Item 1 of Part I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significant changes to guarantees from those previously disclosed in Note 20 of the Notes to the Consolidated Financial Statements in our 2016 Annual Report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than the pronouncements reported in our 2016 Annual Report on Form 10-K filed with the SEC and those discussed in Note 1 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forward-looking statement contained in this document speaks only as of the date on which the statement was made, and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2016 Annual Report on Form 10-K including statements contained within Item 1A - Risk Factors of our 2016 Annual Report on Form 10-K, Part II, Item 1A of this Quarterly Report on Form 10-Q and other reports that we file with the SEC from time to time.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580" w:right="279" w:bottom="1440" w:gutter="0" w:footer="0" w:header="0"/>
        </w:sectPr>
      </w:pPr>
    </w:p>
    <w:bookmarkStart w:id="64" w:name="page65"/>
    <w:bookmarkEnd w:id="64"/>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Utilities</w:t>
      </w:r>
    </w:p>
    <w:p>
      <w:pPr>
        <w:spacing w:after="0" w:line="229"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Our utility customers are exposed to natural gas price volatility. Therefore, as allowed or required by state utility commissions, we have entered into commission-approved hedging programs utilizing natural gas futures, options and basis swaps to reduce our customers’ underlying exposure to these fluctuations. The fair value of our Utilities Group’s derivative contracts is summarized below (in thousands) as of: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jc w:val="right"/>
              <w:ind w:right="470"/>
              <w:spacing w:after="0"/>
              <w:rPr>
                <w:sz w:val="20"/>
                <w:szCs w:val="20"/>
                <w:color w:val="auto"/>
              </w:rPr>
            </w:pPr>
            <w:r>
              <w:rPr>
                <w:rFonts w:ascii="Arial" w:cs="Arial" w:eastAsia="Arial" w:hAnsi="Arial"/>
                <w:sz w:val="18"/>
                <w:szCs w:val="18"/>
                <w:color w:val="auto"/>
              </w:rPr>
              <w:t>March 31, 2017</w:t>
            </w:r>
          </w:p>
        </w:tc>
        <w:tc>
          <w:tcPr>
            <w:tcW w:w="32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color w:val="auto"/>
                <w:w w:val="96"/>
              </w:rPr>
              <w:t>December 31, 2016</w:t>
            </w:r>
          </w:p>
        </w:tc>
        <w:tc>
          <w:tcPr>
            <w:tcW w:w="380" w:type="dxa"/>
            <w:vAlign w:val="bottom"/>
          </w:tcPr>
          <w:p>
            <w:pPr>
              <w:spacing w:after="0"/>
              <w:rPr>
                <w:sz w:val="20"/>
                <w:szCs w:val="20"/>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March 31, 2016</w:t>
            </w:r>
          </w:p>
        </w:tc>
      </w:tr>
      <w:tr>
        <w:trPr>
          <w:trHeight w:val="27"/>
        </w:trPr>
        <w:tc>
          <w:tcPr>
            <w:tcW w:w="47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derivative (liabilities) assets</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(7,931)</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(4,733)</w:t>
            </w:r>
          </w:p>
        </w:tc>
        <w:tc>
          <w:tcPr>
            <w:tcW w:w="3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(20,066)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collateral offset in Derivatives</w:t>
            </w:r>
          </w:p>
        </w:tc>
        <w:tc>
          <w:tcPr>
            <w:tcW w:w="32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8,716</w:t>
            </w:r>
          </w:p>
        </w:tc>
        <w:tc>
          <w:tcPr>
            <w:tcW w:w="32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7,882</w:t>
            </w:r>
          </w:p>
        </w:tc>
        <w:tc>
          <w:tcPr>
            <w:tcW w:w="3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20,210</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collateral included in Other current assets</w:t>
            </w:r>
          </w:p>
        </w:tc>
        <w:tc>
          <w:tcPr>
            <w:tcW w:w="32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3,231</w:t>
            </w:r>
          </w:p>
        </w:tc>
        <w:tc>
          <w:tcPr>
            <w:tcW w:w="320" w:type="dxa"/>
            <w:vAlign w:val="bottom"/>
            <w:tcBorders>
              <w:bottom w:val="single" w:sz="8" w:color="CEFFE7"/>
            </w:tcBorders>
            <w:shd w:val="clear" w:color="auto" w:fill="CEFFE7"/>
          </w:tcPr>
          <w:p>
            <w:pPr>
              <w:spacing w:after="0"/>
              <w:rPr>
                <w:sz w:val="23"/>
                <w:szCs w:val="23"/>
                <w:color w:val="auto"/>
              </w:rPr>
            </w:pPr>
          </w:p>
        </w:tc>
        <w:tc>
          <w:tcPr>
            <w:tcW w:w="19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4,840</w:t>
            </w:r>
          </w:p>
        </w:tc>
        <w:tc>
          <w:tcPr>
            <w:tcW w:w="38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3,024</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Net asset (liability) position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4,016</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7,989</w:t>
            </w: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3,168</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Activities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entered into agreements to hedge a portion of our estimated 2017 and 2018 natural gas and crude oil production from the Oil and Gas segment. The hedge agreements in place at March 31, 2017,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5"/>
          </w:tcPr>
          <w:p>
            <w:pPr>
              <w:spacing w:after="0"/>
              <w:rPr>
                <w:sz w:val="20"/>
                <w:szCs w:val="20"/>
                <w:color w:val="auto"/>
              </w:rPr>
            </w:pPr>
            <w:r>
              <w:rPr>
                <w:rFonts w:ascii="Arial" w:cs="Arial" w:eastAsia="Arial" w:hAnsi="Arial"/>
                <w:sz w:val="18"/>
                <w:szCs w:val="18"/>
                <w:color w:val="auto"/>
              </w:rPr>
              <w:t>Natural Gas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30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94"/>
              </w:rPr>
              <w:t>December 31</w:t>
            </w:r>
          </w:p>
        </w:tc>
        <w:tc>
          <w:tcPr>
            <w:tcW w:w="24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Total Year</w:t>
            </w:r>
          </w:p>
        </w:tc>
        <w:tc>
          <w:tcPr>
            <w:tcW w:w="0" w:type="dxa"/>
            <w:vAlign w:val="bottom"/>
          </w:tcPr>
          <w:p>
            <w:pPr>
              <w:spacing w:after="0"/>
              <w:rPr>
                <w:sz w:val="1"/>
                <w:szCs w:val="1"/>
                <w:color w:val="auto"/>
              </w:rPr>
            </w:pPr>
          </w:p>
        </w:tc>
      </w:tr>
      <w:tr>
        <w:trPr>
          <w:trHeight w:val="27"/>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Swaps - MMBtu</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810,000</w:t>
            </w:r>
          </w:p>
        </w:tc>
        <w:tc>
          <w:tcPr>
            <w:tcW w:w="2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540,000</w:t>
            </w:r>
          </w:p>
        </w:tc>
        <w:tc>
          <w:tcPr>
            <w:tcW w:w="2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540,000</w:t>
            </w:r>
          </w:p>
        </w:tc>
        <w:tc>
          <w:tcPr>
            <w:tcW w:w="24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1,890,000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4"/>
          </w:tcPr>
          <w:p>
            <w:pPr>
              <w:ind w:left="140"/>
              <w:spacing w:after="0"/>
              <w:rPr>
                <w:sz w:val="20"/>
                <w:szCs w:val="20"/>
                <w:color w:val="auto"/>
              </w:rPr>
            </w:pPr>
            <w:r>
              <w:rPr>
                <w:rFonts w:ascii="Arial" w:cs="Arial" w:eastAsia="Arial" w:hAnsi="Arial"/>
                <w:sz w:val="18"/>
                <w:szCs w:val="18"/>
                <w:color w:val="auto"/>
              </w:rPr>
              <w:t>Weighted Average Price per MMBtu</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419"/>
        </w:trPr>
        <w:tc>
          <w:tcPr>
            <w:tcW w:w="4360" w:type="dxa"/>
            <w:vAlign w:val="bottom"/>
            <w:gridSpan w:val="5"/>
          </w:tcPr>
          <w:p>
            <w:pPr>
              <w:spacing w:after="0"/>
              <w:rPr>
                <w:sz w:val="20"/>
                <w:szCs w:val="20"/>
                <w:color w:val="auto"/>
              </w:rPr>
            </w:pPr>
            <w:r>
              <w:rPr>
                <w:rFonts w:ascii="Arial" w:cs="Arial" w:eastAsia="Arial" w:hAnsi="Arial"/>
                <w:sz w:val="18"/>
                <w:szCs w:val="18"/>
                <w:color w:val="auto"/>
              </w:rPr>
              <w:t>Crude Oil</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March 31</w:t>
            </w:r>
          </w:p>
        </w:tc>
        <w:tc>
          <w:tcPr>
            <w:tcW w:w="30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22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94"/>
              </w:rPr>
              <w:t>December 31</w:t>
            </w:r>
          </w:p>
        </w:tc>
        <w:tc>
          <w:tcPr>
            <w:tcW w:w="24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Total Year</w:t>
            </w:r>
          </w:p>
        </w:tc>
        <w:tc>
          <w:tcPr>
            <w:tcW w:w="0" w:type="dxa"/>
            <w:vAlign w:val="bottom"/>
          </w:tcPr>
          <w:p>
            <w:pPr>
              <w:spacing w:after="0"/>
              <w:rPr>
                <w:sz w:val="1"/>
                <w:szCs w:val="1"/>
                <w:color w:val="auto"/>
              </w:rPr>
            </w:pPr>
          </w:p>
        </w:tc>
      </w:tr>
      <w:tr>
        <w:trPr>
          <w:trHeight w:val="27"/>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2017</w:t>
            </w: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Swaps - Bbls</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18,000</w:t>
            </w:r>
          </w:p>
        </w:tc>
        <w:tc>
          <w:tcPr>
            <w:tcW w:w="24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4"/>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348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gridSpan w:val="5"/>
          </w:tcPr>
          <w:p>
            <w:pPr>
              <w:ind w:left="40"/>
              <w:spacing w:after="0"/>
              <w:rPr>
                <w:sz w:val="20"/>
                <w:szCs w:val="20"/>
                <w:color w:val="auto"/>
              </w:rPr>
            </w:pPr>
            <w:r>
              <w:rPr>
                <w:rFonts w:ascii="Arial" w:cs="Arial" w:eastAsia="Arial" w:hAnsi="Arial"/>
                <w:sz w:val="18"/>
                <w:szCs w:val="18"/>
                <w:color w:val="auto"/>
              </w:rPr>
              <w:t>Calls - Bbls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3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b w:val="1"/>
                <w:bCs w:val="1"/>
                <w:color w:val="auto"/>
                <w:w w:val="84"/>
              </w:rPr>
              <w:t>2018</w:t>
            </w:r>
          </w:p>
        </w:tc>
        <w:tc>
          <w:tcPr>
            <w:tcW w:w="3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34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120" w:type="dxa"/>
            <w:vAlign w:val="bottom"/>
            <w:shd w:val="clear" w:color="auto" w:fill="CEFFE7"/>
          </w:tcPr>
          <w:p>
            <w:pPr>
              <w:spacing w:after="0"/>
              <w:rPr>
                <w:sz w:val="17"/>
                <w:szCs w:val="17"/>
                <w:color w:val="auto"/>
              </w:rPr>
            </w:pPr>
          </w:p>
        </w:tc>
        <w:tc>
          <w:tcPr>
            <w:tcW w:w="30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16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360" w:type="dxa"/>
            <w:vAlign w:val="bottom"/>
            <w:tcBorders>
              <w:top w:val="single" w:sz="8" w:color="auto"/>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348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120" w:type="dxa"/>
            <w:vAlign w:val="bottom"/>
            <w:tcBorders>
              <w:top w:val="single" w:sz="8" w:color="CEFFE7"/>
            </w:tcBorders>
            <w:shd w:val="clear" w:color="auto" w:fill="CEFFE7"/>
          </w:tcPr>
          <w:p>
            <w:pPr>
              <w:spacing w:after="0"/>
              <w:rPr>
                <w:sz w:val="4"/>
                <w:szCs w:val="4"/>
                <w:color w:val="auto"/>
              </w:rPr>
            </w:pPr>
          </w:p>
        </w:tc>
        <w:tc>
          <w:tcPr>
            <w:tcW w:w="300" w:type="dxa"/>
            <w:vAlign w:val="bottom"/>
            <w:tcBorders>
              <w:top w:val="single" w:sz="8" w:color="CEFFE7"/>
            </w:tcBorders>
            <w:shd w:val="clear" w:color="auto" w:fill="CEFFE7"/>
          </w:tcPr>
          <w:p>
            <w:pPr>
              <w:spacing w:after="0"/>
              <w:rPr>
                <w:sz w:val="4"/>
                <w:szCs w:val="4"/>
                <w:color w:val="auto"/>
              </w:rPr>
            </w:pPr>
          </w:p>
        </w:tc>
        <w:tc>
          <w:tcPr>
            <w:tcW w:w="1080" w:type="dxa"/>
            <w:vAlign w:val="bottom"/>
            <w:tcBorders>
              <w:top w:val="single" w:sz="8" w:color="CEFFE7"/>
            </w:tcBorders>
            <w:shd w:val="clear" w:color="auto" w:fill="CEFFE7"/>
          </w:tcPr>
          <w:p>
            <w:pPr>
              <w:spacing w:after="0"/>
              <w:rPr>
                <w:sz w:val="4"/>
                <w:szCs w:val="4"/>
                <w:color w:val="auto"/>
              </w:rPr>
            </w:pPr>
          </w:p>
        </w:tc>
        <w:tc>
          <w:tcPr>
            <w:tcW w:w="200" w:type="dxa"/>
            <w:vAlign w:val="bottom"/>
            <w:tcBorders>
              <w:top w:val="single" w:sz="8" w:color="CEFFE7"/>
            </w:tcBorders>
            <w:shd w:val="clear" w:color="auto" w:fill="CEFFE7"/>
          </w:tcPr>
          <w:p>
            <w:pPr>
              <w:spacing w:after="0"/>
              <w:rPr>
                <w:sz w:val="4"/>
                <w:szCs w:val="4"/>
                <w:color w:val="auto"/>
              </w:rPr>
            </w:pPr>
          </w:p>
        </w:tc>
        <w:tc>
          <w:tcPr>
            <w:tcW w:w="126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26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160" w:type="dxa"/>
            <w:vAlign w:val="bottom"/>
            <w:tcBorders>
              <w:top w:val="single" w:sz="8" w:color="CEFFE7"/>
            </w:tcBorders>
            <w:shd w:val="clear" w:color="auto" w:fill="CEFFE7"/>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gridSpan w:val="5"/>
          </w:tcPr>
          <w:p>
            <w:pPr>
              <w:ind w:left="40"/>
              <w:spacing w:after="0"/>
              <w:rPr>
                <w:sz w:val="20"/>
                <w:szCs w:val="20"/>
                <w:color w:val="auto"/>
              </w:rPr>
            </w:pPr>
            <w:r>
              <w:rPr>
                <w:rFonts w:ascii="Arial" w:cs="Arial" w:eastAsia="Arial" w:hAnsi="Arial"/>
                <w:sz w:val="18"/>
                <w:szCs w:val="18"/>
                <w:color w:val="auto"/>
              </w:rPr>
              <w:t>Swaps - Bbls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EFFE7"/>
          </w:tcPr>
          <w:p>
            <w:pPr>
              <w:spacing w:after="0"/>
              <w:rPr>
                <w:sz w:val="21"/>
                <w:szCs w:val="21"/>
                <w:color w:val="auto"/>
              </w:rPr>
            </w:pPr>
          </w:p>
        </w:tc>
        <w:tc>
          <w:tcPr>
            <w:tcW w:w="4320" w:type="dxa"/>
            <w:vAlign w:val="bottom"/>
            <w:gridSpan w:val="4"/>
            <w:shd w:val="clear" w:color="auto" w:fill="CEFFE7"/>
          </w:tcPr>
          <w:p>
            <w:pPr>
              <w:ind w:left="140"/>
              <w:spacing w:after="0"/>
              <w:rPr>
                <w:sz w:val="20"/>
                <w:szCs w:val="20"/>
                <w:color w:val="auto"/>
              </w:rPr>
            </w:pPr>
            <w:r>
              <w:rPr>
                <w:rFonts w:ascii="Arial" w:cs="Arial" w:eastAsia="Arial" w:hAnsi="Arial"/>
                <w:sz w:val="18"/>
                <w:szCs w:val="18"/>
                <w:color w:val="auto"/>
              </w:rPr>
              <w:t>Weighted Average Price per Bbl</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49.58</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49.85</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50.12</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50.45</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348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0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26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26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16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Oil and Gas segment’s derivative contracts is summarized below (in thousands) as of:</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March 31, 2017</w:t>
            </w: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w w:val="96"/>
              </w:rPr>
              <w:t>December 31, 2016</w:t>
            </w:r>
          </w:p>
        </w:tc>
        <w:tc>
          <w:tcPr>
            <w:tcW w:w="380" w:type="dxa"/>
            <w:vAlign w:val="bottom"/>
          </w:tcPr>
          <w:p>
            <w:pPr>
              <w:spacing w:after="0"/>
              <w:rPr>
                <w:sz w:val="20"/>
                <w:szCs w:val="20"/>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March 31, 2016</w:t>
            </w:r>
          </w:p>
        </w:tc>
      </w:tr>
      <w:tr>
        <w:trPr>
          <w:trHeight w:val="27"/>
        </w:trPr>
        <w:tc>
          <w:tcPr>
            <w:tcW w:w="47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derivative (liabilities) assets</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(1,433)</w:t>
            </w:r>
          </w:p>
        </w:tc>
        <w:tc>
          <w:tcPr>
            <w:tcW w:w="3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8,178</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Cash collateral offset in Derivatives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3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2,733</w:t>
            </w:r>
          </w:p>
        </w:tc>
        <w:tc>
          <w:tcPr>
            <w:tcW w:w="3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(8,178)</w:t>
            </w:r>
          </w:p>
        </w:tc>
      </w:tr>
      <w:tr>
        <w:trPr>
          <w:trHeight w:val="27"/>
        </w:trPr>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Cash Collateral included in Other current assets</w:t>
            </w:r>
          </w:p>
        </w:tc>
        <w:tc>
          <w:tcPr>
            <w:tcW w:w="280" w:type="dxa"/>
            <w:vAlign w:val="bottom"/>
            <w:tcBorders>
              <w:bottom w:val="single" w:sz="8" w:color="CEFFE7"/>
            </w:tcBorders>
            <w:shd w:val="clear" w:color="auto" w:fill="CEFFE7"/>
          </w:tcPr>
          <w:p>
            <w:pPr>
              <w:spacing w:after="0"/>
              <w:rPr>
                <w:sz w:val="23"/>
                <w:szCs w:val="23"/>
                <w:color w:val="auto"/>
              </w:rPr>
            </w:pPr>
          </w:p>
        </w:tc>
        <w:tc>
          <w:tcPr>
            <w:tcW w:w="18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1,685</w:t>
            </w:r>
          </w:p>
        </w:tc>
      </w:tr>
      <w:tr>
        <w:trPr>
          <w:trHeight w:val="257"/>
        </w:trPr>
        <w:tc>
          <w:tcPr>
            <w:tcW w:w="4780" w:type="dxa"/>
            <w:vAlign w:val="bottom"/>
          </w:tcPr>
          <w:p>
            <w:pPr>
              <w:ind w:left="260"/>
              <w:spacing w:after="0"/>
              <w:rPr>
                <w:sz w:val="20"/>
                <w:szCs w:val="20"/>
                <w:color w:val="auto"/>
              </w:rPr>
            </w:pPr>
            <w:r>
              <w:rPr>
                <w:rFonts w:ascii="Arial" w:cs="Arial" w:eastAsia="Arial" w:hAnsi="Arial"/>
                <w:sz w:val="18"/>
                <w:szCs w:val="18"/>
                <w:color w:val="auto"/>
              </w:rPr>
              <w:t>Net asset (liability) position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1,102</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1,300</w:t>
            </w: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1,685</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662"/>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right"/>
              <w:ind w:right="101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engage in activities to manage risks associated with changes in interest rates. Historically, we have entered into floating-to-fixed interest rate swap agreements to reduce our exposure to interest rate fluctuations associated with our floating rate debt obligations and anticipated long-term refinancings. Further details of the swap agreements are set forth in Note 9 of the Notes to Consolidated Financial Statements in our 2016 Annual Report on Form 10-K and in Note 10 of the Notes to the Condensed Consolidated Financial Statements in this Quarterly Report on Form 10-Q.</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contract or notional amounts, terms of our interest rate swaps and the interest rate swaps balances reflected on the Condensed Consolidated Balance Sheets were as follows (dollars in thousands) as of:</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39"/>
              <w:spacing w:after="0"/>
              <w:rPr>
                <w:sz w:val="20"/>
                <w:szCs w:val="20"/>
                <w:color w:val="auto"/>
              </w:rPr>
            </w:pPr>
            <w:r>
              <w:rPr>
                <w:rFonts w:ascii="Arial" w:cs="Arial" w:eastAsia="Arial" w:hAnsi="Arial"/>
                <w:sz w:val="16"/>
                <w:szCs w:val="16"/>
                <w:color w:val="auto"/>
                <w:w w:val="93"/>
              </w:rPr>
              <w:t>March 31, 2017</w:t>
            </w:r>
          </w:p>
        </w:tc>
        <w:tc>
          <w:tcPr>
            <w:tcW w:w="220" w:type="dxa"/>
            <w:vAlign w:val="bottom"/>
          </w:tcPr>
          <w:p>
            <w:pPr>
              <w:spacing w:after="0"/>
              <w:rPr>
                <w:sz w:val="17"/>
                <w:szCs w:val="17"/>
                <w:color w:val="auto"/>
              </w:rPr>
            </w:pPr>
          </w:p>
        </w:tc>
        <w:tc>
          <w:tcPr>
            <w:tcW w:w="1600" w:type="dxa"/>
            <w:vAlign w:val="bottom"/>
          </w:tcPr>
          <w:p>
            <w:pPr>
              <w:jc w:val="center"/>
              <w:ind w:right="139"/>
              <w:spacing w:after="0"/>
              <w:rPr>
                <w:sz w:val="20"/>
                <w:szCs w:val="20"/>
                <w:color w:val="auto"/>
              </w:rPr>
            </w:pPr>
            <w:r>
              <w:rPr>
                <w:rFonts w:ascii="Arial" w:cs="Arial" w:eastAsia="Arial" w:hAnsi="Arial"/>
                <w:sz w:val="16"/>
                <w:szCs w:val="16"/>
                <w:color w:val="auto"/>
                <w:w w:val="89"/>
              </w:rPr>
              <w:t>December 31, 2016</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w w:val="98"/>
              </w:rPr>
              <w:t>March 31, 2016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6"/>
        </w:trPr>
        <w:tc>
          <w:tcPr>
            <w:tcW w:w="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color w:val="auto"/>
                <w:w w:val="88"/>
              </w:rPr>
              <w:t>Designated</w:t>
            </w:r>
          </w:p>
        </w:tc>
        <w:tc>
          <w:tcPr>
            <w:tcW w:w="220" w:type="dxa"/>
            <w:vAlign w:val="bottom"/>
          </w:tcPr>
          <w:p>
            <w:pPr>
              <w:spacing w:after="0"/>
              <w:rPr>
                <w:sz w:val="23"/>
                <w:szCs w:val="23"/>
                <w:color w:val="auto"/>
              </w:rPr>
            </w:pPr>
          </w:p>
        </w:tc>
        <w:tc>
          <w:tcPr>
            <w:tcW w:w="1600" w:type="dxa"/>
            <w:vAlign w:val="bottom"/>
          </w:tcPr>
          <w:p>
            <w:pPr>
              <w:jc w:val="center"/>
              <w:ind w:right="179"/>
              <w:spacing w:after="0"/>
              <w:rPr>
                <w:sz w:val="20"/>
                <w:szCs w:val="20"/>
                <w:color w:val="auto"/>
              </w:rPr>
            </w:pPr>
            <w:r>
              <w:rPr>
                <w:rFonts w:ascii="Arial" w:cs="Arial" w:eastAsia="Arial" w:hAnsi="Arial"/>
                <w:sz w:val="16"/>
                <w:szCs w:val="16"/>
                <w:color w:val="auto"/>
                <w:w w:val="91"/>
              </w:rPr>
              <w:t>Designated</w:t>
            </w:r>
          </w:p>
        </w:tc>
        <w:tc>
          <w:tcPr>
            <w:tcW w:w="200" w:type="dxa"/>
            <w:vAlign w:val="bottom"/>
          </w:tcPr>
          <w:p>
            <w:pPr>
              <w:spacing w:after="0"/>
              <w:rPr>
                <w:sz w:val="23"/>
                <w:szCs w:val="23"/>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color w:val="auto"/>
                <w:w w:val="91"/>
              </w:rPr>
              <w:t>Designated</w:t>
            </w:r>
          </w:p>
        </w:tc>
        <w:tc>
          <w:tcPr>
            <w:tcW w:w="120" w:type="dxa"/>
            <w:vAlign w:val="bottom"/>
          </w:tcPr>
          <w:p>
            <w:pPr>
              <w:spacing w:after="0"/>
              <w:rPr>
                <w:sz w:val="23"/>
                <w:szCs w:val="23"/>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color w:val="auto"/>
                <w:w w:val="88"/>
              </w:rPr>
              <w:t>Designated</w:t>
            </w:r>
          </w:p>
        </w:tc>
        <w:tc>
          <w:tcPr>
            <w:tcW w:w="120" w:type="dxa"/>
            <w:vAlign w:val="bottom"/>
          </w:tcPr>
          <w:p>
            <w:pPr>
              <w:spacing w:after="0"/>
              <w:rPr>
                <w:sz w:val="23"/>
                <w:szCs w:val="23"/>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color w:val="auto"/>
                <w:w w:val="88"/>
              </w:rPr>
              <w:t>Designated</w:t>
            </w: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color w:val="auto"/>
                <w:w w:val="89"/>
              </w:rPr>
              <w:t>Interest Rate</w:t>
            </w:r>
          </w:p>
        </w:tc>
        <w:tc>
          <w:tcPr>
            <w:tcW w:w="220" w:type="dxa"/>
            <w:vAlign w:val="bottom"/>
          </w:tcPr>
          <w:p>
            <w:pPr>
              <w:spacing w:after="0"/>
              <w:rPr>
                <w:sz w:val="17"/>
                <w:szCs w:val="17"/>
                <w:color w:val="auto"/>
              </w:rPr>
            </w:pPr>
          </w:p>
        </w:tc>
        <w:tc>
          <w:tcPr>
            <w:tcW w:w="1600" w:type="dxa"/>
            <w:vAlign w:val="bottom"/>
          </w:tcPr>
          <w:p>
            <w:pPr>
              <w:jc w:val="center"/>
              <w:ind w:right="179"/>
              <w:spacing w:after="0"/>
              <w:rPr>
                <w:sz w:val="20"/>
                <w:szCs w:val="20"/>
                <w:color w:val="auto"/>
              </w:rPr>
            </w:pPr>
            <w:r>
              <w:rPr>
                <w:rFonts w:ascii="Arial" w:cs="Arial" w:eastAsia="Arial" w:hAnsi="Arial"/>
                <w:sz w:val="16"/>
                <w:szCs w:val="16"/>
                <w:color w:val="auto"/>
                <w:w w:val="89"/>
              </w:rPr>
              <w:t>Interest Rate</w:t>
            </w:r>
          </w:p>
        </w:tc>
        <w:tc>
          <w:tcPr>
            <w:tcW w:w="200" w:type="dxa"/>
            <w:vAlign w:val="bottom"/>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color w:val="auto"/>
                <w:w w:val="89"/>
              </w:rPr>
              <w:t>Interest Rate</w:t>
            </w:r>
          </w:p>
        </w:tc>
        <w:tc>
          <w:tcPr>
            <w:tcW w:w="120" w:type="dxa"/>
            <w:vAlign w:val="bottom"/>
          </w:tcPr>
          <w:p>
            <w:pPr>
              <w:spacing w:after="0"/>
              <w:rPr>
                <w:sz w:val="17"/>
                <w:szCs w:val="17"/>
                <w:color w:val="auto"/>
              </w:rPr>
            </w:pPr>
          </w:p>
        </w:tc>
        <w:tc>
          <w:tcPr>
            <w:tcW w:w="1060" w:type="dxa"/>
            <w:vAlign w:val="bottom"/>
          </w:tcPr>
          <w:p>
            <w:pPr>
              <w:jc w:val="center"/>
              <w:ind w:right="79"/>
              <w:spacing w:after="0"/>
              <w:rPr>
                <w:sz w:val="20"/>
                <w:szCs w:val="20"/>
                <w:color w:val="auto"/>
              </w:rPr>
            </w:pPr>
            <w:r>
              <w:rPr>
                <w:rFonts w:ascii="Arial" w:cs="Arial" w:eastAsia="Arial" w:hAnsi="Arial"/>
                <w:sz w:val="16"/>
                <w:szCs w:val="16"/>
                <w:color w:val="auto"/>
                <w:w w:val="89"/>
              </w:rPr>
              <w:t>Interest Rate</w:t>
            </w:r>
          </w:p>
        </w:tc>
        <w:tc>
          <w:tcPr>
            <w:tcW w:w="12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color w:val="auto"/>
                <w:w w:val="91"/>
              </w:rPr>
              <w:t>Interest Rate</w:t>
            </w:r>
          </w:p>
        </w:tc>
      </w:tr>
      <w:tr>
        <w:trPr>
          <w:trHeight w:val="239"/>
        </w:trPr>
        <w:tc>
          <w:tcPr>
            <w:tcW w:w="20" w:type="dxa"/>
            <w:vAlign w:val="bottom"/>
          </w:tcPr>
          <w:p>
            <w:pPr>
              <w:spacing w:after="0"/>
              <w:rPr>
                <w:sz w:val="20"/>
                <w:szCs w:val="20"/>
                <w:color w:val="auto"/>
              </w:rPr>
            </w:pPr>
          </w:p>
        </w:tc>
        <w:tc>
          <w:tcPr>
            <w:tcW w:w="4420" w:type="dxa"/>
            <w:vAlign w:val="bottom"/>
            <w:tcBorders>
              <w:bottom w:val="single" w:sz="8" w:color="CEFFE7"/>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7"/>
              </w:rPr>
              <w:t>Swaps</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39"/>
              <w:spacing w:after="0" w:line="239" w:lineRule="exact"/>
              <w:rPr>
                <w:sz w:val="20"/>
                <w:szCs w:val="20"/>
                <w:color w:val="auto"/>
              </w:rPr>
            </w:pPr>
            <w:r>
              <w:rPr>
                <w:rFonts w:ascii="Arial" w:cs="Arial" w:eastAsia="Arial" w:hAnsi="Arial"/>
                <w:sz w:val="16"/>
                <w:szCs w:val="16"/>
                <w:color w:val="auto"/>
                <w:w w:val="81"/>
              </w:rPr>
              <w:t xml:space="preserve">Swap </w:t>
            </w:r>
            <w:r>
              <w:rPr>
                <w:rFonts w:ascii="Arial" w:cs="Arial" w:eastAsia="Arial" w:hAnsi="Arial"/>
                <w:sz w:val="21"/>
                <w:szCs w:val="21"/>
                <w:color w:val="auto"/>
                <w:w w:val="81"/>
                <w:vertAlign w:val="superscript"/>
              </w:rPr>
              <w:t>(a)</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9"/>
              <w:spacing w:after="0" w:line="239" w:lineRule="exact"/>
              <w:rPr>
                <w:sz w:val="20"/>
                <w:szCs w:val="20"/>
                <w:color w:val="auto"/>
              </w:rPr>
            </w:pPr>
            <w:r>
              <w:rPr>
                <w:rFonts w:ascii="Arial" w:cs="Arial" w:eastAsia="Arial" w:hAnsi="Arial"/>
                <w:sz w:val="16"/>
                <w:szCs w:val="16"/>
                <w:color w:val="auto"/>
                <w:w w:val="87"/>
              </w:rPr>
              <w:t xml:space="preserve">Swap </w:t>
            </w:r>
            <w:r>
              <w:rPr>
                <w:rFonts w:ascii="Arial" w:cs="Arial" w:eastAsia="Arial" w:hAnsi="Arial"/>
                <w:sz w:val="21"/>
                <w:szCs w:val="21"/>
                <w:color w:val="auto"/>
                <w:w w:val="87"/>
                <w:vertAlign w:val="superscript"/>
              </w:rPr>
              <w:t>(b)</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9"/>
              <w:spacing w:after="0" w:line="239" w:lineRule="exact"/>
              <w:rPr>
                <w:sz w:val="20"/>
                <w:szCs w:val="20"/>
                <w:color w:val="auto"/>
              </w:rPr>
            </w:pPr>
            <w:r>
              <w:rPr>
                <w:rFonts w:ascii="Arial" w:cs="Arial" w:eastAsia="Arial" w:hAnsi="Arial"/>
                <w:sz w:val="16"/>
                <w:szCs w:val="16"/>
                <w:color w:val="auto"/>
                <w:w w:val="84"/>
              </w:rPr>
              <w:t xml:space="preserve">Swap </w:t>
            </w:r>
            <w:r>
              <w:rPr>
                <w:rFonts w:ascii="Arial" w:cs="Arial" w:eastAsia="Arial" w:hAnsi="Arial"/>
                <w:sz w:val="21"/>
                <w:szCs w:val="21"/>
                <w:color w:val="auto"/>
                <w:w w:val="84"/>
                <w:vertAlign w:val="superscript"/>
              </w:rPr>
              <w:t>(b)</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6"/>
              </w:rPr>
              <w:t xml:space="preserve">Swaps </w:t>
            </w:r>
            <w:r>
              <w:rPr>
                <w:rFonts w:ascii="Arial" w:cs="Arial" w:eastAsia="Arial" w:hAnsi="Arial"/>
                <w:sz w:val="21"/>
                <w:szCs w:val="21"/>
                <w:color w:val="auto"/>
                <w:w w:val="86"/>
                <w:vertAlign w:val="superscript"/>
              </w:rPr>
              <w:t>(a)</w:t>
            </w:r>
          </w:p>
        </w:tc>
      </w:tr>
      <w:tr>
        <w:trPr>
          <w:trHeight w:val="244"/>
        </w:trPr>
        <w:tc>
          <w:tcPr>
            <w:tcW w:w="20" w:type="dxa"/>
            <w:vAlign w:val="bottom"/>
          </w:tcPr>
          <w:p>
            <w:pPr>
              <w:spacing w:after="0"/>
              <w:rPr>
                <w:sz w:val="21"/>
                <w:szCs w:val="21"/>
                <w:color w:val="auto"/>
              </w:rPr>
            </w:pPr>
          </w:p>
        </w:tc>
        <w:tc>
          <w:tcPr>
            <w:tcW w:w="4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Notional</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50,000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75,000</w:t>
            </w:r>
          </w:p>
        </w:tc>
      </w:tr>
      <w:tr>
        <w:trPr>
          <w:trHeight w:val="237"/>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Weighted average fixed interest rate</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4.94%</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Maximum terms in months</w:t>
            </w:r>
          </w:p>
        </w:tc>
        <w:tc>
          <w:tcPr>
            <w:tcW w:w="2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0</w:t>
            </w:r>
          </w:p>
        </w:tc>
        <w:tc>
          <w:tcPr>
            <w:tcW w:w="220" w:type="dxa"/>
            <w:vAlign w:val="bottom"/>
            <w:tcBorders>
              <w:bottom w:val="single" w:sz="8" w:color="CEFFE7"/>
            </w:tcBorders>
            <w:shd w:val="clear" w:color="auto" w:fill="CEFFE7"/>
          </w:tcPr>
          <w:p>
            <w:pPr>
              <w:spacing w:after="0"/>
              <w:rPr>
                <w:sz w:val="21"/>
                <w:szCs w:val="21"/>
                <w:color w:val="auto"/>
              </w:rPr>
            </w:pPr>
          </w:p>
        </w:tc>
        <w:tc>
          <w:tcPr>
            <w:tcW w:w="16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w:t>
            </w:r>
          </w:p>
        </w:tc>
      </w:tr>
      <w:tr>
        <w:trPr>
          <w:trHeight w:val="237"/>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Derivative assets, non-current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90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2,290</w:t>
            </w:r>
          </w:p>
        </w:tc>
      </w:tr>
      <w:tr>
        <w:trPr>
          <w:trHeight w:val="237"/>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Derivative liabilities, non-current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3,785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10,693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Pre-tax accumulated other comprehensive income (loss)</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(90)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(3,785)</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(10,693)</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(2,290)</w:t>
            </w:r>
          </w:p>
        </w:tc>
      </w:tr>
      <w:tr>
        <w:trPr>
          <w:trHeight w:val="22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ind w:left="340" w:right="180" w:hanging="332"/>
        <w:spacing w:after="0" w:line="246"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$25 million in swaps expired in October 2016 and the $50 million in swaps expired in January 2017. These swaps were designated to borrowings on our Revolving Credit Facility and were priced using three-month LIBOR, matching the floating portion of the related borrowings.</w:t>
      </w: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swaps were settled and terminated in August 2016 in conjunction with the refinancing of acquired SourceGas debt.</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of March 31, 2017. Based on their evaluation, they have concluded that our disclosure controls and procedures were effective at March 31, 2017.</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quarter ended March 31, 2017,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80" w:right="2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color w:val="auto"/>
        </w:rPr>
        <w:t>BLACK HILLS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proceedings, see Note 19 in Item 8 of our 2016 Annual Report on Form 10-K and Note 16 in Item 1 of Part I of this Quarterly Report on Form 10-Q, which information from Note 16 is incorporated by reference into this item.</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to the risk factors previously disclosed in Item 1A of Part I in our 2016 Annual Report on Form 10-K filed with the SEC.</w:t>
      </w:r>
    </w:p>
    <w:p>
      <w:pPr>
        <w:spacing w:after="0" w:line="200" w:lineRule="exact"/>
        <w:rPr>
          <w:sz w:val="20"/>
          <w:szCs w:val="20"/>
          <w:color w:val="auto"/>
        </w:rPr>
      </w:pP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sold during the three months ended March 31, 2017.</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Mine Safety Disclosures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Quarterly Report on Form 10-Q.</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84"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0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93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547"/>
        </w:trPr>
        <w:tc>
          <w:tcPr>
            <w:tcW w:w="204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 Number</w:t>
            </w:r>
          </w:p>
        </w:tc>
        <w:tc>
          <w:tcPr>
            <w:tcW w:w="9380" w:type="dxa"/>
            <w:vAlign w:val="bottom"/>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r>
      <w:tr>
        <w:trPr>
          <w:trHeight w:val="452"/>
        </w:trPr>
        <w:tc>
          <w:tcPr>
            <w:tcW w:w="980" w:type="dxa"/>
            <w:vAlign w:val="bottom"/>
          </w:tcPr>
          <w:p>
            <w:pPr>
              <w:ind w:left="40"/>
              <w:spacing w:after="0"/>
              <w:rPr>
                <w:sz w:val="20"/>
                <w:szCs w:val="20"/>
                <w:color w:val="auto"/>
              </w:rPr>
            </w:pPr>
            <w:r>
              <w:rPr>
                <w:rFonts w:ascii="Arial" w:cs="Arial" w:eastAsia="Arial" w:hAnsi="Arial"/>
                <w:sz w:val="18"/>
                <w:szCs w:val="18"/>
                <w:color w:val="auto"/>
              </w:rPr>
              <w:t>Exhibit 2.1*</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Purchase and Sale Agreement by and among Alinda Gas Delaware LLC, Alinda Infrastructure Fund I, L.P. and Aircraft</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Services Corporation, as Sellers, and Black Hills Utility Holdings, Inc., as Buyer dated as of July 12, 2015 (filed as Exhibit</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9"/>
              </w:rPr>
              <w:t>2.1 to the Registrant's Form 8-K file on July 14, 2015). First Amendment to Purchase and Sale Agreement effective</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7"/>
              </w:rPr>
              <w:t>December 10, 2015, by and among, Alinda Gas Delaware LLC, Alinda Infrastructure Fund I L.P. and Aircraft Services</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5"/>
              </w:rPr>
              <w:t>Corporation, as Sellers, and Black Hills Utility Holdings, Inc., as Buyer (filed as Exhibit 2.2 to the Registrant’s Form 10-K</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for 2015).</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2.2*</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Option Agreement by and among Aircraft Services Corporation, as ASC, SourceGas Holdings LLC, as the Company and</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Black Hills Utility Holdings, Inc., as Buyer (filed as Exhibit 2.2 to the Registrant's Form 8-K file on July 14, 2015).</w:t>
            </w:r>
          </w:p>
        </w:tc>
      </w:tr>
      <w:tr>
        <w:trPr>
          <w:trHeight w:val="472"/>
        </w:trPr>
        <w:tc>
          <w:tcPr>
            <w:tcW w:w="980" w:type="dxa"/>
            <w:vAlign w:val="bottom"/>
          </w:tcPr>
          <w:p>
            <w:pPr>
              <w:ind w:left="40"/>
              <w:spacing w:after="0"/>
              <w:rPr>
                <w:sz w:val="20"/>
                <w:szCs w:val="20"/>
                <w:color w:val="auto"/>
              </w:rPr>
            </w:pPr>
            <w:r>
              <w:rPr>
                <w:rFonts w:ascii="Arial" w:cs="Arial" w:eastAsia="Arial" w:hAnsi="Arial"/>
                <w:sz w:val="18"/>
                <w:szCs w:val="18"/>
                <w:color w:val="auto"/>
              </w:rPr>
              <w:t>Exhibit 2.3*</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Guaranty of Black Hills Corporation in favor of Alinda Gas Delaware LLC, Alinda Infrastructure Fund I, L.P. and Aircraft</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Services Corporation, dated as of July 12, 2015 (filed as Exhibit 2.3 to the Registrant's Form 8-K file on July 14, 2015).</w:t>
            </w:r>
          </w:p>
        </w:tc>
      </w:tr>
      <w:tr>
        <w:trPr>
          <w:trHeight w:val="500"/>
        </w:trPr>
        <w:tc>
          <w:tcPr>
            <w:tcW w:w="98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Restated Articles of Incorporation of the Registrant (filed as Exhibit 3 to the Registrant’s Form 10-K for 2004).</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Amended and Restated Bylaws of the Registrant dated April 24, 2017 (filed as Exhibit 3 to the Registrant’s Form 8-K filed</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on April 28, 2017).</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4.1*</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Indenture dated as of May 21, 2003 between the Registrant and Wells Fargo Bank, National Association (as successor to</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LaSalle Bank National Association), as Trustee (filed as Exhibit 4.1 to the Registrant’s Form 10-Q for the quarterly period</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ended June 30, 2003). First Supplemental Indenture dated as of May 21, 2003 (filed as Exhibit 4.2 to the Registrant’s Form</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5"/>
              </w:rPr>
              <w:t>10-Q for the quarterly period ended June 30, 2003). Second Supplemental Indenture dated as of May 14, 2009 (filed as</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Exhibit 4 to the Registrant’s Form 8-K filed on May 14, 2009). Third Supplemental Indenture dated as of July 16, 2010 (filed</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1"/>
              </w:rPr>
              <w:t>as Exhibit 4 to Registrant’s Form 8-K filed on July 15, 2010). Fourth Supplemental Indenture dated as of November 19, 2013</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7"/>
              </w:rPr>
              <w:t>(filed as Exhibit 4 to the Registrant’s Form 8-K filed on November 18, 2013). Fifth Supplemental Indenture dated as of</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January 13, 2016 (filed as Exhibit 4.1 to the Registrant’s Form 8-K filed on January 13, 2016). Sixth Supplemental Indenture</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dated as of August 19, 2016 (filed as Exhibit 4.1 to the Registrant’s Form 8-K filed on August 19, 2016).</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4.2*</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Restated and Amended Indenture of Mortgage and Deed of Trust of Black Hills Corporation (now called Black Hills Power,</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8"/>
              </w:rPr>
              <w:t>Inc.) dated as of September 1, 1999 (filed as Exhibit 4.19 to the Registrant’s Post-Effective Amendment No. 1 to the</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Registrant’s Registration Statement on Form S-3 (No. 333-150669)). First Supplemental Indenture, dated as of August 13,</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2002, between Black Hills Power, Inc. and The Bank of New York Mellon (as successor to JPMorgan Chase Bank), as</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Trustee (filed as Exhibit 4.20 to the Registrant’s Post-Effective Amendment No. 1 to the Registrant’s Registration Statement</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line="207" w:lineRule="exact"/>
              <w:rPr>
                <w:sz w:val="20"/>
                <w:szCs w:val="20"/>
                <w:color w:val="auto"/>
              </w:rPr>
            </w:pPr>
            <w:r>
              <w:rPr>
                <w:rFonts w:ascii="Arial" w:cs="Arial" w:eastAsia="Arial" w:hAnsi="Arial"/>
                <w:sz w:val="18"/>
                <w:szCs w:val="18"/>
                <w:color w:val="auto"/>
                <w:w w:val="91"/>
              </w:rPr>
              <w:t>on Form S</w:t>
            </w:r>
            <w:r>
              <w:rPr>
                <w:rFonts w:ascii="MS PGothic" w:cs="MS PGothic" w:eastAsia="MS PGothic" w:hAnsi="MS PGothic"/>
                <w:sz w:val="18"/>
                <w:szCs w:val="18"/>
                <w:color w:val="auto"/>
                <w:w w:val="91"/>
              </w:rPr>
              <w:t>‑</w:t>
            </w:r>
            <w:r>
              <w:rPr>
                <w:rFonts w:ascii="Arial" w:cs="Arial" w:eastAsia="Arial" w:hAnsi="Arial"/>
                <w:sz w:val="18"/>
                <w:szCs w:val="18"/>
                <w:color w:val="auto"/>
                <w:w w:val="91"/>
              </w:rPr>
              <w:t>3 (No. 333</w:t>
            </w:r>
            <w:r>
              <w:rPr>
                <w:rFonts w:ascii="MS PGothic" w:cs="MS PGothic" w:eastAsia="MS PGothic" w:hAnsi="MS PGothic"/>
                <w:sz w:val="18"/>
                <w:szCs w:val="18"/>
                <w:color w:val="auto"/>
                <w:w w:val="91"/>
              </w:rPr>
              <w:t>‑</w:t>
            </w:r>
            <w:r>
              <w:rPr>
                <w:rFonts w:ascii="Arial" w:cs="Arial" w:eastAsia="Arial" w:hAnsi="Arial"/>
                <w:sz w:val="18"/>
                <w:szCs w:val="18"/>
                <w:color w:val="auto"/>
                <w:w w:val="91"/>
              </w:rPr>
              <w:t>150669)). Second Supplemental Indenture, dated as of October 27, 2009, between Black Hills Power,</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6"/>
              </w:rPr>
              <w:t>Inc. and The Bank of New York Mellon (filed as Exhibit 4.21 to the Registrant’s Post-Effective Amendment No. 2 to the</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Registrant’s Registration Statement on Form S-3 (No. 333-150669)). Third Supplemental Indenture, dated as of October 1,</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2014, between Black Hills Power, Inc. and The Bank of New York Mellon (filed as Exhibit 10.1 to the Registrant’s Form 8-K</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filed on October 2, 2014).</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4.3*</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Restated Indenture of Mortgage, Deed of Trust, Security Agreement and Financing Statement, amended and restated as of</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November 20, 2007, between Cheyenne Light, Fuel and Power Company and Wells Fargo Bank, National Association (filed</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2"/>
              </w:rPr>
              <w:t>as Exhibit 10.2 to the Registrant’s Form 8-K filed on October 2, 2014). First Supplemental Indenture, dated as of September</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3, 2009, between Cheyenne Light, Fuel and Power Company and Wells Fargo Bank, National Association (filed as Exhibit</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3"/>
              </w:rPr>
              <w:t>10.3 to the Registrant’s Form 8-K filed on October 2, 2014). Second Supplemental Indenture, dated as of October 1, 2014,</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1"/>
              </w:rPr>
              <w:t>between Cheyenne Light, Fuel and Power Company and Wells Fargo Bank, National Association (filed as Exhibit 10.4 to the</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rPr>
              <w:t>Registrant’s Form 8-K filed on October 2, 2014).</w:t>
            </w:r>
          </w:p>
        </w:tc>
      </w:tr>
      <w:tr>
        <w:trPr>
          <w:trHeight w:val="485"/>
        </w:trPr>
        <w:tc>
          <w:tcPr>
            <w:tcW w:w="980" w:type="dxa"/>
            <w:vAlign w:val="bottom"/>
          </w:tcPr>
          <w:p>
            <w:pPr>
              <w:ind w:left="40"/>
              <w:spacing w:after="0"/>
              <w:rPr>
                <w:sz w:val="20"/>
                <w:szCs w:val="20"/>
                <w:color w:val="auto"/>
              </w:rPr>
            </w:pPr>
            <w:r>
              <w:rPr>
                <w:rFonts w:ascii="Arial" w:cs="Arial" w:eastAsia="Arial" w:hAnsi="Arial"/>
                <w:sz w:val="18"/>
                <w:szCs w:val="18"/>
                <w:color w:val="auto"/>
              </w:rPr>
              <w:t>Exhibit 4.4*</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5"/>
              </w:rPr>
              <w:t>Junior Subordinated Indenture dated as of November 23, 2015 between Black Hills Corporation and U.S. Bank National</w:t>
            </w: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Association, as trustee (filed as Exhibit 4.1 to the Registrant’s Form 8-K filed on November 23, 2015). First Supplemental</w:t>
            </w:r>
          </w:p>
        </w:tc>
      </w:tr>
      <w:tr>
        <w:trPr>
          <w:trHeight w:val="230"/>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80" w:type="dxa"/>
            <w:vAlign w:val="bottom"/>
          </w:tcPr>
          <w:p>
            <w:pPr>
              <w:ind w:left="280"/>
              <w:spacing w:after="0"/>
              <w:rPr>
                <w:sz w:val="20"/>
                <w:szCs w:val="20"/>
                <w:color w:val="auto"/>
              </w:rPr>
            </w:pPr>
            <w:r>
              <w:rPr>
                <w:rFonts w:ascii="Arial" w:cs="Arial" w:eastAsia="Arial" w:hAnsi="Arial"/>
                <w:sz w:val="18"/>
                <w:szCs w:val="18"/>
                <w:color w:val="auto"/>
                <w:w w:val="94"/>
              </w:rPr>
              <w:t>Indenture dated as of November 23, 2015 (filed as Exhibit 4.2 to the Registrant’s Form 8-K filed on November 23, 2015).</w:t>
            </w:r>
          </w:p>
        </w:tc>
      </w:tr>
      <w:tr>
        <w:trPr>
          <w:trHeight w:val="486"/>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Pr>
          <w:p>
            <w:pPr>
              <w:ind w:left="358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338" w:right="239" w:bottom="1440" w:gutter="0" w:footer="0" w:header="0"/>
        </w:sectPr>
      </w:pPr>
    </w:p>
    <w:bookmarkStart w:id="68" w:name="page69"/>
    <w:bookmarkEnd w:id="68"/>
    <w:p>
      <w:pPr>
        <w:ind w:left="40"/>
        <w:spacing w:after="0"/>
        <w:rPr>
          <w:sz w:val="20"/>
          <w:szCs w:val="20"/>
          <w:color w:val="auto"/>
        </w:rPr>
      </w:pPr>
      <w:r>
        <w:rPr>
          <w:rFonts w:ascii="Arial" w:cs="Arial" w:eastAsia="Arial" w:hAnsi="Arial"/>
          <w:sz w:val="17"/>
          <w:szCs w:val="17"/>
          <w:color w:val="auto"/>
        </w:rPr>
        <w:t>Exhibit 4.5*</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Purchase Contract and Pledge Agreement dated as of November 23, 2015 between Black Hills Corporation and U.S. Bank National Association, as purchase contract agent, collateral agent, custodial agent and securities intermediary (filed as Exhibit 4.4 to the Registrant’s Form 8-K filed on November 23, 2015).</w:t>
      </w:r>
    </w:p>
    <w:p>
      <w:pPr>
        <w:spacing w:after="0" w:line="200" w:lineRule="exact"/>
        <w:rPr>
          <w:sz w:val="20"/>
          <w:szCs w:val="20"/>
          <w:color w:val="auto"/>
        </w:rPr>
      </w:pPr>
    </w:p>
    <w:p>
      <w:pPr>
        <w:sectPr>
          <w:pgSz w:w="11900" w:h="16838" w:orient="portrait"/>
          <w:cols w:equalWidth="0" w:num="2">
            <w:col w:w="1600" w:space="720"/>
            <w:col w:w="9060"/>
          </w:cols>
          <w:pgMar w:left="240" w:top="760" w:right="279" w:bottom="1440" w:gutter="0" w:footer="0" w:header="0"/>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4.6*</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Indenture dated as of April 16, 2007 between SourceGas LLC and U.S. Bank National Association, as Trustee (relating to $325 million, 5.90% Senior Notes due 2017) (filed as Exhibit 10.1 to the Registrant’s Form 8-K filed on March 18, 2016).</w:t>
      </w:r>
    </w:p>
    <w:p>
      <w:pPr>
        <w:spacing w:after="0" w:line="191"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4.7*</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Form of Stock Certificate for Common Stock, Par Value $1.00 Per Share (filed as Exhibit 4.2 to the Registrant’s Form 10-K for 2000).</w:t>
      </w:r>
    </w:p>
    <w:p>
      <w:pPr>
        <w:spacing w:after="0" w:line="200"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Form of Performance Share Award agreement effective for awards granted on or after January 1, 2017.</w:t>
      </w:r>
    </w:p>
    <w:p>
      <w:pPr>
        <w:spacing w:after="0" w:line="211"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31.1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Certification of Chief Executive Officer pursuant to Rule 13a - 14(a) of the Securities Exchange Act of 1934, as adopted pursuant to Section 302 of the Sarbanes - Oxley Act of 2002.</w:t>
      </w:r>
    </w:p>
    <w:p>
      <w:pPr>
        <w:spacing w:after="0" w:line="200"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Certification of Chief Financial Officer pursuant to Rule 13a - 14(a) of the Securities Exchange Act of 1934, as adopted pursuant to Section 302 of the Sarbanes - Oxley Act of 2002.</w:t>
      </w:r>
    </w:p>
    <w:p>
      <w:pPr>
        <w:spacing w:after="0" w:line="200"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32.1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 - Oxley Act of 2002.</w:t>
      </w:r>
    </w:p>
    <w:p>
      <w:pPr>
        <w:spacing w:after="0" w:line="200"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32.2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 - Oxley Act of 2002.</w:t>
      </w:r>
    </w:p>
    <w:p>
      <w:pPr>
        <w:spacing w:after="0" w:line="200"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95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Mine Safety and Health Administration Safety Data.</w:t>
      </w:r>
    </w:p>
    <w:p>
      <w:pPr>
        <w:spacing w:after="0" w:line="211"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for XBRL Format.</w:t>
      </w:r>
    </w:p>
    <w:p>
      <w:pPr>
        <w:spacing w:after="0" w:line="59" w:lineRule="exact"/>
        <w:rPr>
          <w:sz w:val="20"/>
          <w:szCs w:val="20"/>
          <w:color w:val="auto"/>
        </w:rPr>
      </w:pPr>
    </w:p>
    <w:p>
      <w:pPr>
        <w:sectPr>
          <w:pgSz w:w="11900" w:h="16838" w:orient="portrait"/>
          <w:cols w:equalWidth="0" w:num="2">
            <w:col w:w="1600" w:space="720"/>
            <w:col w:w="9060"/>
          </w:cols>
          <w:pgMar w:left="240" w:top="760" w:right="27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ectPr>
          <w:pgSz w:w="11900" w:h="16838" w:orient="portrait"/>
          <w:cols w:equalWidth="0" w:num="1">
            <w:col w:w="11380"/>
          </w:cols>
          <w:pgMar w:left="240" w:top="760" w:right="279" w:bottom="1440" w:gutter="0" w:footer="0" w:header="0"/>
          <w:type w:val="continuous"/>
        </w:sectPr>
      </w:pPr>
    </w:p>
    <w:p>
      <w:pPr>
        <w:spacing w:after="0" w:line="4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Previously filed as part of the filing indicated and incorporated by reference herein.</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Indicates a board of director or management compensatory plan.</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80"/>
          </w:cols>
          <w:pgMar w:left="240" w:top="760" w:right="279" w:bottom="1440" w:gutter="0" w:footer="0" w:header="0"/>
          <w:type w:val="continuous"/>
        </w:sectPr>
      </w:pPr>
    </w:p>
    <w:bookmarkStart w:id="69" w:name="page70"/>
    <w:bookmarkEnd w:id="69"/>
    <w:p>
      <w:pPr>
        <w:jc w:val="center"/>
        <w:ind w:right="-43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R. Emery, Chairman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Dated:</w:t>
            </w:r>
          </w:p>
        </w:tc>
        <w:tc>
          <w:tcPr>
            <w:tcW w:w="1200" w:type="dxa"/>
            <w:vAlign w:val="bottom"/>
          </w:tcPr>
          <w:p>
            <w:pPr>
              <w:ind w:left="280"/>
              <w:spacing w:after="0"/>
              <w:rPr>
                <w:sz w:val="20"/>
                <w:szCs w:val="20"/>
                <w:color w:val="auto"/>
              </w:rPr>
            </w:pPr>
            <w:r>
              <w:rPr>
                <w:rFonts w:ascii="Arial" w:cs="Arial" w:eastAsia="Arial" w:hAnsi="Arial"/>
                <w:sz w:val="18"/>
                <w:szCs w:val="18"/>
                <w:color w:val="auto"/>
                <w:w w:val="90"/>
              </w:rPr>
              <w:t>May 4, 2017</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240" w:top="584" w:right="6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9360" w:type="dxa"/>
            <w:vAlign w:val="bottom"/>
          </w:tcPr>
          <w:p>
            <w:pPr>
              <w:ind w:left="2800"/>
              <w:spacing w:after="0"/>
              <w:rPr>
                <w:sz w:val="20"/>
                <w:szCs w:val="20"/>
                <w:color w:val="auto"/>
              </w:rPr>
            </w:pPr>
            <w:r>
              <w:rPr>
                <w:rFonts w:ascii="Arial" w:cs="Arial" w:eastAsia="Arial" w:hAnsi="Arial"/>
                <w:sz w:val="18"/>
                <w:szCs w:val="18"/>
                <w:color w:val="auto"/>
              </w:rPr>
              <w:t>INDEX TO EXHIBITS</w:t>
            </w:r>
          </w:p>
        </w:tc>
      </w:tr>
      <w:tr>
        <w:trPr>
          <w:trHeight w:val="554"/>
        </w:trPr>
        <w:tc>
          <w:tcPr>
            <w:tcW w:w="1720" w:type="dxa"/>
            <w:vAlign w:val="bottom"/>
          </w:tcPr>
          <w:p>
            <w:pPr>
              <w:ind w:left="20"/>
              <w:spacing w:after="0"/>
              <w:rPr>
                <w:sz w:val="20"/>
                <w:szCs w:val="20"/>
                <w:color w:val="auto"/>
              </w:rPr>
            </w:pPr>
            <w:r>
              <w:rPr>
                <w:rFonts w:ascii="Arial" w:cs="Arial" w:eastAsia="Arial" w:hAnsi="Arial"/>
                <w:sz w:val="18"/>
                <w:szCs w:val="18"/>
                <w:color w:val="auto"/>
              </w:rPr>
              <w:t>Exhibit Number</w:t>
            </w:r>
          </w:p>
        </w:tc>
        <w:tc>
          <w:tcPr>
            <w:tcW w:w="9360" w:type="dxa"/>
            <w:vAlign w:val="bottom"/>
          </w:tcPr>
          <w:p>
            <w:pPr>
              <w:ind w:left="52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r>
        <w:trPr>
          <w:trHeight w:val="452"/>
        </w:trPr>
        <w:tc>
          <w:tcPr>
            <w:tcW w:w="1720" w:type="dxa"/>
            <w:vAlign w:val="bottom"/>
          </w:tcPr>
          <w:p>
            <w:pPr>
              <w:ind w:left="20"/>
              <w:spacing w:after="0"/>
              <w:rPr>
                <w:sz w:val="20"/>
                <w:szCs w:val="20"/>
                <w:color w:val="auto"/>
              </w:rPr>
            </w:pPr>
            <w:r>
              <w:rPr>
                <w:rFonts w:ascii="Arial" w:cs="Arial" w:eastAsia="Arial" w:hAnsi="Arial"/>
                <w:sz w:val="18"/>
                <w:szCs w:val="18"/>
                <w:color w:val="auto"/>
              </w:rPr>
              <w:t>Exhibit 2.1*</w:t>
            </w: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Purchase and Sale Agreement by and among Alinda Gas Delaware LLC, Alinda Infrastructure Fund I, L.P. and Aircraft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Services Corporation, as Sellers, and Black Hills Utility Holdings, Inc., as Buyer dated as of July 12, 2015 (filed as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Exhibit 2.1 to the Registrant's Form 8-K file on July 14, 2015). First Amendment to Purchase and Sale Agreement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4"/>
              </w:rPr>
              <w:t>effective December 10, 2015, by and among, Alinda Gas Delaware LLC, Alinda Infrastructure Fund I L.P. and Aircraft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4"/>
              </w:rPr>
              <w:t>Services Corporation, as Sellers, and Black Hills Utility Holdings, Inc., as Buyer (filed as Exhibit 2.2 to the Registrant’s</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Form 10-K for 2015).</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2.2*</w:t>
            </w:r>
          </w:p>
        </w:tc>
        <w:tc>
          <w:tcPr>
            <w:tcW w:w="9360" w:type="dxa"/>
            <w:vAlign w:val="bottom"/>
          </w:tcPr>
          <w:p>
            <w:pPr>
              <w:ind w:left="520"/>
              <w:spacing w:after="0"/>
              <w:rPr>
                <w:sz w:val="20"/>
                <w:szCs w:val="20"/>
                <w:color w:val="auto"/>
              </w:rPr>
            </w:pPr>
            <w:r>
              <w:rPr>
                <w:rFonts w:ascii="Arial" w:cs="Arial" w:eastAsia="Arial" w:hAnsi="Arial"/>
                <w:sz w:val="18"/>
                <w:szCs w:val="18"/>
                <w:color w:val="auto"/>
                <w:w w:val="91"/>
              </w:rPr>
              <w:t>Option Agreement by and among Aircraft Services Corporation, as ASC, SourceGas Holdings LLC, as the Company and</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9"/>
              </w:rPr>
              <w:t>Black Hills Utility Holdings, Inc., as Buyer (filed as Exhibit 2.2 to the Registrant's Form 8-K file on July 14, 2015).</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2.3*</w:t>
            </w:r>
          </w:p>
        </w:tc>
        <w:tc>
          <w:tcPr>
            <w:tcW w:w="9360" w:type="dxa"/>
            <w:vAlign w:val="bottom"/>
          </w:tcPr>
          <w:p>
            <w:pPr>
              <w:ind w:left="520"/>
              <w:spacing w:after="0"/>
              <w:rPr>
                <w:sz w:val="20"/>
                <w:szCs w:val="20"/>
                <w:color w:val="auto"/>
              </w:rPr>
            </w:pPr>
            <w:r>
              <w:rPr>
                <w:rFonts w:ascii="Arial" w:cs="Arial" w:eastAsia="Arial" w:hAnsi="Arial"/>
                <w:sz w:val="18"/>
                <w:szCs w:val="18"/>
                <w:color w:val="auto"/>
              </w:rPr>
              <w:t>Guaranty of Black Hills Corporation in favor of Alinda Gas Delaware LLC, Alinda Infrastructure Fund I, L.P. and</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Aircraft Services Corporation, dated as of July 12, 2015 (filed as Exhibit 2.3 to the Registrant's Form 8-K file on July 14,</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500"/>
        </w:trPr>
        <w:tc>
          <w:tcPr>
            <w:tcW w:w="1720" w:type="dxa"/>
            <w:vAlign w:val="bottom"/>
          </w:tcPr>
          <w:p>
            <w:pPr>
              <w:ind w:left="20"/>
              <w:spacing w:after="0"/>
              <w:rPr>
                <w:sz w:val="20"/>
                <w:szCs w:val="20"/>
                <w:color w:val="auto"/>
              </w:rPr>
            </w:pPr>
            <w:r>
              <w:rPr>
                <w:rFonts w:ascii="Arial" w:cs="Arial" w:eastAsia="Arial" w:hAnsi="Arial"/>
                <w:sz w:val="18"/>
                <w:szCs w:val="18"/>
                <w:color w:val="auto"/>
              </w:rPr>
              <w:t>Exhibit 3.1*</w:t>
            </w:r>
          </w:p>
        </w:tc>
        <w:tc>
          <w:tcPr>
            <w:tcW w:w="9360" w:type="dxa"/>
            <w:vAlign w:val="bottom"/>
          </w:tcPr>
          <w:p>
            <w:pPr>
              <w:ind w:left="520"/>
              <w:spacing w:after="0"/>
              <w:rPr>
                <w:sz w:val="20"/>
                <w:szCs w:val="20"/>
                <w:color w:val="auto"/>
              </w:rPr>
            </w:pPr>
            <w:r>
              <w:rPr>
                <w:rFonts w:ascii="Arial" w:cs="Arial" w:eastAsia="Arial" w:hAnsi="Arial"/>
                <w:sz w:val="18"/>
                <w:szCs w:val="18"/>
                <w:color w:val="auto"/>
              </w:rPr>
              <w:t>Restated Articles of Incorporation of the Registrant (filed as Exhibit 3 to the Registrant’s Form 10-K for 2004).</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3.2*</w:t>
            </w:r>
          </w:p>
        </w:tc>
        <w:tc>
          <w:tcPr>
            <w:tcW w:w="9360" w:type="dxa"/>
            <w:vAlign w:val="bottom"/>
          </w:tcPr>
          <w:p>
            <w:pPr>
              <w:ind w:left="520"/>
              <w:spacing w:after="0"/>
              <w:rPr>
                <w:sz w:val="20"/>
                <w:szCs w:val="20"/>
                <w:color w:val="auto"/>
              </w:rPr>
            </w:pPr>
            <w:r>
              <w:rPr>
                <w:rFonts w:ascii="Arial" w:cs="Arial" w:eastAsia="Arial" w:hAnsi="Arial"/>
                <w:sz w:val="18"/>
                <w:szCs w:val="18"/>
                <w:color w:val="auto"/>
                <w:w w:val="95"/>
              </w:rPr>
              <w:t>Amended and Restated Bylaws of the Registrant dated April 24, 2017 (filed as Exhibit 3 to the Registrant’s Form 8-K</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filed on April 28, 2017).</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4.1*</w:t>
            </w:r>
          </w:p>
        </w:tc>
        <w:tc>
          <w:tcPr>
            <w:tcW w:w="9360" w:type="dxa"/>
            <w:vAlign w:val="bottom"/>
          </w:tcPr>
          <w:p>
            <w:pPr>
              <w:ind w:left="520"/>
              <w:spacing w:after="0"/>
              <w:rPr>
                <w:sz w:val="20"/>
                <w:szCs w:val="20"/>
                <w:color w:val="auto"/>
              </w:rPr>
            </w:pPr>
            <w:r>
              <w:rPr>
                <w:rFonts w:ascii="Arial" w:cs="Arial" w:eastAsia="Arial" w:hAnsi="Arial"/>
                <w:sz w:val="18"/>
                <w:szCs w:val="18"/>
                <w:color w:val="auto"/>
                <w:w w:val="91"/>
              </w:rPr>
              <w:t>Indenture dated as of May 21, 2003 between the Registrant and Wells Fargo Bank, National Association (as successor to</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LaSalle Bank National Association), as Trustee (filed as Exhibit 4.1 to the Registrant’s Form 10-Q for the quarterly</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9"/>
              </w:rPr>
              <w:t>period ended June 30, 2003). First Supplemental Indenture dated as of May 21, 2003 (filed as Exhibit 4.2 to the</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2"/>
              </w:rPr>
              <w:t>Registrant’s Form 10-Q for the quarterly period ended June 30, 2003). Second Supplemental Indenture dated as of May</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14, 2009 (filed as Exhibit 4 to the Registrant’s Form 8-K filed on May 14, 2009). Third Supplemental Indenture dated as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of July 16, 2010 (filed as Exhibit 4 to the Registrant’s Form 8-K filed on July 15, 2010). Fourth Supplemental Indenture</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dated as of November 19, 2013 (filed as Exhibit 4 to the Registrants’ Form 8-K filed on November 18, 2013). Fifth</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2"/>
              </w:rPr>
              <w:t>Supplemental Indenture dated as of January 13, 2016 (filed as Exhibit 4.1 to the Registrant’s Form 8-K filed on January</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13, 2016). Sixth Supplemental Indenture dated as of August 19, 2016 (filed as Exhibit 4.1 to the Registrant’s Form 8-K</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filed on August 19, 2016).</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4.2*</w:t>
            </w:r>
          </w:p>
        </w:tc>
        <w:tc>
          <w:tcPr>
            <w:tcW w:w="9360" w:type="dxa"/>
            <w:vAlign w:val="bottom"/>
          </w:tcPr>
          <w:p>
            <w:pPr>
              <w:ind w:left="520"/>
              <w:spacing w:after="0"/>
              <w:rPr>
                <w:sz w:val="20"/>
                <w:szCs w:val="20"/>
                <w:color w:val="auto"/>
              </w:rPr>
            </w:pPr>
            <w:r>
              <w:rPr>
                <w:rFonts w:ascii="Arial" w:cs="Arial" w:eastAsia="Arial" w:hAnsi="Arial"/>
                <w:sz w:val="18"/>
                <w:szCs w:val="18"/>
                <w:color w:val="auto"/>
                <w:w w:val="96"/>
              </w:rPr>
              <w:t>Restated and Amended Indenture of Mortgage and Deed of Trust of Black Hills Corporation (now called Black Hills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2"/>
              </w:rPr>
              <w:t>Power, Inc.) dated as of September 1, 1999 (filed as Exhibit 4.19 to the Registrant’s Post-Effective Amendment No. 1 to</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0"/>
              </w:rPr>
              <w:t>the Registrant’s Registration Statement on Form S-3 (No. 333-150669)). First Supplemental Indenture, dated as of August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0"/>
              </w:rPr>
              <w:t>13, 2002, between Black Hills Power, Inc. and The Bank of New York Mellon (as successor to JPMorgan Chase Bank), as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8"/>
              </w:rPr>
              <w:t>Trustee (filed as Exhibit 4.20 to the Registrant’s Post-Effective Amendment No. 1 to the Registrant’s Registration</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line="207" w:lineRule="exact"/>
              <w:rPr>
                <w:sz w:val="20"/>
                <w:szCs w:val="20"/>
                <w:color w:val="auto"/>
              </w:rPr>
            </w:pPr>
            <w:r>
              <w:rPr>
                <w:rFonts w:ascii="Arial" w:cs="Arial" w:eastAsia="Arial" w:hAnsi="Arial"/>
                <w:sz w:val="18"/>
                <w:szCs w:val="18"/>
                <w:color w:val="auto"/>
                <w:w w:val="90"/>
              </w:rPr>
              <w:t>Statement on Form S</w:t>
            </w:r>
            <w:r>
              <w:rPr>
                <w:rFonts w:ascii="MS PGothic" w:cs="MS PGothic" w:eastAsia="MS PGothic" w:hAnsi="MS PGothic"/>
                <w:sz w:val="18"/>
                <w:szCs w:val="18"/>
                <w:color w:val="auto"/>
                <w:w w:val="90"/>
              </w:rPr>
              <w:t>‑</w:t>
            </w:r>
            <w:r>
              <w:rPr>
                <w:rFonts w:ascii="Arial" w:cs="Arial" w:eastAsia="Arial" w:hAnsi="Arial"/>
                <w:sz w:val="18"/>
                <w:szCs w:val="18"/>
                <w:color w:val="auto"/>
                <w:w w:val="90"/>
              </w:rPr>
              <w:t>3 (No. 333</w:t>
            </w:r>
            <w:r>
              <w:rPr>
                <w:rFonts w:ascii="MS PGothic" w:cs="MS PGothic" w:eastAsia="MS PGothic" w:hAnsi="MS PGothic"/>
                <w:sz w:val="18"/>
                <w:szCs w:val="18"/>
                <w:color w:val="auto"/>
                <w:w w:val="90"/>
              </w:rPr>
              <w:t>‑</w:t>
            </w:r>
            <w:r>
              <w:rPr>
                <w:rFonts w:ascii="Arial" w:cs="Arial" w:eastAsia="Arial" w:hAnsi="Arial"/>
                <w:sz w:val="18"/>
                <w:szCs w:val="18"/>
                <w:color w:val="auto"/>
                <w:w w:val="90"/>
              </w:rPr>
              <w:t>150669)). Second Supplemental Indenture, dated as of October 27, 2009, between Black</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Hills Power, Inc. and The Bank of New York Mellon (filed as Exhibit 4.21 to the Registrant’s Post-Effective Amendment</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1"/>
              </w:rPr>
              <w:t>No. 2 to the Registrant’s Registration Statement on Form S-3 (No. 333-150669)). Third Supplemental Indenture, dated as</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7"/>
              </w:rPr>
              <w:t>of October 1, 2014, between Black Hills Power, Inc. and The Bank of New York Mellon (filed as Exhibit 10.1 to the</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Registrant’s Form 8-K filed on October 2, 2014).</w:t>
            </w:r>
          </w:p>
        </w:tc>
      </w:tr>
      <w:tr>
        <w:trPr>
          <w:trHeight w:val="485"/>
        </w:trPr>
        <w:tc>
          <w:tcPr>
            <w:tcW w:w="1720" w:type="dxa"/>
            <w:vAlign w:val="bottom"/>
          </w:tcPr>
          <w:p>
            <w:pPr>
              <w:ind w:left="20"/>
              <w:spacing w:after="0"/>
              <w:rPr>
                <w:sz w:val="20"/>
                <w:szCs w:val="20"/>
                <w:color w:val="auto"/>
              </w:rPr>
            </w:pPr>
            <w:r>
              <w:rPr>
                <w:rFonts w:ascii="Arial" w:cs="Arial" w:eastAsia="Arial" w:hAnsi="Arial"/>
                <w:sz w:val="18"/>
                <w:szCs w:val="18"/>
                <w:color w:val="auto"/>
              </w:rPr>
              <w:t>Exhibit 4.3*</w:t>
            </w:r>
          </w:p>
        </w:tc>
        <w:tc>
          <w:tcPr>
            <w:tcW w:w="9360" w:type="dxa"/>
            <w:vAlign w:val="bottom"/>
          </w:tcPr>
          <w:p>
            <w:pPr>
              <w:ind w:left="520"/>
              <w:spacing w:after="0"/>
              <w:rPr>
                <w:sz w:val="20"/>
                <w:szCs w:val="20"/>
                <w:color w:val="auto"/>
              </w:rPr>
            </w:pPr>
            <w:r>
              <w:rPr>
                <w:rFonts w:ascii="Arial" w:cs="Arial" w:eastAsia="Arial" w:hAnsi="Arial"/>
                <w:sz w:val="18"/>
                <w:szCs w:val="18"/>
                <w:color w:val="auto"/>
                <w:w w:val="89"/>
              </w:rPr>
              <w:t>Restated Indenture of Mortgage, Deed of Trust, Security Agreement and Financing Statement, amended and restated as of</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3"/>
              </w:rPr>
              <w:t>November 20, 2007, between Cheyenne Light, Fuel and Power Company and Wells Fargo Bank, National Association</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4"/>
              </w:rPr>
              <w:t>(filed as Exhibit 10.2 to the Registrant’s Form 8-K filed on October 2, 2014). First Supplemental Indenture, dated as of</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4"/>
              </w:rPr>
              <w:t>September 3, 2009, between Cheyenne Light, Fuel and Power Company and Wells Fargo Bank, National Association</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1"/>
              </w:rPr>
              <w:t>(filed as Exhibit 10.3 to the Registrant’s Form 8-K filed on October 2, 2014). Second Supplemental Indenture, dated as of</w:t>
            </w:r>
          </w:p>
        </w:tc>
      </w:tr>
      <w:tr>
        <w:trPr>
          <w:trHeight w:val="216"/>
        </w:trPr>
        <w:tc>
          <w:tcPr>
            <w:tcW w:w="1720" w:type="dxa"/>
            <w:vAlign w:val="bottom"/>
          </w:tcPr>
          <w:p>
            <w:pPr>
              <w:spacing w:after="0"/>
              <w:rPr>
                <w:sz w:val="18"/>
                <w:szCs w:val="18"/>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w w:val="92"/>
              </w:rPr>
              <w:t>October 1, 2014, between Cheyenne Light, Fuel and Power Company and Wells Fargo Bank, National Association (filed</w:t>
            </w:r>
          </w:p>
        </w:tc>
      </w:tr>
      <w:tr>
        <w:trPr>
          <w:trHeight w:val="230"/>
        </w:trPr>
        <w:tc>
          <w:tcPr>
            <w:tcW w:w="1720" w:type="dxa"/>
            <w:vAlign w:val="bottom"/>
          </w:tcPr>
          <w:p>
            <w:pPr>
              <w:spacing w:after="0"/>
              <w:rPr>
                <w:sz w:val="20"/>
                <w:szCs w:val="20"/>
                <w:color w:val="auto"/>
              </w:rPr>
            </w:pPr>
          </w:p>
        </w:tc>
        <w:tc>
          <w:tcPr>
            <w:tcW w:w="9360" w:type="dxa"/>
            <w:vAlign w:val="bottom"/>
          </w:tcPr>
          <w:p>
            <w:pPr>
              <w:ind w:left="520"/>
              <w:spacing w:after="0"/>
              <w:rPr>
                <w:sz w:val="20"/>
                <w:szCs w:val="20"/>
                <w:color w:val="auto"/>
              </w:rPr>
            </w:pPr>
            <w:r>
              <w:rPr>
                <w:rFonts w:ascii="Arial" w:cs="Arial" w:eastAsia="Arial" w:hAnsi="Arial"/>
                <w:sz w:val="18"/>
                <w:szCs w:val="18"/>
                <w:color w:val="auto"/>
              </w:rPr>
              <w:t>as Exhibit 10.4 to the Registrant’s Form 8-K filed on October 2, 2014).</w:t>
            </w:r>
          </w:p>
        </w:tc>
      </w:tr>
      <w:tr>
        <w:trPr>
          <w:trHeight w:val="716"/>
        </w:trPr>
        <w:tc>
          <w:tcPr>
            <w:tcW w:w="1720" w:type="dxa"/>
            <w:vAlign w:val="bottom"/>
          </w:tcPr>
          <w:p>
            <w:pPr>
              <w:spacing w:after="0"/>
              <w:rPr>
                <w:sz w:val="24"/>
                <w:szCs w:val="24"/>
                <w:color w:val="auto"/>
              </w:rPr>
            </w:pPr>
          </w:p>
        </w:tc>
        <w:tc>
          <w:tcPr>
            <w:tcW w:w="9360" w:type="dxa"/>
            <w:vAlign w:val="bottom"/>
          </w:tcPr>
          <w:p>
            <w:pPr>
              <w:ind w:left="356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080"/>
          </w:cols>
          <w:pgMar w:left="580" w:top="584" w:right="239" w:bottom="1440" w:gutter="0" w:footer="0" w:header="0"/>
        </w:sectPr>
      </w:pPr>
    </w:p>
    <w:bookmarkStart w:id="71" w:name="page72"/>
    <w:bookmarkEnd w:id="71"/>
    <w:p>
      <w:pPr>
        <w:ind w:left="360"/>
        <w:spacing w:after="0"/>
        <w:rPr>
          <w:sz w:val="20"/>
          <w:szCs w:val="20"/>
          <w:color w:val="auto"/>
        </w:rPr>
      </w:pPr>
      <w:r>
        <w:rPr>
          <w:rFonts w:ascii="Arial" w:cs="Arial" w:eastAsia="Arial" w:hAnsi="Arial"/>
          <w:sz w:val="17"/>
          <w:szCs w:val="17"/>
          <w:color w:val="auto"/>
        </w:rPr>
        <w:t>Exhibit 4.4*</w:t>
      </w:r>
    </w:p>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6"/>
          <w:szCs w:val="16"/>
          <w:color w:val="auto"/>
        </w:rPr>
        <w:t>Junior Subordinated Indenture dated as of November 23, 2015 between Black Hills Corporation and U.S. Bank National Association, as trustee (filed as Exhibit 4.1 to the Registrant’s Form 8-K filed on November 23, 2015). First Supplemental Indenture dated as of November 23, 2015 (filed as Exhibit 4.2 to the Registrant’s Form 8-K filed on November 23, 2015).</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sectPr>
      </w:pP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4.5*</w:t>
      </w:r>
    </w:p>
    <w:p>
      <w:pPr>
        <w:spacing w:after="0" w:line="20" w:lineRule="exact"/>
        <w:rPr>
          <w:sz w:val="20"/>
          <w:szCs w:val="20"/>
          <w:color w:val="auto"/>
        </w:rPr>
      </w:pPr>
      <w:r>
        <w:rPr>
          <w:sz w:val="20"/>
          <w:szCs w:val="20"/>
          <w:color w:val="auto"/>
        </w:rPr>
        <w:br w:type="column"/>
      </w:r>
    </w:p>
    <w:p>
      <w:pPr>
        <w:ind w:right="100"/>
        <w:spacing w:after="0" w:line="264" w:lineRule="auto"/>
        <w:rPr>
          <w:sz w:val="20"/>
          <w:szCs w:val="20"/>
          <w:color w:val="auto"/>
        </w:rPr>
      </w:pPr>
      <w:r>
        <w:rPr>
          <w:rFonts w:ascii="Arial" w:cs="Arial" w:eastAsia="Arial" w:hAnsi="Arial"/>
          <w:sz w:val="18"/>
          <w:szCs w:val="18"/>
          <w:color w:val="auto"/>
        </w:rPr>
        <w:t>Purchase Contract and Pledge Agreement dated as of November 23, 2015 between Black Hills Corporation and U.S. Bank National Association, as purchase contract agent, collateral agent, custodial agent and securities intermediary (filed as Exhibit 4.4 to the Registrant’s Form 8-K filed on November 23, 2015).</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4.6*</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Indenture dated as of April 16, 2007 between SourceGas LLC and U.S. Bank National Association, as Trustee (relating to $325 million, 5.90% Senior Notes due 2017) (filed as Exhibit 10.1 to the Registrant’s Form 8-K filed on March 18, 2016).</w:t>
      </w:r>
    </w:p>
    <w:p>
      <w:pPr>
        <w:spacing w:after="0" w:line="191"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Exhibit 4.7*</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Form of Stock Certificate for Common Stock, Par Value $1.00 Per Share (filed as Exhibit 4.2 to the Registrant’s Form 10-K for 2000).</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10</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1400"/>
        <w:spacing w:after="0"/>
        <w:rPr>
          <w:sz w:val="20"/>
          <w:szCs w:val="20"/>
          <w:color w:val="auto"/>
        </w:rPr>
      </w:pPr>
      <w:r>
        <w:rPr>
          <w:rFonts w:ascii="Arial" w:cs="Arial" w:eastAsia="Arial" w:hAnsi="Arial"/>
          <w:sz w:val="16"/>
          <w:szCs w:val="16"/>
          <w:color w:val="auto"/>
        </w:rPr>
        <w:t>Form of Performance Share Award agreement effective for awards granted on or after January 1, 2017.</w:t>
      </w:r>
    </w:p>
    <w:p>
      <w:pPr>
        <w:spacing w:after="0" w:line="211"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31.1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Certification of Chief Executive Officer pursuant to Rule 13a - 14(a) of the Securities Exchange Act of 1934, as adopted pursuant to Section 302 of the Sarbanes - Oxley Act of 2002.</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Certification of Chief Financial Officer pursuant to Rule 13a - 14(a) of the Securities Exchange Act of 1934, as adopted pursuant to Section 302 of the Sarbanes - Oxley Act of 2002.</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32.1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 - Oxley Act of 2002.</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32.2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 - Oxley Act of 2002.</w:t>
      </w:r>
    </w:p>
    <w:p>
      <w:pPr>
        <w:spacing w:after="0" w:line="200"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Exhibit 95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Mine Safety and Health Administration Safety Data.</w:t>
      </w:r>
    </w:p>
    <w:p>
      <w:pPr>
        <w:spacing w:after="0" w:line="211"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for XBRL Format.</w:t>
      </w:r>
    </w:p>
    <w:p>
      <w:pPr>
        <w:spacing w:after="0" w:line="59" w:lineRule="exact"/>
        <w:rPr>
          <w:sz w:val="20"/>
          <w:szCs w:val="20"/>
          <w:color w:val="auto"/>
        </w:rPr>
      </w:pPr>
    </w:p>
    <w:p>
      <w:pPr>
        <w:sectPr>
          <w:pgSz w:w="11900" w:h="16838" w:orient="portrait"/>
          <w:cols w:equalWidth="0" w:num="2">
            <w:col w:w="1860" w:space="720"/>
            <w:col w:w="8820"/>
          </w:cols>
          <w:pgMar w:left="240" w:top="746" w:right="25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ectPr>
          <w:pgSz w:w="11900" w:h="16838" w:orient="portrait"/>
          <w:cols w:equalWidth="0" w:num="1">
            <w:col w:w="11400"/>
          </w:cols>
          <w:pgMar w:left="240" w:top="746" w:right="259" w:bottom="1440" w:gutter="0" w:footer="0" w:header="0"/>
          <w:type w:val="continuous"/>
        </w:sectPr>
      </w:pPr>
    </w:p>
    <w:p>
      <w:pPr>
        <w:spacing w:after="0" w:line="46"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Previously filed as part of the filing indicated and incorporated by reference herein.</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Indicates a board of director or management compensatory plan.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746" w:right="25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Hills Corporation</w:t>
      </w: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2015 Omnibus Incentive Plan</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Award Agreement</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(for Awards granted on or after January 1, 2017)</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 xml:space="preserve">Performance Period </w:t>
      </w:r>
      <w:r>
        <w:rPr>
          <w:rFonts w:ascii="Arial" w:cs="Arial" w:eastAsia="Arial" w:hAnsi="Arial"/>
          <w:sz w:val="29"/>
          <w:szCs w:val="29"/>
          <w:color w:val="auto"/>
        </w:rPr>
        <w:t>January 1, 2017 -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 AGREEMENT WITH EEI INDEX AS PEER INDEX</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Perf.ShareAward2017</w:t>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Arial" w:cs="Arial" w:eastAsia="Arial" w:hAnsi="Arial"/>
          <w:sz w:val="31"/>
          <w:szCs w:val="31"/>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791845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Article 1.</w:t>
            </w:r>
          </w:p>
        </w:tc>
        <w:tc>
          <w:tcPr>
            <w:tcW w:w="9840" w:type="dxa"/>
            <w:vAlign w:val="bottom"/>
          </w:tcPr>
          <w:p>
            <w:pPr>
              <w:ind w:left="240"/>
              <w:spacing w:after="0"/>
              <w:rPr>
                <w:sz w:val="20"/>
                <w:szCs w:val="20"/>
                <w:color w:val="auto"/>
              </w:rPr>
            </w:pPr>
            <w:r>
              <w:rPr>
                <w:rFonts w:ascii="Arial" w:cs="Arial" w:eastAsia="Arial" w:hAnsi="Arial"/>
                <w:sz w:val="22"/>
                <w:szCs w:val="22"/>
                <w:color w:val="auto"/>
              </w:rPr>
              <w:t>Performance Period</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75">
              <w:r>
                <w:rPr>
                  <w:rFonts w:ascii="Arial" w:cs="Arial" w:eastAsia="Arial" w:hAnsi="Arial"/>
                  <w:sz w:val="22"/>
                  <w:szCs w:val="22"/>
                  <w:color w:val="0000EE"/>
                  <w:w w:val="81"/>
                </w:rPr>
                <w:t>1</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2.</w:t>
            </w:r>
          </w:p>
        </w:tc>
        <w:tc>
          <w:tcPr>
            <w:tcW w:w="9840" w:type="dxa"/>
            <w:vAlign w:val="bottom"/>
          </w:tcPr>
          <w:p>
            <w:pPr>
              <w:ind w:left="240"/>
              <w:spacing w:after="0"/>
              <w:rPr>
                <w:sz w:val="20"/>
                <w:szCs w:val="20"/>
                <w:color w:val="auto"/>
              </w:rPr>
            </w:pPr>
            <w:r>
              <w:rPr>
                <w:rFonts w:ascii="Arial" w:cs="Arial" w:eastAsia="Arial" w:hAnsi="Arial"/>
                <w:sz w:val="22"/>
                <w:szCs w:val="22"/>
                <w:color w:val="auto"/>
              </w:rPr>
              <w:t>Value of Performance Shares</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76">
              <w:r>
                <w:rPr>
                  <w:rFonts w:ascii="Arial" w:cs="Arial" w:eastAsia="Arial" w:hAnsi="Arial"/>
                  <w:sz w:val="22"/>
                  <w:szCs w:val="22"/>
                  <w:color w:val="0000EE"/>
                  <w:w w:val="81"/>
                </w:rPr>
                <w:t>2</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3.</w:t>
            </w:r>
          </w:p>
        </w:tc>
        <w:tc>
          <w:tcPr>
            <w:tcW w:w="9840" w:type="dxa"/>
            <w:vAlign w:val="bottom"/>
          </w:tcPr>
          <w:p>
            <w:pPr>
              <w:ind w:left="240"/>
              <w:spacing w:after="0"/>
              <w:rPr>
                <w:sz w:val="20"/>
                <w:szCs w:val="20"/>
                <w:color w:val="auto"/>
              </w:rPr>
            </w:pPr>
            <w:r>
              <w:rPr>
                <w:rFonts w:ascii="Arial" w:cs="Arial" w:eastAsia="Arial" w:hAnsi="Arial"/>
                <w:sz w:val="22"/>
                <w:szCs w:val="22"/>
                <w:color w:val="auto"/>
              </w:rPr>
              <w:t>Performance Shares and Achievement of Performance Measure</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76">
              <w:r>
                <w:rPr>
                  <w:rFonts w:ascii="Arial" w:cs="Arial" w:eastAsia="Arial" w:hAnsi="Arial"/>
                  <w:sz w:val="22"/>
                  <w:szCs w:val="22"/>
                  <w:color w:val="0000EE"/>
                  <w:w w:val="81"/>
                </w:rPr>
                <w:t>2</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4.</w:t>
            </w:r>
          </w:p>
        </w:tc>
        <w:tc>
          <w:tcPr>
            <w:tcW w:w="9840" w:type="dxa"/>
            <w:vAlign w:val="bottom"/>
          </w:tcPr>
          <w:p>
            <w:pPr>
              <w:ind w:left="240"/>
              <w:spacing w:after="0"/>
              <w:rPr>
                <w:sz w:val="20"/>
                <w:szCs w:val="20"/>
                <w:color w:val="auto"/>
              </w:rPr>
            </w:pPr>
            <w:r>
              <w:rPr>
                <w:rFonts w:ascii="Arial" w:cs="Arial" w:eastAsia="Arial" w:hAnsi="Arial"/>
                <w:sz w:val="22"/>
                <w:szCs w:val="22"/>
                <w:color w:val="auto"/>
              </w:rPr>
              <w:t>Termination Provisions</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77">
              <w:r>
                <w:rPr>
                  <w:rFonts w:ascii="Arial" w:cs="Arial" w:eastAsia="Arial" w:hAnsi="Arial"/>
                  <w:sz w:val="22"/>
                  <w:szCs w:val="22"/>
                  <w:color w:val="0000EE"/>
                  <w:w w:val="81"/>
                </w:rPr>
                <w:t>3</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5.</w:t>
            </w:r>
          </w:p>
        </w:tc>
        <w:tc>
          <w:tcPr>
            <w:tcW w:w="9840" w:type="dxa"/>
            <w:vAlign w:val="bottom"/>
          </w:tcPr>
          <w:p>
            <w:pPr>
              <w:ind w:left="240"/>
              <w:spacing w:after="0"/>
              <w:rPr>
                <w:sz w:val="20"/>
                <w:szCs w:val="20"/>
                <w:color w:val="auto"/>
              </w:rPr>
            </w:pPr>
            <w:r>
              <w:rPr>
                <w:rFonts w:ascii="Arial" w:cs="Arial" w:eastAsia="Arial" w:hAnsi="Arial"/>
                <w:sz w:val="22"/>
                <w:szCs w:val="22"/>
                <w:color w:val="auto"/>
              </w:rPr>
              <w:t>Change in Control</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77">
              <w:r>
                <w:rPr>
                  <w:rFonts w:ascii="Arial" w:cs="Arial" w:eastAsia="Arial" w:hAnsi="Arial"/>
                  <w:sz w:val="22"/>
                  <w:szCs w:val="22"/>
                  <w:color w:val="0000EE"/>
                  <w:w w:val="81"/>
                </w:rPr>
                <w:t>3</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6.</w:t>
            </w:r>
          </w:p>
        </w:tc>
        <w:tc>
          <w:tcPr>
            <w:tcW w:w="9840" w:type="dxa"/>
            <w:vAlign w:val="bottom"/>
          </w:tcPr>
          <w:p>
            <w:pPr>
              <w:ind w:left="240"/>
              <w:spacing w:after="0"/>
              <w:rPr>
                <w:sz w:val="20"/>
                <w:szCs w:val="20"/>
                <w:color w:val="auto"/>
              </w:rPr>
            </w:pPr>
            <w:r>
              <w:rPr>
                <w:rFonts w:ascii="Arial" w:cs="Arial" w:eastAsia="Arial" w:hAnsi="Arial"/>
                <w:sz w:val="22"/>
                <w:szCs w:val="22"/>
                <w:color w:val="auto"/>
              </w:rPr>
              <w:t>Forfeiture and Repayment</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79">
              <w:r>
                <w:rPr>
                  <w:rFonts w:ascii="Arial" w:cs="Arial" w:eastAsia="Arial" w:hAnsi="Arial"/>
                  <w:sz w:val="22"/>
                  <w:szCs w:val="22"/>
                  <w:color w:val="0000EE"/>
                  <w:w w:val="81"/>
                </w:rPr>
                <w:t>5</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7.</w:t>
            </w:r>
          </w:p>
        </w:tc>
        <w:tc>
          <w:tcPr>
            <w:tcW w:w="9840" w:type="dxa"/>
            <w:vAlign w:val="bottom"/>
          </w:tcPr>
          <w:p>
            <w:pPr>
              <w:ind w:left="240"/>
              <w:spacing w:after="0"/>
              <w:rPr>
                <w:sz w:val="20"/>
                <w:szCs w:val="20"/>
                <w:color w:val="auto"/>
              </w:rPr>
            </w:pPr>
            <w:r>
              <w:rPr>
                <w:rFonts w:ascii="Arial" w:cs="Arial" w:eastAsia="Arial" w:hAnsi="Arial"/>
                <w:sz w:val="22"/>
                <w:szCs w:val="22"/>
                <w:color w:val="auto"/>
              </w:rPr>
              <w:t>Dividends</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81">
              <w:r>
                <w:rPr>
                  <w:rFonts w:ascii="Arial" w:cs="Arial" w:eastAsia="Arial" w:hAnsi="Arial"/>
                  <w:sz w:val="22"/>
                  <w:szCs w:val="22"/>
                  <w:color w:val="0000EE"/>
                  <w:w w:val="81"/>
                </w:rPr>
                <w:t>7</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8.</w:t>
            </w:r>
          </w:p>
        </w:tc>
        <w:tc>
          <w:tcPr>
            <w:tcW w:w="9840" w:type="dxa"/>
            <w:vAlign w:val="bottom"/>
          </w:tcPr>
          <w:p>
            <w:pPr>
              <w:ind w:left="240"/>
              <w:spacing w:after="0"/>
              <w:rPr>
                <w:sz w:val="20"/>
                <w:szCs w:val="20"/>
                <w:color w:val="auto"/>
              </w:rPr>
            </w:pPr>
            <w:r>
              <w:rPr>
                <w:rFonts w:ascii="Arial" w:cs="Arial" w:eastAsia="Arial" w:hAnsi="Arial"/>
                <w:sz w:val="22"/>
                <w:szCs w:val="22"/>
                <w:color w:val="auto"/>
              </w:rPr>
              <w:t>Form and Timing of Payment of Performance Shares</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81">
              <w:r>
                <w:rPr>
                  <w:rFonts w:ascii="Arial" w:cs="Arial" w:eastAsia="Arial" w:hAnsi="Arial"/>
                  <w:sz w:val="22"/>
                  <w:szCs w:val="22"/>
                  <w:color w:val="0000EE"/>
                  <w:w w:val="81"/>
                </w:rPr>
                <w:t>7</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9.</w:t>
            </w:r>
          </w:p>
        </w:tc>
        <w:tc>
          <w:tcPr>
            <w:tcW w:w="9840" w:type="dxa"/>
            <w:vAlign w:val="bottom"/>
          </w:tcPr>
          <w:p>
            <w:pPr>
              <w:ind w:left="240"/>
              <w:spacing w:after="0"/>
              <w:rPr>
                <w:sz w:val="20"/>
                <w:szCs w:val="20"/>
                <w:color w:val="auto"/>
              </w:rPr>
            </w:pPr>
            <w:r>
              <w:rPr>
                <w:rFonts w:ascii="Arial" w:cs="Arial" w:eastAsia="Arial" w:hAnsi="Arial"/>
                <w:sz w:val="22"/>
                <w:szCs w:val="22"/>
                <w:color w:val="auto"/>
              </w:rPr>
              <w:t>Nontransferability</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82">
              <w:r>
                <w:rPr>
                  <w:rFonts w:ascii="Arial" w:cs="Arial" w:eastAsia="Arial" w:hAnsi="Arial"/>
                  <w:sz w:val="22"/>
                  <w:szCs w:val="22"/>
                  <w:color w:val="0000EE"/>
                  <w:w w:val="81"/>
                </w:rPr>
                <w:t>8</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10.</w:t>
            </w:r>
          </w:p>
        </w:tc>
        <w:tc>
          <w:tcPr>
            <w:tcW w:w="9840" w:type="dxa"/>
            <w:vAlign w:val="bottom"/>
          </w:tcPr>
          <w:p>
            <w:pPr>
              <w:ind w:left="240"/>
              <w:spacing w:after="0"/>
              <w:rPr>
                <w:sz w:val="20"/>
                <w:szCs w:val="20"/>
                <w:color w:val="auto"/>
              </w:rPr>
            </w:pPr>
            <w:r>
              <w:rPr>
                <w:rFonts w:ascii="Arial" w:cs="Arial" w:eastAsia="Arial" w:hAnsi="Arial"/>
                <w:sz w:val="22"/>
                <w:szCs w:val="22"/>
                <w:color w:val="auto"/>
              </w:rPr>
              <w:t>Administration</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82">
              <w:r>
                <w:rPr>
                  <w:rFonts w:ascii="Arial" w:cs="Arial" w:eastAsia="Arial" w:hAnsi="Arial"/>
                  <w:sz w:val="22"/>
                  <w:szCs w:val="22"/>
                  <w:color w:val="0000EE"/>
                  <w:w w:val="81"/>
                </w:rPr>
                <w:t>8</w:t>
              </w:r>
            </w:hyperlink>
          </w:p>
        </w:tc>
      </w:tr>
      <w:tr>
        <w:trPr>
          <w:trHeight w:val="601"/>
        </w:trPr>
        <w:tc>
          <w:tcPr>
            <w:tcW w:w="1140" w:type="dxa"/>
            <w:vAlign w:val="bottom"/>
          </w:tcPr>
          <w:p>
            <w:pPr>
              <w:spacing w:after="0"/>
              <w:rPr>
                <w:sz w:val="20"/>
                <w:szCs w:val="20"/>
                <w:color w:val="auto"/>
              </w:rPr>
            </w:pPr>
            <w:r>
              <w:rPr>
                <w:rFonts w:ascii="Arial" w:cs="Arial" w:eastAsia="Arial" w:hAnsi="Arial"/>
                <w:sz w:val="22"/>
                <w:szCs w:val="22"/>
                <w:color w:val="auto"/>
              </w:rPr>
              <w:t>Article 11.</w:t>
            </w:r>
          </w:p>
        </w:tc>
        <w:tc>
          <w:tcPr>
            <w:tcW w:w="9840" w:type="dxa"/>
            <w:vAlign w:val="bottom"/>
          </w:tcPr>
          <w:p>
            <w:pPr>
              <w:ind w:left="240"/>
              <w:spacing w:after="0"/>
              <w:rPr>
                <w:sz w:val="20"/>
                <w:szCs w:val="20"/>
                <w:color w:val="auto"/>
              </w:rPr>
            </w:pPr>
            <w:r>
              <w:rPr>
                <w:rFonts w:ascii="Arial" w:cs="Arial" w:eastAsia="Arial" w:hAnsi="Arial"/>
                <w:sz w:val="22"/>
                <w:szCs w:val="22"/>
                <w:color w:val="auto"/>
              </w:rPr>
              <w:t>Miscellaneous</w:t>
            </w:r>
          </w:p>
        </w:tc>
        <w:tc>
          <w:tcPr>
            <w:tcW w:w="1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82">
              <w:r>
                <w:rPr>
                  <w:rFonts w:ascii="Arial" w:cs="Arial" w:eastAsia="Arial" w:hAnsi="Arial"/>
                  <w:sz w:val="22"/>
                  <w:szCs w:val="22"/>
                  <w:color w:val="0000EE"/>
                  <w:w w:val="81"/>
                </w:rPr>
                <w:t>8</w:t>
              </w:r>
            </w:hyperlink>
          </w:p>
        </w:tc>
      </w:tr>
    </w:tbl>
    <w:p>
      <w:pPr>
        <w:sectPr>
          <w:pgSz w:w="11900" w:h="16838" w:orient="portrait"/>
          <w:cols w:equalWidth="0" w:num="1">
            <w:col w:w="11140"/>
          </w:cols>
          <w:pgMar w:left="240" w:top="360" w:right="519" w:bottom="1440" w:gutter="0" w:footer="0" w:header="0"/>
        </w:sectPr>
      </w:pPr>
    </w:p>
    <w:bookmarkStart w:id="74" w:name="page75"/>
    <w:bookmarkEnd w:id="74"/>
    <w:p>
      <w:pPr>
        <w:spacing w:after="0"/>
        <w:rPr>
          <w:sz w:val="20"/>
          <w:szCs w:val="20"/>
          <w:color w:val="auto"/>
        </w:rPr>
      </w:pPr>
      <w:r>
        <w:rPr>
          <w:rFonts w:ascii="Arial" w:cs="Arial" w:eastAsia="Arial" w:hAnsi="Arial"/>
          <w:sz w:val="29"/>
          <w:szCs w:val="29"/>
          <w:b w:val="1"/>
          <w:bCs w:val="1"/>
          <w:color w:val="auto"/>
        </w:rPr>
        <w:t>Black Hills Corporation</w:t>
      </w: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2015 Omnibus Incentive Plan</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Award Agreement</w:t>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Period January 1, 2017 - December 31, 2019</w:t>
      </w:r>
    </w:p>
    <w:p>
      <w:pPr>
        <w:spacing w:after="0" w:line="258" w:lineRule="exact"/>
        <w:rPr>
          <w:sz w:val="20"/>
          <w:szCs w:val="20"/>
          <w:color w:val="auto"/>
        </w:rPr>
      </w:pPr>
    </w:p>
    <w:p>
      <w:pPr>
        <w:ind w:right="3740"/>
        <w:spacing w:after="0" w:line="263" w:lineRule="auto"/>
        <w:rPr>
          <w:sz w:val="20"/>
          <w:szCs w:val="20"/>
          <w:color w:val="auto"/>
        </w:rPr>
      </w:pPr>
      <w:r>
        <w:rPr>
          <w:rFonts w:ascii="Arial" w:cs="Arial" w:eastAsia="Arial" w:hAnsi="Arial"/>
          <w:sz w:val="22"/>
          <w:szCs w:val="22"/>
          <w:color w:val="auto"/>
        </w:rPr>
        <w:t>You have been selected to be a participant in the Black Hills Corporation 2015 Omnibus Incentive Plan (the “Plan”), as specified below:</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 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Performance Share Award</w:t>
      </w:r>
      <w:r>
        <w:rPr>
          <w:rFonts w:ascii="Arial" w:cs="Arial" w:eastAsia="Arial" w:hAnsi="Arial"/>
          <w:sz w:val="22"/>
          <w:szCs w:val="22"/>
          <w:color w:val="auto"/>
        </w:rPr>
        <w:t>: _______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Period</w:t>
      </w:r>
      <w:r>
        <w:rPr>
          <w:rFonts w:ascii="Arial" w:cs="Arial" w:eastAsia="Arial" w:hAnsi="Arial"/>
          <w:sz w:val="22"/>
          <w:szCs w:val="22"/>
          <w:color w:val="auto"/>
        </w:rPr>
        <w:t>: January 1, 2017 to December 31, 2019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Measure</w:t>
      </w:r>
      <w:r>
        <w:rPr>
          <w:rFonts w:ascii="Arial" w:cs="Arial" w:eastAsia="Arial" w:hAnsi="Arial"/>
          <w:sz w:val="22"/>
          <w:szCs w:val="22"/>
          <w:color w:val="auto"/>
        </w:rPr>
        <w:t>: Total Shareholder Return (“TSR”).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Peer Index</w:t>
      </w:r>
      <w:r>
        <w:rPr>
          <w:rFonts w:ascii="Arial" w:cs="Arial" w:eastAsia="Arial" w:hAnsi="Arial"/>
          <w:sz w:val="22"/>
          <w:szCs w:val="22"/>
          <w:color w:val="auto"/>
        </w:rPr>
        <w:t>: EEI Index</w:t>
      </w:r>
    </w:p>
    <w:p>
      <w:pPr>
        <w:spacing w:after="0" w:line="26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peer group for TSR performance purposes consists of all companies comprising the EEI Index. Throughout the performance period, companies may be added or dropped from the index due to mergers or other activities. At the end of the performance period, new companies that are added to the index are included in the rankings as if they had been in the ranking from the beginning, provided there is sufficient trading history to include them in the final calculation. When a company is dropped from the index, everything related to the company is excluded as if it were never in the index. Companies included in the EEI Index at the beginning of the Performance Period excluding Black Hills Corporation, are listed in Appendix A.</w:t>
      </w:r>
    </w:p>
    <w:p>
      <w:pPr>
        <w:spacing w:after="0" w:line="190"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THIS AGREEMENT (the “Agreement”) effective January 1, 2017, represents the grant of Performance Shares by Black Hills Corporation, a South Dakota corporation (the “Company”), to the Participant named above, pursuant to the provisions of the Plan.</w:t>
      </w:r>
    </w:p>
    <w:p>
      <w:pPr>
        <w:spacing w:after="0" w:line="226"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The Plan provides a complete description of the terms and conditions governing the Performance Shares. If there is any inconsistency between the terms of this Agreement and the terms of the Plan, the Plan’s terms shall completely supersede and replace the conflicting terms of this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capitalized terms shall have the meanings ascribed to them in the Plan, unless specifically set forth otherwise herein.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agree as follows: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Performance Period</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Performance Period commences on January 1, 2017 and ends on December 31, 2019.</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351" w:right="27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auto"/>
        </w:rPr>
        <w:t>Article 2. Value of Performance Shares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Each Performance Share shall represent and have a value equal to one share of common stock of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Performance Shares and Achievement of Performance Measure</w:t>
      </w:r>
    </w:p>
    <w:p>
      <w:pPr>
        <w:spacing w:after="0" w:line="266"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color w:val="auto"/>
        </w:rPr>
        <w:t>The number of Performance Shares to be earned under this Agreement shall be based upon the achievement of pre-established TSR performance goals as set by the Compensation Committee of the Board of Directors (the “Committee”) for the Performance Period, based on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234315</wp:posOffset>
            </wp:positionV>
            <wp:extent cx="572008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pacing w:after="0" w:line="386"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6260" w:type="dxa"/>
            <w:vAlign w:val="bottom"/>
          </w:tcPr>
          <w:p>
            <w:pPr>
              <w:spacing w:after="0"/>
              <w:rPr>
                <w:sz w:val="21"/>
                <w:szCs w:val="21"/>
                <w:color w:val="auto"/>
              </w:rPr>
            </w:pPr>
          </w:p>
        </w:tc>
        <w:tc>
          <w:tcPr>
            <w:tcW w:w="2740" w:type="dxa"/>
            <w:vAlign w:val="bottom"/>
          </w:tcPr>
          <w:p>
            <w:pPr>
              <w:ind w:left="880"/>
              <w:spacing w:after="0"/>
              <w:rPr>
                <w:sz w:val="20"/>
                <w:szCs w:val="20"/>
                <w:color w:val="auto"/>
              </w:rPr>
            </w:pPr>
            <w:r>
              <w:rPr>
                <w:rFonts w:ascii="Arial" w:cs="Arial" w:eastAsia="Arial" w:hAnsi="Arial"/>
                <w:sz w:val="22"/>
                <w:szCs w:val="22"/>
                <w:color w:val="auto"/>
              </w:rPr>
              <w:t>Payout</w:t>
            </w:r>
          </w:p>
        </w:tc>
      </w:tr>
      <w:tr>
        <w:trPr>
          <w:trHeight w:val="285"/>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TSR Performance Relative to Companies in Peer Index</w:t>
            </w:r>
          </w:p>
        </w:tc>
        <w:tc>
          <w:tcPr>
            <w:tcW w:w="2740" w:type="dxa"/>
            <w:vAlign w:val="bottom"/>
            <w:tcBorders>
              <w:bottom w:val="single" w:sz="8" w:color="auto"/>
            </w:tcBorders>
          </w:tcPr>
          <w:p>
            <w:pPr>
              <w:ind w:left="880"/>
              <w:spacing w:after="0"/>
              <w:rPr>
                <w:sz w:val="20"/>
                <w:szCs w:val="20"/>
                <w:color w:val="auto"/>
              </w:rPr>
            </w:pPr>
            <w:r>
              <w:rPr>
                <w:rFonts w:ascii="Arial" w:cs="Arial" w:eastAsia="Arial" w:hAnsi="Arial"/>
                <w:sz w:val="22"/>
                <w:szCs w:val="22"/>
                <w:color w:val="auto"/>
              </w:rPr>
              <w:t>(% of Target)</w:t>
            </w:r>
          </w:p>
        </w:tc>
      </w:tr>
      <w:tr>
        <w:trPr>
          <w:trHeight w:val="546"/>
        </w:trPr>
        <w:tc>
          <w:tcPr>
            <w:tcW w:w="6260" w:type="dxa"/>
            <w:vAlign w:val="bottom"/>
          </w:tcPr>
          <w:p>
            <w:pPr>
              <w:ind w:left="20"/>
              <w:spacing w:after="0"/>
              <w:rPr>
                <w:sz w:val="20"/>
                <w:szCs w:val="20"/>
                <w:color w:val="auto"/>
              </w:rPr>
            </w:pPr>
            <w:r>
              <w:rPr>
                <w:rFonts w:ascii="Arial" w:cs="Arial" w:eastAsia="Arial" w:hAnsi="Arial"/>
                <w:sz w:val="22"/>
                <w:szCs w:val="22"/>
                <w:color w:val="auto"/>
              </w:rPr>
              <w:t>90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or Above</w:t>
            </w:r>
          </w:p>
        </w:tc>
        <w:tc>
          <w:tcPr>
            <w:tcW w:w="2740" w:type="dxa"/>
            <w:vAlign w:val="bottom"/>
          </w:tcPr>
          <w:p>
            <w:pPr>
              <w:ind w:left="880"/>
              <w:spacing w:after="0"/>
              <w:rPr>
                <w:sz w:val="20"/>
                <w:szCs w:val="20"/>
                <w:color w:val="auto"/>
              </w:rPr>
            </w:pPr>
            <w:r>
              <w:rPr>
                <w:rFonts w:ascii="Arial" w:cs="Arial" w:eastAsia="Arial" w:hAnsi="Arial"/>
                <w:sz w:val="22"/>
                <w:szCs w:val="22"/>
                <w:color w:val="auto"/>
              </w:rPr>
              <w:t>200%</w:t>
            </w:r>
          </w:p>
        </w:tc>
      </w:tr>
      <w:tr>
        <w:trPr>
          <w:trHeight w:val="297"/>
        </w:trPr>
        <w:tc>
          <w:tcPr>
            <w:tcW w:w="6260" w:type="dxa"/>
            <w:vAlign w:val="bottom"/>
          </w:tcPr>
          <w:p>
            <w:pPr>
              <w:ind w:left="20"/>
              <w:spacing w:after="0" w:line="297" w:lineRule="exact"/>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2740" w:type="dxa"/>
            <w:vAlign w:val="bottom"/>
          </w:tcPr>
          <w:p>
            <w:pPr>
              <w:ind w:left="880"/>
              <w:spacing w:after="0"/>
              <w:rPr>
                <w:sz w:val="20"/>
                <w:szCs w:val="20"/>
                <w:color w:val="auto"/>
              </w:rPr>
            </w:pPr>
            <w:r>
              <w:rPr>
                <w:rFonts w:ascii="Arial" w:cs="Arial" w:eastAsia="Arial" w:hAnsi="Arial"/>
                <w:sz w:val="22"/>
                <w:szCs w:val="22"/>
                <w:color w:val="auto"/>
              </w:rPr>
              <w:t>100%</w:t>
            </w:r>
          </w:p>
        </w:tc>
      </w:tr>
      <w:tr>
        <w:trPr>
          <w:trHeight w:val="297"/>
        </w:trPr>
        <w:tc>
          <w:tcPr>
            <w:tcW w:w="6260" w:type="dxa"/>
            <w:vAlign w:val="bottom"/>
          </w:tcPr>
          <w:p>
            <w:pPr>
              <w:ind w:left="20"/>
              <w:spacing w:after="0" w:line="297" w:lineRule="exact"/>
              <w:rPr>
                <w:sz w:val="20"/>
                <w:szCs w:val="20"/>
                <w:color w:val="auto"/>
              </w:rPr>
            </w:pPr>
            <w:r>
              <w:rPr>
                <w:rFonts w:ascii="Arial" w:cs="Arial" w:eastAsia="Arial" w:hAnsi="Arial"/>
                <w:sz w:val="22"/>
                <w:szCs w:val="22"/>
                <w:color w:val="auto"/>
              </w:rPr>
              <w:t>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2740" w:type="dxa"/>
            <w:vAlign w:val="bottom"/>
          </w:tcPr>
          <w:p>
            <w:pPr>
              <w:ind w:left="880"/>
              <w:spacing w:after="0"/>
              <w:rPr>
                <w:sz w:val="20"/>
                <w:szCs w:val="20"/>
                <w:color w:val="auto"/>
              </w:rPr>
            </w:pPr>
            <w:r>
              <w:rPr>
                <w:rFonts w:ascii="Arial" w:cs="Arial" w:eastAsia="Arial" w:hAnsi="Arial"/>
                <w:sz w:val="22"/>
                <w:szCs w:val="22"/>
                <w:color w:val="auto"/>
              </w:rPr>
              <w:t>25%</w:t>
            </w:r>
          </w:p>
        </w:tc>
      </w:tr>
      <w:tr>
        <w:trPr>
          <w:trHeight w:val="297"/>
        </w:trPr>
        <w:tc>
          <w:tcPr>
            <w:tcW w:w="6260" w:type="dxa"/>
            <w:vAlign w:val="bottom"/>
          </w:tcPr>
          <w:p>
            <w:pPr>
              <w:ind w:left="20"/>
              <w:spacing w:after="0" w:line="297" w:lineRule="exact"/>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and TSR is equal to or greater than 35%</w:t>
            </w:r>
          </w:p>
        </w:tc>
        <w:tc>
          <w:tcPr>
            <w:tcW w:w="2740" w:type="dxa"/>
            <w:vAlign w:val="bottom"/>
          </w:tcPr>
          <w:p>
            <w:pPr>
              <w:ind w:left="880"/>
              <w:spacing w:after="0"/>
              <w:rPr>
                <w:sz w:val="20"/>
                <w:szCs w:val="20"/>
                <w:color w:val="auto"/>
              </w:rPr>
            </w:pPr>
            <w:r>
              <w:rPr>
                <w:rFonts w:ascii="Arial" w:cs="Arial" w:eastAsia="Arial" w:hAnsi="Arial"/>
                <w:sz w:val="22"/>
                <w:szCs w:val="22"/>
                <w:color w:val="auto"/>
              </w:rPr>
              <w:t>25%</w:t>
            </w:r>
          </w:p>
        </w:tc>
      </w:tr>
      <w:tr>
        <w:trPr>
          <w:trHeight w:val="377"/>
        </w:trPr>
        <w:tc>
          <w:tcPr>
            <w:tcW w:w="6260" w:type="dxa"/>
            <w:vAlign w:val="bottom"/>
          </w:tcPr>
          <w:p>
            <w:pPr>
              <w:ind w:left="20"/>
              <w:spacing w:after="0"/>
              <w:rPr>
                <w:sz w:val="20"/>
                <w:szCs w:val="20"/>
                <w:color w:val="auto"/>
              </w:rPr>
            </w:pPr>
            <w:r>
              <w:rPr>
                <w:rFonts w:ascii="Arial" w:cs="Arial" w:eastAsia="Arial" w:hAnsi="Arial"/>
                <w:sz w:val="22"/>
                <w:szCs w:val="22"/>
                <w:color w:val="auto"/>
              </w:rPr>
              <w:t>Below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and TSR is below 35%</w:t>
            </w:r>
          </w:p>
        </w:tc>
        <w:tc>
          <w:tcPr>
            <w:tcW w:w="2740" w:type="dxa"/>
            <w:vAlign w:val="bottom"/>
          </w:tcPr>
          <w:p>
            <w:pPr>
              <w:ind w:left="880"/>
              <w:spacing w:after="0"/>
              <w:rPr>
                <w:sz w:val="20"/>
                <w:szCs w:val="20"/>
                <w:color w:val="auto"/>
              </w:rPr>
            </w:pPr>
            <w:r>
              <w:rPr>
                <w:rFonts w:ascii="Arial" w:cs="Arial" w:eastAsia="Arial" w:hAnsi="Arial"/>
                <w:sz w:val="22"/>
                <w:szCs w:val="22"/>
                <w:color w:val="auto"/>
              </w:rPr>
              <w:t>0%</w:t>
            </w:r>
          </w:p>
        </w:tc>
      </w:tr>
    </w:tbl>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addition, if TSR is negative during the Performance Period, the payout will not exceed 100% of target.</w:t>
      </w:r>
    </w:p>
    <w:p>
      <w:pPr>
        <w:spacing w:after="0" w:line="260"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Interpolation shall be used to determine the percentile rank in the event the Company’s Percentile Rank does not fall directly on one of the ranks listed in the above chart.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this purpose, Total Shareholder Return shall be determined as follows:</w:t>
      </w:r>
    </w:p>
    <w:p>
      <w:pPr>
        <w:spacing w:after="0" w:line="380"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Arial" w:cs="Arial" w:eastAsia="Arial" w:hAnsi="Arial"/>
                <w:sz w:val="22"/>
                <w:szCs w:val="22"/>
                <w:color w:val="auto"/>
              </w:rPr>
              <w:t>Total Shareholder</w:t>
            </w:r>
          </w:p>
        </w:tc>
        <w:tc>
          <w:tcPr>
            <w:tcW w:w="4360" w:type="dxa"/>
            <w:vAlign w:val="bottom"/>
            <w:gridSpan w:val="2"/>
          </w:tcPr>
          <w:p>
            <w:pPr>
              <w:ind w:left="460"/>
              <w:spacing w:after="0"/>
              <w:rPr>
                <w:sz w:val="20"/>
                <w:szCs w:val="20"/>
                <w:color w:val="auto"/>
              </w:rPr>
            </w:pPr>
            <w:r>
              <w:rPr>
                <w:rFonts w:ascii="Arial" w:cs="Arial" w:eastAsia="Arial" w:hAnsi="Arial"/>
                <w:sz w:val="22"/>
                <w:szCs w:val="22"/>
                <w:color w:val="auto"/>
                <w:w w:val="92"/>
              </w:rPr>
              <w:t>=   Change in Stock Price + Dividends Paid</w:t>
            </w:r>
          </w:p>
        </w:tc>
      </w:tr>
      <w:tr>
        <w:trPr>
          <w:trHeight w:val="274"/>
        </w:trPr>
        <w:tc>
          <w:tcPr>
            <w:tcW w:w="2000" w:type="dxa"/>
            <w:vAlign w:val="bottom"/>
          </w:tcPr>
          <w:p>
            <w:pPr>
              <w:spacing w:after="0"/>
              <w:rPr>
                <w:sz w:val="20"/>
                <w:szCs w:val="20"/>
                <w:color w:val="auto"/>
              </w:rPr>
            </w:pPr>
            <w:r>
              <w:rPr>
                <w:rFonts w:ascii="Arial" w:cs="Arial" w:eastAsia="Arial" w:hAnsi="Arial"/>
                <w:sz w:val="22"/>
                <w:szCs w:val="22"/>
                <w:color w:val="auto"/>
              </w:rPr>
              <w:t>Return</w:t>
            </w:r>
          </w:p>
        </w:tc>
        <w:tc>
          <w:tcPr>
            <w:tcW w:w="880" w:type="dxa"/>
            <w:vAlign w:val="bottom"/>
          </w:tcPr>
          <w:p>
            <w:pPr>
              <w:spacing w:after="0"/>
              <w:rPr>
                <w:sz w:val="23"/>
                <w:szCs w:val="23"/>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Beginning Stock Price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Beginning Stock Price shall mean the average closing price on the applicable stock exchange of one share of stock for the twenty</w:t>
      </w:r>
    </w:p>
    <w:p>
      <w:pPr>
        <w:spacing w:after="0" w:line="56" w:lineRule="exact"/>
        <w:rPr>
          <w:sz w:val="20"/>
          <w:szCs w:val="20"/>
          <w:color w:val="auto"/>
        </w:rPr>
      </w:pPr>
    </w:p>
    <w:p>
      <w:pPr>
        <w:ind w:right="180" w:firstLine="8"/>
        <w:spacing w:after="0" w:line="292" w:lineRule="auto"/>
        <w:tabs>
          <w:tab w:leader="none" w:pos="41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trading days immediately prior to the first day of the Performance Period; Ending Stock Price shall mean the average closing price on the applicable stock exchange of one share of stock for the last twenty (20) trading days of the Performance Period; Change in Stock Price shall mean the difference between the Beginning Stock Price and the Ending Stock Price; and Dividends Paid shall mean the total of all dividends paid on one (1) share of stock during the Performance Period. Following the Total Shareholder Return determination, the Company’s Percentile Rank shall be determined as follows:</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Percentile Rank shall be determined by listing from highest Total Shareholder Return to lowest Total Shareholder Return each company in the Peer Index (excluding the Company). The top company would have a one hundred percentile (100%) rank and the bottom company would have a zero percentile (0.0%) rank. Each company in between would be one hundred divided by n minus one (100/(n-1)) above the company below it, where “n” is the total number of companies in the Peer Index. The Company percentile rank would then be interpolated based on the Company TSR.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9" w:right="25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Article 4. Termination Provisions</w:t>
      </w:r>
    </w:p>
    <w:p>
      <w:pPr>
        <w:spacing w:after="0" w:line="26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Except as provided below in this Article 4 and in Article 5, a Participant shall be eligible for payment of awarded Performance Shares, as determined in Article 3, only if the Participant’s employment with the Company continues through the end of the Performance Period.</w:t>
      </w:r>
    </w:p>
    <w:p>
      <w:pPr>
        <w:spacing w:after="0" w:line="22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If participant Retires, suffers a Disability, or dies during the Performance Period, the Participant (or the Participant’s estate) shall be entitled to that proportion of the number of Performance Shares as such Participant is entitled to under Article 3 for such Performance Period that the number of full months of participation during the Performance Period bears to the total number of months in the Performance Period. The form and timing of the payment of such Performance Shares shall be as set forth in Article 8.</w:t>
      </w:r>
    </w:p>
    <w:p>
      <w:pPr>
        <w:spacing w:after="0" w:line="233"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“Retirement” or “Retires” means a Separation from service by a Participant on or after (i) attaining the age of 55 with at least 5 years of service, or (ii) attaining the age of 65.</w:t>
      </w:r>
    </w:p>
    <w:p>
      <w:pPr>
        <w:spacing w:after="0" w:line="215"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22"/>
          <w:szCs w:val="22"/>
          <w:color w:val="auto"/>
        </w:rPr>
        <w:t>“Separation from service” (as defined in Treasury Regulation Section 1.409A-1(h)) during the Performance Period other than (i) due to Retirement, Disability, or death, or (ii) following a Change in Control shall require forfeiture of this entire award, with no payment to the Participant.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Change in Control</w:t>
      </w:r>
    </w:p>
    <w:p>
      <w:pPr>
        <w:spacing w:after="0" w:line="26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Notwithstanding anything herein to the contrary, in the event of a Change in Control, the Participant shall be entitled to that proportion of the number of Performance Shares as such Participant is entitled to under Article 3 for such Performance Period that the number of full months of participation during the Performance Period (as of the effective date of the Change in Control) bears to the total number of months in the Performance Period. When there is a Change in Control, the TSR shall be calculated as set forth in Article 3, except that the Ending Stock Price shall mean the average closing price on the applicable stock exchange of one share of stock for the twenty (20) trading days immediately prior to the Change in Control. Performance Shares shall be paid out to the Participant in cash within thirty (30) days of the effective date of the Change in Control.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"Change in Control" of the Company shall be deemed to have occurred (as of a particular day, as specified by the Board)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upon the occurrence of any of the following events:</w:t>
      </w:r>
    </w:p>
    <w:p>
      <w:pPr>
        <w:spacing w:after="0" w:line="242" w:lineRule="exact"/>
        <w:rPr>
          <w:sz w:val="20"/>
          <w:szCs w:val="20"/>
          <w:color w:val="auto"/>
        </w:rPr>
      </w:pPr>
    </w:p>
    <w:p>
      <w:pPr>
        <w:ind w:left="980" w:right="40" w:hanging="648"/>
        <w:spacing w:after="0" w:line="261" w:lineRule="auto"/>
        <w:tabs>
          <w:tab w:leader="none" w:pos="9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acquisition in a transaction or series of transactions by any Person of Beneficial Ownership of thirty percent (30%) or more of the combined voting power of the then outstanding shares of common stock of the Company; provided, however, that for purposes of this Agreement,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subsections (c) (i), (ii) and (iii);</w:t>
      </w:r>
    </w:p>
    <w:p>
      <w:pPr>
        <w:spacing w:after="0" w:line="220" w:lineRule="exact"/>
        <w:rPr>
          <w:rFonts w:ascii="Arial" w:cs="Arial" w:eastAsia="Arial" w:hAnsi="Arial"/>
          <w:sz w:val="21"/>
          <w:szCs w:val="21"/>
          <w:color w:val="auto"/>
        </w:rPr>
      </w:pPr>
    </w:p>
    <w:p>
      <w:pPr>
        <w:ind w:left="980" w:right="100" w:hanging="648"/>
        <w:spacing w:after="0" w:line="263" w:lineRule="auto"/>
        <w:tabs>
          <w:tab w:leader="none" w:pos="9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Individuals who, as of December 31, 2016 are members of the Board (the "Incumbent Board"),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Plan, be considered as a member of the Incumbent Board; provided further, however, that no individual shall be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68" w:right="319" w:bottom="1440" w:gutter="0" w:footer="0" w:header="0"/>
        </w:sectPr>
      </w:pPr>
    </w:p>
    <w:bookmarkStart w:id="77" w:name="page78"/>
    <w:bookmarkEnd w:id="77"/>
    <w:p>
      <w:pPr>
        <w:ind w:left="648" w:right="60"/>
        <w:spacing w:after="0" w:line="261" w:lineRule="exact"/>
        <w:rPr>
          <w:sz w:val="20"/>
          <w:szCs w:val="20"/>
          <w:color w:val="auto"/>
        </w:rPr>
      </w:pPr>
      <w:r>
        <w:rPr>
          <w:rFonts w:ascii="Arial" w:cs="Arial" w:eastAsia="Arial" w:hAnsi="Arial"/>
          <w:sz w:val="19"/>
          <w:szCs w:val="19"/>
          <w:color w:val="auto"/>
        </w:rPr>
        <w:t>considered a member of the Incumbent Board if such individual initially assumed office as a result of either an actual or threatened "Election Contest" (as described in Rule 14a</w:t>
      </w:r>
      <w:r>
        <w:rPr>
          <w:rFonts w:ascii="MS PGothic" w:cs="MS PGothic" w:eastAsia="MS PGothic" w:hAnsi="MS PGothic"/>
          <w:sz w:val="19"/>
          <w:szCs w:val="19"/>
          <w:color w:val="auto"/>
        </w:rPr>
        <w:t>‑</w:t>
      </w:r>
      <w:r>
        <w:rPr>
          <w:rFonts w:ascii="Arial" w:cs="Arial" w:eastAsia="Arial" w:hAnsi="Arial"/>
          <w:sz w:val="19"/>
          <w:szCs w:val="19"/>
          <w:color w:val="auto"/>
        </w:rPr>
        <w:t>11 promulgated under the Exchange Act) or other actual or threatened solicitation of proxies or consents by or on behalf of a Person other than the Board (a "Proxy Contest") including by reason of any agreement intended to avoid or settle any Election Contest or Proxy Contest;</w:t>
      </w:r>
    </w:p>
    <w:p>
      <w:pPr>
        <w:spacing w:after="0" w:line="242" w:lineRule="exact"/>
        <w:rPr>
          <w:sz w:val="20"/>
          <w:szCs w:val="20"/>
          <w:color w:val="auto"/>
        </w:rPr>
      </w:pPr>
    </w:p>
    <w:p>
      <w:pPr>
        <w:ind w:left="648" w:hanging="648"/>
        <w:spacing w:after="0" w:line="286" w:lineRule="auto"/>
        <w:tabs>
          <w:tab w:leader="none" w:pos="648" w:val="left"/>
        </w:tabs>
        <w:numPr>
          <w:ilvl w:val="0"/>
          <w:numId w:val="48"/>
        </w:numPr>
        <w:rPr>
          <w:rFonts w:ascii="Arial" w:cs="Arial" w:eastAsia="Arial" w:hAnsi="Arial"/>
          <w:sz w:val="19"/>
          <w:szCs w:val="19"/>
          <w:color w:val="auto"/>
        </w:rPr>
      </w:pPr>
      <w:r>
        <w:rPr>
          <w:rFonts w:ascii="Arial" w:cs="Arial" w:eastAsia="Arial" w:hAnsi="Arial"/>
          <w:sz w:val="19"/>
          <w:szCs w:val="19"/>
          <w:color w:val="auto"/>
        </w:rPr>
        <w:t>Consummation, following shareholder approval, of a reorganization, merger, or consolidation of the Company, or a sale or other disposition of all or substantially all of the assets of the Company (each a “Business Combination”), unless, in each case, immediately following such Business Combination, all of the following have 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“Successor Entity”);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left="648" w:right="60" w:hanging="648"/>
        <w:spacing w:after="0" w:line="263" w:lineRule="auto"/>
        <w:tabs>
          <w:tab w:leader="none" w:pos="64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Approval by the shareholders of the Company of a complete liquidation or dissolution of the Company, except pursuant to a Business Combination that complies with subsections (c) (i), (ii), and (iii) above.</w:t>
      </w:r>
    </w:p>
    <w:p>
      <w:pPr>
        <w:spacing w:after="0" w:line="215" w:lineRule="exact"/>
        <w:rPr>
          <w:rFonts w:ascii="Arial" w:cs="Arial" w:eastAsia="Arial" w:hAnsi="Arial"/>
          <w:sz w:val="22"/>
          <w:szCs w:val="22"/>
          <w:color w:val="auto"/>
        </w:rPr>
      </w:pPr>
    </w:p>
    <w:p>
      <w:pPr>
        <w:ind w:left="648" w:right="40" w:hanging="648"/>
        <w:spacing w:after="0" w:line="290" w:lineRule="auto"/>
        <w:tabs>
          <w:tab w:leader="none" w:pos="648"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Change in Control shall not be deemed to occur solely because any Person (the "Subject Person")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197" w:lineRule="exact"/>
        <w:rPr>
          <w:rFonts w:ascii="Arial" w:cs="Arial" w:eastAsia="Arial" w:hAnsi="Arial"/>
          <w:sz w:val="19"/>
          <w:szCs w:val="19"/>
          <w:color w:val="auto"/>
        </w:rPr>
      </w:pPr>
    </w:p>
    <w:p>
      <w:pPr>
        <w:ind w:left="648" w:right="580" w:hanging="648"/>
        <w:spacing w:after="0" w:line="253" w:lineRule="auto"/>
        <w:tabs>
          <w:tab w:leader="none" w:pos="64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8"/>
          </w:cols>
          <w:pgMar w:left="572" w:top="375" w:right="259" w:bottom="1440" w:gutter="0" w:footer="0" w:header="0"/>
        </w:sectPr>
      </w:pPr>
    </w:p>
    <w:bookmarkStart w:id="78" w:name="page79"/>
    <w:bookmarkEnd w:id="78"/>
    <w:p>
      <w:pPr>
        <w:ind w:right="360"/>
        <w:spacing w:after="0" w:line="250" w:lineRule="auto"/>
        <w:rPr>
          <w:sz w:val="20"/>
          <w:szCs w:val="20"/>
          <w:color w:val="auto"/>
        </w:rPr>
      </w:pPr>
      <w:r>
        <w:rPr>
          <w:rFonts w:ascii="Arial" w:cs="Arial" w:eastAsia="Arial" w:hAnsi="Arial"/>
          <w:sz w:val="22"/>
          <w:szCs w:val="22"/>
          <w:color w:val="auto"/>
        </w:rPr>
        <w:t>Notwithstanding the above provisions of this definition, to the extent that any payment under the Agreement due to a Change in Control is subject to Code Section 409A for deferred compensation, then the term “Change in Control” shall be construed in a manner that is consistent with Code Section 409A(a)(2)(A)(v), but only to the extent inconsistent with the above provisions as determined by the Board.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Forfeiture and Repayment.</w:t>
      </w:r>
    </w:p>
    <w:p>
      <w:pPr>
        <w:spacing w:after="0" w:line="266" w:lineRule="exact"/>
        <w:rPr>
          <w:sz w:val="20"/>
          <w:szCs w:val="20"/>
          <w:color w:val="auto"/>
        </w:rPr>
      </w:pPr>
    </w:p>
    <w:p>
      <w:pPr>
        <w:ind w:left="1300" w:right="20" w:hanging="644"/>
        <w:spacing w:after="0" w:line="253"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the event the Participant incurs a separation from service for a reason other than those described in Article 4 herein during the Performance Period this entire award will be forfeited, unless the separation from service follows a Change in Control.</w:t>
      </w:r>
    </w:p>
    <w:p>
      <w:pPr>
        <w:spacing w:after="0" w:line="226" w:lineRule="exact"/>
        <w:rPr>
          <w:rFonts w:ascii="Arial" w:cs="Arial" w:eastAsia="Arial" w:hAnsi="Arial"/>
          <w:sz w:val="22"/>
          <w:szCs w:val="22"/>
          <w:color w:val="auto"/>
        </w:rPr>
      </w:pPr>
    </w:p>
    <w:p>
      <w:pPr>
        <w:ind w:left="1300" w:right="460" w:hanging="644"/>
        <w:spacing w:after="0" w:line="312" w:lineRule="auto"/>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Without limiting the generality of Article 6(a), the Company reserves the right to cancel all Performance Shares awarded hereunder, whether or not vested, and require the Participant to repay all income or gains previously realized in respect of such Performance Shares, in the event of the occurrence of any of the following events:</w:t>
      </w:r>
    </w:p>
    <w:p>
      <w:pPr>
        <w:spacing w:after="0" w:line="174" w:lineRule="exact"/>
        <w:rPr>
          <w:rFonts w:ascii="Arial" w:cs="Arial" w:eastAsia="Arial" w:hAnsi="Arial"/>
          <w:sz w:val="19"/>
          <w:szCs w:val="19"/>
          <w:color w:val="auto"/>
        </w:rPr>
      </w:pPr>
    </w:p>
    <w:p>
      <w:pPr>
        <w:ind w:left="1960" w:hanging="655"/>
        <w:spacing w:after="0"/>
        <w:tabs>
          <w:tab w:leader="none" w:pos="19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termination of Participant’s employment for Cause;</w:t>
      </w:r>
    </w:p>
    <w:p>
      <w:pPr>
        <w:spacing w:after="0" w:line="260" w:lineRule="exact"/>
        <w:rPr>
          <w:rFonts w:ascii="Arial" w:cs="Arial" w:eastAsia="Arial" w:hAnsi="Arial"/>
          <w:sz w:val="22"/>
          <w:szCs w:val="22"/>
          <w:color w:val="auto"/>
        </w:rPr>
      </w:pPr>
    </w:p>
    <w:p>
      <w:pPr>
        <w:ind w:left="1960" w:right="40" w:hanging="655"/>
        <w:spacing w:after="0" w:line="253" w:lineRule="auto"/>
        <w:tabs>
          <w:tab w:leader="none" w:pos="19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within one year following any termination of Participant’s employment, the Board determines that the Participant engaged in conduct before the Participant’s termination date that would have constituted the basis for a termination of employment for Cause;</w:t>
      </w:r>
    </w:p>
    <w:p>
      <w:pPr>
        <w:spacing w:after="0" w:line="226" w:lineRule="exact"/>
        <w:rPr>
          <w:rFonts w:ascii="Arial" w:cs="Arial" w:eastAsia="Arial" w:hAnsi="Arial"/>
          <w:sz w:val="22"/>
          <w:szCs w:val="22"/>
          <w:color w:val="auto"/>
        </w:rPr>
      </w:pPr>
    </w:p>
    <w:p>
      <w:pPr>
        <w:ind w:left="1960" w:right="520" w:hanging="655"/>
        <w:spacing w:after="0" w:line="263" w:lineRule="auto"/>
        <w:tabs>
          <w:tab w:leader="none" w:pos="19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at any time during the Participant’s employment or the twelve month period immediately following any termination of employment, Participant:</w:t>
      </w:r>
    </w:p>
    <w:p>
      <w:pPr>
        <w:spacing w:after="0" w:line="215" w:lineRule="exact"/>
        <w:rPr>
          <w:rFonts w:ascii="Arial" w:cs="Arial" w:eastAsia="Arial" w:hAnsi="Arial"/>
          <w:sz w:val="22"/>
          <w:szCs w:val="22"/>
          <w:color w:val="auto"/>
        </w:rPr>
      </w:pPr>
    </w:p>
    <w:p>
      <w:pPr>
        <w:ind w:left="2600" w:right="60" w:hanging="647"/>
        <w:spacing w:after="0" w:line="312" w:lineRule="auto"/>
        <w:tabs>
          <w:tab w:leader="none" w:pos="2600" w:val="left"/>
        </w:tabs>
        <w:numPr>
          <w:ilvl w:val="2"/>
          <w:numId w:val="49"/>
        </w:numPr>
        <w:rPr>
          <w:rFonts w:ascii="Arial" w:cs="Arial" w:eastAsia="Arial" w:hAnsi="Arial"/>
          <w:sz w:val="19"/>
          <w:szCs w:val="19"/>
          <w:color w:val="auto"/>
        </w:rPr>
      </w:pPr>
      <w:r>
        <w:rPr>
          <w:rFonts w:ascii="Arial" w:cs="Arial" w:eastAsia="Arial" w:hAnsi="Arial"/>
          <w:sz w:val="19"/>
          <w:szCs w:val="19"/>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33" w:lineRule="exact"/>
        <w:rPr>
          <w:rFonts w:ascii="Arial" w:cs="Arial" w:eastAsia="Arial" w:hAnsi="Arial"/>
          <w:sz w:val="19"/>
          <w:szCs w:val="19"/>
          <w:color w:val="auto"/>
        </w:rPr>
      </w:pPr>
    </w:p>
    <w:p>
      <w:pPr>
        <w:ind w:left="2600" w:right="280" w:hanging="647"/>
        <w:spacing w:after="0" w:line="263" w:lineRule="auto"/>
        <w:tabs>
          <w:tab w:leader="none" w:pos="2600" w:val="left"/>
        </w:tabs>
        <w:numPr>
          <w:ilvl w:val="2"/>
          <w:numId w:val="49"/>
        </w:numPr>
        <w:rPr>
          <w:rFonts w:ascii="Arial" w:cs="Arial" w:eastAsia="Arial" w:hAnsi="Arial"/>
          <w:sz w:val="22"/>
          <w:szCs w:val="22"/>
          <w:color w:val="auto"/>
        </w:rPr>
      </w:pPr>
      <w:r>
        <w:rPr>
          <w:rFonts w:ascii="Arial" w:cs="Arial" w:eastAsia="Arial" w:hAnsi="Arial"/>
          <w:sz w:val="22"/>
          <w:szCs w:val="22"/>
          <w:color w:val="auto"/>
        </w:rPr>
        <w:t>violates in any material respect any policy or any code of ethics or standard of behavior or conduct generally applicable to Participant, including the Code of Conduct; or</w:t>
      </w:r>
    </w:p>
    <w:p>
      <w:pPr>
        <w:spacing w:after="0" w:line="174" w:lineRule="exact"/>
        <w:rPr>
          <w:rFonts w:ascii="Arial" w:cs="Arial" w:eastAsia="Arial" w:hAnsi="Arial"/>
          <w:sz w:val="22"/>
          <w:szCs w:val="22"/>
          <w:color w:val="auto"/>
        </w:rPr>
      </w:pPr>
    </w:p>
    <w:p>
      <w:pPr>
        <w:ind w:left="1960" w:hanging="655"/>
        <w:spacing w:after="0" w:line="253" w:lineRule="auto"/>
        <w:tabs>
          <w:tab w:leader="none" w:pos="19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226" w:lineRule="exact"/>
        <w:rPr>
          <w:rFonts w:ascii="Arial" w:cs="Arial" w:eastAsia="Arial" w:hAnsi="Arial"/>
          <w:sz w:val="22"/>
          <w:szCs w:val="22"/>
          <w:color w:val="auto"/>
        </w:rPr>
      </w:pPr>
    </w:p>
    <w:p>
      <w:pPr>
        <w:ind w:left="1300" w:right="500" w:hanging="644"/>
        <w:spacing w:after="0" w:line="253"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the Board determines that the Participant’s conduct, activities or circumstances constitute events described in Article 6(b), in addition to any other remedies the Company has available to it, the Company may in its sole discretion: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79" w:name="page80"/>
    <w:bookmarkEnd w:id="79"/>
    <w:p>
      <w:pPr>
        <w:ind w:left="1304" w:hanging="655"/>
        <w:spacing w:after="0"/>
        <w:tabs>
          <w:tab w:leader="none" w:pos="1304" w:val="left"/>
        </w:tabs>
        <w:numPr>
          <w:ilvl w:val="0"/>
          <w:numId w:val="50"/>
        </w:numPr>
        <w:rPr>
          <w:rFonts w:ascii="Arial" w:cs="Arial" w:eastAsia="Arial" w:hAnsi="Arial"/>
          <w:sz w:val="22"/>
          <w:szCs w:val="22"/>
          <w:color w:val="auto"/>
        </w:rPr>
      </w:pPr>
      <w:r>
        <w:rPr>
          <w:rFonts w:ascii="Arial" w:cs="Arial" w:eastAsia="Arial" w:hAnsi="Arial"/>
          <w:sz w:val="22"/>
          <w:szCs w:val="22"/>
          <w:color w:val="auto"/>
        </w:rPr>
        <w:t>cancel any Performance Shares awarded hereby, whether or not issued; and/or</w:t>
      </w:r>
    </w:p>
    <w:p>
      <w:pPr>
        <w:spacing w:after="0" w:line="260" w:lineRule="exact"/>
        <w:rPr>
          <w:rFonts w:ascii="Arial" w:cs="Arial" w:eastAsia="Arial" w:hAnsi="Arial"/>
          <w:sz w:val="22"/>
          <w:szCs w:val="22"/>
          <w:color w:val="auto"/>
        </w:rPr>
      </w:pPr>
    </w:p>
    <w:p>
      <w:pPr>
        <w:ind w:left="1304" w:right="460" w:hanging="655"/>
        <w:spacing w:after="0" w:line="250" w:lineRule="auto"/>
        <w:tabs>
          <w:tab w:leader="none" w:pos="1304"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require the Participant to repay an amount equal to all income or gain realized in respect of all such Performance Shares. The amount of repayment shall include, without limitation, amounts received in connection with the delivery or sale of Shares of such Performance Shares or cash paid in respect of any Performance Shares.</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There shall be no forfeiture or repayment under Article 6(b) following a Change-in-Control.</w:t>
      </w:r>
    </w:p>
    <w:p>
      <w:pPr>
        <w:spacing w:after="0" w:line="260" w:lineRule="exact"/>
        <w:rPr>
          <w:sz w:val="20"/>
          <w:szCs w:val="20"/>
          <w:color w:val="auto"/>
        </w:rPr>
      </w:pPr>
    </w:p>
    <w:p>
      <w:pPr>
        <w:ind w:left="644" w:right="60" w:hanging="644"/>
        <w:spacing w:after="0" w:line="294" w:lineRule="auto"/>
        <w:tabs>
          <w:tab w:leader="none" w:pos="644"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Board, in its discretion, shall determine whether a Participant’s conduct, activities or circumstances constitute events described in Article 6(b) and whether and to what extent the Performance Shares awarded hereby shall be forfeited by Participant and/or a Participant shall be required to repay an amount pursuant to Article 6(c). The Board shall have the authority to suspend the payment, delivery or settlement of all or any portion of such Participant’s outstanding Performance Shares pending an investigation of a bona fide dispute regarding Participant’s eligibility to receive a payment under the terms of this Agreement as determined by the Board in good faith.</w:t>
      </w:r>
    </w:p>
    <w:p>
      <w:pPr>
        <w:spacing w:after="0" w:line="190" w:lineRule="exact"/>
        <w:rPr>
          <w:rFonts w:ascii="Arial" w:cs="Arial" w:eastAsia="Arial" w:hAnsi="Arial"/>
          <w:sz w:val="19"/>
          <w:szCs w:val="19"/>
          <w:color w:val="auto"/>
        </w:rPr>
      </w:pPr>
    </w:p>
    <w:p>
      <w:pPr>
        <w:ind w:left="644" w:hanging="644"/>
        <w:spacing w:after="0"/>
        <w:tabs>
          <w:tab w:leader="none" w:pos="644" w:val="left"/>
        </w:tabs>
        <w:numPr>
          <w:ilvl w:val="0"/>
          <w:numId w:val="51"/>
        </w:numPr>
        <w:rPr>
          <w:rFonts w:ascii="Arial" w:cs="Arial" w:eastAsia="Arial" w:hAnsi="Arial"/>
          <w:sz w:val="22"/>
          <w:szCs w:val="22"/>
          <w:color w:val="auto"/>
        </w:rPr>
      </w:pPr>
      <w:r>
        <w:rPr>
          <w:rFonts w:ascii="Arial" w:cs="Arial" w:eastAsia="Arial" w:hAnsi="Arial"/>
          <w:sz w:val="22"/>
          <w:szCs w:val="22"/>
          <w:color w:val="auto"/>
        </w:rPr>
        <w:t>For purposes of applying this provision:</w:t>
      </w:r>
    </w:p>
    <w:p>
      <w:pPr>
        <w:spacing w:after="0" w:line="260" w:lineRule="exact"/>
        <w:rPr>
          <w:rFonts w:ascii="Arial" w:cs="Arial" w:eastAsia="Arial" w:hAnsi="Arial"/>
          <w:sz w:val="22"/>
          <w:szCs w:val="22"/>
          <w:color w:val="auto"/>
        </w:rPr>
      </w:pPr>
    </w:p>
    <w:p>
      <w:pPr>
        <w:ind w:left="1304" w:hanging="655"/>
        <w:spacing w:after="0"/>
        <w:tabs>
          <w:tab w:leader="none" w:pos="1304" w:val="left"/>
        </w:tabs>
        <w:numPr>
          <w:ilvl w:val="1"/>
          <w:numId w:val="51"/>
        </w:numPr>
        <w:rPr>
          <w:rFonts w:ascii="Arial" w:cs="Arial" w:eastAsia="Arial" w:hAnsi="Arial"/>
          <w:sz w:val="22"/>
          <w:szCs w:val="22"/>
          <w:color w:val="auto"/>
        </w:rPr>
      </w:pPr>
      <w:r>
        <w:rPr>
          <w:rFonts w:ascii="Arial" w:cs="Arial" w:eastAsia="Arial" w:hAnsi="Arial"/>
          <w:sz w:val="22"/>
          <w:szCs w:val="22"/>
          <w:color w:val="auto"/>
        </w:rPr>
        <w:t>“Cause” means any of the following:</w:t>
      </w:r>
    </w:p>
    <w:p>
      <w:pPr>
        <w:spacing w:after="0" w:line="260" w:lineRule="exact"/>
        <w:rPr>
          <w:rFonts w:ascii="Arial" w:cs="Arial" w:eastAsia="Arial" w:hAnsi="Arial"/>
          <w:sz w:val="22"/>
          <w:szCs w:val="22"/>
          <w:color w:val="auto"/>
        </w:rPr>
      </w:pPr>
    </w:p>
    <w:p>
      <w:pPr>
        <w:ind w:left="1944" w:right="360" w:hanging="647"/>
        <w:spacing w:after="0" w:line="343" w:lineRule="auto"/>
        <w:tabs>
          <w:tab w:leader="none" w:pos="1944" w:val="left"/>
        </w:tabs>
        <w:numPr>
          <w:ilvl w:val="2"/>
          <w:numId w:val="51"/>
        </w:numPr>
        <w:rPr>
          <w:rFonts w:ascii="Arial" w:cs="Arial" w:eastAsia="Arial" w:hAnsi="Arial"/>
          <w:sz w:val="19"/>
          <w:szCs w:val="19"/>
          <w:color w:val="auto"/>
        </w:rPr>
      </w:pPr>
      <w:r>
        <w:rPr>
          <w:rFonts w:ascii="Arial" w:cs="Arial" w:eastAsia="Arial" w:hAnsi="Arial"/>
          <w:sz w:val="19"/>
          <w:szCs w:val="19"/>
          <w:color w:val="auto"/>
        </w:rPr>
        <w:t>a Participant’s violation of his or her material duties to the Company or any of its affiliates, which continues after written notice from the Company or any affiliate to cure such violation;</w:t>
      </w:r>
    </w:p>
    <w:p>
      <w:pPr>
        <w:spacing w:after="0" w:line="104" w:lineRule="exact"/>
        <w:rPr>
          <w:rFonts w:ascii="Arial" w:cs="Arial" w:eastAsia="Arial" w:hAnsi="Arial"/>
          <w:sz w:val="19"/>
          <w:szCs w:val="19"/>
          <w:color w:val="auto"/>
        </w:rPr>
      </w:pPr>
    </w:p>
    <w:p>
      <w:pPr>
        <w:ind w:left="1944" w:right="680" w:hanging="647"/>
        <w:spacing w:after="0" w:line="263" w:lineRule="auto"/>
        <w:tabs>
          <w:tab w:leader="none" w:pos="1944" w:val="left"/>
        </w:tabs>
        <w:numPr>
          <w:ilvl w:val="2"/>
          <w:numId w:val="51"/>
        </w:numPr>
        <w:rPr>
          <w:rFonts w:ascii="Arial" w:cs="Arial" w:eastAsia="Arial" w:hAnsi="Arial"/>
          <w:sz w:val="22"/>
          <w:szCs w:val="22"/>
          <w:color w:val="auto"/>
        </w:rPr>
      </w:pPr>
      <w:r>
        <w:rPr>
          <w:rFonts w:ascii="Arial" w:cs="Arial" w:eastAsia="Arial" w:hAnsi="Arial"/>
          <w:sz w:val="22"/>
          <w:szCs w:val="22"/>
          <w:color w:val="auto"/>
        </w:rPr>
        <w:t>Participant’s willful failure to follow the lawful written directives of the Board in any material respect;</w:t>
      </w:r>
    </w:p>
    <w:p>
      <w:pPr>
        <w:spacing w:after="0" w:line="174" w:lineRule="exact"/>
        <w:rPr>
          <w:rFonts w:ascii="Arial" w:cs="Arial" w:eastAsia="Arial" w:hAnsi="Arial"/>
          <w:sz w:val="22"/>
          <w:szCs w:val="22"/>
          <w:color w:val="auto"/>
        </w:rPr>
      </w:pPr>
    </w:p>
    <w:p>
      <w:pPr>
        <w:ind w:left="1944" w:hanging="647"/>
        <w:spacing w:after="0" w:line="246" w:lineRule="auto"/>
        <w:tabs>
          <w:tab w:leader="none" w:pos="1944" w:val="left"/>
        </w:tabs>
        <w:numPr>
          <w:ilvl w:val="2"/>
          <w:numId w:val="51"/>
        </w:numPr>
        <w:rPr>
          <w:rFonts w:ascii="Arial" w:cs="Arial" w:eastAsia="Arial" w:hAnsi="Arial"/>
          <w:sz w:val="22"/>
          <w:szCs w:val="22"/>
          <w:color w:val="auto"/>
        </w:rPr>
      </w:pPr>
      <w:r>
        <w:rPr>
          <w:rFonts w:ascii="Arial" w:cs="Arial" w:eastAsia="Arial" w:hAnsi="Arial"/>
          <w:sz w:val="22"/>
          <w:szCs w:val="22"/>
          <w:color w:val="auto"/>
        </w:rPr>
        <w:t>Participant’s willful misconduct in connection with the performance of any of his or her duties, including but not limited to falsifying or attempting to falsify documents, books or records of the Company or any of its affiliates, making or delivering a false representation, statement or certification of compliance to the Company, misappropriating or attempting to misappropriate funds or other property of the Company or any of its affiliates, or securing or attempting to secure any personal profit in connection with any transaction entered into on behalf of the Company or any of its affiliates;</w:t>
      </w:r>
    </w:p>
    <w:p>
      <w:pPr>
        <w:spacing w:after="0" w:line="197" w:lineRule="exact"/>
        <w:rPr>
          <w:rFonts w:ascii="Arial" w:cs="Arial" w:eastAsia="Arial" w:hAnsi="Arial"/>
          <w:sz w:val="22"/>
          <w:szCs w:val="22"/>
          <w:color w:val="auto"/>
        </w:rPr>
      </w:pPr>
    </w:p>
    <w:p>
      <w:pPr>
        <w:ind w:left="1944" w:right="100" w:hanging="647"/>
        <w:spacing w:after="0" w:line="253" w:lineRule="auto"/>
        <w:tabs>
          <w:tab w:leader="none" w:pos="1944" w:val="left"/>
        </w:tabs>
        <w:numPr>
          <w:ilvl w:val="2"/>
          <w:numId w:val="51"/>
        </w:numPr>
        <w:rPr>
          <w:rFonts w:ascii="Arial" w:cs="Arial" w:eastAsia="Arial" w:hAnsi="Arial"/>
          <w:sz w:val="22"/>
          <w:szCs w:val="22"/>
          <w:color w:val="auto"/>
        </w:rPr>
      </w:pPr>
      <w:r>
        <w:rPr>
          <w:rFonts w:ascii="Arial" w:cs="Arial" w:eastAsia="Arial" w:hAnsi="Arial"/>
          <w:sz w:val="22"/>
          <w:szCs w:val="22"/>
          <w:color w:val="auto"/>
        </w:rPr>
        <w:t>Participant’s breach of any material provisions of this Agreement or any other non-competition, non-interference, non-disclosure, confidentiality or other similar agreement executed by Participant with the Company or any of its affiliates;</w:t>
      </w:r>
    </w:p>
    <w:p>
      <w:pPr>
        <w:spacing w:after="0" w:line="200" w:lineRule="exact"/>
        <w:rPr>
          <w:sz w:val="20"/>
          <w:szCs w:val="20"/>
          <w:color w:val="auto"/>
        </w:rPr>
      </w:pPr>
    </w:p>
    <w:p>
      <w:pPr>
        <w:spacing w:after="0" w:line="22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4"/>
          </w:cols>
          <w:pgMar w:left="896" w:top="631" w:right="239" w:bottom="1440" w:gutter="0" w:footer="0" w:header="0"/>
        </w:sectPr>
      </w:pPr>
    </w:p>
    <w:bookmarkStart w:id="80" w:name="page81"/>
    <w:bookmarkEnd w:id="80"/>
    <w:p>
      <w:pPr>
        <w:ind w:left="2600" w:right="160" w:hanging="647"/>
        <w:spacing w:after="0" w:line="253" w:lineRule="auto"/>
        <w:tabs>
          <w:tab w:leader="none" w:pos="2600" w:val="left"/>
        </w:tabs>
        <w:numPr>
          <w:ilvl w:val="2"/>
          <w:numId w:val="52"/>
        </w:numPr>
        <w:rPr>
          <w:rFonts w:ascii="Arial" w:cs="Arial" w:eastAsia="Arial" w:hAnsi="Arial"/>
          <w:sz w:val="22"/>
          <w:szCs w:val="22"/>
          <w:color w:val="auto"/>
        </w:rPr>
      </w:pPr>
      <w:r>
        <w:rPr>
          <w:rFonts w:ascii="Arial" w:cs="Arial" w:eastAsia="Arial" w:hAnsi="Arial"/>
          <w:sz w:val="22"/>
          <w:szCs w:val="22"/>
          <w:color w:val="auto"/>
        </w:rPr>
        <w:t xml:space="preserve">conviction (or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of the Participant of any felony, or a misdemeanor involving false statement, in connection with conduct involving the Company or any of its subsidiaries or affiliates; or</w:t>
      </w:r>
    </w:p>
    <w:p>
      <w:pPr>
        <w:spacing w:after="0" w:line="185" w:lineRule="exact"/>
        <w:rPr>
          <w:rFonts w:ascii="Arial" w:cs="Arial" w:eastAsia="Arial" w:hAnsi="Arial"/>
          <w:sz w:val="22"/>
          <w:szCs w:val="22"/>
          <w:color w:val="auto"/>
        </w:rPr>
      </w:pPr>
    </w:p>
    <w:p>
      <w:pPr>
        <w:ind w:left="2600" w:right="60" w:hanging="647"/>
        <w:spacing w:after="0" w:line="263" w:lineRule="auto"/>
        <w:tabs>
          <w:tab w:leader="none" w:pos="2600" w:val="left"/>
        </w:tabs>
        <w:numPr>
          <w:ilvl w:val="2"/>
          <w:numId w:val="52"/>
        </w:numPr>
        <w:rPr>
          <w:rFonts w:ascii="Arial" w:cs="Arial" w:eastAsia="Arial" w:hAnsi="Arial"/>
          <w:sz w:val="22"/>
          <w:szCs w:val="22"/>
          <w:color w:val="auto"/>
        </w:rPr>
      </w:pPr>
      <w:r>
        <w:rPr>
          <w:rFonts w:ascii="Arial" w:cs="Arial" w:eastAsia="Arial" w:hAnsi="Arial"/>
          <w:sz w:val="22"/>
          <w:szCs w:val="22"/>
          <w:color w:val="auto"/>
        </w:rPr>
        <w:t>intentional engagement in any activity which would constitute or cause a breach of duty of loyalty, or any fiduciary duty to the Company or any of its subsidiaries or affiliates.</w:t>
      </w:r>
    </w:p>
    <w:p>
      <w:pPr>
        <w:spacing w:after="0" w:line="174" w:lineRule="exact"/>
        <w:rPr>
          <w:rFonts w:ascii="Arial" w:cs="Arial" w:eastAsia="Arial" w:hAnsi="Arial"/>
          <w:sz w:val="22"/>
          <w:szCs w:val="22"/>
          <w:color w:val="auto"/>
        </w:rPr>
      </w:pPr>
    </w:p>
    <w:p>
      <w:pPr>
        <w:jc w:val="both"/>
        <w:ind w:left="1960" w:right="160" w:hanging="655"/>
        <w:spacing w:after="0" w:line="302" w:lineRule="auto"/>
        <w:tabs>
          <w:tab w:leader="none" w:pos="19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“Code of Conduct” means any code of ethics or code of conduct now or hereafter adopted by the Company or any of its affiliates, including to the extent applicable the Company’s Employee Conduct and Disclosure Policy, as amended or supplemented from time to time, and the Company’s or subsidiary Risk Management Policies and Procedures, as amended, supplemented or replaced from time to time.</w:t>
      </w:r>
    </w:p>
    <w:p>
      <w:pPr>
        <w:spacing w:after="0" w:line="183" w:lineRule="exact"/>
        <w:rPr>
          <w:rFonts w:ascii="Arial" w:cs="Arial" w:eastAsia="Arial" w:hAnsi="Arial"/>
          <w:sz w:val="19"/>
          <w:szCs w:val="19"/>
          <w:color w:val="auto"/>
        </w:rPr>
      </w:pPr>
    </w:p>
    <w:p>
      <w:pPr>
        <w:ind w:left="1300" w:right="20" w:hanging="644"/>
        <w:spacing w:after="0" w:line="250"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Participant agrees that the provisions of this Article 6 are entered into in consideration of, and as a material inducement to, the agreements by the Company herein as well as an inducement for the Company to enter into this Agreement, and that, but for Participant’s agreement to the provisions of this Article 6, the Company would not have entered into this Agreement.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Dividends</w:t>
      </w:r>
    </w:p>
    <w:p>
      <w:pPr>
        <w:spacing w:after="0" w:line="266"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During the Performance Period, all dividends and other distributions paid with respect to the shares of common stock shall accrue for the benefit of the Participant to be paid out to the Participant pursuant to Article 8.</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Form and Timing of Payment of Performance Shares</w:t>
      </w:r>
    </w:p>
    <w:p>
      <w:pPr>
        <w:spacing w:after="0" w:line="266"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Payment of the Performance Shares, including accrued dividends, shall be made fifty percent (50%) in cash and fifty percent (50%) in shares of Company stock.</w:t>
      </w:r>
    </w:p>
    <w:p>
      <w:pPr>
        <w:spacing w:after="0" w:line="215"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Payment of Performance Shares shall be made within sixty (60) calendar days following the close of the Performance Period, subject to the following:</w:t>
      </w:r>
    </w:p>
    <w:p>
      <w:pPr>
        <w:spacing w:after="0" w:line="215" w:lineRule="exact"/>
        <w:rPr>
          <w:sz w:val="20"/>
          <w:szCs w:val="20"/>
          <w:color w:val="auto"/>
        </w:rPr>
      </w:pPr>
    </w:p>
    <w:p>
      <w:pPr>
        <w:ind w:left="980" w:hanging="648"/>
        <w:spacing w:after="0" w:line="263" w:lineRule="auto"/>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Participant shall have no right with respect to any Award or a portion there of, until such award shall be paid to such Participant.</w:t>
      </w:r>
    </w:p>
    <w:p>
      <w:pPr>
        <w:spacing w:after="0" w:line="215" w:lineRule="exact"/>
        <w:rPr>
          <w:rFonts w:ascii="Arial" w:cs="Arial" w:eastAsia="Arial" w:hAnsi="Arial"/>
          <w:sz w:val="22"/>
          <w:szCs w:val="22"/>
          <w:color w:val="auto"/>
        </w:rPr>
      </w:pPr>
    </w:p>
    <w:p>
      <w:pPr>
        <w:ind w:left="980" w:right="200" w:hanging="648"/>
        <w:spacing w:after="0" w:line="253" w:lineRule="auto"/>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the Committee determines, in its sole discretion, that a Participant at any time has willfully engaged in any activity that the Committee determines was or is harmful to the Company, any unpaid pending Award will be forfeited by such Participant.</w:t>
      </w:r>
    </w:p>
    <w:p>
      <w:pPr>
        <w:spacing w:after="0" w:line="226" w:lineRule="exact"/>
        <w:rPr>
          <w:rFonts w:ascii="Arial" w:cs="Arial" w:eastAsia="Arial" w:hAnsi="Arial"/>
          <w:sz w:val="22"/>
          <w:szCs w:val="22"/>
          <w:color w:val="auto"/>
        </w:rPr>
      </w:pPr>
    </w:p>
    <w:p>
      <w:pPr>
        <w:ind w:left="980" w:hanging="648"/>
        <w:spacing w:after="0"/>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appropriate taxes will be withheld from the cash portion of the award.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4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Nontransferability</w:t>
      </w:r>
    </w:p>
    <w:p>
      <w:pPr>
        <w:spacing w:after="0" w:line="266" w:lineRule="exact"/>
        <w:rPr>
          <w:sz w:val="20"/>
          <w:szCs w:val="20"/>
          <w:color w:val="auto"/>
        </w:rPr>
      </w:pPr>
    </w:p>
    <w:p>
      <w:pPr>
        <w:ind w:right="200" w:firstLine="648"/>
        <w:spacing w:after="0" w:line="302" w:lineRule="auto"/>
        <w:rPr>
          <w:sz w:val="20"/>
          <w:szCs w:val="20"/>
          <w:color w:val="auto"/>
        </w:rPr>
      </w:pPr>
      <w:r>
        <w:rPr>
          <w:rFonts w:ascii="Arial" w:cs="Arial" w:eastAsia="Arial" w:hAnsi="Arial"/>
          <w:sz w:val="19"/>
          <w:szCs w:val="19"/>
          <w:color w:val="auto"/>
        </w:rPr>
        <w:t>Performance Shares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 or the Participant’s legal representative. The terms hereof shall be binding on the executors, administrators, heirs and successors of the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Administration</w:t>
      </w:r>
    </w:p>
    <w:p>
      <w:pPr>
        <w:spacing w:after="0" w:line="266"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This Agreement and the rights of the Participant hereunder are subject to all the terms and conditions of the Plan, as the same may be amended from time to time by the Board of Directors,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inconsistency between the Agreement and the Plan shall be resolved in favor of the Plan.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Miscellaneous</w:t>
      </w:r>
    </w:p>
    <w:p>
      <w:pPr>
        <w:spacing w:after="0" w:line="266" w:lineRule="exact"/>
        <w:rPr>
          <w:sz w:val="20"/>
          <w:szCs w:val="20"/>
          <w:color w:val="auto"/>
        </w:rPr>
      </w:pPr>
    </w:p>
    <w:p>
      <w:pPr>
        <w:ind w:left="980" w:right="100" w:hanging="648"/>
        <w:spacing w:after="0" w:line="263" w:lineRule="auto"/>
        <w:tabs>
          <w:tab w:leader="none" w:pos="9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selection of any employee for participation in the Plan shall not give such Participant any right to be retained in the 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216" w:lineRule="exact"/>
        <w:rPr>
          <w:rFonts w:ascii="Arial" w:cs="Arial" w:eastAsia="Arial" w:hAnsi="Arial"/>
          <w:sz w:val="21"/>
          <w:szCs w:val="21"/>
          <w:color w:val="auto"/>
        </w:rPr>
      </w:pPr>
    </w:p>
    <w:p>
      <w:pPr>
        <w:ind w:left="980" w:right="40" w:hanging="648"/>
        <w:spacing w:after="0" w:line="271" w:lineRule="auto"/>
        <w:tabs>
          <w:tab w:leader="none" w:pos="9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With the approval of the Board, the Committee may terminate, amend, or modify the Plan; provided, however, that no such termination, amendment, or modification of the Plan may in any way adversely affect the Participant’s rights under this Agreement without the Participant’s written consent, except as required by law.</w:t>
      </w:r>
    </w:p>
    <w:p>
      <w:pPr>
        <w:spacing w:after="0" w:line="208" w:lineRule="exact"/>
        <w:rPr>
          <w:rFonts w:ascii="Arial" w:cs="Arial" w:eastAsia="Arial" w:hAnsi="Arial"/>
          <w:sz w:val="21"/>
          <w:szCs w:val="21"/>
          <w:color w:val="auto"/>
        </w:rPr>
      </w:pPr>
    </w:p>
    <w:p>
      <w:pPr>
        <w:ind w:left="980" w:right="420" w:hanging="648"/>
        <w:spacing w:after="0" w:line="343" w:lineRule="auto"/>
        <w:tabs>
          <w:tab w:leader="none" w:pos="9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Participant shall not have voting rights with respect to the Performance Shares. Participant shall obtain voting rights upon the settlement of Performance Shares and distribution into shares of common stock of the Company.</w:t>
      </w:r>
    </w:p>
    <w:p>
      <w:pPr>
        <w:spacing w:after="0" w:line="145" w:lineRule="exact"/>
        <w:rPr>
          <w:rFonts w:ascii="Arial" w:cs="Arial" w:eastAsia="Arial" w:hAnsi="Arial"/>
          <w:sz w:val="19"/>
          <w:szCs w:val="19"/>
          <w:color w:val="auto"/>
        </w:rPr>
      </w:pPr>
    </w:p>
    <w:p>
      <w:pPr>
        <w:ind w:left="980" w:right="40" w:hanging="648"/>
        <w:spacing w:after="0" w:line="261" w:lineRule="auto"/>
        <w:tabs>
          <w:tab w:leader="none" w:pos="9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Participant may defer such Participant’s receipt of the payment of cash and the delivery of shares of common stock, that would otherwise be due to such Participant by virtue of the satisfaction of the performance goals with respect to the Performance Shares, pursuant to the rules of the Black Hills Corporation Nonqualified Deferred Compensation Plan and the procedures set forth by the Compensation Committee. If the Participant elects to defer the receipt of the award, the Participant will be required to pay any necessary taxes from their own funds. They will not be allowed to have their deferred award reduced for tax withholding.</w:t>
      </w:r>
    </w:p>
    <w:p>
      <w:pPr>
        <w:spacing w:after="0" w:line="220" w:lineRule="exact"/>
        <w:rPr>
          <w:rFonts w:ascii="Arial" w:cs="Arial" w:eastAsia="Arial" w:hAnsi="Arial"/>
          <w:sz w:val="21"/>
          <w:szCs w:val="21"/>
          <w:color w:val="auto"/>
        </w:rPr>
      </w:pPr>
    </w:p>
    <w:p>
      <w:pPr>
        <w:ind w:left="980" w:right="1180" w:hanging="648"/>
        <w:spacing w:after="0" w:line="263" w:lineRule="auto"/>
        <w:tabs>
          <w:tab w:leader="none" w:pos="9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pacing w:after="0" w:line="215" w:lineRule="exact"/>
        <w:rPr>
          <w:rFonts w:ascii="Arial" w:cs="Arial" w:eastAsia="Arial" w:hAnsi="Arial"/>
          <w:sz w:val="22"/>
          <w:szCs w:val="22"/>
          <w:color w:val="auto"/>
        </w:rPr>
      </w:pPr>
    </w:p>
    <w:p>
      <w:pPr>
        <w:ind w:left="980" w:right="100" w:hanging="648"/>
        <w:spacing w:after="0" w:line="263" w:lineRule="auto"/>
        <w:tabs>
          <w:tab w:leader="none" w:pos="9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the extent not preempted by federal law, this Agreement shall be governed by, and construed in accordance with, the laws of the State of South Dakota.</w:t>
      </w:r>
    </w:p>
    <w:p>
      <w:pPr>
        <w:spacing w:after="0" w:line="215" w:lineRule="exact"/>
        <w:rPr>
          <w:rFonts w:ascii="Arial" w:cs="Arial" w:eastAsia="Arial" w:hAnsi="Arial"/>
          <w:sz w:val="22"/>
          <w:szCs w:val="22"/>
          <w:color w:val="auto"/>
        </w:rPr>
      </w:pPr>
    </w:p>
    <w:p>
      <w:pPr>
        <w:ind w:left="980" w:right="340" w:hanging="648"/>
        <w:spacing w:after="0" w:line="263" w:lineRule="auto"/>
        <w:tabs>
          <w:tab w:leader="none" w:pos="9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awards received by Participant are subject to the provisions of the Stock Ownership Guidelines approved by the Board of Directors.</w:t>
      </w:r>
    </w:p>
    <w:p>
      <w:pPr>
        <w:spacing w:after="0" w:line="215" w:lineRule="exact"/>
        <w:rPr>
          <w:rFonts w:ascii="Arial" w:cs="Arial" w:eastAsia="Arial" w:hAnsi="Arial"/>
          <w:sz w:val="22"/>
          <w:szCs w:val="22"/>
          <w:color w:val="auto"/>
        </w:rPr>
      </w:pPr>
    </w:p>
    <w:p>
      <w:pPr>
        <w:ind w:left="980" w:right="580" w:hanging="648"/>
        <w:spacing w:after="0" w:line="263" w:lineRule="auto"/>
        <w:tabs>
          <w:tab w:leader="none" w:pos="9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Waiver and Modification. The provisions of this Agreement may not be waived or modified unless such waiver or modification is in writing and signed by the Company.</w:t>
      </w:r>
    </w:p>
    <w:p>
      <w:pPr>
        <w:spacing w:after="0" w:line="215" w:lineRule="exact"/>
        <w:rPr>
          <w:rFonts w:ascii="Arial" w:cs="Arial" w:eastAsia="Arial" w:hAnsi="Arial"/>
          <w:sz w:val="22"/>
          <w:szCs w:val="22"/>
          <w:color w:val="auto"/>
        </w:rPr>
      </w:pPr>
    </w:p>
    <w:p>
      <w:pPr>
        <w:jc w:val="both"/>
        <w:ind w:left="980" w:right="400" w:hanging="648"/>
        <w:spacing w:after="0" w:line="253" w:lineRule="auto"/>
        <w:tabs>
          <w:tab w:leader="none" w:pos="9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Compliance with Exchange Act. If the Participant is subject to Section 16 of the Exchange Act, Performance Shares granted pursuant to the Award are intended to comply with all applicable conditions of Rule 16b-3 or its successors under the Exchange 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parties have caused this Agreement to be executed effective as of January 1, 2017.</w:t>
      </w:r>
    </w:p>
    <w:p>
      <w:pPr>
        <w:spacing w:after="0" w:line="200" w:lineRule="exact"/>
        <w:rPr>
          <w:sz w:val="20"/>
          <w:szCs w:val="20"/>
          <w:color w:val="auto"/>
        </w:rPr>
      </w:pPr>
    </w:p>
    <w:p>
      <w:pPr>
        <w:spacing w:after="0" w:line="317"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Black Hills Corporation</w:t>
      </w:r>
    </w:p>
    <w:p>
      <w:pPr>
        <w:sectPr>
          <w:pgSz w:w="11900" w:h="16838" w:orient="portrait"/>
          <w:cols w:equalWidth="0" w:num="1">
            <w:col w:w="11420"/>
          </w:cols>
          <w:pgMar w:left="240" w:top="121" w:right="239" w:bottom="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0" w:gutter="0" w:footer="0" w:header="0"/>
          <w:type w:val="continuous"/>
        </w:sectPr>
      </w:pPr>
    </w:p>
    <w:bookmarkStart w:id="82" w:name="page83"/>
    <w:bookmarkEnd w:id="82"/>
    <w:p>
      <w:pPr>
        <w:ind w:left="3340"/>
        <w:spacing w:after="0"/>
        <w:rPr>
          <w:sz w:val="20"/>
          <w:szCs w:val="20"/>
          <w:color w:val="auto"/>
        </w:rPr>
      </w:pPr>
      <w:r>
        <w:rPr>
          <w:rFonts w:ascii="Arial" w:cs="Arial" w:eastAsia="Arial" w:hAnsi="Arial"/>
          <w:sz w:val="19"/>
          <w:szCs w:val="19"/>
          <w:color w:val="auto"/>
        </w:rPr>
        <w:t>By: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888"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Companies Included in EEI Index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January 1, 2017, Excluding Black Hills Corporation</w:t>
      </w:r>
    </w:p>
    <w:p>
      <w:pPr>
        <w:spacing w:after="0" w:line="200" w:lineRule="exact"/>
        <w:rPr>
          <w:sz w:val="20"/>
          <w:szCs w:val="20"/>
          <w:color w:val="auto"/>
        </w:rPr>
      </w:pPr>
    </w:p>
    <w:p>
      <w:pPr>
        <w:spacing w:after="0" w:line="299"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Companies included in the EEI Index at the beginning of the Performance Period excluding Black Hills Corporation, are as follows:</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080" w:type="dxa"/>
            <w:vAlign w:val="bottom"/>
          </w:tcPr>
          <w:p>
            <w:pPr>
              <w:spacing w:after="0"/>
              <w:rPr>
                <w:sz w:val="20"/>
                <w:szCs w:val="20"/>
                <w:color w:val="auto"/>
              </w:rPr>
            </w:pPr>
            <w:r>
              <w:rPr>
                <w:rFonts w:ascii="Arial" w:cs="Arial" w:eastAsia="Arial" w:hAnsi="Arial"/>
                <w:sz w:val="22"/>
                <w:szCs w:val="22"/>
                <w:color w:val="auto"/>
              </w:rPr>
              <w:t>ALLETE, Inc.</w:t>
            </w:r>
          </w:p>
        </w:tc>
        <w:tc>
          <w:tcPr>
            <w:tcW w:w="1320" w:type="dxa"/>
            <w:vAlign w:val="bottom"/>
          </w:tcPr>
          <w:p>
            <w:pPr>
              <w:ind w:left="600"/>
              <w:spacing w:after="0"/>
              <w:rPr>
                <w:sz w:val="20"/>
                <w:szCs w:val="20"/>
                <w:color w:val="auto"/>
              </w:rPr>
            </w:pPr>
            <w:r>
              <w:rPr>
                <w:rFonts w:ascii="Arial" w:cs="Arial" w:eastAsia="Arial" w:hAnsi="Arial"/>
                <w:sz w:val="22"/>
                <w:szCs w:val="22"/>
                <w:color w:val="auto"/>
              </w:rPr>
              <w:t>ALE</w:t>
            </w:r>
          </w:p>
        </w:tc>
        <w:tc>
          <w:tcPr>
            <w:tcW w:w="4240" w:type="dxa"/>
            <w:vAlign w:val="bottom"/>
          </w:tcPr>
          <w:p>
            <w:pPr>
              <w:ind w:left="300"/>
              <w:spacing w:after="0"/>
              <w:rPr>
                <w:sz w:val="20"/>
                <w:szCs w:val="20"/>
                <w:color w:val="auto"/>
              </w:rPr>
            </w:pPr>
            <w:r>
              <w:rPr>
                <w:rFonts w:ascii="Arial" w:cs="Arial" w:eastAsia="Arial" w:hAnsi="Arial"/>
                <w:sz w:val="22"/>
                <w:szCs w:val="22"/>
                <w:color w:val="auto"/>
              </w:rPr>
              <w:t>MDU Resources Group, Inc.</w:t>
            </w:r>
          </w:p>
        </w:tc>
        <w:tc>
          <w:tcPr>
            <w:tcW w:w="1360" w:type="dxa"/>
            <w:vAlign w:val="bottom"/>
          </w:tcPr>
          <w:p>
            <w:pPr>
              <w:ind w:left="740"/>
              <w:spacing w:after="0"/>
              <w:rPr>
                <w:sz w:val="20"/>
                <w:szCs w:val="20"/>
                <w:color w:val="auto"/>
              </w:rPr>
            </w:pPr>
            <w:r>
              <w:rPr>
                <w:rFonts w:ascii="Arial" w:cs="Arial" w:eastAsia="Arial" w:hAnsi="Arial"/>
                <w:sz w:val="22"/>
                <w:szCs w:val="22"/>
                <w:color w:val="auto"/>
              </w:rPr>
              <w:t>MDU</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Alliant Energy Corporation</w:t>
            </w:r>
          </w:p>
        </w:tc>
        <w:tc>
          <w:tcPr>
            <w:tcW w:w="1320" w:type="dxa"/>
            <w:vAlign w:val="bottom"/>
          </w:tcPr>
          <w:p>
            <w:pPr>
              <w:ind w:left="600"/>
              <w:spacing w:after="0"/>
              <w:rPr>
                <w:sz w:val="20"/>
                <w:szCs w:val="20"/>
                <w:color w:val="auto"/>
              </w:rPr>
            </w:pPr>
            <w:r>
              <w:rPr>
                <w:rFonts w:ascii="Arial" w:cs="Arial" w:eastAsia="Arial" w:hAnsi="Arial"/>
                <w:sz w:val="22"/>
                <w:szCs w:val="22"/>
                <w:color w:val="auto"/>
              </w:rPr>
              <w:t>LNT</w:t>
            </w:r>
          </w:p>
        </w:tc>
        <w:tc>
          <w:tcPr>
            <w:tcW w:w="4240" w:type="dxa"/>
            <w:vAlign w:val="bottom"/>
          </w:tcPr>
          <w:p>
            <w:pPr>
              <w:ind w:left="300"/>
              <w:spacing w:after="0"/>
              <w:rPr>
                <w:sz w:val="20"/>
                <w:szCs w:val="20"/>
                <w:color w:val="auto"/>
              </w:rPr>
            </w:pPr>
            <w:r>
              <w:rPr>
                <w:rFonts w:ascii="Arial" w:cs="Arial" w:eastAsia="Arial" w:hAnsi="Arial"/>
                <w:sz w:val="22"/>
                <w:szCs w:val="22"/>
                <w:color w:val="auto"/>
              </w:rPr>
              <w:t>MGE Energy, Inc.</w:t>
            </w:r>
          </w:p>
        </w:tc>
        <w:tc>
          <w:tcPr>
            <w:tcW w:w="1360" w:type="dxa"/>
            <w:vAlign w:val="bottom"/>
          </w:tcPr>
          <w:p>
            <w:pPr>
              <w:ind w:left="740"/>
              <w:spacing w:after="0"/>
              <w:rPr>
                <w:sz w:val="20"/>
                <w:szCs w:val="20"/>
                <w:color w:val="auto"/>
              </w:rPr>
            </w:pPr>
            <w:r>
              <w:rPr>
                <w:rFonts w:ascii="Arial" w:cs="Arial" w:eastAsia="Arial" w:hAnsi="Arial"/>
                <w:sz w:val="22"/>
                <w:szCs w:val="22"/>
                <w:color w:val="auto"/>
                <w:w w:val="92"/>
              </w:rPr>
              <w:t>MGEE</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Ameren Corporation</w:t>
            </w:r>
          </w:p>
        </w:tc>
        <w:tc>
          <w:tcPr>
            <w:tcW w:w="1320" w:type="dxa"/>
            <w:vAlign w:val="bottom"/>
          </w:tcPr>
          <w:p>
            <w:pPr>
              <w:ind w:left="600"/>
              <w:spacing w:after="0"/>
              <w:rPr>
                <w:sz w:val="20"/>
                <w:szCs w:val="20"/>
                <w:color w:val="auto"/>
              </w:rPr>
            </w:pPr>
            <w:r>
              <w:rPr>
                <w:rFonts w:ascii="Arial" w:cs="Arial" w:eastAsia="Arial" w:hAnsi="Arial"/>
                <w:sz w:val="22"/>
                <w:szCs w:val="22"/>
                <w:color w:val="auto"/>
              </w:rPr>
              <w:t>AEE</w:t>
            </w:r>
          </w:p>
        </w:tc>
        <w:tc>
          <w:tcPr>
            <w:tcW w:w="4240" w:type="dxa"/>
            <w:vAlign w:val="bottom"/>
          </w:tcPr>
          <w:p>
            <w:pPr>
              <w:ind w:left="300"/>
              <w:spacing w:after="0"/>
              <w:rPr>
                <w:sz w:val="20"/>
                <w:szCs w:val="20"/>
                <w:color w:val="auto"/>
              </w:rPr>
            </w:pPr>
            <w:r>
              <w:rPr>
                <w:rFonts w:ascii="Arial" w:cs="Arial" w:eastAsia="Arial" w:hAnsi="Arial"/>
                <w:sz w:val="22"/>
                <w:szCs w:val="22"/>
                <w:color w:val="auto"/>
              </w:rPr>
              <w:t>NextEra Energy, Inc.</w:t>
            </w:r>
          </w:p>
        </w:tc>
        <w:tc>
          <w:tcPr>
            <w:tcW w:w="1360" w:type="dxa"/>
            <w:vAlign w:val="bottom"/>
          </w:tcPr>
          <w:p>
            <w:pPr>
              <w:ind w:left="740"/>
              <w:spacing w:after="0"/>
              <w:rPr>
                <w:sz w:val="20"/>
                <w:szCs w:val="20"/>
                <w:color w:val="auto"/>
              </w:rPr>
            </w:pPr>
            <w:r>
              <w:rPr>
                <w:rFonts w:ascii="Arial" w:cs="Arial" w:eastAsia="Arial" w:hAnsi="Arial"/>
                <w:sz w:val="22"/>
                <w:szCs w:val="22"/>
                <w:color w:val="auto"/>
              </w:rPr>
              <w:t>NEE</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American Electric Power Company, Inc.</w:t>
            </w:r>
          </w:p>
        </w:tc>
        <w:tc>
          <w:tcPr>
            <w:tcW w:w="1320" w:type="dxa"/>
            <w:vAlign w:val="bottom"/>
          </w:tcPr>
          <w:p>
            <w:pPr>
              <w:ind w:left="600"/>
              <w:spacing w:after="0"/>
              <w:rPr>
                <w:sz w:val="20"/>
                <w:szCs w:val="20"/>
                <w:color w:val="auto"/>
              </w:rPr>
            </w:pPr>
            <w:r>
              <w:rPr>
                <w:rFonts w:ascii="Arial" w:cs="Arial" w:eastAsia="Arial" w:hAnsi="Arial"/>
                <w:sz w:val="22"/>
                <w:szCs w:val="22"/>
                <w:color w:val="auto"/>
              </w:rPr>
              <w:t>AEP</w:t>
            </w:r>
          </w:p>
        </w:tc>
        <w:tc>
          <w:tcPr>
            <w:tcW w:w="4240" w:type="dxa"/>
            <w:vAlign w:val="bottom"/>
          </w:tcPr>
          <w:p>
            <w:pPr>
              <w:ind w:left="300"/>
              <w:spacing w:after="0"/>
              <w:rPr>
                <w:sz w:val="20"/>
                <w:szCs w:val="20"/>
                <w:color w:val="auto"/>
              </w:rPr>
            </w:pPr>
            <w:r>
              <w:rPr>
                <w:rFonts w:ascii="Arial" w:cs="Arial" w:eastAsia="Arial" w:hAnsi="Arial"/>
                <w:sz w:val="22"/>
                <w:szCs w:val="22"/>
                <w:color w:val="auto"/>
              </w:rPr>
              <w:t>NiSource Inc.</w:t>
            </w:r>
          </w:p>
        </w:tc>
        <w:tc>
          <w:tcPr>
            <w:tcW w:w="1360" w:type="dxa"/>
            <w:vAlign w:val="bottom"/>
          </w:tcPr>
          <w:p>
            <w:pPr>
              <w:ind w:left="740"/>
              <w:spacing w:after="0"/>
              <w:rPr>
                <w:sz w:val="20"/>
                <w:szCs w:val="20"/>
                <w:color w:val="auto"/>
              </w:rPr>
            </w:pPr>
            <w:r>
              <w:rPr>
                <w:rFonts w:ascii="Arial" w:cs="Arial" w:eastAsia="Arial" w:hAnsi="Arial"/>
                <w:sz w:val="22"/>
                <w:szCs w:val="22"/>
                <w:color w:val="auto"/>
              </w:rPr>
              <w:t>NI</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Avangrid, Inc.</w:t>
            </w:r>
          </w:p>
        </w:tc>
        <w:tc>
          <w:tcPr>
            <w:tcW w:w="1320" w:type="dxa"/>
            <w:vAlign w:val="bottom"/>
          </w:tcPr>
          <w:p>
            <w:pPr>
              <w:ind w:left="600"/>
              <w:spacing w:after="0"/>
              <w:rPr>
                <w:sz w:val="20"/>
                <w:szCs w:val="20"/>
                <w:color w:val="auto"/>
              </w:rPr>
            </w:pPr>
            <w:r>
              <w:rPr>
                <w:rFonts w:ascii="Arial" w:cs="Arial" w:eastAsia="Arial" w:hAnsi="Arial"/>
                <w:sz w:val="22"/>
                <w:szCs w:val="22"/>
                <w:color w:val="auto"/>
              </w:rPr>
              <w:t>AGR</w:t>
            </w:r>
          </w:p>
        </w:tc>
        <w:tc>
          <w:tcPr>
            <w:tcW w:w="4240" w:type="dxa"/>
            <w:vAlign w:val="bottom"/>
          </w:tcPr>
          <w:p>
            <w:pPr>
              <w:ind w:left="300"/>
              <w:spacing w:after="0"/>
              <w:rPr>
                <w:sz w:val="20"/>
                <w:szCs w:val="20"/>
                <w:color w:val="auto"/>
              </w:rPr>
            </w:pPr>
            <w:r>
              <w:rPr>
                <w:rFonts w:ascii="Arial" w:cs="Arial" w:eastAsia="Arial" w:hAnsi="Arial"/>
                <w:sz w:val="22"/>
                <w:szCs w:val="22"/>
                <w:color w:val="auto"/>
              </w:rPr>
              <w:t>NorthWestern Corporation</w:t>
            </w:r>
          </w:p>
        </w:tc>
        <w:tc>
          <w:tcPr>
            <w:tcW w:w="1360" w:type="dxa"/>
            <w:vAlign w:val="bottom"/>
          </w:tcPr>
          <w:p>
            <w:pPr>
              <w:ind w:left="740"/>
              <w:spacing w:after="0"/>
              <w:rPr>
                <w:sz w:val="20"/>
                <w:szCs w:val="20"/>
                <w:color w:val="auto"/>
              </w:rPr>
            </w:pPr>
            <w:r>
              <w:rPr>
                <w:rFonts w:ascii="Arial" w:cs="Arial" w:eastAsia="Arial" w:hAnsi="Arial"/>
                <w:sz w:val="22"/>
                <w:szCs w:val="22"/>
                <w:color w:val="auto"/>
              </w:rPr>
              <w:t>NWE</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Avista Corporation</w:t>
            </w:r>
          </w:p>
        </w:tc>
        <w:tc>
          <w:tcPr>
            <w:tcW w:w="1320" w:type="dxa"/>
            <w:vAlign w:val="bottom"/>
          </w:tcPr>
          <w:p>
            <w:pPr>
              <w:ind w:left="600"/>
              <w:spacing w:after="0"/>
              <w:rPr>
                <w:sz w:val="20"/>
                <w:szCs w:val="20"/>
                <w:color w:val="auto"/>
              </w:rPr>
            </w:pPr>
            <w:r>
              <w:rPr>
                <w:rFonts w:ascii="Arial" w:cs="Arial" w:eastAsia="Arial" w:hAnsi="Arial"/>
                <w:sz w:val="22"/>
                <w:szCs w:val="22"/>
                <w:color w:val="auto"/>
              </w:rPr>
              <w:t>AVA</w:t>
            </w:r>
          </w:p>
        </w:tc>
        <w:tc>
          <w:tcPr>
            <w:tcW w:w="4240" w:type="dxa"/>
            <w:vAlign w:val="bottom"/>
          </w:tcPr>
          <w:p>
            <w:pPr>
              <w:ind w:left="300"/>
              <w:spacing w:after="0"/>
              <w:rPr>
                <w:sz w:val="20"/>
                <w:szCs w:val="20"/>
                <w:color w:val="auto"/>
              </w:rPr>
            </w:pPr>
            <w:r>
              <w:rPr>
                <w:rFonts w:ascii="Arial" w:cs="Arial" w:eastAsia="Arial" w:hAnsi="Arial"/>
                <w:sz w:val="22"/>
                <w:szCs w:val="22"/>
                <w:color w:val="auto"/>
              </w:rPr>
              <w:t>OGE Energy Corp.</w:t>
            </w:r>
          </w:p>
        </w:tc>
        <w:tc>
          <w:tcPr>
            <w:tcW w:w="1360" w:type="dxa"/>
            <w:vAlign w:val="bottom"/>
          </w:tcPr>
          <w:p>
            <w:pPr>
              <w:ind w:left="740"/>
              <w:spacing w:after="0"/>
              <w:rPr>
                <w:sz w:val="20"/>
                <w:szCs w:val="20"/>
                <w:color w:val="auto"/>
              </w:rPr>
            </w:pPr>
            <w:r>
              <w:rPr>
                <w:rFonts w:ascii="Arial" w:cs="Arial" w:eastAsia="Arial" w:hAnsi="Arial"/>
                <w:sz w:val="22"/>
                <w:szCs w:val="22"/>
                <w:color w:val="auto"/>
              </w:rPr>
              <w:t>OGE</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CenterPoint Energy, Inc.</w:t>
            </w:r>
          </w:p>
        </w:tc>
        <w:tc>
          <w:tcPr>
            <w:tcW w:w="1320" w:type="dxa"/>
            <w:vAlign w:val="bottom"/>
          </w:tcPr>
          <w:p>
            <w:pPr>
              <w:ind w:left="600"/>
              <w:spacing w:after="0"/>
              <w:rPr>
                <w:sz w:val="20"/>
                <w:szCs w:val="20"/>
                <w:color w:val="auto"/>
              </w:rPr>
            </w:pPr>
            <w:r>
              <w:rPr>
                <w:rFonts w:ascii="Arial" w:cs="Arial" w:eastAsia="Arial" w:hAnsi="Arial"/>
                <w:sz w:val="22"/>
                <w:szCs w:val="22"/>
                <w:color w:val="auto"/>
              </w:rPr>
              <w:t>CNP</w:t>
            </w:r>
          </w:p>
        </w:tc>
        <w:tc>
          <w:tcPr>
            <w:tcW w:w="4240" w:type="dxa"/>
            <w:vAlign w:val="bottom"/>
          </w:tcPr>
          <w:p>
            <w:pPr>
              <w:ind w:left="300"/>
              <w:spacing w:after="0"/>
              <w:rPr>
                <w:sz w:val="20"/>
                <w:szCs w:val="20"/>
                <w:color w:val="auto"/>
              </w:rPr>
            </w:pPr>
            <w:r>
              <w:rPr>
                <w:rFonts w:ascii="Arial" w:cs="Arial" w:eastAsia="Arial" w:hAnsi="Arial"/>
                <w:sz w:val="22"/>
                <w:szCs w:val="22"/>
                <w:color w:val="auto"/>
              </w:rPr>
              <w:t>Otter Tail Corporation</w:t>
            </w:r>
          </w:p>
        </w:tc>
        <w:tc>
          <w:tcPr>
            <w:tcW w:w="1360" w:type="dxa"/>
            <w:vAlign w:val="bottom"/>
          </w:tcPr>
          <w:p>
            <w:pPr>
              <w:ind w:left="740"/>
              <w:spacing w:after="0"/>
              <w:rPr>
                <w:sz w:val="20"/>
                <w:szCs w:val="20"/>
                <w:color w:val="auto"/>
              </w:rPr>
            </w:pPr>
            <w:r>
              <w:rPr>
                <w:rFonts w:ascii="Arial" w:cs="Arial" w:eastAsia="Arial" w:hAnsi="Arial"/>
                <w:sz w:val="22"/>
                <w:szCs w:val="22"/>
                <w:color w:val="auto"/>
              </w:rPr>
              <w:t>OTTR</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CMS Energy Corporation</w:t>
            </w:r>
          </w:p>
        </w:tc>
        <w:tc>
          <w:tcPr>
            <w:tcW w:w="1320" w:type="dxa"/>
            <w:vAlign w:val="bottom"/>
          </w:tcPr>
          <w:p>
            <w:pPr>
              <w:ind w:left="600"/>
              <w:spacing w:after="0"/>
              <w:rPr>
                <w:sz w:val="20"/>
                <w:szCs w:val="20"/>
                <w:color w:val="auto"/>
              </w:rPr>
            </w:pPr>
            <w:r>
              <w:rPr>
                <w:rFonts w:ascii="Arial" w:cs="Arial" w:eastAsia="Arial" w:hAnsi="Arial"/>
                <w:sz w:val="22"/>
                <w:szCs w:val="22"/>
                <w:color w:val="auto"/>
              </w:rPr>
              <w:t>CMS</w:t>
            </w:r>
          </w:p>
        </w:tc>
        <w:tc>
          <w:tcPr>
            <w:tcW w:w="4240" w:type="dxa"/>
            <w:vAlign w:val="bottom"/>
          </w:tcPr>
          <w:p>
            <w:pPr>
              <w:ind w:left="300"/>
              <w:spacing w:after="0"/>
              <w:rPr>
                <w:sz w:val="20"/>
                <w:szCs w:val="20"/>
                <w:color w:val="auto"/>
              </w:rPr>
            </w:pPr>
            <w:r>
              <w:rPr>
                <w:rFonts w:ascii="Arial" w:cs="Arial" w:eastAsia="Arial" w:hAnsi="Arial"/>
                <w:sz w:val="22"/>
                <w:szCs w:val="22"/>
                <w:color w:val="auto"/>
              </w:rPr>
              <w:t>PG&amp;E Corporation</w:t>
            </w:r>
          </w:p>
        </w:tc>
        <w:tc>
          <w:tcPr>
            <w:tcW w:w="1360" w:type="dxa"/>
            <w:vAlign w:val="bottom"/>
          </w:tcPr>
          <w:p>
            <w:pPr>
              <w:ind w:left="740"/>
              <w:spacing w:after="0"/>
              <w:rPr>
                <w:sz w:val="20"/>
                <w:szCs w:val="20"/>
                <w:color w:val="auto"/>
              </w:rPr>
            </w:pPr>
            <w:r>
              <w:rPr>
                <w:rFonts w:ascii="Arial" w:cs="Arial" w:eastAsia="Arial" w:hAnsi="Arial"/>
                <w:sz w:val="22"/>
                <w:szCs w:val="22"/>
                <w:color w:val="auto"/>
              </w:rPr>
              <w:t>PCG</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Consolidated Edison, Inc.</w:t>
            </w:r>
          </w:p>
        </w:tc>
        <w:tc>
          <w:tcPr>
            <w:tcW w:w="1320" w:type="dxa"/>
            <w:vAlign w:val="bottom"/>
          </w:tcPr>
          <w:p>
            <w:pPr>
              <w:ind w:left="600"/>
              <w:spacing w:after="0"/>
              <w:rPr>
                <w:sz w:val="20"/>
                <w:szCs w:val="20"/>
                <w:color w:val="auto"/>
              </w:rPr>
            </w:pPr>
            <w:r>
              <w:rPr>
                <w:rFonts w:ascii="Arial" w:cs="Arial" w:eastAsia="Arial" w:hAnsi="Arial"/>
                <w:sz w:val="22"/>
                <w:szCs w:val="22"/>
                <w:color w:val="auto"/>
              </w:rPr>
              <w:t>ED</w:t>
            </w:r>
          </w:p>
        </w:tc>
        <w:tc>
          <w:tcPr>
            <w:tcW w:w="4240" w:type="dxa"/>
            <w:vAlign w:val="bottom"/>
          </w:tcPr>
          <w:p>
            <w:pPr>
              <w:ind w:left="300"/>
              <w:spacing w:after="0"/>
              <w:rPr>
                <w:sz w:val="20"/>
                <w:szCs w:val="20"/>
                <w:color w:val="auto"/>
              </w:rPr>
            </w:pPr>
            <w:r>
              <w:rPr>
                <w:rFonts w:ascii="Arial" w:cs="Arial" w:eastAsia="Arial" w:hAnsi="Arial"/>
                <w:sz w:val="22"/>
                <w:szCs w:val="22"/>
                <w:color w:val="auto"/>
              </w:rPr>
              <w:t>Pinnacle West Capital Corporation</w:t>
            </w:r>
          </w:p>
        </w:tc>
        <w:tc>
          <w:tcPr>
            <w:tcW w:w="1360" w:type="dxa"/>
            <w:vAlign w:val="bottom"/>
          </w:tcPr>
          <w:p>
            <w:pPr>
              <w:ind w:left="740"/>
              <w:spacing w:after="0"/>
              <w:rPr>
                <w:sz w:val="20"/>
                <w:szCs w:val="20"/>
                <w:color w:val="auto"/>
              </w:rPr>
            </w:pPr>
            <w:r>
              <w:rPr>
                <w:rFonts w:ascii="Arial" w:cs="Arial" w:eastAsia="Arial" w:hAnsi="Arial"/>
                <w:sz w:val="22"/>
                <w:szCs w:val="22"/>
                <w:color w:val="auto"/>
              </w:rPr>
              <w:t>PNW</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Dominion Resources, Inc.</w:t>
            </w:r>
          </w:p>
        </w:tc>
        <w:tc>
          <w:tcPr>
            <w:tcW w:w="1320" w:type="dxa"/>
            <w:vAlign w:val="bottom"/>
          </w:tcPr>
          <w:p>
            <w:pPr>
              <w:ind w:left="600"/>
              <w:spacing w:after="0"/>
              <w:rPr>
                <w:sz w:val="20"/>
                <w:szCs w:val="20"/>
                <w:color w:val="auto"/>
              </w:rPr>
            </w:pPr>
            <w:r>
              <w:rPr>
                <w:rFonts w:ascii="Arial" w:cs="Arial" w:eastAsia="Arial" w:hAnsi="Arial"/>
                <w:sz w:val="22"/>
                <w:szCs w:val="22"/>
                <w:color w:val="auto"/>
              </w:rPr>
              <w:t>D</w:t>
            </w:r>
          </w:p>
        </w:tc>
        <w:tc>
          <w:tcPr>
            <w:tcW w:w="4240" w:type="dxa"/>
            <w:vAlign w:val="bottom"/>
          </w:tcPr>
          <w:p>
            <w:pPr>
              <w:ind w:left="300"/>
              <w:spacing w:after="0"/>
              <w:rPr>
                <w:sz w:val="20"/>
                <w:szCs w:val="20"/>
                <w:color w:val="auto"/>
              </w:rPr>
            </w:pPr>
            <w:r>
              <w:rPr>
                <w:rFonts w:ascii="Arial" w:cs="Arial" w:eastAsia="Arial" w:hAnsi="Arial"/>
                <w:sz w:val="22"/>
                <w:szCs w:val="22"/>
                <w:color w:val="auto"/>
              </w:rPr>
              <w:t>PNM Resources, Inc.</w:t>
            </w:r>
          </w:p>
        </w:tc>
        <w:tc>
          <w:tcPr>
            <w:tcW w:w="1360" w:type="dxa"/>
            <w:vAlign w:val="bottom"/>
          </w:tcPr>
          <w:p>
            <w:pPr>
              <w:ind w:left="740"/>
              <w:spacing w:after="0"/>
              <w:rPr>
                <w:sz w:val="20"/>
                <w:szCs w:val="20"/>
                <w:color w:val="auto"/>
              </w:rPr>
            </w:pPr>
            <w:r>
              <w:rPr>
                <w:rFonts w:ascii="Arial" w:cs="Arial" w:eastAsia="Arial" w:hAnsi="Arial"/>
                <w:sz w:val="22"/>
                <w:szCs w:val="22"/>
                <w:color w:val="auto"/>
              </w:rPr>
              <w:t>PNM</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DTE Energy Company</w:t>
            </w:r>
          </w:p>
        </w:tc>
        <w:tc>
          <w:tcPr>
            <w:tcW w:w="1320" w:type="dxa"/>
            <w:vAlign w:val="bottom"/>
          </w:tcPr>
          <w:p>
            <w:pPr>
              <w:ind w:left="600"/>
              <w:spacing w:after="0"/>
              <w:rPr>
                <w:sz w:val="20"/>
                <w:szCs w:val="20"/>
                <w:color w:val="auto"/>
              </w:rPr>
            </w:pPr>
            <w:r>
              <w:rPr>
                <w:rFonts w:ascii="Arial" w:cs="Arial" w:eastAsia="Arial" w:hAnsi="Arial"/>
                <w:sz w:val="22"/>
                <w:szCs w:val="22"/>
                <w:color w:val="auto"/>
              </w:rPr>
              <w:t>DTE</w:t>
            </w:r>
          </w:p>
        </w:tc>
        <w:tc>
          <w:tcPr>
            <w:tcW w:w="4240" w:type="dxa"/>
            <w:vAlign w:val="bottom"/>
          </w:tcPr>
          <w:p>
            <w:pPr>
              <w:ind w:left="300"/>
              <w:spacing w:after="0"/>
              <w:rPr>
                <w:sz w:val="20"/>
                <w:szCs w:val="20"/>
                <w:color w:val="auto"/>
              </w:rPr>
            </w:pPr>
            <w:r>
              <w:rPr>
                <w:rFonts w:ascii="Arial" w:cs="Arial" w:eastAsia="Arial" w:hAnsi="Arial"/>
                <w:sz w:val="22"/>
                <w:szCs w:val="22"/>
                <w:color w:val="auto"/>
              </w:rPr>
              <w:t>Portland General Electric Company</w:t>
            </w:r>
          </w:p>
        </w:tc>
        <w:tc>
          <w:tcPr>
            <w:tcW w:w="1360" w:type="dxa"/>
            <w:vAlign w:val="bottom"/>
          </w:tcPr>
          <w:p>
            <w:pPr>
              <w:ind w:left="740"/>
              <w:spacing w:after="0"/>
              <w:rPr>
                <w:sz w:val="20"/>
                <w:szCs w:val="20"/>
                <w:color w:val="auto"/>
              </w:rPr>
            </w:pPr>
            <w:r>
              <w:rPr>
                <w:rFonts w:ascii="Arial" w:cs="Arial" w:eastAsia="Arial" w:hAnsi="Arial"/>
                <w:sz w:val="22"/>
                <w:szCs w:val="22"/>
                <w:color w:val="auto"/>
              </w:rPr>
              <w:t>POR</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Duke Energy Corporation</w:t>
            </w:r>
          </w:p>
        </w:tc>
        <w:tc>
          <w:tcPr>
            <w:tcW w:w="1320" w:type="dxa"/>
            <w:vAlign w:val="bottom"/>
          </w:tcPr>
          <w:p>
            <w:pPr>
              <w:ind w:left="600"/>
              <w:spacing w:after="0"/>
              <w:rPr>
                <w:sz w:val="20"/>
                <w:szCs w:val="20"/>
                <w:color w:val="auto"/>
              </w:rPr>
            </w:pPr>
            <w:r>
              <w:rPr>
                <w:rFonts w:ascii="Arial" w:cs="Arial" w:eastAsia="Arial" w:hAnsi="Arial"/>
                <w:sz w:val="22"/>
                <w:szCs w:val="22"/>
                <w:color w:val="auto"/>
              </w:rPr>
              <w:t>DUK</w:t>
            </w:r>
          </w:p>
        </w:tc>
        <w:tc>
          <w:tcPr>
            <w:tcW w:w="4240" w:type="dxa"/>
            <w:vAlign w:val="bottom"/>
          </w:tcPr>
          <w:p>
            <w:pPr>
              <w:ind w:left="300"/>
              <w:spacing w:after="0"/>
              <w:rPr>
                <w:sz w:val="20"/>
                <w:szCs w:val="20"/>
                <w:color w:val="auto"/>
              </w:rPr>
            </w:pPr>
            <w:r>
              <w:rPr>
                <w:rFonts w:ascii="Arial" w:cs="Arial" w:eastAsia="Arial" w:hAnsi="Arial"/>
                <w:sz w:val="22"/>
                <w:szCs w:val="22"/>
                <w:color w:val="auto"/>
              </w:rPr>
              <w:t>PPL Corporation</w:t>
            </w:r>
          </w:p>
        </w:tc>
        <w:tc>
          <w:tcPr>
            <w:tcW w:w="1360" w:type="dxa"/>
            <w:vAlign w:val="bottom"/>
          </w:tcPr>
          <w:p>
            <w:pPr>
              <w:ind w:left="740"/>
              <w:spacing w:after="0"/>
              <w:rPr>
                <w:sz w:val="20"/>
                <w:szCs w:val="20"/>
                <w:color w:val="auto"/>
              </w:rPr>
            </w:pPr>
            <w:r>
              <w:rPr>
                <w:rFonts w:ascii="Arial" w:cs="Arial" w:eastAsia="Arial" w:hAnsi="Arial"/>
                <w:sz w:val="22"/>
                <w:szCs w:val="22"/>
                <w:color w:val="auto"/>
              </w:rPr>
              <w:t>PPL</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Edison International</w:t>
            </w:r>
          </w:p>
        </w:tc>
        <w:tc>
          <w:tcPr>
            <w:tcW w:w="1320" w:type="dxa"/>
            <w:vAlign w:val="bottom"/>
          </w:tcPr>
          <w:p>
            <w:pPr>
              <w:ind w:left="600"/>
              <w:spacing w:after="0"/>
              <w:rPr>
                <w:sz w:val="20"/>
                <w:szCs w:val="20"/>
                <w:color w:val="auto"/>
              </w:rPr>
            </w:pPr>
            <w:r>
              <w:rPr>
                <w:rFonts w:ascii="Arial" w:cs="Arial" w:eastAsia="Arial" w:hAnsi="Arial"/>
                <w:sz w:val="22"/>
                <w:szCs w:val="22"/>
                <w:color w:val="auto"/>
              </w:rPr>
              <w:t>EIX</w:t>
            </w:r>
          </w:p>
        </w:tc>
        <w:tc>
          <w:tcPr>
            <w:tcW w:w="4240" w:type="dxa"/>
            <w:vAlign w:val="bottom"/>
          </w:tcPr>
          <w:p>
            <w:pPr>
              <w:ind w:left="300"/>
              <w:spacing w:after="0"/>
              <w:rPr>
                <w:sz w:val="20"/>
                <w:szCs w:val="20"/>
                <w:color w:val="auto"/>
              </w:rPr>
            </w:pPr>
            <w:r>
              <w:rPr>
                <w:rFonts w:ascii="Arial" w:cs="Arial" w:eastAsia="Arial" w:hAnsi="Arial"/>
                <w:sz w:val="22"/>
                <w:szCs w:val="22"/>
                <w:color w:val="auto"/>
              </w:rPr>
              <w:t>Public Service Enterprise Group Inc.</w:t>
            </w:r>
          </w:p>
        </w:tc>
        <w:tc>
          <w:tcPr>
            <w:tcW w:w="1360" w:type="dxa"/>
            <w:vAlign w:val="bottom"/>
          </w:tcPr>
          <w:p>
            <w:pPr>
              <w:ind w:left="740"/>
              <w:spacing w:after="0"/>
              <w:rPr>
                <w:sz w:val="20"/>
                <w:szCs w:val="20"/>
                <w:color w:val="auto"/>
              </w:rPr>
            </w:pPr>
            <w:r>
              <w:rPr>
                <w:rFonts w:ascii="Arial" w:cs="Arial" w:eastAsia="Arial" w:hAnsi="Arial"/>
                <w:sz w:val="22"/>
                <w:szCs w:val="22"/>
                <w:color w:val="auto"/>
              </w:rPr>
              <w:t>PEG</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El Paso Electric Company</w:t>
            </w:r>
          </w:p>
        </w:tc>
        <w:tc>
          <w:tcPr>
            <w:tcW w:w="1320" w:type="dxa"/>
            <w:vAlign w:val="bottom"/>
          </w:tcPr>
          <w:p>
            <w:pPr>
              <w:ind w:left="600"/>
              <w:spacing w:after="0"/>
              <w:rPr>
                <w:sz w:val="20"/>
                <w:szCs w:val="20"/>
                <w:color w:val="auto"/>
              </w:rPr>
            </w:pPr>
            <w:r>
              <w:rPr>
                <w:rFonts w:ascii="Arial" w:cs="Arial" w:eastAsia="Arial" w:hAnsi="Arial"/>
                <w:sz w:val="22"/>
                <w:szCs w:val="22"/>
                <w:color w:val="auto"/>
              </w:rPr>
              <w:t>EE</w:t>
            </w:r>
          </w:p>
        </w:tc>
        <w:tc>
          <w:tcPr>
            <w:tcW w:w="4240" w:type="dxa"/>
            <w:vAlign w:val="bottom"/>
          </w:tcPr>
          <w:p>
            <w:pPr>
              <w:ind w:left="300"/>
              <w:spacing w:after="0"/>
              <w:rPr>
                <w:sz w:val="20"/>
                <w:szCs w:val="20"/>
                <w:color w:val="auto"/>
              </w:rPr>
            </w:pPr>
            <w:r>
              <w:rPr>
                <w:rFonts w:ascii="Arial" w:cs="Arial" w:eastAsia="Arial" w:hAnsi="Arial"/>
                <w:sz w:val="22"/>
                <w:szCs w:val="22"/>
                <w:color w:val="auto"/>
              </w:rPr>
              <w:t>SCANA Corporation</w:t>
            </w:r>
          </w:p>
        </w:tc>
        <w:tc>
          <w:tcPr>
            <w:tcW w:w="1360" w:type="dxa"/>
            <w:vAlign w:val="bottom"/>
          </w:tcPr>
          <w:p>
            <w:pPr>
              <w:ind w:left="740"/>
              <w:spacing w:after="0"/>
              <w:rPr>
                <w:sz w:val="20"/>
                <w:szCs w:val="20"/>
                <w:color w:val="auto"/>
              </w:rPr>
            </w:pPr>
            <w:r>
              <w:rPr>
                <w:rFonts w:ascii="Arial" w:cs="Arial" w:eastAsia="Arial" w:hAnsi="Arial"/>
                <w:sz w:val="22"/>
                <w:szCs w:val="22"/>
                <w:color w:val="auto"/>
              </w:rPr>
              <w:t>SCG</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Entergy Corporation</w:t>
            </w:r>
          </w:p>
        </w:tc>
        <w:tc>
          <w:tcPr>
            <w:tcW w:w="1320" w:type="dxa"/>
            <w:vAlign w:val="bottom"/>
          </w:tcPr>
          <w:p>
            <w:pPr>
              <w:ind w:left="600"/>
              <w:spacing w:after="0"/>
              <w:rPr>
                <w:sz w:val="20"/>
                <w:szCs w:val="20"/>
                <w:color w:val="auto"/>
              </w:rPr>
            </w:pPr>
            <w:r>
              <w:rPr>
                <w:rFonts w:ascii="Arial" w:cs="Arial" w:eastAsia="Arial" w:hAnsi="Arial"/>
                <w:sz w:val="22"/>
                <w:szCs w:val="22"/>
                <w:color w:val="auto"/>
              </w:rPr>
              <w:t>ETR</w:t>
            </w:r>
          </w:p>
        </w:tc>
        <w:tc>
          <w:tcPr>
            <w:tcW w:w="4240" w:type="dxa"/>
            <w:vAlign w:val="bottom"/>
          </w:tcPr>
          <w:p>
            <w:pPr>
              <w:ind w:left="300"/>
              <w:spacing w:after="0"/>
              <w:rPr>
                <w:sz w:val="20"/>
                <w:szCs w:val="20"/>
                <w:color w:val="auto"/>
              </w:rPr>
            </w:pPr>
            <w:r>
              <w:rPr>
                <w:rFonts w:ascii="Arial" w:cs="Arial" w:eastAsia="Arial" w:hAnsi="Arial"/>
                <w:sz w:val="22"/>
                <w:szCs w:val="22"/>
                <w:color w:val="auto"/>
              </w:rPr>
              <w:t>Sempra Energy</w:t>
            </w:r>
          </w:p>
        </w:tc>
        <w:tc>
          <w:tcPr>
            <w:tcW w:w="1360" w:type="dxa"/>
            <w:vAlign w:val="bottom"/>
          </w:tcPr>
          <w:p>
            <w:pPr>
              <w:ind w:left="740"/>
              <w:spacing w:after="0"/>
              <w:rPr>
                <w:sz w:val="20"/>
                <w:szCs w:val="20"/>
                <w:color w:val="auto"/>
              </w:rPr>
            </w:pPr>
            <w:r>
              <w:rPr>
                <w:rFonts w:ascii="Arial" w:cs="Arial" w:eastAsia="Arial" w:hAnsi="Arial"/>
                <w:sz w:val="22"/>
                <w:szCs w:val="22"/>
                <w:color w:val="auto"/>
              </w:rPr>
              <w:t>SRE</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Eversource Energy</w:t>
            </w:r>
          </w:p>
        </w:tc>
        <w:tc>
          <w:tcPr>
            <w:tcW w:w="1320" w:type="dxa"/>
            <w:vAlign w:val="bottom"/>
          </w:tcPr>
          <w:p>
            <w:pPr>
              <w:ind w:left="600"/>
              <w:spacing w:after="0"/>
              <w:rPr>
                <w:sz w:val="20"/>
                <w:szCs w:val="20"/>
                <w:color w:val="auto"/>
              </w:rPr>
            </w:pPr>
            <w:r>
              <w:rPr>
                <w:rFonts w:ascii="Arial" w:cs="Arial" w:eastAsia="Arial" w:hAnsi="Arial"/>
                <w:sz w:val="22"/>
                <w:szCs w:val="22"/>
                <w:color w:val="auto"/>
              </w:rPr>
              <w:t>ES</w:t>
            </w:r>
          </w:p>
        </w:tc>
        <w:tc>
          <w:tcPr>
            <w:tcW w:w="4240" w:type="dxa"/>
            <w:vAlign w:val="bottom"/>
          </w:tcPr>
          <w:p>
            <w:pPr>
              <w:ind w:left="300"/>
              <w:spacing w:after="0"/>
              <w:rPr>
                <w:sz w:val="20"/>
                <w:szCs w:val="20"/>
                <w:color w:val="auto"/>
              </w:rPr>
            </w:pPr>
            <w:r>
              <w:rPr>
                <w:rFonts w:ascii="Arial" w:cs="Arial" w:eastAsia="Arial" w:hAnsi="Arial"/>
                <w:sz w:val="22"/>
                <w:szCs w:val="22"/>
                <w:color w:val="auto"/>
              </w:rPr>
              <w:t>The Southern Company</w:t>
            </w:r>
          </w:p>
        </w:tc>
        <w:tc>
          <w:tcPr>
            <w:tcW w:w="1360" w:type="dxa"/>
            <w:vAlign w:val="bottom"/>
          </w:tcPr>
          <w:p>
            <w:pPr>
              <w:ind w:left="740"/>
              <w:spacing w:after="0"/>
              <w:rPr>
                <w:sz w:val="20"/>
                <w:szCs w:val="20"/>
                <w:color w:val="auto"/>
              </w:rPr>
            </w:pPr>
            <w:r>
              <w:rPr>
                <w:rFonts w:ascii="Arial" w:cs="Arial" w:eastAsia="Arial" w:hAnsi="Arial"/>
                <w:sz w:val="22"/>
                <w:szCs w:val="22"/>
                <w:color w:val="auto"/>
              </w:rPr>
              <w:t>SO</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Exelon Corporation</w:t>
            </w:r>
          </w:p>
        </w:tc>
        <w:tc>
          <w:tcPr>
            <w:tcW w:w="1320" w:type="dxa"/>
            <w:vAlign w:val="bottom"/>
          </w:tcPr>
          <w:p>
            <w:pPr>
              <w:ind w:left="600"/>
              <w:spacing w:after="0"/>
              <w:rPr>
                <w:sz w:val="20"/>
                <w:szCs w:val="20"/>
                <w:color w:val="auto"/>
              </w:rPr>
            </w:pPr>
            <w:r>
              <w:rPr>
                <w:rFonts w:ascii="Arial" w:cs="Arial" w:eastAsia="Arial" w:hAnsi="Arial"/>
                <w:sz w:val="22"/>
                <w:szCs w:val="22"/>
                <w:color w:val="auto"/>
              </w:rPr>
              <w:t>EXC</w:t>
            </w:r>
          </w:p>
        </w:tc>
        <w:tc>
          <w:tcPr>
            <w:tcW w:w="4240" w:type="dxa"/>
            <w:vAlign w:val="bottom"/>
          </w:tcPr>
          <w:p>
            <w:pPr>
              <w:ind w:left="300"/>
              <w:spacing w:after="0"/>
              <w:rPr>
                <w:sz w:val="20"/>
                <w:szCs w:val="20"/>
                <w:color w:val="auto"/>
              </w:rPr>
            </w:pPr>
            <w:r>
              <w:rPr>
                <w:rFonts w:ascii="Arial" w:cs="Arial" w:eastAsia="Arial" w:hAnsi="Arial"/>
                <w:sz w:val="22"/>
                <w:szCs w:val="22"/>
                <w:color w:val="auto"/>
              </w:rPr>
              <w:t>Unitil Corporation</w:t>
            </w:r>
          </w:p>
        </w:tc>
        <w:tc>
          <w:tcPr>
            <w:tcW w:w="1360" w:type="dxa"/>
            <w:vAlign w:val="bottom"/>
          </w:tcPr>
          <w:p>
            <w:pPr>
              <w:ind w:left="740"/>
              <w:spacing w:after="0"/>
              <w:rPr>
                <w:sz w:val="20"/>
                <w:szCs w:val="20"/>
                <w:color w:val="auto"/>
              </w:rPr>
            </w:pPr>
            <w:r>
              <w:rPr>
                <w:rFonts w:ascii="Arial" w:cs="Arial" w:eastAsia="Arial" w:hAnsi="Arial"/>
                <w:sz w:val="22"/>
                <w:szCs w:val="22"/>
                <w:color w:val="auto"/>
              </w:rPr>
              <w:t>UTL</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FirstEnergy Corp.</w:t>
            </w:r>
          </w:p>
        </w:tc>
        <w:tc>
          <w:tcPr>
            <w:tcW w:w="1320" w:type="dxa"/>
            <w:vAlign w:val="bottom"/>
          </w:tcPr>
          <w:p>
            <w:pPr>
              <w:ind w:left="600"/>
              <w:spacing w:after="0"/>
              <w:rPr>
                <w:sz w:val="20"/>
                <w:szCs w:val="20"/>
                <w:color w:val="auto"/>
              </w:rPr>
            </w:pPr>
            <w:r>
              <w:rPr>
                <w:rFonts w:ascii="Arial" w:cs="Arial" w:eastAsia="Arial" w:hAnsi="Arial"/>
                <w:sz w:val="22"/>
                <w:szCs w:val="22"/>
                <w:color w:val="auto"/>
              </w:rPr>
              <w:t>FE</w:t>
            </w:r>
          </w:p>
        </w:tc>
        <w:tc>
          <w:tcPr>
            <w:tcW w:w="4240" w:type="dxa"/>
            <w:vAlign w:val="bottom"/>
          </w:tcPr>
          <w:p>
            <w:pPr>
              <w:ind w:left="300"/>
              <w:spacing w:after="0"/>
              <w:rPr>
                <w:sz w:val="20"/>
                <w:szCs w:val="20"/>
                <w:color w:val="auto"/>
              </w:rPr>
            </w:pPr>
            <w:r>
              <w:rPr>
                <w:rFonts w:ascii="Arial" w:cs="Arial" w:eastAsia="Arial" w:hAnsi="Arial"/>
                <w:sz w:val="22"/>
                <w:szCs w:val="22"/>
                <w:color w:val="auto"/>
              </w:rPr>
              <w:t>Vectren Corporation</w:t>
            </w:r>
          </w:p>
        </w:tc>
        <w:tc>
          <w:tcPr>
            <w:tcW w:w="1360" w:type="dxa"/>
            <w:vAlign w:val="bottom"/>
          </w:tcPr>
          <w:p>
            <w:pPr>
              <w:ind w:left="740"/>
              <w:spacing w:after="0"/>
              <w:rPr>
                <w:sz w:val="20"/>
                <w:szCs w:val="20"/>
                <w:color w:val="auto"/>
              </w:rPr>
            </w:pPr>
            <w:r>
              <w:rPr>
                <w:rFonts w:ascii="Arial" w:cs="Arial" w:eastAsia="Arial" w:hAnsi="Arial"/>
                <w:sz w:val="22"/>
                <w:szCs w:val="22"/>
                <w:color w:val="auto"/>
              </w:rPr>
              <w:t>VVC</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Great Plains Energy Incorporated</w:t>
            </w:r>
          </w:p>
        </w:tc>
        <w:tc>
          <w:tcPr>
            <w:tcW w:w="1320" w:type="dxa"/>
            <w:vAlign w:val="bottom"/>
          </w:tcPr>
          <w:p>
            <w:pPr>
              <w:ind w:left="600"/>
              <w:spacing w:after="0"/>
              <w:rPr>
                <w:sz w:val="20"/>
                <w:szCs w:val="20"/>
                <w:color w:val="auto"/>
              </w:rPr>
            </w:pPr>
            <w:r>
              <w:rPr>
                <w:rFonts w:ascii="Arial" w:cs="Arial" w:eastAsia="Arial" w:hAnsi="Arial"/>
                <w:sz w:val="22"/>
                <w:szCs w:val="22"/>
                <w:color w:val="auto"/>
              </w:rPr>
              <w:t>GXP</w:t>
            </w:r>
          </w:p>
        </w:tc>
        <w:tc>
          <w:tcPr>
            <w:tcW w:w="4240" w:type="dxa"/>
            <w:vAlign w:val="bottom"/>
          </w:tcPr>
          <w:p>
            <w:pPr>
              <w:ind w:left="300"/>
              <w:spacing w:after="0"/>
              <w:rPr>
                <w:sz w:val="20"/>
                <w:szCs w:val="20"/>
                <w:color w:val="auto"/>
              </w:rPr>
            </w:pPr>
            <w:r>
              <w:rPr>
                <w:rFonts w:ascii="Arial" w:cs="Arial" w:eastAsia="Arial" w:hAnsi="Arial"/>
                <w:sz w:val="22"/>
                <w:szCs w:val="22"/>
                <w:color w:val="auto"/>
              </w:rPr>
              <w:t>WEC Energy Group, Inc.</w:t>
            </w:r>
          </w:p>
        </w:tc>
        <w:tc>
          <w:tcPr>
            <w:tcW w:w="1360" w:type="dxa"/>
            <w:vAlign w:val="bottom"/>
          </w:tcPr>
          <w:p>
            <w:pPr>
              <w:ind w:left="740"/>
              <w:spacing w:after="0"/>
              <w:rPr>
                <w:sz w:val="20"/>
                <w:szCs w:val="20"/>
                <w:color w:val="auto"/>
              </w:rPr>
            </w:pPr>
            <w:r>
              <w:rPr>
                <w:rFonts w:ascii="Arial" w:cs="Arial" w:eastAsia="Arial" w:hAnsi="Arial"/>
                <w:sz w:val="22"/>
                <w:szCs w:val="22"/>
                <w:color w:val="auto"/>
              </w:rPr>
              <w:t>WEC</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Hawaiian Electric Industries, Inc.</w:t>
            </w:r>
          </w:p>
        </w:tc>
        <w:tc>
          <w:tcPr>
            <w:tcW w:w="1320" w:type="dxa"/>
            <w:vAlign w:val="bottom"/>
          </w:tcPr>
          <w:p>
            <w:pPr>
              <w:ind w:left="600"/>
              <w:spacing w:after="0"/>
              <w:rPr>
                <w:sz w:val="20"/>
                <w:szCs w:val="20"/>
                <w:color w:val="auto"/>
              </w:rPr>
            </w:pPr>
            <w:r>
              <w:rPr>
                <w:rFonts w:ascii="Arial" w:cs="Arial" w:eastAsia="Arial" w:hAnsi="Arial"/>
                <w:sz w:val="22"/>
                <w:szCs w:val="22"/>
                <w:color w:val="auto"/>
              </w:rPr>
              <w:t>HE</w:t>
            </w:r>
          </w:p>
        </w:tc>
        <w:tc>
          <w:tcPr>
            <w:tcW w:w="4240" w:type="dxa"/>
            <w:vAlign w:val="bottom"/>
          </w:tcPr>
          <w:p>
            <w:pPr>
              <w:ind w:left="300"/>
              <w:spacing w:after="0"/>
              <w:rPr>
                <w:sz w:val="20"/>
                <w:szCs w:val="20"/>
                <w:color w:val="auto"/>
              </w:rPr>
            </w:pPr>
            <w:r>
              <w:rPr>
                <w:rFonts w:ascii="Arial" w:cs="Arial" w:eastAsia="Arial" w:hAnsi="Arial"/>
                <w:sz w:val="22"/>
                <w:szCs w:val="22"/>
                <w:color w:val="auto"/>
              </w:rPr>
              <w:t>Westar Energy, Inc.</w:t>
            </w:r>
          </w:p>
        </w:tc>
        <w:tc>
          <w:tcPr>
            <w:tcW w:w="1360" w:type="dxa"/>
            <w:vAlign w:val="bottom"/>
          </w:tcPr>
          <w:p>
            <w:pPr>
              <w:ind w:left="740"/>
              <w:spacing w:after="0"/>
              <w:rPr>
                <w:sz w:val="20"/>
                <w:szCs w:val="20"/>
                <w:color w:val="auto"/>
              </w:rPr>
            </w:pPr>
            <w:r>
              <w:rPr>
                <w:rFonts w:ascii="Arial" w:cs="Arial" w:eastAsia="Arial" w:hAnsi="Arial"/>
                <w:sz w:val="22"/>
                <w:szCs w:val="22"/>
                <w:color w:val="auto"/>
              </w:rPr>
              <w:t>WR</w:t>
            </w:r>
          </w:p>
        </w:tc>
      </w:tr>
      <w:tr>
        <w:trPr>
          <w:trHeight w:val="297"/>
        </w:trPr>
        <w:tc>
          <w:tcPr>
            <w:tcW w:w="4080" w:type="dxa"/>
            <w:vAlign w:val="bottom"/>
          </w:tcPr>
          <w:p>
            <w:pPr>
              <w:spacing w:after="0"/>
              <w:rPr>
                <w:sz w:val="20"/>
                <w:szCs w:val="20"/>
                <w:color w:val="auto"/>
              </w:rPr>
            </w:pPr>
            <w:r>
              <w:rPr>
                <w:rFonts w:ascii="Arial" w:cs="Arial" w:eastAsia="Arial" w:hAnsi="Arial"/>
                <w:sz w:val="22"/>
                <w:szCs w:val="22"/>
                <w:color w:val="auto"/>
              </w:rPr>
              <w:t>IdaCorp, Inc.</w:t>
            </w:r>
          </w:p>
        </w:tc>
        <w:tc>
          <w:tcPr>
            <w:tcW w:w="1320" w:type="dxa"/>
            <w:vAlign w:val="bottom"/>
          </w:tcPr>
          <w:p>
            <w:pPr>
              <w:ind w:left="600"/>
              <w:spacing w:after="0"/>
              <w:rPr>
                <w:sz w:val="20"/>
                <w:szCs w:val="20"/>
                <w:color w:val="auto"/>
              </w:rPr>
            </w:pPr>
            <w:r>
              <w:rPr>
                <w:rFonts w:ascii="Arial" w:cs="Arial" w:eastAsia="Arial" w:hAnsi="Arial"/>
                <w:sz w:val="22"/>
                <w:szCs w:val="22"/>
                <w:color w:val="auto"/>
              </w:rPr>
              <w:t>IDA</w:t>
            </w:r>
          </w:p>
        </w:tc>
        <w:tc>
          <w:tcPr>
            <w:tcW w:w="4240" w:type="dxa"/>
            <w:vAlign w:val="bottom"/>
          </w:tcPr>
          <w:p>
            <w:pPr>
              <w:ind w:left="300"/>
              <w:spacing w:after="0"/>
              <w:rPr>
                <w:sz w:val="20"/>
                <w:szCs w:val="20"/>
                <w:color w:val="auto"/>
              </w:rPr>
            </w:pPr>
            <w:r>
              <w:rPr>
                <w:rFonts w:ascii="Arial" w:cs="Arial" w:eastAsia="Arial" w:hAnsi="Arial"/>
                <w:sz w:val="22"/>
                <w:szCs w:val="22"/>
                <w:color w:val="auto"/>
              </w:rPr>
              <w:t>Xcel Energy Inc.</w:t>
            </w:r>
          </w:p>
        </w:tc>
        <w:tc>
          <w:tcPr>
            <w:tcW w:w="1360" w:type="dxa"/>
            <w:vAlign w:val="bottom"/>
          </w:tcPr>
          <w:p>
            <w:pPr>
              <w:ind w:left="740"/>
              <w:spacing w:after="0"/>
              <w:rPr>
                <w:sz w:val="20"/>
                <w:szCs w:val="20"/>
                <w:color w:val="auto"/>
              </w:rPr>
            </w:pPr>
            <w:r>
              <w:rPr>
                <w:rFonts w:ascii="Arial" w:cs="Arial" w:eastAsia="Arial" w:hAnsi="Arial"/>
                <w:sz w:val="22"/>
                <w:szCs w:val="22"/>
                <w:color w:val="auto"/>
              </w:rPr>
              <w:t>XEL</w:t>
            </w:r>
          </w:p>
        </w:tc>
      </w:tr>
      <w:tr>
        <w:trPr>
          <w:trHeight w:val="733"/>
        </w:trPr>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i</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R. Emery, certify that:</w:t>
      </w:r>
    </w:p>
    <w:p>
      <w:pPr>
        <w:spacing w:after="0" w:line="387" w:lineRule="exact"/>
        <w:rPr>
          <w:sz w:val="20"/>
          <w:szCs w:val="20"/>
          <w:color w:val="auto"/>
        </w:rPr>
      </w:pPr>
    </w:p>
    <w:p>
      <w:pPr>
        <w:ind w:left="840" w:hanging="805"/>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4, 2017</w:t>
            </w:r>
          </w:p>
        </w:tc>
      </w:tr>
    </w:tbl>
    <w:p>
      <w:pPr>
        <w:spacing w:after="0" w:line="4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4, 2017</w:t>
            </w:r>
          </w:p>
        </w:tc>
      </w:tr>
    </w:tbl>
    <w:p>
      <w:pPr>
        <w:spacing w:after="0" w:line="4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March 31, 2017 as filed with the Securities and Exchange Commission on the date hereof (the “Report”), I, David R. Emery, Chairman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4, 2017</w:t>
            </w:r>
          </w:p>
        </w:tc>
      </w:tr>
    </w:tbl>
    <w:p>
      <w:pPr>
        <w:spacing w:after="0" w:line="3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March 31, 2017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4, 2017</w:t>
            </w:r>
          </w:p>
        </w:tc>
      </w:tr>
    </w:tbl>
    <w:p>
      <w:pPr>
        <w:spacing w:after="0" w:line="36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2017. In evaluating this information, consideration should be given to factors such as:</w:t>
      </w:r>
    </w:p>
    <w:p>
      <w:pPr>
        <w:spacing w:after="0" w:line="2" w:lineRule="exact"/>
        <w:rPr>
          <w:sz w:val="20"/>
          <w:szCs w:val="20"/>
          <w:color w:val="auto"/>
        </w:rPr>
      </w:pPr>
    </w:p>
    <w:p>
      <w:pPr>
        <w:ind w:right="20" w:firstLine="8"/>
        <w:spacing w:after="0" w:line="255" w:lineRule="auto"/>
        <w:tabs>
          <w:tab w:leader="none" w:pos="2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90" w:lineRule="exact"/>
        <w:rPr>
          <w:rFonts w:ascii="Arial" w:cs="Arial" w:eastAsia="Arial" w:hAnsi="Arial"/>
          <w:sz w:val="18"/>
          <w:szCs w:val="18"/>
          <w:color w:val="auto"/>
        </w:rPr>
      </w:pPr>
    </w:p>
    <w:p>
      <w:pPr>
        <w:ind w:left="660" w:right="140" w:hanging="328"/>
        <w:spacing w:after="0" w:line="308" w:lineRule="auto"/>
        <w:tabs>
          <w:tab w:leader="none" w:pos="6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March 31, 2017 and legal actions pending before the Federal Mine Safety and Health Review Commission, together with the Administrative Law Judges thereof, for WRDC, our only mining complex. All citations were abated within 24 hours of issue.</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 S&amp;S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Total Dollar</w:t>
            </w:r>
          </w:p>
        </w:tc>
        <w:tc>
          <w:tcPr>
            <w:tcW w:w="8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9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9"/>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three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Potential to Have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104(b)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Pattern Under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March 31, 2017</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Orders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200" w:type="dxa"/>
            <w:vAlign w:val="bottom"/>
          </w:tcPr>
          <w:p>
            <w:pPr>
              <w:spacing w:after="0"/>
              <w:rPr>
                <w:sz w:val="14"/>
                <w:szCs w:val="14"/>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Assessments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Wyodak Coal Mine</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- 4800083</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80" w:hanging="332"/>
        <w:spacing w:after="0" w:line="254"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1)"/>
      <w:numFmt w:val="lowerLetter"/>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1)"/>
      <w:numFmt w:val="lowerLetter"/>
      <w:start w:val="1"/>
    </w:lvl>
  </w:abstractNum>
  <w:abstractNum w:abstractNumId="5">
    <w:nsid w:val="614FD4A1"/>
    <w:multiLevelType w:val="hybridMultilevel"/>
    <w:lvl w:ilvl="0">
      <w:lvlJc w:val="left"/>
      <w:lvlText w:val="(%1)"/>
      <w:numFmt w:val="lowerLetter"/>
      <w:start w:val="1"/>
    </w:lvl>
  </w:abstractNum>
  <w:abstractNum w:abstractNumId="6">
    <w:nsid w:val="419AC241"/>
    <w:multiLevelType w:val="hybridMultilevel"/>
    <w:lvl w:ilvl="0">
      <w:lvlJc w:val="left"/>
      <w:lvlText w:val="(%1)"/>
      <w:numFmt w:val="lowerLetter"/>
      <w:start w:val="1"/>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decimal"/>
      <w:start w:val="1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emdash "/>
      <w:numFmt w:val="bullet"/>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decimal"/>
      <w:start w:val="13"/>
    </w:lvl>
  </w:abstractNum>
  <w:abstractNum w:abstractNumId="15">
    <w:nsid w:val="5E884ADC"/>
    <w:multiLevelType w:val="hybridMultilevel"/>
    <w:lvl w:ilvl="0">
      <w:lvlJc w:val="left"/>
      <w:lvlText w:val="(%1)"/>
      <w:numFmt w:val="decimal"/>
      <w:start w:val="17"/>
    </w:lvl>
  </w:abstractNum>
  <w:abstractNum w:abstractNumId="16">
    <w:nsid w:val="51EAD36B"/>
    <w:multiLevelType w:val="hybridMultilevel"/>
    <w:lvl w:ilvl="0">
      <w:lvlJc w:val="left"/>
      <w:lvlText w:val="(%1)"/>
      <w:numFmt w:val="lowerLetter"/>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lowerLetter"/>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
      <w:numFmt w:val="bullet"/>
      <w:start w:val="1"/>
    </w:lvl>
    <w:lvl w:ilvl="1">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lowerRoman"/>
      <w:start w:val="2"/>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decimal"/>
      <w:start w:val="20"/>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3"/>
    </w:lvl>
  </w:abstractNum>
  <w:abstractNum w:abstractNumId="48">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49">
    <w:nsid w:val="275AC794"/>
    <w:multiLevelType w:val="hybridMultilevel"/>
    <w:lvl w:ilvl="0">
      <w:lvlJc w:val="left"/>
      <w:lvlText w:val="(%1)"/>
      <w:numFmt w:val="lowerRoman"/>
      <w:start w:val="1"/>
    </w:lvl>
  </w:abstractNum>
  <w:abstractNum w:abstractNumId="50">
    <w:nsid w:val="39386575"/>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21"/>
    </w:lvl>
  </w:abstractNum>
  <w:abstractNum w:abstractNumId="51">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52">
    <w:nsid w:val="180115BE"/>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53">
    <w:nsid w:val="235BA861"/>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lvl w:ilvl="1">
      <w:lvlJc w:val="left"/>
      <w:lvlText w:val="%2)"/>
      <w:numFmt w:val="lowerLetter"/>
      <w:start w:val="1"/>
    </w:lvl>
  </w:abstractNum>
  <w:abstractNum w:abstractNumId="57">
    <w:nsid w:val="741226BB"/>
    <w:multiLevelType w:val="hybridMultilevel"/>
    <w:lvl w:ilvl="0">
      <w:lvlJc w:val="left"/>
      <w:lvlText w:val="%1."/>
      <w:numFmt w:val="decimal"/>
      <w:start w:val="1"/>
    </w:lvl>
    <w:lvl w:ilvl="1">
      <w:lvlJc w:val="left"/>
      <w:lvlText w:val="%2)"/>
      <w:numFmt w:val="lowerLetter"/>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lowerRoman"/>
      <w:start w:val="1"/>
    </w:lvl>
    <w:lvl w:ilvl="1">
      <w:lvlJc w:val="left"/>
      <w:lvlText w:val="•"/>
      <w:numFmt w:val="bullet"/>
      <w:start w:val="1"/>
    </w:lvl>
  </w:abstractNum>
  <w:abstractNum w:abstractNumId="61">
    <w:nsid w:val="615740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2020-01-17T05:30:22Z</dcterms:created>
  <dcterms:modified xsi:type="dcterms:W3CDTF">2020-01-17T05:30:22Z</dcterms:modified>
</cp:coreProperties>
</file>