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97" w:lineRule="exact"/>
        <w:rPr>
          <w:sz w:val="24"/>
          <w:szCs w:val="24"/>
          <w:color w:val="auto"/>
        </w:rPr>
      </w:pPr>
    </w:p>
    <w:p>
      <w:pPr>
        <w:ind w:left="1740" w:right="3120" w:hanging="399"/>
        <w:spacing w:after="0" w:line="222" w:lineRule="auto"/>
        <w:tabs>
          <w:tab w:leader="none" w:pos="1740" w:val="left"/>
        </w:tabs>
        <w:numPr>
          <w:ilvl w:val="0"/>
          <w:numId w:val="1"/>
        </w:numPr>
        <w:rPr>
          <w:rFonts w:ascii="Arial" w:cs="Arial" w:eastAsia="Arial" w:hAnsi="Arial"/>
          <w:sz w:val="29"/>
          <w:szCs w:val="29"/>
          <w:color w:val="auto"/>
        </w:rPr>
      </w:pPr>
      <w:r>
        <w:rPr>
          <w:rFonts w:ascii="Arial" w:cs="Arial" w:eastAsia="Arial" w:hAnsi="Arial"/>
          <w:sz w:val="18"/>
          <w:szCs w:val="18"/>
          <w:color w:val="auto"/>
        </w:rPr>
        <w:t>QUARTERLY REPORT PURSUANT TO SECTION 13 OR 15(d) OF THE SECURITIES EXCHANGE ACT OF 1934</w:t>
      </w:r>
    </w:p>
    <w:p>
      <w:pPr>
        <w:spacing w:after="0" w:line="40"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For the quarterly period ended June 30, 2018</w:t>
      </w:r>
    </w:p>
    <w:p>
      <w:pPr>
        <w:spacing w:after="0" w:line="8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190" w:lineRule="exact"/>
        <w:rPr>
          <w:sz w:val="24"/>
          <w:szCs w:val="24"/>
          <w:color w:val="auto"/>
        </w:rPr>
      </w:pPr>
    </w:p>
    <w:p>
      <w:pPr>
        <w:ind w:left="1740" w:right="3100" w:hanging="399"/>
        <w:spacing w:after="0" w:line="222" w:lineRule="auto"/>
        <w:tabs>
          <w:tab w:leader="none" w:pos="1740" w:val="left"/>
        </w:tabs>
        <w:numPr>
          <w:ilvl w:val="0"/>
          <w:numId w:val="2"/>
        </w:numPr>
        <w:rPr>
          <w:rFonts w:ascii="Arial" w:cs="Arial" w:eastAsia="Arial" w:hAnsi="Arial"/>
          <w:sz w:val="29"/>
          <w:szCs w:val="29"/>
          <w:color w:val="auto"/>
        </w:rPr>
      </w:pPr>
      <w:r>
        <w:rPr>
          <w:rFonts w:ascii="Arial" w:cs="Arial" w:eastAsia="Arial" w:hAnsi="Arial"/>
          <w:sz w:val="18"/>
          <w:szCs w:val="18"/>
          <w:color w:val="auto"/>
        </w:rPr>
        <w:t>TRANSITION REPORT PURSUANT TO SECTION 13 OR 15(d) OF THE SECURITIES EXCHANGE ACT OF 1934</w:t>
      </w:r>
    </w:p>
    <w:p>
      <w:pPr>
        <w:spacing w:after="0" w:line="40" w:lineRule="exact"/>
        <w:rPr>
          <w:rFonts w:ascii="Arial" w:cs="Arial" w:eastAsia="Arial" w:hAnsi="Arial"/>
          <w:sz w:val="29"/>
          <w:szCs w:val="29"/>
          <w:color w:val="auto"/>
        </w:rPr>
      </w:pPr>
    </w:p>
    <w:p>
      <w:pPr>
        <w:ind w:left="1740" w:right="5420"/>
        <w:spacing w:after="0" w:line="459" w:lineRule="auto"/>
        <w:rPr>
          <w:rFonts w:ascii="Arial" w:cs="Arial" w:eastAsia="Arial" w:hAnsi="Arial"/>
          <w:sz w:val="29"/>
          <w:szCs w:val="29"/>
          <w:color w:val="auto"/>
        </w:rPr>
      </w:pPr>
      <w:r>
        <w:rPr>
          <w:rFonts w:ascii="Arial" w:cs="Arial" w:eastAsia="Arial" w:hAnsi="Arial"/>
          <w:sz w:val="18"/>
          <w:szCs w:val="18"/>
          <w:color w:val="auto"/>
        </w:rPr>
        <w:t>For the transition period from __________ to __________. Commission File Number 001-31303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67" w:lineRule="exact"/>
        <w:rPr>
          <w:sz w:val="24"/>
          <w:szCs w:val="24"/>
          <w:color w:val="auto"/>
        </w:rPr>
      </w:pPr>
    </w:p>
    <w:p>
      <w:pPr>
        <w:ind w:left="40"/>
        <w:spacing w:after="0"/>
        <w:tabs>
          <w:tab w:leader="none" w:pos="8520" w:val="left"/>
        </w:tabs>
        <w:rPr>
          <w:sz w:val="20"/>
          <w:szCs w:val="20"/>
          <w:color w:val="auto"/>
        </w:rPr>
      </w:pPr>
      <w:r>
        <w:rPr>
          <w:rFonts w:ascii="Arial" w:cs="Arial" w:eastAsia="Arial" w:hAnsi="Arial"/>
          <w:sz w:val="18"/>
          <w:szCs w:val="18"/>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7001 Mount Rushmore Road</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Rapid City, South Dakota 57702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(605) 721-1700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39" w:lineRule="exact"/>
        <w:rPr>
          <w:sz w:val="24"/>
          <w:szCs w:val="24"/>
          <w:color w:val="auto"/>
        </w:rPr>
      </w:pPr>
    </w:p>
    <w:p>
      <w:pPr>
        <w:ind w:right="80"/>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ind w:left="4420"/>
        <w:spacing w:after="0"/>
        <w:tabs>
          <w:tab w:leader="none" w:pos="66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8" w:right="239" w:bottom="1440" w:gutter="0" w:footer="0" w:header="0"/>
        </w:sectPr>
      </w:pPr>
    </w:p>
    <w:p>
      <w:pPr>
        <w:spacing w:after="0" w:line="127"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4940" w:space="720"/>
            <w:col w:w="5760"/>
          </w:cols>
          <w:pgMar w:left="240" w:top="688" w:right="239" w:bottom="1440" w:gutter="0" w:footer="0" w:header="0"/>
          <w:type w:val="continuous"/>
        </w:sectPr>
      </w:pPr>
    </w:p>
    <w:p>
      <w:pPr>
        <w:spacing w:after="0" w:line="116"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2">
            <w:col w:w="4680" w:space="720"/>
            <w:col w:w="6020"/>
          </w:cols>
          <w:pgMar w:left="240" w:top="688" w:right="239" w:bottom="1440" w:gutter="0" w:footer="0" w:header="0"/>
          <w:type w:val="continuous"/>
        </w:sectPr>
      </w:pPr>
    </w:p>
    <w:p>
      <w:pPr>
        <w:spacing w:after="0" w:line="1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Smaller reporting company o</w:t>
      </w:r>
    </w:p>
    <w:p>
      <w:pPr>
        <w:spacing w:after="0" w:line="316" w:lineRule="exact"/>
        <w:rPr>
          <w:sz w:val="24"/>
          <w:szCs w:val="24"/>
          <w:color w:val="auto"/>
        </w:rPr>
      </w:pPr>
    </w:p>
    <w:p>
      <w:pPr>
        <w:ind w:left="600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688" w:right="239" w:bottom="1440" w:gutter="0" w:footer="0" w:header="0"/>
          <w:type w:val="continuous"/>
        </w:sectPr>
      </w:pPr>
    </w:p>
    <w:p>
      <w:pPr>
        <w:spacing w:after="0" w:line="2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4380"/>
        <w:spacing w:after="0"/>
        <w:tabs>
          <w:tab w:leader="none" w:pos="6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20"/>
          </w:cols>
          <w:pgMar w:left="240" w:top="688" w:right="239" w:bottom="1440" w:gutter="0" w:footer="0" w:header="0"/>
          <w:type w:val="continuous"/>
        </w:sectPr>
      </w:pPr>
    </w:p>
    <w:p>
      <w:pPr>
        <w:spacing w:after="0" w:line="171" w:lineRule="exact"/>
        <w:rPr>
          <w:sz w:val="24"/>
          <w:szCs w:val="24"/>
          <w:color w:val="auto"/>
        </w:rPr>
      </w:pPr>
    </w:p>
    <w:p>
      <w:pPr>
        <w:jc w:val="center"/>
        <w:ind w:left="460"/>
        <w:spacing w:after="0"/>
        <w:rPr>
          <w:sz w:val="20"/>
          <w:szCs w:val="20"/>
          <w:color w:val="auto"/>
        </w:rPr>
      </w:pPr>
      <w:r>
        <w:rPr>
          <w:rFonts w:ascii="Arial" w:cs="Arial" w:eastAsia="Arial" w:hAnsi="Arial"/>
          <w:sz w:val="15"/>
          <w:szCs w:val="15"/>
          <w:color w:val="auto"/>
        </w:rPr>
        <w:t>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July 31, 2018</w:t>
      </w:r>
    </w:p>
    <w:p>
      <w:pPr>
        <w:spacing w:after="0" w:line="86" w:lineRule="exact"/>
        <w:rPr>
          <w:sz w:val="24"/>
          <w:szCs w:val="24"/>
          <w:color w:val="auto"/>
        </w:rPr>
      </w:pPr>
    </w:p>
    <w:p>
      <w:pPr>
        <w:sectPr>
          <w:pgSz w:w="11900" w:h="16838" w:orient="portrait"/>
          <w:cols w:equalWidth="0" w:num="2">
            <w:col w:w="5840" w:space="720"/>
            <w:col w:w="4860"/>
          </w:cols>
          <w:pgMar w:left="240" w:top="688" w:right="23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53,594,876 shares</w:t>
      </w:r>
    </w:p>
    <w:p>
      <w:pPr>
        <w:sectPr>
          <w:pgSz w:w="11900" w:h="16838" w:orient="portrait"/>
          <w:cols w:equalWidth="0" w:num="2">
            <w:col w:w="5960" w:space="720"/>
            <w:col w:w="4740"/>
          </w:cols>
          <w:pgMar w:left="240" w:top="68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0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900" w:type="dxa"/>
            <w:vAlign w:val="bottom"/>
          </w:tcPr>
          <w:p>
            <w:pPr>
              <w:spacing w:after="0"/>
              <w:rPr>
                <w:sz w:val="23"/>
                <w:szCs w:val="23"/>
                <w:color w:val="auto"/>
              </w:rPr>
            </w:pPr>
          </w:p>
        </w:tc>
        <w:tc>
          <w:tcPr>
            <w:tcW w:w="9000" w:type="dxa"/>
            <w:vAlign w:val="bottom"/>
          </w:tcPr>
          <w:p>
            <w:pPr>
              <w:spacing w:after="0"/>
              <w:rPr>
                <w:sz w:val="23"/>
                <w:szCs w:val="23"/>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900" w:type="dxa"/>
            <w:vAlign w:val="bottom"/>
          </w:tcPr>
          <w:p>
            <w:pPr>
              <w:spacing w:after="0"/>
              <w:rPr>
                <w:sz w:val="2"/>
                <w:szCs w:val="2"/>
                <w:color w:val="auto"/>
              </w:rPr>
            </w:pPr>
          </w:p>
        </w:tc>
        <w:tc>
          <w:tcPr>
            <w:tcW w:w="9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spacing w:after="0"/>
              <w:rPr>
                <w:sz w:val="17"/>
                <w:szCs w:val="17"/>
                <w:color w:val="auto"/>
              </w:rPr>
            </w:pPr>
          </w:p>
        </w:tc>
        <w:tc>
          <w:tcPr>
            <w:tcW w:w="9000" w:type="dxa"/>
            <w:vAlign w:val="bottom"/>
          </w:tcPr>
          <w:p>
            <w:pPr>
              <w:ind w:left="240"/>
              <w:spacing w:after="0" w:line="196" w:lineRule="exact"/>
              <w:rPr>
                <w:sz w:val="20"/>
                <w:szCs w:val="20"/>
                <w:color w:val="auto"/>
              </w:rPr>
            </w:pPr>
            <w:r>
              <w:rPr>
                <w:rFonts w:ascii="Arial" w:cs="Arial" w:eastAsia="Arial" w:hAnsi="Arial"/>
                <w:sz w:val="18"/>
                <w:szCs w:val="18"/>
                <w:color w:val="auto"/>
              </w:rPr>
              <w:t>Glossary of Terms and Abbreviations</w:t>
            </w:r>
          </w:p>
        </w:tc>
        <w:tc>
          <w:tcPr>
            <w:tcW w:w="780" w:type="dxa"/>
            <w:vAlign w:val="bottom"/>
            <w:gridSpan w:val="3"/>
          </w:tcPr>
          <w:p>
            <w:pPr>
              <w:jc w:val="center"/>
              <w:ind w:left="61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INFORMATION</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and Six Months Ended June 30, 2018 and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Comprehensive Income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Three and Six Months Ended June 30, 2018 and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Balance Sheets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June 30, 2018, December 31, 2017 and June 30,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2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Condensed Consolidated Statements of Cash Flows - unaudited</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9000" w:type="dxa"/>
            <w:vAlign w:val="bottom"/>
          </w:tcPr>
          <w:p>
            <w:pPr>
              <w:ind w:left="380"/>
              <w:spacing w:after="0"/>
              <w:rPr>
                <w:sz w:val="20"/>
                <w:szCs w:val="20"/>
                <w:color w:val="auto"/>
              </w:rPr>
            </w:pPr>
            <w:r>
              <w:rPr>
                <w:rFonts w:ascii="Arial" w:cs="Arial" w:eastAsia="Arial" w:hAnsi="Arial"/>
                <w:sz w:val="18"/>
                <w:szCs w:val="18"/>
                <w:color w:val="auto"/>
              </w:rPr>
              <w:t>Six Months Ended June 30, 2018 and 2017</w:t>
            </w:r>
          </w:p>
        </w:tc>
        <w:tc>
          <w:tcPr>
            <w:tcW w:w="780" w:type="dxa"/>
            <w:vAlign w:val="bottom"/>
            <w:gridSpan w:val="3"/>
          </w:tcPr>
          <w:p>
            <w:pPr>
              <w:jc w:val="center"/>
              <w:ind w:left="61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Notes to Condensed Consolidated Financial Statements - unaudited</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Controls and Procedures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000" w:type="dxa"/>
            <w:vAlign w:val="bottom"/>
          </w:tcPr>
          <w:p>
            <w:pPr>
              <w:ind w:left="240"/>
              <w:spacing w:after="0"/>
              <w:rPr>
                <w:sz w:val="20"/>
                <w:szCs w:val="20"/>
                <w:color w:val="auto"/>
              </w:rPr>
            </w:pPr>
            <w:r>
              <w:rPr>
                <w:rFonts w:ascii="Arial" w:cs="Arial" w:eastAsia="Arial" w:hAnsi="Arial"/>
                <w:sz w:val="18"/>
                <w:szCs w:val="18"/>
                <w:color w:val="auto"/>
              </w:rPr>
              <w:t>Legal Proceedings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tcPr>
          <w:p>
            <w:pPr>
              <w:ind w:left="240"/>
              <w:spacing w:after="0"/>
              <w:rPr>
                <w:sz w:val="20"/>
                <w:szCs w:val="20"/>
                <w:color w:val="auto"/>
              </w:rPr>
            </w:pPr>
            <w:r>
              <w:rPr>
                <w:rFonts w:ascii="Arial" w:cs="Arial" w:eastAsia="Arial" w:hAnsi="Arial"/>
                <w:sz w:val="18"/>
                <w:szCs w:val="18"/>
                <w:color w:val="auto"/>
              </w:rPr>
              <w:t>Risk Factors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tcPr>
          <w:p>
            <w:pPr>
              <w:ind w:left="240"/>
              <w:spacing w:after="0"/>
              <w:rPr>
                <w:sz w:val="20"/>
                <w:szCs w:val="20"/>
                <w:color w:val="auto"/>
              </w:rPr>
            </w:pPr>
            <w:r>
              <w:rPr>
                <w:rFonts w:ascii="Arial" w:cs="Arial" w:eastAsia="Arial" w:hAnsi="Arial"/>
                <w:sz w:val="18"/>
                <w:szCs w:val="18"/>
                <w:color w:val="auto"/>
              </w:rPr>
              <w:t>Unregistered Sales of Equity Securities and Use of Proceeds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tcPr>
          <w:p>
            <w:pPr>
              <w:ind w:left="240"/>
              <w:spacing w:after="0"/>
              <w:rPr>
                <w:sz w:val="20"/>
                <w:szCs w:val="20"/>
                <w:color w:val="auto"/>
              </w:rPr>
            </w:pPr>
            <w:r>
              <w:rPr>
                <w:rFonts w:ascii="Arial" w:cs="Arial" w:eastAsia="Arial" w:hAnsi="Arial"/>
                <w:sz w:val="18"/>
                <w:szCs w:val="18"/>
                <w:color w:val="auto"/>
              </w:rPr>
              <w:t>Mine Safety Disclosures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000" w:type="dxa"/>
            <w:vAlign w:val="bottom"/>
          </w:tcPr>
          <w:p>
            <w:pPr>
              <w:ind w:left="240"/>
              <w:spacing w:after="0"/>
              <w:rPr>
                <w:sz w:val="20"/>
                <w:szCs w:val="20"/>
                <w:color w:val="auto"/>
              </w:rPr>
            </w:pPr>
            <w:r>
              <w:rPr>
                <w:rFonts w:ascii="Arial" w:cs="Arial" w:eastAsia="Arial" w:hAnsi="Arial"/>
                <w:sz w:val="18"/>
                <w:szCs w:val="18"/>
                <w:color w:val="auto"/>
              </w:rPr>
              <w:t>Other Information</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tcPr>
          <w:p>
            <w:pPr>
              <w:ind w:left="240"/>
              <w:spacing w:after="0"/>
              <w:rPr>
                <w:sz w:val="20"/>
                <w:szCs w:val="20"/>
                <w:color w:val="auto"/>
              </w:rPr>
            </w:pPr>
            <w:r>
              <w:rPr>
                <w:rFonts w:ascii="Arial" w:cs="Arial" w:eastAsia="Arial" w:hAnsi="Arial"/>
                <w:sz w:val="18"/>
                <w:szCs w:val="18"/>
                <w:color w:val="auto"/>
              </w:rPr>
              <w:t>Exhibits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64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900" w:type="dxa"/>
            <w:vAlign w:val="bottom"/>
          </w:tcPr>
          <w:p>
            <w:pPr>
              <w:spacing w:after="0"/>
              <w:rPr>
                <w:sz w:val="24"/>
                <w:szCs w:val="24"/>
                <w:color w:val="auto"/>
              </w:rPr>
            </w:pPr>
          </w:p>
        </w:tc>
        <w:tc>
          <w:tcPr>
            <w:tcW w:w="9000" w:type="dxa"/>
            <w:vAlign w:val="bottom"/>
          </w:tcPr>
          <w:p>
            <w:pPr>
              <w:ind w:left="240"/>
              <w:spacing w:after="0"/>
              <w:rPr>
                <w:sz w:val="20"/>
                <w:szCs w:val="20"/>
                <w:color w:val="auto"/>
              </w:rPr>
            </w:pPr>
            <w:r>
              <w:rPr>
                <w:rFonts w:ascii="Arial" w:cs="Arial" w:eastAsia="Arial" w:hAnsi="Arial"/>
                <w:sz w:val="18"/>
                <w:szCs w:val="18"/>
                <w:color w:val="auto"/>
              </w:rPr>
              <w:t>Signatures</w:t>
            </w:r>
          </w:p>
        </w:tc>
        <w:tc>
          <w:tcPr>
            <w:tcW w:w="840" w:type="dxa"/>
            <w:vAlign w:val="bottom"/>
            <w:gridSpan w:val="4"/>
          </w:tcPr>
          <w:p>
            <w:pPr>
              <w:jc w:val="center"/>
              <w:ind w:left="570"/>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640" w:type="dxa"/>
            <w:vAlign w:val="bottom"/>
          </w:tcPr>
          <w:p>
            <w:pPr>
              <w:spacing w:after="0"/>
              <w:rPr>
                <w:sz w:val="24"/>
                <w:szCs w:val="24"/>
                <w:color w:val="auto"/>
              </w:rPr>
            </w:pPr>
          </w:p>
        </w:tc>
      </w:tr>
      <w:tr>
        <w:trPr>
          <w:trHeight w:val="723"/>
        </w:trPr>
        <w:tc>
          <w:tcPr>
            <w:tcW w:w="900" w:type="dxa"/>
            <w:vAlign w:val="bottom"/>
          </w:tcPr>
          <w:p>
            <w:pPr>
              <w:spacing w:after="0"/>
              <w:rPr>
                <w:sz w:val="24"/>
                <w:szCs w:val="24"/>
                <w:color w:val="auto"/>
              </w:rPr>
            </w:pPr>
          </w:p>
        </w:tc>
        <w:tc>
          <w:tcPr>
            <w:tcW w:w="9000" w:type="dxa"/>
            <w:vAlign w:val="bottom"/>
          </w:tcPr>
          <w:p>
            <w:pPr>
              <w:ind w:left="47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80" w:top="918"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p>
      <w:pPr>
        <w:sectPr>
          <w:pgSz w:w="11900" w:h="16838" w:orient="portrait"/>
          <w:cols w:equalWidth="0" w:num="1">
            <w:col w:w="11380"/>
          </w:cols>
          <w:pgMar w:left="240" w:top="580" w:right="27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AFUDC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Allowance for Funds Used During Construction</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APSC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Arkansas Public Service Commission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Arkansas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Energy Arkansas, Inc., a direct, wholly-owned subsidiary of Black Hills Gas Inc.</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Codification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Standards Update issued by the FASB</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ATM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At-the-market equity offering program</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Availability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Bbl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Barrel</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BHC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Corporation; the Company</w:t>
      </w:r>
    </w:p>
    <w:p>
      <w:pPr>
        <w:spacing w:after="0" w:line="8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Electric Generation</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Black Hills Electric Generation, LLC, a direct, wholly-owned subsidiary of Black Hills Non-regulated Holdings</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Energy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name used to conduct the business of our utility companies</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Power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Black Hills Power, Inc.,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Utility Holdings</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Black Hills Utility Holdings, Inc.,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Black Hills Wyoming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CAPP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Customer Appliance Protection Plan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Cheyenne Light</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Cheyenne Light, Fuel and Power Company, a direct, wholly-owned subsidiary of Black Hills Corporation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Choice Gas Program</w:t>
      </w:r>
    </w:p>
    <w:p>
      <w:pPr>
        <w:spacing w:after="0" w:line="20" w:lineRule="exact"/>
        <w:rPr>
          <w:sz w:val="20"/>
          <w:szCs w:val="20"/>
          <w:color w:val="auto"/>
        </w:rPr>
      </w:pPr>
      <w:r>
        <w:rPr>
          <w:sz w:val="20"/>
          <w:szCs w:val="20"/>
          <w:color w:val="auto"/>
        </w:rPr>
        <w:br w:type="column"/>
      </w:r>
    </w:p>
    <w:p>
      <w:pPr>
        <w:ind w:right="1660"/>
        <w:spacing w:after="0" w:line="259" w:lineRule="auto"/>
        <w:rPr>
          <w:sz w:val="20"/>
          <w:szCs w:val="20"/>
          <w:color w:val="auto"/>
        </w:rPr>
      </w:pPr>
      <w:r>
        <w:rPr>
          <w:rFonts w:ascii="Arial" w:cs="Arial" w:eastAsia="Arial" w:hAnsi="Arial"/>
          <w:sz w:val="18"/>
          <w:szCs w:val="18"/>
          <w:color w:val="auto"/>
        </w:rPr>
        <w:t>The unbundling of the natural gas service from the distribution component, which opens up the gas supply for competition allowing customers to choose from different natural gas suppliers. Black Hills Gas Distribution distributes the gas and Black Hills Energy Services is one of the Choice Gas suppliers.</w:t>
      </w:r>
    </w:p>
    <w:p>
      <w:pPr>
        <w:spacing w:after="0" w:line="200"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CIAC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Contribution In Aid of Construction</w:t>
      </w:r>
    </w:p>
    <w:p>
      <w:pPr>
        <w:spacing w:after="0" w:line="74"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City of Gillette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Gillette, Wyoming</w:t>
      </w:r>
    </w:p>
    <w:p>
      <w:pPr>
        <w:spacing w:after="0" w:line="75"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Colorado Electric</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Black Hills Colorado Electric, Inc., an indirect, wholly-owned subsidiary of Black Hills Utility Holdings (doing business as Black Hills Energy)</w:t>
      </w:r>
    </w:p>
    <w:p>
      <w:pPr>
        <w:spacing w:after="0" w:line="8"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Colorado IPP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line="277" w:lineRule="auto"/>
        <w:rPr>
          <w:sz w:val="20"/>
          <w:szCs w:val="20"/>
          <w:color w:val="auto"/>
        </w:rPr>
      </w:pPr>
      <w:r>
        <w:rPr>
          <w:rFonts w:ascii="Arial" w:cs="Arial" w:eastAsia="Arial" w:hAnsi="Arial"/>
          <w:sz w:val="18"/>
          <w:szCs w:val="18"/>
          <w:color w:val="auto"/>
        </w:rPr>
        <w:t>Consolidated Indebtedness to Capitalization Ratio</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Any Indebtedness outstanding at such time, divided by Capital at such time. Capital being Consolidated Net-Worth (excluding noncontrolling interest and including the aggregate outstanding amount of RSNs) plus Consolidated Indebtedness (including letters of credit, certain guarantees issued and excluding RSNs) as defined within the current Credit Agreement.</w:t>
      </w:r>
    </w:p>
    <w:p>
      <w:pPr>
        <w:spacing w:after="0" w:line="25" w:lineRule="exact"/>
        <w:rPr>
          <w:sz w:val="20"/>
          <w:szCs w:val="20"/>
          <w:color w:val="auto"/>
        </w:rPr>
      </w:pPr>
    </w:p>
    <w:p>
      <w:pPr>
        <w:sectPr>
          <w:pgSz w:w="11900" w:h="16838" w:orient="portrait"/>
          <w:cols w:equalWidth="0" w:num="2">
            <w:col w:w="3220" w:space="14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CDD</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A cooling degree day is equivalent to each degree that the average of the high and low temperature for a day is 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 over a 30-year average.</w:t>
      </w:r>
    </w:p>
    <w:p>
      <w:pPr>
        <w:spacing w:after="0" w:line="2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CPCN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Certificate of Public Convenience and Necessity</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CP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Commercial Paper Program</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CPUC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Colorado Public Utilities Commission</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Valuation Adjustment</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Dodd-Frank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Dodd-Frank Wall Street Reform and Consumer Protection Act</w:t>
      </w:r>
    </w:p>
    <w:p>
      <w:pPr>
        <w:spacing w:after="0" w:line="86"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Dth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p>
      <w:pPr>
        <w:spacing w:after="0" w:line="211" w:lineRule="exact"/>
        <w:rPr>
          <w:sz w:val="20"/>
          <w:szCs w:val="20"/>
          <w:color w:val="auto"/>
        </w:rPr>
      </w:pPr>
    </w:p>
    <w:p>
      <w:pPr>
        <w:sectPr>
          <w:pgSz w:w="11900" w:h="16838" w:orient="portrait"/>
          <w:cols w:equalWidth="0" w:num="2">
            <w:col w:w="2640" w:space="720"/>
            <w:col w:w="8020"/>
          </w:cols>
          <w:pgMar w:left="240" w:top="580" w:right="279" w:bottom="1440" w:gutter="0" w:footer="0" w:header="0"/>
          <w:type w:val="continuous"/>
        </w:sectPr>
      </w:pP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580"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color w:val="auto"/>
        </w:rPr>
        <w:t>Equity Unit</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Each Equity Unit has a stated amount of $50, consisting of a purchase contract issued by BHC to purchase shares of BHC common stock and a 1/20, or 5% undivided beneficial ownership interest in $1,000 principal amount of BHC RSNs due 2028.</w:t>
      </w:r>
    </w:p>
    <w:p>
      <w:pPr>
        <w:spacing w:after="0" w:line="19" w:lineRule="exact"/>
        <w:rPr>
          <w:sz w:val="20"/>
          <w:szCs w:val="20"/>
          <w:color w:val="auto"/>
        </w:rPr>
      </w:pPr>
    </w:p>
    <w:p>
      <w:pPr>
        <w:sectPr>
          <w:pgSz w:w="11900" w:h="16838" w:orient="portrait"/>
          <w:cols w:equalWidth="0" w:num="2">
            <w:col w:w="2600" w:space="720"/>
            <w:col w:w="8000"/>
          </w:cols>
          <w:pgMar w:left="280" w:top="746" w:right="299" w:bottom="1440" w:gutter="0" w:footer="0" w:header="0"/>
        </w:sectPr>
      </w:pPr>
    </w:p>
    <w:p>
      <w:pPr>
        <w:spacing w:after="0"/>
        <w:rPr>
          <w:sz w:val="20"/>
          <w:szCs w:val="20"/>
          <w:color w:val="auto"/>
        </w:rPr>
      </w:pPr>
      <w:r>
        <w:rPr>
          <w:rFonts w:ascii="Arial" w:cs="Arial" w:eastAsia="Arial" w:hAnsi="Arial"/>
          <w:sz w:val="16"/>
          <w:szCs w:val="16"/>
          <w:color w:val="auto"/>
        </w:rPr>
        <w:t>FASB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Financial Accounting Standards Board</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Federal Energy Regulatory Commission</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Fitch Ratings</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GAAP</w:t>
      </w:r>
    </w:p>
    <w:p>
      <w:pPr>
        <w:spacing w:after="0" w:line="20" w:lineRule="exact"/>
        <w:rPr>
          <w:sz w:val="20"/>
          <w:szCs w:val="20"/>
          <w:color w:val="auto"/>
        </w:rPr>
      </w:pPr>
      <w:r>
        <w:rPr>
          <w:sz w:val="20"/>
          <w:szCs w:val="20"/>
          <w:color w:val="auto"/>
        </w:rPr>
        <w:br w:type="column"/>
      </w:r>
    </w:p>
    <w:p>
      <w:pPr>
        <w:jc w:val="center"/>
        <w:ind w:right="2700"/>
        <w:spacing w:after="0"/>
        <w:rPr>
          <w:sz w:val="20"/>
          <w:szCs w:val="20"/>
          <w:color w:val="auto"/>
        </w:rPr>
      </w:pPr>
      <w:r>
        <w:rPr>
          <w:rFonts w:ascii="Arial" w:cs="Arial" w:eastAsia="Arial" w:hAnsi="Arial"/>
          <w:sz w:val="16"/>
          <w:szCs w:val="16"/>
          <w:color w:val="auto"/>
        </w:rPr>
        <w:t>Accounting principles generally accepted in the United States of America</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HDD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A heating degree day is equivalent to each degree that the average of the high and the low temperatures for a day is below 65 degrees. The colder the climate, the greater the number of heating degree days. Heating degree days are used in the utility industry to measure the relative coldness of weather and to compare relative temperatures between one geographic area and another. Normal degree days are based on the National Weather Service data for selected locations over a 30-year average.</w:t>
      </w:r>
    </w:p>
    <w:p>
      <w:pPr>
        <w:spacing w:after="0" w:line="10"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Horizon Point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Corporate headquarters building in Rapid City, South Dakota, which was completed in 2017.</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IPP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Independent power producer</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Internal Revenue Service</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Kansas Gas</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Black Hills Kansas Gas Utility Company, LLC, a direct, wholly-owned subsidiary of Black Hills Utility Holdings (doing business as Black Hills Energy)</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MMBtu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British thermal units</w:t>
      </w:r>
    </w:p>
    <w:p>
      <w:pPr>
        <w:spacing w:after="0" w:line="74"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Moody’s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Investors Service, Inc.</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MWh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Megawatt-hours</w:t>
      </w:r>
    </w:p>
    <w:p>
      <w:pPr>
        <w:spacing w:after="0" w:line="85"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Nebraska Gas</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Black Hills Nebraska Gas Utility Company, LLC, a direct, wholly-owned subsidiary of Black Hills Utility Holdings (doing business as Black Hills Energy)</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OCA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Office of Consumer Advocate</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Peak View Wind 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$109 million 60 MW wind generating project for Colorado Electric, adjacent to Busch Ranch wind farm</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Revolving Credit Facility</w:t>
      </w:r>
    </w:p>
    <w:p>
      <w:pPr>
        <w:spacing w:after="0" w:line="20" w:lineRule="exact"/>
        <w:rPr>
          <w:sz w:val="20"/>
          <w:szCs w:val="20"/>
          <w:color w:val="auto"/>
        </w:rPr>
      </w:pPr>
      <w:r>
        <w:rPr>
          <w:sz w:val="20"/>
          <w:szCs w:val="20"/>
          <w:color w:val="auto"/>
        </w:rPr>
        <w:br w:type="column"/>
      </w:r>
    </w:p>
    <w:p>
      <w:pPr>
        <w:ind w:right="560"/>
        <w:spacing w:after="0" w:line="317" w:lineRule="auto"/>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 which was amended and restated on July 30, 2018 and now terminates on July 30, 2023.</w:t>
      </w:r>
    </w:p>
    <w:p>
      <w:pPr>
        <w:spacing w:after="0" w:line="1"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RMNG</w:t>
      </w:r>
    </w:p>
    <w:p>
      <w:pPr>
        <w:spacing w:after="0" w:line="20" w:lineRule="exact"/>
        <w:rPr>
          <w:sz w:val="20"/>
          <w:szCs w:val="20"/>
          <w:color w:val="auto"/>
        </w:rPr>
      </w:pPr>
      <w:r>
        <w:rPr>
          <w:sz w:val="20"/>
          <w:szCs w:val="20"/>
          <w:color w:val="auto"/>
        </w:rPr>
        <w:br w:type="column"/>
      </w:r>
    </w:p>
    <w:p>
      <w:pPr>
        <w:ind w:right="420"/>
        <w:spacing w:after="0" w:line="264" w:lineRule="auto"/>
        <w:rPr>
          <w:sz w:val="20"/>
          <w:szCs w:val="20"/>
          <w:color w:val="auto"/>
        </w:rPr>
      </w:pPr>
      <w:r>
        <w:rPr>
          <w:rFonts w:ascii="Arial" w:cs="Arial" w:eastAsia="Arial" w:hAnsi="Arial"/>
          <w:sz w:val="18"/>
          <w:szCs w:val="18"/>
          <w:color w:val="auto"/>
        </w:rPr>
        <w:t>Rocky Mountain Natural Gas, a regulated gas utility acquired in the SourceGas Acquisition that provides regulated transmission and wholesale natural gas service to Black Hills Gas in western Colorado (doing business as Black Hills Energy)</w:t>
      </w:r>
    </w:p>
    <w:p>
      <w:pPr>
        <w:spacing w:after="0" w:line="19"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RSNs</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color w:val="auto"/>
        </w:rPr>
        <w:t>Remarketable junior subordinated notes, issued on November 23, 2015</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 S. Securities and Exchange Commission</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5"/>
          <w:szCs w:val="15"/>
          <w:color w:val="auto"/>
        </w:rPr>
        <w:t>SourceGas</w:t>
      </w:r>
    </w:p>
    <w:p>
      <w:pPr>
        <w:spacing w:after="0" w:line="20" w:lineRule="exact"/>
        <w:rPr>
          <w:sz w:val="20"/>
          <w:szCs w:val="20"/>
          <w:color w:val="auto"/>
        </w:rPr>
      </w:pPr>
      <w:r>
        <w:rPr>
          <w:sz w:val="20"/>
          <w:szCs w:val="20"/>
          <w:color w:val="auto"/>
        </w:rPr>
        <w:br w:type="column"/>
      </w:r>
    </w:p>
    <w:p>
      <w:pPr>
        <w:ind w:right="120"/>
        <w:spacing w:after="0" w:line="305" w:lineRule="auto"/>
        <w:rPr>
          <w:sz w:val="20"/>
          <w:szCs w:val="20"/>
          <w:color w:val="auto"/>
        </w:rPr>
      </w:pPr>
      <w:r>
        <w:rPr>
          <w:rFonts w:ascii="Arial" w:cs="Arial" w:eastAsia="Arial" w:hAnsi="Arial"/>
          <w:sz w:val="16"/>
          <w:szCs w:val="16"/>
          <w:color w:val="auto"/>
        </w:rPr>
        <w:t>SourceGas Holdings LLC and its subsidiaries, a gas utility owned by funds managed by Alinda Capital Partners and GE Energy Financial Services, a unit of General Electric Co. (NYSE:GE) that was acquired on February 12, 2016, and is now named Black Hills Gas Holdings, LLC (doing business as Black Hills Energy)</w:t>
      </w:r>
    </w:p>
    <w:p>
      <w:pPr>
        <w:spacing w:after="0" w:line="1"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SourceGas 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acquisition of SourceGas Holdings, LLC by Black Hills Utility Holdings</w:t>
      </w:r>
    </w:p>
    <w:p>
      <w:pPr>
        <w:spacing w:after="0" w:line="75"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S&amp;P</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6"/>
          <w:szCs w:val="16"/>
          <w:color w:val="auto"/>
        </w:rPr>
        <w:t>Standard and Poor’s, a division of The McGraw-Hill Companies, Inc.</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South Dakota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Black Hills Power operations in South Dakota, Wyoming and Montana</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SSIR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System Safety and Integrity Rider</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TCJA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enacted on December 22, 2017</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WPSC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Wyoming Public Service Commission</w:t>
      </w:r>
    </w:p>
    <w:p>
      <w:pPr>
        <w:spacing w:after="0" w:line="86"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6"/>
          <w:szCs w:val="16"/>
          <w:color w:val="auto"/>
        </w:rPr>
        <w:t>Wyodak Plant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Wyodak, a 362 MW mine-mouth coal-fired plant in Gillette, Wyoming, owned 80% by Pacificorp and 20% by Black Hills Energy South Dakota. Our WRDC mine supplies all of the fuel for the plant.</w:t>
      </w:r>
    </w:p>
    <w:p>
      <w:pPr>
        <w:spacing w:after="0" w:line="8"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rPr>
          <w:sz w:val="20"/>
          <w:szCs w:val="20"/>
          <w:color w:val="auto"/>
        </w:rPr>
      </w:pPr>
      <w:r>
        <w:rPr>
          <w:rFonts w:ascii="Arial" w:cs="Arial" w:eastAsia="Arial" w:hAnsi="Arial"/>
          <w:sz w:val="17"/>
          <w:szCs w:val="17"/>
          <w:color w:val="auto"/>
        </w:rPr>
        <w:t>Wyoming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Cheyenne Light’s electric utility operations</w:t>
      </w:r>
    </w:p>
    <w:p>
      <w:pPr>
        <w:spacing w:after="0" w:line="211" w:lineRule="exact"/>
        <w:rPr>
          <w:sz w:val="20"/>
          <w:szCs w:val="20"/>
          <w:color w:val="auto"/>
        </w:rPr>
      </w:pPr>
    </w:p>
    <w:p>
      <w:pPr>
        <w:sectPr>
          <w:pgSz w:w="11900" w:h="16838" w:orient="portrait"/>
          <w:cols w:equalWidth="0" w:num="2">
            <w:col w:w="2600" w:space="720"/>
            <w:col w:w="8000"/>
          </w:cols>
          <w:pgMar w:left="280" w:top="746" w:right="299" w:bottom="1440" w:gutter="0" w:footer="0" w:header="0"/>
          <w:type w:val="continuous"/>
        </w:sect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280" w:top="746"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2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60" w:type="dxa"/>
            <w:vAlign w:val="bottom"/>
          </w:tcPr>
          <w:p>
            <w:pPr>
              <w:spacing w:after="0"/>
              <w:rPr>
                <w:sz w:val="17"/>
                <w:szCs w:val="17"/>
                <w:color w:val="auto"/>
              </w:rPr>
            </w:pPr>
          </w:p>
        </w:tc>
        <w:tc>
          <w:tcPr>
            <w:tcW w:w="2840" w:type="dxa"/>
            <w:vAlign w:val="bottom"/>
            <w:gridSpan w:val="3"/>
          </w:tcPr>
          <w:p>
            <w:pPr>
              <w:ind w:left="280"/>
              <w:spacing w:after="0"/>
              <w:rPr>
                <w:sz w:val="20"/>
                <w:szCs w:val="20"/>
                <w:color w:val="auto"/>
              </w:rPr>
            </w:pPr>
            <w:r>
              <w:rPr>
                <w:rFonts w:ascii="Arial" w:cs="Arial" w:eastAsia="Arial" w:hAnsi="Arial"/>
                <w:sz w:val="16"/>
                <w:szCs w:val="16"/>
                <w:color w:val="auto"/>
              </w:rPr>
              <w:t>Three Months Ended June 30,</w:t>
            </w:r>
          </w:p>
        </w:tc>
        <w:tc>
          <w:tcPr>
            <w:tcW w:w="380" w:type="dxa"/>
            <w:vAlign w:val="bottom"/>
          </w:tcPr>
          <w:p>
            <w:pPr>
              <w:spacing w:after="0"/>
              <w:rPr>
                <w:sz w:val="17"/>
                <w:szCs w:val="17"/>
                <w:color w:val="auto"/>
              </w:rPr>
            </w:pPr>
          </w:p>
        </w:tc>
        <w:tc>
          <w:tcPr>
            <w:tcW w:w="2780" w:type="dxa"/>
            <w:vAlign w:val="bottom"/>
            <w:gridSpan w:val="3"/>
          </w:tcPr>
          <w:p>
            <w:pPr>
              <w:jc w:val="right"/>
              <w:ind w:right="579"/>
              <w:spacing w:after="0"/>
              <w:rPr>
                <w:sz w:val="20"/>
                <w:szCs w:val="20"/>
                <w:color w:val="auto"/>
              </w:rPr>
            </w:pPr>
            <w:r>
              <w:rPr>
                <w:rFonts w:ascii="Arial" w:cs="Arial" w:eastAsia="Arial" w:hAnsi="Arial"/>
                <w:sz w:val="16"/>
                <w:szCs w:val="16"/>
                <w:color w:val="auto"/>
              </w:rPr>
              <w:t>Six Months Ended June 30,</w:t>
            </w:r>
          </w:p>
        </w:tc>
      </w:tr>
      <w:tr>
        <w:trPr>
          <w:trHeight w:val="270"/>
        </w:trPr>
        <w:tc>
          <w:tcPr>
            <w:tcW w:w="5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ind w:left="280"/>
              <w:spacing w:after="0"/>
              <w:rPr>
                <w:sz w:val="20"/>
                <w:szCs w:val="20"/>
                <w:color w:val="auto"/>
              </w:rPr>
            </w:pPr>
            <w:r>
              <w:rPr>
                <w:rFonts w:ascii="Arial" w:cs="Arial" w:eastAsia="Arial" w:hAnsi="Arial"/>
                <w:sz w:val="16"/>
                <w:szCs w:val="16"/>
                <w:color w:val="auto"/>
              </w:rPr>
              <w:t>2018</w:t>
            </w:r>
          </w:p>
        </w:tc>
        <w:tc>
          <w:tcPr>
            <w:tcW w:w="200" w:type="dxa"/>
            <w:vAlign w:val="bottom"/>
          </w:tcPr>
          <w:p>
            <w:pPr>
              <w:spacing w:after="0"/>
              <w:rPr>
                <w:sz w:val="23"/>
                <w:szCs w:val="23"/>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2017</w:t>
            </w:r>
          </w:p>
        </w:tc>
        <w:tc>
          <w:tcPr>
            <w:tcW w:w="380" w:type="dxa"/>
            <w:vAlign w:val="bottom"/>
          </w:tcPr>
          <w:p>
            <w:pPr>
              <w:spacing w:after="0"/>
              <w:rPr>
                <w:sz w:val="23"/>
                <w:szCs w:val="23"/>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23"/>
                <w:szCs w:val="23"/>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color w:val="auto"/>
              </w:rPr>
              <w:t>2017</w:t>
            </w:r>
          </w:p>
        </w:tc>
      </w:tr>
      <w:tr>
        <w:trPr>
          <w:trHeight w:val="3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3"/>
          </w:tcPr>
          <w:p>
            <w:pPr>
              <w:jc w:val="right"/>
              <w:ind w:right="179"/>
              <w:spacing w:after="0"/>
              <w:rPr>
                <w:sz w:val="20"/>
                <w:szCs w:val="20"/>
                <w:color w:val="auto"/>
              </w:rPr>
            </w:pPr>
            <w:r>
              <w:rPr>
                <w:rFonts w:ascii="Arial" w:cs="Arial" w:eastAsia="Arial" w:hAnsi="Arial"/>
                <w:sz w:val="16"/>
                <w:szCs w:val="16"/>
                <w:color w:val="auto"/>
                <w:w w:val="91"/>
              </w:rPr>
              <w:t>(in thousands, except per share amounts)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5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355,704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341,829</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931,093</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889,357</w:t>
            </w:r>
          </w:p>
        </w:tc>
      </w:tr>
      <w:tr>
        <w:trPr>
          <w:trHeight w:val="156"/>
        </w:trPr>
        <w:tc>
          <w:tcPr>
            <w:tcW w:w="50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104,661</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98,164</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352,300</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317,941</w:t>
            </w: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3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118,282</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111,897</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234,378</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226,449</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48,709</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46,825</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97,299</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93,527</w:t>
            </w: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Taxes - property, production and severance</w:t>
            </w:r>
          </w:p>
        </w:tc>
        <w:tc>
          <w:tcPr>
            <w:tcW w:w="3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13,976</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13,072</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27,276</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26,458</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2,075</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2,015</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33"/>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286,153</w:t>
            </w: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272,033</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713,268</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669,375</w:t>
            </w:r>
          </w:p>
        </w:tc>
      </w:tr>
      <w:tr>
        <w:trPr>
          <w:trHeight w:val="156"/>
        </w:trPr>
        <w:tc>
          <w:tcPr>
            <w:tcW w:w="50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5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69,551</w:t>
            </w:r>
          </w:p>
        </w:tc>
        <w:tc>
          <w:tcPr>
            <w:tcW w:w="20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69,796</w:t>
            </w:r>
          </w:p>
        </w:tc>
        <w:tc>
          <w:tcPr>
            <w:tcW w:w="3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217,825</w:t>
            </w:r>
          </w:p>
        </w:tc>
        <w:tc>
          <w:tcPr>
            <w:tcW w:w="3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219,982</w:t>
            </w:r>
          </w:p>
        </w:tc>
      </w:tr>
      <w:tr>
        <w:trPr>
          <w:trHeight w:val="183"/>
        </w:trPr>
        <w:tc>
          <w:tcPr>
            <w:tcW w:w="50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6"/>
                <w:szCs w:val="16"/>
                <w:color w:val="auto"/>
              </w:rPr>
              <w:t>Interest charges -</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5020" w:type="dxa"/>
            <w:vAlign w:val="bottom"/>
            <w:shd w:val="clear" w:color="auto" w:fill="CEFFE7"/>
          </w:tcPr>
          <w:p>
            <w:pPr>
              <w:ind w:left="280"/>
              <w:spacing w:after="0"/>
              <w:rPr>
                <w:sz w:val="20"/>
                <w:szCs w:val="20"/>
                <w:color w:val="auto"/>
              </w:rPr>
            </w:pPr>
            <w:r>
              <w:rPr>
                <w:rFonts w:ascii="Arial" w:cs="Arial" w:eastAsia="Arial" w:hAnsi="Arial"/>
                <w:sz w:val="16"/>
                <w:szCs w:val="16"/>
                <w:color w:val="auto"/>
                <w:w w:val="92"/>
              </w:rPr>
              <w:t>Interest expense incurred (including amortization of debt issuance costs,</w:t>
            </w:r>
          </w:p>
        </w:tc>
        <w:tc>
          <w:tcPr>
            <w:tcW w:w="360" w:type="dxa"/>
            <w:vAlign w:val="bottom"/>
            <w:shd w:val="clear" w:color="auto" w:fill="CEFFE7"/>
          </w:tcPr>
          <w:p>
            <w:pPr>
              <w:spacing w:after="0"/>
              <w:rPr>
                <w:sz w:val="19"/>
                <w:szCs w:val="19"/>
                <w:color w:val="auto"/>
              </w:rPr>
            </w:pPr>
          </w:p>
        </w:tc>
        <w:tc>
          <w:tcPr>
            <w:tcW w:w="12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r>
      <w:tr>
        <w:trPr>
          <w:trHeight w:val="219"/>
        </w:trPr>
        <w:tc>
          <w:tcPr>
            <w:tcW w:w="50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premiums and discounts)</w:t>
            </w:r>
          </w:p>
        </w:tc>
        <w:tc>
          <w:tcPr>
            <w:tcW w:w="360" w:type="dxa"/>
            <w:vAlign w:val="bottom"/>
            <w:tcBorders>
              <w:bottom w:val="single" w:sz="8" w:color="CEFFE7"/>
            </w:tcBorders>
            <w:shd w:val="clear" w:color="auto" w:fill="CEFFE7"/>
          </w:tcPr>
          <w:p>
            <w:pPr>
              <w:spacing w:after="0"/>
              <w:rPr>
                <w:sz w:val="19"/>
                <w:szCs w:val="19"/>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(35,425)</w:t>
            </w:r>
          </w:p>
        </w:tc>
        <w:tc>
          <w:tcPr>
            <w:tcW w:w="200" w:type="dxa"/>
            <w:vAlign w:val="bottom"/>
            <w:tcBorders>
              <w:bottom w:val="single" w:sz="8" w:color="CEFFE7"/>
            </w:tcBorders>
            <w:shd w:val="clear" w:color="auto" w:fill="CEFFE7"/>
          </w:tcPr>
          <w:p>
            <w:pPr>
              <w:spacing w:after="0"/>
              <w:rPr>
                <w:sz w:val="19"/>
                <w:szCs w:val="19"/>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(35,072)</w:t>
            </w:r>
          </w:p>
        </w:tc>
        <w:tc>
          <w:tcPr>
            <w:tcW w:w="38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(70,880)</w:t>
            </w:r>
          </w:p>
        </w:tc>
        <w:tc>
          <w:tcPr>
            <w:tcW w:w="38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(70,130)</w:t>
            </w:r>
          </w:p>
        </w:tc>
      </w:tr>
      <w:tr>
        <w:trPr>
          <w:trHeight w:val="224"/>
        </w:trPr>
        <w:tc>
          <w:tcPr>
            <w:tcW w:w="5020" w:type="dxa"/>
            <w:vAlign w:val="bottom"/>
          </w:tcPr>
          <w:p>
            <w:pPr>
              <w:ind w:left="280"/>
              <w:spacing w:after="0"/>
              <w:rPr>
                <w:sz w:val="20"/>
                <w:szCs w:val="20"/>
                <w:color w:val="auto"/>
              </w:rPr>
            </w:pPr>
            <w:r>
              <w:rPr>
                <w:rFonts w:ascii="Arial" w:cs="Arial" w:eastAsia="Arial" w:hAnsi="Arial"/>
                <w:sz w:val="16"/>
                <w:szCs w:val="16"/>
                <w:color w:val="auto"/>
              </w:rPr>
              <w:t>Allowance for funds used during construction - borrowed</w:t>
            </w: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511</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822</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644</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1,308</w:t>
            </w: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Capitalized interest</w:t>
            </w:r>
          </w:p>
        </w:tc>
        <w:tc>
          <w:tcPr>
            <w:tcW w:w="3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58</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77</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133</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Allowance for funds used during construction - equity</w:t>
            </w:r>
          </w:p>
        </w:tc>
        <w:tc>
          <w:tcPr>
            <w:tcW w:w="3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242</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794</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310</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1,286</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(35,843)</w:t>
            </w: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(33,217)</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(70,942)</w:t>
            </w: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(67,300)</w:t>
            </w:r>
          </w:p>
        </w:tc>
      </w:tr>
      <w:tr>
        <w:trPr>
          <w:trHeight w:val="156"/>
        </w:trPr>
        <w:tc>
          <w:tcPr>
            <w:tcW w:w="50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37"/>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33,708</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36,579</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146,883</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152,682</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(6,541)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(10,652)</w:t>
            </w: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19,261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(45,040)</w:t>
            </w:r>
          </w:p>
        </w:tc>
      </w:tr>
      <w:tr>
        <w:trPr>
          <w:trHeight w:val="33"/>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from continuing operations</w:t>
            </w:r>
          </w:p>
        </w:tc>
        <w:tc>
          <w:tcPr>
            <w:tcW w:w="3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27,167</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25,927</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166,144</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107,642</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(4,770)</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(2,185)</w:t>
            </w:r>
          </w:p>
        </w:tc>
      </w:tr>
      <w:tr>
        <w:trPr>
          <w:trHeight w:val="33"/>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0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24,740</w:t>
            </w:r>
          </w:p>
        </w:tc>
        <w:tc>
          <w:tcPr>
            <w:tcW w:w="200" w:type="dxa"/>
            <w:vAlign w:val="bottom"/>
            <w:tcBorders>
              <w:bottom w:val="single" w:sz="8" w:color="CEFFE7"/>
            </w:tcBorders>
            <w:shd w:val="clear" w:color="auto" w:fill="CEFFE7"/>
          </w:tcPr>
          <w:p>
            <w:pPr>
              <w:spacing w:after="0"/>
              <w:rPr>
                <w:sz w:val="20"/>
                <w:szCs w:val="20"/>
                <w:color w:val="auto"/>
              </w:rPr>
            </w:pPr>
          </w:p>
        </w:tc>
        <w:tc>
          <w:tcPr>
            <w:tcW w:w="14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25,311</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161,374</w:t>
            </w:r>
          </w:p>
        </w:tc>
        <w:tc>
          <w:tcPr>
            <w:tcW w:w="38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105,457</w:t>
            </w:r>
          </w:p>
        </w:tc>
      </w:tr>
      <w:tr>
        <w:trPr>
          <w:trHeight w:val="224"/>
        </w:trPr>
        <w:tc>
          <w:tcPr>
            <w:tcW w:w="50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(2,823)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(3,116)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(6,739)</w:t>
            </w:r>
          </w:p>
        </w:tc>
      </w:tr>
      <w:tr>
        <w:trPr>
          <w:trHeight w:val="33"/>
        </w:trPr>
        <w:tc>
          <w:tcPr>
            <w:tcW w:w="50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36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21,917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22,195</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154,921</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98,718</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9"/>
        </w:trPr>
        <w:tc>
          <w:tcPr>
            <w:tcW w:w="5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0"/>
        </w:trPr>
        <w:tc>
          <w:tcPr>
            <w:tcW w:w="5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Amounts attributable to common shareholders:</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r>
      <w:tr>
        <w:trPr>
          <w:trHeight w:val="224"/>
        </w:trPr>
        <w:tc>
          <w:tcPr>
            <w:tcW w:w="5020" w:type="dxa"/>
            <w:vAlign w:val="bottom"/>
          </w:tcPr>
          <w:p>
            <w:pPr>
              <w:ind w:left="160"/>
              <w:spacing w:after="0"/>
              <w:rPr>
                <w:sz w:val="20"/>
                <w:szCs w:val="20"/>
                <w:color w:val="auto"/>
              </w:rPr>
            </w:pPr>
            <w:r>
              <w:rPr>
                <w:rFonts w:ascii="Arial" w:cs="Arial" w:eastAsia="Arial" w:hAnsi="Arial"/>
                <w:sz w:val="16"/>
                <w:szCs w:val="16"/>
                <w:color w:val="auto"/>
              </w:rPr>
              <w:t>Net income from continuing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24,344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22,811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159,691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100,903</w:t>
            </w: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50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Net (loss) from discontinued operations</w:t>
            </w:r>
          </w:p>
        </w:tc>
        <w:tc>
          <w:tcPr>
            <w:tcW w:w="36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(2,427)</w:t>
            </w:r>
          </w:p>
        </w:tc>
        <w:tc>
          <w:tcPr>
            <w:tcW w:w="20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(616)</w:t>
            </w:r>
          </w:p>
        </w:tc>
        <w:tc>
          <w:tcPr>
            <w:tcW w:w="3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(4,770)</w:t>
            </w:r>
          </w:p>
        </w:tc>
        <w:tc>
          <w:tcPr>
            <w:tcW w:w="3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(2,185)</w:t>
            </w:r>
          </w:p>
        </w:tc>
      </w:tr>
      <w:tr>
        <w:trPr>
          <w:trHeight w:val="284"/>
        </w:trPr>
        <w:tc>
          <w:tcPr>
            <w:tcW w:w="50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income available for common stock</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22,195</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154,921</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98,718</w:t>
            </w:r>
          </w:p>
        </w:tc>
      </w:tr>
      <w:tr>
        <w:trPr>
          <w:trHeight w:val="257"/>
        </w:trPr>
        <w:tc>
          <w:tcPr>
            <w:tcW w:w="5020" w:type="dxa"/>
            <w:vAlign w:val="bottom"/>
            <w:shd w:val="clear" w:color="auto" w:fill="CEFFE7"/>
          </w:tcPr>
          <w:p>
            <w:pPr>
              <w:spacing w:after="0"/>
              <w:rPr>
                <w:sz w:val="22"/>
                <w:szCs w:val="22"/>
                <w:color w:val="auto"/>
              </w:rPr>
            </w:pPr>
          </w:p>
        </w:tc>
        <w:tc>
          <w:tcPr>
            <w:tcW w:w="360" w:type="dxa"/>
            <w:vAlign w:val="bottom"/>
            <w:shd w:val="clear" w:color="auto" w:fill="CEFFE7"/>
          </w:tcPr>
          <w:p>
            <w:pPr>
              <w:spacing w:after="0"/>
              <w:rPr>
                <w:sz w:val="22"/>
                <w:szCs w:val="22"/>
                <w:color w:val="auto"/>
              </w:rPr>
            </w:pPr>
          </w:p>
        </w:tc>
        <w:tc>
          <w:tcPr>
            <w:tcW w:w="124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1400" w:type="dxa"/>
            <w:vAlign w:val="bottom"/>
            <w:shd w:val="clear" w:color="auto" w:fill="CEFFE7"/>
          </w:tcPr>
          <w:p>
            <w:pPr>
              <w:spacing w:after="0"/>
              <w:rPr>
                <w:sz w:val="22"/>
                <w:szCs w:val="22"/>
                <w:color w:val="auto"/>
              </w:rPr>
            </w:pPr>
          </w:p>
        </w:tc>
        <w:tc>
          <w:tcPr>
            <w:tcW w:w="380" w:type="dxa"/>
            <w:vAlign w:val="bottom"/>
            <w:shd w:val="clear" w:color="auto" w:fill="CEFFE7"/>
          </w:tcPr>
          <w:p>
            <w:pPr>
              <w:spacing w:after="0"/>
              <w:rPr>
                <w:sz w:val="22"/>
                <w:szCs w:val="22"/>
                <w:color w:val="auto"/>
              </w:rPr>
            </w:pPr>
          </w:p>
        </w:tc>
        <w:tc>
          <w:tcPr>
            <w:tcW w:w="1200" w:type="dxa"/>
            <w:vAlign w:val="bottom"/>
            <w:shd w:val="clear" w:color="auto" w:fill="CEFFE7"/>
          </w:tcPr>
          <w:p>
            <w:pPr>
              <w:spacing w:after="0"/>
              <w:rPr>
                <w:sz w:val="22"/>
                <w:szCs w:val="22"/>
                <w:color w:val="auto"/>
              </w:rPr>
            </w:pPr>
          </w:p>
        </w:tc>
        <w:tc>
          <w:tcPr>
            <w:tcW w:w="380" w:type="dxa"/>
            <w:vAlign w:val="bottom"/>
            <w:shd w:val="clear" w:color="auto" w:fill="CEFFE7"/>
          </w:tcPr>
          <w:p>
            <w:pPr>
              <w:spacing w:after="0"/>
              <w:rPr>
                <w:sz w:val="22"/>
                <w:szCs w:val="22"/>
                <w:color w:val="auto"/>
              </w:rPr>
            </w:pPr>
          </w:p>
        </w:tc>
        <w:tc>
          <w:tcPr>
            <w:tcW w:w="1200" w:type="dxa"/>
            <w:vAlign w:val="bottom"/>
            <w:shd w:val="clear" w:color="auto" w:fill="CEFFE7"/>
          </w:tcPr>
          <w:p>
            <w:pPr>
              <w:spacing w:after="0"/>
              <w:rPr>
                <w:sz w:val="22"/>
                <w:szCs w:val="22"/>
                <w:color w:val="auto"/>
              </w:rPr>
            </w:pPr>
          </w:p>
        </w:tc>
      </w:tr>
    </w:tbl>
    <w:p>
      <w:pPr>
        <w:spacing w:after="0" w:line="31" w:lineRule="exact"/>
        <w:rPr>
          <w:sz w:val="20"/>
          <w:szCs w:val="20"/>
          <w:color w:val="auto"/>
        </w:rPr>
      </w:pPr>
    </w:p>
    <w:p>
      <w:pPr>
        <w:sectPr>
          <w:pgSz w:w="11900" w:h="16838" w:orient="portrait"/>
          <w:cols w:equalWidth="0" w:num="1">
            <w:col w:w="11380"/>
          </w:cols>
          <w:pgMar w:left="260" w:top="814" w:right="259" w:bottom="165" w:gutter="0" w:footer="0" w:header="0"/>
        </w:sectPr>
      </w:pPr>
    </w:p>
    <w:p>
      <w:pPr>
        <w:ind w:left="20"/>
        <w:spacing w:after="0"/>
        <w:rPr>
          <w:sz w:val="20"/>
          <w:szCs w:val="20"/>
          <w:color w:val="auto"/>
        </w:rPr>
      </w:pPr>
      <w:r>
        <w:rPr>
          <w:rFonts w:ascii="Arial" w:cs="Arial" w:eastAsia="Arial" w:hAnsi="Arial"/>
          <w:sz w:val="16"/>
          <w:szCs w:val="16"/>
          <w:color w:val="auto"/>
        </w:rPr>
        <w:t>Earnings per share of common stock:</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(loss) per share, Basic -</w:t>
      </w:r>
    </w:p>
    <w:p>
      <w:pPr>
        <w:spacing w:after="0" w:line="73" w:lineRule="exact"/>
        <w:rPr>
          <w:sz w:val="20"/>
          <w:szCs w:val="20"/>
          <w:color w:val="auto"/>
        </w:rPr>
      </w:pPr>
    </w:p>
    <w:p>
      <w:pPr>
        <w:jc w:val="both"/>
        <w:ind w:left="240" w:right="1000" w:firstLine="40"/>
        <w:spacing w:after="0" w:line="366" w:lineRule="auto"/>
        <w:rPr>
          <w:sz w:val="20"/>
          <w:szCs w:val="20"/>
          <w:color w:val="auto"/>
        </w:rPr>
      </w:pPr>
      <w:r>
        <w:rPr>
          <w:rFonts w:ascii="Arial" w:cs="Arial" w:eastAsia="Arial" w:hAnsi="Arial"/>
          <w:sz w:val="16"/>
          <w:szCs w:val="16"/>
          <w:color w:val="auto"/>
        </w:rPr>
        <w:t>Income from continuing operations, per share (Loss) from discontinued operations, per share Earnings per share, Basic</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(loss) per share, Diluted -</w:t>
      </w:r>
    </w:p>
    <w:p>
      <w:pPr>
        <w:spacing w:after="0" w:line="73" w:lineRule="exact"/>
        <w:rPr>
          <w:sz w:val="20"/>
          <w:szCs w:val="20"/>
          <w:color w:val="auto"/>
        </w:rPr>
      </w:pPr>
    </w:p>
    <w:p>
      <w:pPr>
        <w:jc w:val="both"/>
        <w:ind w:left="240" w:right="1000" w:firstLine="40"/>
        <w:spacing w:after="0" w:line="364" w:lineRule="auto"/>
        <w:rPr>
          <w:sz w:val="20"/>
          <w:szCs w:val="20"/>
          <w:color w:val="auto"/>
        </w:rPr>
      </w:pPr>
      <w:r>
        <w:rPr>
          <w:rFonts w:ascii="Arial" w:cs="Arial" w:eastAsia="Arial" w:hAnsi="Arial"/>
          <w:sz w:val="16"/>
          <w:szCs w:val="16"/>
          <w:color w:val="auto"/>
        </w:rPr>
        <w:t>Income from continuing operations, per share (Loss) from discontinued operations, per share Earnings per share, Diluted</w:t>
      </w:r>
    </w:p>
    <w:p>
      <w:pPr>
        <w:ind w:left="20"/>
        <w:spacing w:after="0"/>
        <w:rPr>
          <w:sz w:val="20"/>
          <w:szCs w:val="20"/>
          <w:color w:val="auto"/>
        </w:rPr>
      </w:pPr>
      <w:r>
        <w:rPr>
          <w:rFonts w:ascii="Arial" w:cs="Arial" w:eastAsia="Arial" w:hAnsi="Arial"/>
          <w:sz w:val="15"/>
          <w:szCs w:val="15"/>
          <w:color w:val="auto"/>
        </w:rPr>
        <w:t>Weighted average common shares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1.90</w:t>
            </w:r>
          </w:p>
        </w:tc>
      </w:tr>
      <w:tr>
        <w:trPr>
          <w:trHeight w:val="257"/>
        </w:trPr>
        <w:tc>
          <w:tcPr>
            <w:tcW w:w="6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(0.05)</w:t>
            </w: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(0.09)</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3"/>
        </w:trPr>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257"/>
        </w:trPr>
        <w:tc>
          <w:tcPr>
            <w:tcW w:w="6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(0.05)</w:t>
            </w: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(0.09)</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33"/>
        </w:trPr>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-1508760</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-1174115</wp:posOffset>
            </wp:positionV>
            <wp:extent cx="7229475"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-831215</wp:posOffset>
            </wp:positionV>
            <wp:extent cx="722947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3716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-522605</wp:posOffset>
            </wp:positionV>
            <wp:extent cx="7229475"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-196850</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4300" w:space="720"/>
            <w:col w:w="6360"/>
          </w:cols>
          <w:pgMar w:left="260" w:top="814" w:right="259" w:bottom="165"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0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Basic</w:t>
            </w:r>
          </w:p>
        </w:tc>
        <w:tc>
          <w:tcPr>
            <w:tcW w:w="580" w:type="dxa"/>
            <w:vAlign w:val="bottom"/>
            <w:tcBorders>
              <w:bottom w:val="single" w:sz="8" w:color="auto"/>
            </w:tcBorders>
            <w:shd w:val="clear" w:color="auto" w:fill="CEFFE7"/>
          </w:tcPr>
          <w:p>
            <w:pPr>
              <w:spacing w:after="0"/>
              <w:rPr>
                <w:sz w:val="21"/>
                <w:szCs w:val="21"/>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53,355</w:t>
            </w:r>
          </w:p>
        </w:tc>
        <w:tc>
          <w:tcPr>
            <w:tcW w:w="620" w:type="dxa"/>
            <w:vAlign w:val="bottom"/>
            <w:tcBorders>
              <w:bottom w:val="single" w:sz="8" w:color="auto"/>
            </w:tcBorders>
            <w:shd w:val="clear" w:color="auto" w:fill="CEFFE7"/>
          </w:tcPr>
          <w:p>
            <w:pPr>
              <w:spacing w:after="0"/>
              <w:rPr>
                <w:sz w:val="21"/>
                <w:szCs w:val="21"/>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53,229</w:t>
            </w:r>
          </w:p>
        </w:tc>
        <w:tc>
          <w:tcPr>
            <w:tcW w:w="620" w:type="dxa"/>
            <w:vAlign w:val="bottom"/>
            <w:tcBorders>
              <w:bottom w:val="single" w:sz="8" w:color="auto"/>
            </w:tcBorders>
            <w:shd w:val="clear" w:color="auto" w:fill="CEFFE7"/>
          </w:tcPr>
          <w:p>
            <w:pPr>
              <w:spacing w:after="0"/>
              <w:rPr>
                <w:sz w:val="21"/>
                <w:szCs w:val="21"/>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53,337</w:t>
            </w:r>
          </w:p>
        </w:tc>
        <w:tc>
          <w:tcPr>
            <w:tcW w:w="620" w:type="dxa"/>
            <w:vAlign w:val="bottom"/>
            <w:tcBorders>
              <w:bottom w:val="single" w:sz="8" w:color="auto"/>
            </w:tcBorders>
            <w:shd w:val="clear" w:color="auto" w:fill="CEFFE7"/>
          </w:tcPr>
          <w:p>
            <w:pPr>
              <w:spacing w:after="0"/>
              <w:rPr>
                <w:sz w:val="21"/>
                <w:szCs w:val="21"/>
                <w:color w:val="auto"/>
              </w:rPr>
            </w:pPr>
          </w:p>
        </w:tc>
        <w:tc>
          <w:tcPr>
            <w:tcW w:w="10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53,191</w:t>
            </w:r>
          </w:p>
        </w:tc>
      </w:tr>
      <w:tr>
        <w:trPr>
          <w:trHeight w:val="20"/>
        </w:trPr>
        <w:tc>
          <w:tcPr>
            <w:tcW w:w="5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7"/>
        </w:trPr>
        <w:tc>
          <w:tcPr>
            <w:tcW w:w="5020" w:type="dxa"/>
            <w:vAlign w:val="bottom"/>
            <w:tcBorders>
              <w:bottom w:val="single" w:sz="8" w:color="CEFFE7"/>
            </w:tcBorders>
          </w:tcPr>
          <w:p>
            <w:pPr>
              <w:ind w:left="240"/>
              <w:spacing w:after="0"/>
              <w:rPr>
                <w:sz w:val="20"/>
                <w:szCs w:val="20"/>
                <w:color w:val="auto"/>
              </w:rPr>
            </w:pPr>
            <w:r>
              <w:rPr>
                <w:rFonts w:ascii="Arial" w:cs="Arial" w:eastAsia="Arial" w:hAnsi="Arial"/>
                <w:sz w:val="16"/>
                <w:szCs w:val="16"/>
                <w:color w:val="auto"/>
              </w:rPr>
              <w:t>Diluted</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54,520</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55,384</w:t>
            </w: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54,361</w:t>
            </w: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55,179</w:t>
            </w:r>
          </w:p>
        </w:tc>
      </w:tr>
      <w:tr>
        <w:trPr>
          <w:trHeight w:val="163"/>
        </w:trPr>
        <w:tc>
          <w:tcPr>
            <w:tcW w:w="5020" w:type="dxa"/>
            <w:vAlign w:val="bottom"/>
            <w:shd w:val="clear" w:color="auto" w:fill="CEFFE7"/>
          </w:tcPr>
          <w:p>
            <w:pPr>
              <w:spacing w:after="0"/>
              <w:rPr>
                <w:sz w:val="14"/>
                <w:szCs w:val="14"/>
                <w:color w:val="auto"/>
              </w:rPr>
            </w:pPr>
          </w:p>
        </w:tc>
        <w:tc>
          <w:tcPr>
            <w:tcW w:w="58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62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620" w:type="dxa"/>
            <w:vAlign w:val="bottom"/>
            <w:shd w:val="clear" w:color="auto" w:fill="CEFFE7"/>
          </w:tcPr>
          <w:p>
            <w:pPr>
              <w:spacing w:after="0"/>
              <w:rPr>
                <w:sz w:val="14"/>
                <w:szCs w:val="14"/>
                <w:color w:val="auto"/>
              </w:rPr>
            </w:pPr>
          </w:p>
        </w:tc>
        <w:tc>
          <w:tcPr>
            <w:tcW w:w="960" w:type="dxa"/>
            <w:vAlign w:val="bottom"/>
            <w:shd w:val="clear" w:color="auto" w:fill="CEFFE7"/>
          </w:tcPr>
          <w:p>
            <w:pPr>
              <w:spacing w:after="0"/>
              <w:rPr>
                <w:sz w:val="14"/>
                <w:szCs w:val="14"/>
                <w:color w:val="auto"/>
              </w:rPr>
            </w:pPr>
          </w:p>
        </w:tc>
        <w:tc>
          <w:tcPr>
            <w:tcW w:w="620" w:type="dxa"/>
            <w:vAlign w:val="bottom"/>
            <w:shd w:val="clear" w:color="auto" w:fill="CEFFE7"/>
          </w:tcPr>
          <w:p>
            <w:pPr>
              <w:spacing w:after="0"/>
              <w:rPr>
                <w:sz w:val="14"/>
                <w:szCs w:val="14"/>
                <w:color w:val="auto"/>
              </w:rPr>
            </w:pPr>
          </w:p>
        </w:tc>
        <w:tc>
          <w:tcPr>
            <w:tcW w:w="1000" w:type="dxa"/>
            <w:vAlign w:val="bottom"/>
            <w:shd w:val="clear" w:color="auto" w:fill="CEFFE7"/>
          </w:tcPr>
          <w:p>
            <w:pPr>
              <w:spacing w:after="0"/>
              <w:rPr>
                <w:sz w:val="14"/>
                <w:szCs w:val="14"/>
                <w:color w:val="auto"/>
              </w:rPr>
            </w:pPr>
          </w:p>
        </w:tc>
      </w:tr>
      <w:tr>
        <w:trPr>
          <w:trHeight w:val="250"/>
        </w:trPr>
        <w:tc>
          <w:tcPr>
            <w:tcW w:w="5020" w:type="dxa"/>
            <w:vAlign w:val="bottom"/>
          </w:tcPr>
          <w:p>
            <w:pPr>
              <w:ind w:left="240"/>
              <w:spacing w:after="0"/>
              <w:rPr>
                <w:sz w:val="20"/>
                <w:szCs w:val="20"/>
                <w:color w:val="auto"/>
              </w:rPr>
            </w:pPr>
            <w:r>
              <w:rPr>
                <w:rFonts w:ascii="Arial" w:cs="Arial" w:eastAsia="Arial" w:hAnsi="Arial"/>
                <w:sz w:val="16"/>
                <w:szCs w:val="16"/>
                <w:color w:val="auto"/>
              </w:rPr>
              <w:t>Dividends declared per share of common stock</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0.475</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0.445</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0.950</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0.890</w:t>
            </w:r>
          </w:p>
        </w:tc>
      </w:tr>
      <w:tr>
        <w:trPr>
          <w:trHeight w:val="20"/>
        </w:trPr>
        <w:tc>
          <w:tcPr>
            <w:tcW w:w="5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380"/>
          </w:cols>
          <w:pgMar w:left="260" w:top="814" w:right="259" w:bottom="165"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814" w:right="259" w:bottom="165"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17"/>
                <w:szCs w:val="17"/>
                <w:color w:val="auto"/>
              </w:rPr>
            </w:pPr>
          </w:p>
        </w:tc>
        <w:tc>
          <w:tcPr>
            <w:tcW w:w="2180" w:type="dxa"/>
            <w:vAlign w:val="bottom"/>
            <w:gridSpan w:val="2"/>
          </w:tcPr>
          <w:p>
            <w:pPr>
              <w:jc w:val="center"/>
              <w:ind w:right="130"/>
              <w:spacing w:after="0"/>
              <w:rPr>
                <w:sz w:val="20"/>
                <w:szCs w:val="20"/>
                <w:color w:val="auto"/>
              </w:rPr>
            </w:pPr>
            <w:r>
              <w:rPr>
                <w:rFonts w:ascii="Arial" w:cs="Arial" w:eastAsia="Arial" w:hAnsi="Arial"/>
                <w:sz w:val="16"/>
                <w:szCs w:val="16"/>
                <w:color w:val="auto"/>
                <w:w w:val="90"/>
              </w:rPr>
              <w:t>Three Months Ended</w:t>
            </w:r>
          </w:p>
        </w:tc>
        <w:tc>
          <w:tcPr>
            <w:tcW w:w="340" w:type="dxa"/>
            <w:vAlign w:val="bottom"/>
          </w:tcPr>
          <w:p>
            <w:pPr>
              <w:spacing w:after="0"/>
              <w:rPr>
                <w:sz w:val="17"/>
                <w:szCs w:val="17"/>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6"/>
                <w:szCs w:val="16"/>
                <w:color w:val="auto"/>
                <w:w w:val="92"/>
              </w:rPr>
              <w:t>Six Months Ended</w:t>
            </w:r>
          </w:p>
        </w:tc>
        <w:tc>
          <w:tcPr>
            <w:tcW w:w="0" w:type="dxa"/>
            <w:vAlign w:val="bottom"/>
          </w:tcPr>
          <w:p>
            <w:pPr>
              <w:spacing w:after="0"/>
              <w:rPr>
                <w:sz w:val="1"/>
                <w:szCs w:val="1"/>
                <w:color w:val="auto"/>
              </w:rPr>
            </w:pPr>
          </w:p>
        </w:tc>
      </w:tr>
      <w:tr>
        <w:trPr>
          <w:trHeight w:val="212"/>
        </w:trPr>
        <w:tc>
          <w:tcPr>
            <w:tcW w:w="64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center"/>
              <w:ind w:left="554"/>
              <w:spacing w:after="0"/>
              <w:rPr>
                <w:sz w:val="20"/>
                <w:szCs w:val="20"/>
                <w:color w:val="auto"/>
              </w:rPr>
            </w:pPr>
            <w:r>
              <w:rPr>
                <w:rFonts w:ascii="Arial" w:cs="Arial" w:eastAsia="Arial" w:hAnsi="Arial"/>
                <w:sz w:val="16"/>
                <w:szCs w:val="16"/>
                <w:color w:val="auto"/>
                <w:w w:val="87"/>
              </w:rPr>
              <w:t>June 30,</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left="534"/>
              <w:spacing w:after="0"/>
              <w:rPr>
                <w:sz w:val="20"/>
                <w:szCs w:val="20"/>
                <w:color w:val="auto"/>
              </w:rPr>
            </w:pPr>
            <w:r>
              <w:rPr>
                <w:rFonts w:ascii="Arial" w:cs="Arial" w:eastAsia="Arial" w:hAnsi="Arial"/>
                <w:sz w:val="16"/>
                <w:szCs w:val="16"/>
                <w:color w:val="auto"/>
                <w:w w:val="87"/>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jc w:val="right"/>
              <w:ind w:right="734"/>
              <w:spacing w:after="0"/>
              <w:rPr>
                <w:sz w:val="20"/>
                <w:szCs w:val="20"/>
                <w:color w:val="auto"/>
              </w:rPr>
            </w:pPr>
            <w:r>
              <w:rPr>
                <w:rFonts w:ascii="Arial" w:cs="Arial" w:eastAsia="Arial" w:hAnsi="Arial"/>
                <w:sz w:val="18"/>
                <w:szCs w:val="18"/>
                <w:color w:val="auto"/>
              </w:rPr>
              <w:t>2018</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3"/>
                <w:szCs w:val="23"/>
                <w:color w:val="auto"/>
              </w:rPr>
            </w:pPr>
          </w:p>
        </w:tc>
        <w:tc>
          <w:tcPr>
            <w:tcW w:w="920" w:type="dxa"/>
            <w:vAlign w:val="bottom"/>
          </w:tcPr>
          <w:p>
            <w:pPr>
              <w:jc w:val="right"/>
              <w:ind w:right="314"/>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3"/>
                <w:szCs w:val="23"/>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00" w:type="dxa"/>
            <w:vAlign w:val="bottom"/>
            <w:gridSpan w:val="3"/>
          </w:tcPr>
          <w:p>
            <w:pPr>
              <w:jc w:val="right"/>
              <w:ind w:right="594"/>
              <w:spacing w:after="0"/>
              <w:rPr>
                <w:sz w:val="20"/>
                <w:szCs w:val="20"/>
                <w:color w:val="auto"/>
              </w:rPr>
            </w:pPr>
            <w:r>
              <w:rPr>
                <w:rFonts w:ascii="Arial" w:cs="Arial" w:eastAsia="Arial" w:hAnsi="Arial"/>
                <w:sz w:val="18"/>
                <w:szCs w:val="18"/>
                <w:color w:val="auto"/>
              </w:rPr>
              <w:t>(in thousands)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EFFE7"/>
            </w:tcBorders>
            <w:shd w:val="clear" w:color="auto" w:fill="CEFFE7"/>
          </w:tcPr>
          <w:p>
            <w:pPr>
              <w:jc w:val="right"/>
              <w:ind w:right="174"/>
              <w:spacing w:after="0"/>
              <w:rPr>
                <w:sz w:val="20"/>
                <w:szCs w:val="20"/>
                <w:color w:val="auto"/>
              </w:rPr>
            </w:pPr>
            <w:r>
              <w:rPr>
                <w:rFonts w:ascii="Arial" w:cs="Arial" w:eastAsia="Arial" w:hAnsi="Arial"/>
                <w:sz w:val="18"/>
                <w:szCs w:val="18"/>
                <w:color w:val="auto"/>
              </w:rPr>
              <w:t>24,740  $</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25,311</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161,374</w:t>
            </w:r>
          </w:p>
        </w:tc>
        <w:tc>
          <w:tcPr>
            <w:tcW w:w="4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105,457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 of tax:</w:t>
      </w:r>
    </w:p>
    <w:p>
      <w:pPr>
        <w:spacing w:after="0" w:line="63"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Reclassification adjustments of benefit plan liability - prior service cost (net of tax (expense) benefit of $9 and $18 for the three months ended June 30, 2018 and 2017 and $19 and $35 for the six months ended June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5"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Reclassification adjustments of benefit plan liability - net gain (loss) (net of tax (expense) benefit of $(135) and $(146) for the three months ended June 30, 2018 and 2017 and $(271) and $(300) for the six months ended June 30, 2018 and 2017, respectively)</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instruments designated as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43" w:lineRule="exact"/>
        <w:rPr>
          <w:sz w:val="20"/>
          <w:szCs w:val="20"/>
          <w:color w:val="auto"/>
        </w:rPr>
      </w:pPr>
    </w:p>
    <w:p>
      <w:pPr>
        <w:ind w:left="380" w:right="280"/>
        <w:spacing w:after="0" w:line="259" w:lineRule="auto"/>
        <w:rPr>
          <w:sz w:val="20"/>
          <w:szCs w:val="20"/>
          <w:color w:val="auto"/>
        </w:rPr>
      </w:pPr>
      <w:r>
        <w:rPr>
          <w:rFonts w:ascii="Arial" w:cs="Arial" w:eastAsia="Arial" w:hAnsi="Arial"/>
          <w:sz w:val="18"/>
          <w:szCs w:val="18"/>
          <w:color w:val="auto"/>
        </w:rPr>
        <w:t>Reclassification of net realized (gains) losses on settled/amortized interest rate swaps (net of tax (expense) benefit of $(152) and $(249) for the three months ended June 30, 2018 and 2017 and $(304) and $(530) for the six months ended June 30, 2018 and 2017, respectively)</w:t>
      </w:r>
    </w:p>
    <w:p>
      <w:pPr>
        <w:spacing w:after="0" w:line="25" w:lineRule="exact"/>
        <w:rPr>
          <w:sz w:val="20"/>
          <w:szCs w:val="20"/>
          <w:color w:val="auto"/>
        </w:rPr>
      </w:pPr>
    </w:p>
    <w:p>
      <w:pPr>
        <w:ind w:left="380" w:right="260"/>
        <w:spacing w:after="0" w:line="259" w:lineRule="auto"/>
        <w:rPr>
          <w:sz w:val="20"/>
          <w:szCs w:val="20"/>
          <w:color w:val="auto"/>
        </w:rPr>
      </w:pPr>
      <w:r>
        <w:rPr>
          <w:rFonts w:ascii="Arial" w:cs="Arial" w:eastAsia="Arial" w:hAnsi="Arial"/>
          <w:sz w:val="18"/>
          <w:szCs w:val="18"/>
          <w:color w:val="auto"/>
        </w:rPr>
        <w:t>Net unrealized gains (losses) on commodity derivatives (net of tax (expense) benefit of $(18) and $(194) for the three months ended June 30, 2018 and 2017 and $51 and $(536) for the six months ended June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5" w:lineRule="exact"/>
        <w:rPr>
          <w:sz w:val="20"/>
          <w:szCs w:val="20"/>
          <w:color w:val="auto"/>
        </w:rPr>
      </w:pPr>
    </w:p>
    <w:p>
      <w:pPr>
        <w:jc w:val="both"/>
        <w:ind w:left="380" w:right="200"/>
        <w:spacing w:after="0" w:line="259" w:lineRule="auto"/>
        <w:rPr>
          <w:sz w:val="20"/>
          <w:szCs w:val="20"/>
          <w:color w:val="auto"/>
        </w:rPr>
      </w:pPr>
      <w:r>
        <w:rPr>
          <w:rFonts w:ascii="Arial" w:cs="Arial" w:eastAsia="Arial" w:hAnsi="Arial"/>
          <w:sz w:val="18"/>
          <w:szCs w:val="18"/>
          <w:color w:val="auto"/>
        </w:rPr>
        <w:t>Reclassification of net realized (gains) losses on settled commodity derivatives (net of tax (expense) benefit of $(45) and $143 for the three months ended June 30, 2018 and 2017 and $(190) and $249 for the six months ended June 30, 2018 and 2017, respectively)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918"/>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487</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268</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973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528</w:t>
            </w:r>
          </w:p>
        </w:tc>
      </w:tr>
      <w:tr>
        <w:trPr>
          <w:trHeight w:val="1188"/>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561</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464</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1,122</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985</w:t>
            </w:r>
          </w:p>
        </w:tc>
      </w:tr>
      <w:tr>
        <w:trPr>
          <w:trHeight w:val="918"/>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30</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331</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(198)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915</w:t>
            </w:r>
          </w:p>
        </w:tc>
      </w:tr>
      <w:tr>
        <w:trPr>
          <w:trHeight w:val="918"/>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118</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(243)</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594</w:t>
            </w: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jc w:val="right"/>
              <w:ind w:right="410"/>
              <w:spacing w:after="0"/>
              <w:rPr>
                <w:sz w:val="20"/>
                <w:szCs w:val="20"/>
                <w:color w:val="auto"/>
              </w:rPr>
            </w:pPr>
            <w:r>
              <w:rPr>
                <w:rFonts w:ascii="Arial" w:cs="Arial" w:eastAsia="Arial" w:hAnsi="Arial"/>
                <w:sz w:val="18"/>
                <w:szCs w:val="18"/>
                <w:color w:val="auto"/>
              </w:rPr>
              <w:t>1,161</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789</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2,421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1,942</w:t>
            </w:r>
          </w:p>
        </w:tc>
      </w:tr>
      <w:tr>
        <w:trPr>
          <w:trHeight w:val="27"/>
        </w:trPr>
        <w:tc>
          <w:tcPr>
            <w:tcW w:w="1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40" w:space="60"/>
            <w:col w:w="5020"/>
          </w:cols>
          <w:pgMar w:left="240" w:top="796" w:right="2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25,901</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26,100</w:t>
            </w: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163,795</w:t>
            </w: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107,399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8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(2,823)</w:t>
            </w:r>
          </w:p>
        </w:tc>
        <w:tc>
          <w:tcPr>
            <w:tcW w:w="4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(3,116)</w:t>
            </w:r>
          </w:p>
        </w:tc>
        <w:tc>
          <w:tcPr>
            <w:tcW w:w="34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(6,453)</w:t>
            </w:r>
          </w:p>
        </w:tc>
        <w:tc>
          <w:tcPr>
            <w:tcW w:w="34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(6,739)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23,078</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22,984</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157,342</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100,660</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14 for additional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600"/>
              <w:spacing w:after="0"/>
              <w:rPr>
                <w:sz w:val="20"/>
                <w:szCs w:val="20"/>
                <w:color w:val="auto"/>
              </w:rPr>
            </w:pPr>
            <w:r>
              <w:rPr>
                <w:rFonts w:ascii="Arial" w:cs="Arial" w:eastAsia="Arial" w:hAnsi="Arial"/>
                <w:sz w:val="18"/>
                <w:szCs w:val="18"/>
                <w:color w:val="auto"/>
              </w:rPr>
              <w:t>(unaudited)</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2"/>
              </w:rPr>
              <w:t>As of</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4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June 30,</w:t>
            </w: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June 30,</w:t>
            </w:r>
          </w:p>
        </w:tc>
      </w:tr>
      <w:tr>
        <w:trPr>
          <w:trHeight w:val="230"/>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2017</w:t>
            </w:r>
          </w:p>
        </w:tc>
        <w:tc>
          <w:tcPr>
            <w:tcW w:w="4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4600" w:type="dxa"/>
            <w:vAlign w:val="bottom"/>
          </w:tcPr>
          <w:p>
            <w:pPr>
              <w:ind w:left="288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100" w:type="dxa"/>
            <w:vAlign w:val="bottom"/>
            <w:tcBorders>
              <w:bottom w:val="single" w:sz="8" w:color="CEFFE7"/>
            </w:tcBorders>
            <w:gridSpan w:val="2"/>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8,630</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15,420</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11,528</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3,084</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2,820</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175,612</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248,330</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166,760</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95,454</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113,283</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95,488</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666</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304</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639</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Income tax receivable, net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11,653</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current</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50,565</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81,016</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53,061</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31,431</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25,367</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20,768</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Current assets held for sale</w:t>
            </w:r>
          </w:p>
        </w:tc>
        <w:tc>
          <w:tcPr>
            <w:tcW w:w="180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3,557</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84,242</w:t>
            </w:r>
          </w:p>
        </w:tc>
        <w:tc>
          <w:tcPr>
            <w:tcW w:w="42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8,478</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380,652</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570,782</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359,256</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41,148</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13,090</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12,761</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5,702,065</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5,567,518</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5,423,160</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180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(1,087,689)</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(1,026,088)</w:t>
            </w:r>
          </w:p>
        </w:tc>
        <w:tc>
          <w:tcPr>
            <w:tcW w:w="42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(964,549)</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1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4,614,376</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4,541,430</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4,458,611</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Goodwill</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1,299,454</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1,299,454</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7,155</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7,559</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7,972</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non-current</w:t>
            </w:r>
          </w:p>
        </w:tc>
        <w:tc>
          <w:tcPr>
            <w:tcW w:w="18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210,137</w:t>
            </w:r>
          </w:p>
        </w:tc>
        <w:tc>
          <w:tcPr>
            <w:tcW w:w="26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216,438</w:t>
            </w:r>
          </w:p>
        </w:tc>
        <w:tc>
          <w:tcPr>
            <w:tcW w:w="4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244,099</w:t>
            </w:r>
          </w:p>
        </w:tc>
      </w:tr>
      <w:tr>
        <w:trPr>
          <w:trHeight w:val="243"/>
        </w:trPr>
        <w:tc>
          <w:tcPr>
            <w:tcW w:w="4600" w:type="dxa"/>
            <w:vAlign w:val="bottom"/>
          </w:tcPr>
          <w:p>
            <w:pPr>
              <w:ind w:left="240"/>
              <w:spacing w:after="0"/>
              <w:rPr>
                <w:sz w:val="20"/>
                <w:szCs w:val="20"/>
                <w:color w:val="auto"/>
              </w:rPr>
            </w:pPr>
            <w:r>
              <w:rPr>
                <w:rFonts w:ascii="Arial" w:cs="Arial" w:eastAsia="Arial" w:hAnsi="Arial"/>
                <w:sz w:val="18"/>
                <w:szCs w:val="18"/>
                <w:color w:val="auto"/>
              </w:rPr>
              <w:t>Other assets, non-current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17,207</w:t>
            </w:r>
          </w:p>
        </w:tc>
        <w:tc>
          <w:tcPr>
            <w:tcW w:w="26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10,149</w:t>
            </w:r>
          </w:p>
        </w:tc>
        <w:tc>
          <w:tcPr>
            <w:tcW w:w="4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13,594</w:t>
            </w: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Noncurrent assets held for sale</w:t>
            </w:r>
          </w:p>
        </w:tc>
        <w:tc>
          <w:tcPr>
            <w:tcW w:w="180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14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113,999</w:t>
            </w:r>
          </w:p>
        </w:tc>
      </w:tr>
      <w:tr>
        <w:trPr>
          <w:trHeight w:val="237"/>
        </w:trPr>
        <w:tc>
          <w:tcPr>
            <w:tcW w:w="460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1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1,533,953</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1,533,600</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1,679,118</w:t>
            </w:r>
          </w:p>
        </w:tc>
      </w:tr>
      <w:tr>
        <w:trPr>
          <w:trHeight w:val="27"/>
        </w:trPr>
        <w:tc>
          <w:tcPr>
            <w:tcW w:w="4600" w:type="dxa"/>
            <w:vAlign w:val="bottom"/>
            <w:tcBorders>
              <w:bottom w:val="single" w:sz="8" w:color="CEFFE7"/>
            </w:tcBorders>
          </w:tcPr>
          <w:p>
            <w:pPr>
              <w:spacing w:after="0"/>
              <w:rPr>
                <w:sz w:val="2"/>
                <w:szCs w:val="2"/>
                <w:color w:val="auto"/>
              </w:rPr>
            </w:pPr>
          </w:p>
        </w:tc>
        <w:tc>
          <w:tcPr>
            <w:tcW w:w="18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4600" w:type="dxa"/>
            <w:vAlign w:val="bottom"/>
            <w:shd w:val="clear" w:color="auto" w:fill="CEFFE7"/>
          </w:tcPr>
          <w:p>
            <w:pPr>
              <w:spacing w:after="0"/>
              <w:rPr>
                <w:sz w:val="24"/>
                <w:szCs w:val="24"/>
                <w:color w:val="auto"/>
              </w:rPr>
            </w:pPr>
          </w:p>
        </w:tc>
        <w:tc>
          <w:tcPr>
            <w:tcW w:w="18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r>
      <w:tr>
        <w:trPr>
          <w:trHeight w:val="264"/>
        </w:trPr>
        <w:tc>
          <w:tcPr>
            <w:tcW w:w="4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6,570,129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6,658,902</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6,509,746</w:t>
            </w:r>
          </w:p>
        </w:tc>
      </w:tr>
      <w:tr>
        <w:trPr>
          <w:trHeight w:val="20"/>
        </w:trPr>
        <w:tc>
          <w:tcPr>
            <w:tcW w:w="6400" w:type="dxa"/>
            <w:vAlign w:val="bottom"/>
            <w:gridSpan w:val="2"/>
          </w:tcPr>
          <w:p>
            <w:pPr>
              <w:spacing w:after="0" w:line="20" w:lineRule="exact"/>
              <w:rPr>
                <w:sz w:val="1"/>
                <w:szCs w:val="1"/>
                <w:color w:val="auto"/>
              </w:rPr>
            </w:pPr>
          </w:p>
        </w:tc>
        <w:tc>
          <w:tcPr>
            <w:tcW w:w="3780" w:type="dxa"/>
            <w:vAlign w:val="bottom"/>
            <w:tcBorders>
              <w:bottom w:val="single" w:sz="8" w:color="auto"/>
            </w:tcBorders>
            <w:gridSpan w:val="5"/>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7"/>
        </w:trPr>
        <w:tc>
          <w:tcPr>
            <w:tcW w:w="10180" w:type="dxa"/>
            <w:vAlign w:val="bottom"/>
            <w:gridSpan w:val="7"/>
          </w:tcPr>
          <w:p>
            <w:pPr>
              <w:jc w:val="center"/>
              <w:ind w:left="1171"/>
              <w:spacing w:after="0"/>
              <w:rPr>
                <w:sz w:val="20"/>
                <w:szCs w:val="20"/>
                <w:color w:val="auto"/>
              </w:rPr>
            </w:pPr>
            <w:r>
              <w:rPr>
                <w:rFonts w:ascii="Arial" w:cs="Arial" w:eastAsia="Arial" w:hAnsi="Arial"/>
                <w:sz w:val="14"/>
                <w:szCs w:val="14"/>
                <w:color w:val="auto"/>
                <w:w w:val="91"/>
              </w:rPr>
              <w:t>The accompanying Notes to Condensed Consolidated Financial Statements are an integral part of these Condensed Consolidated Financial Statements.</w:t>
            </w:r>
          </w:p>
        </w:tc>
        <w:tc>
          <w:tcPr>
            <w:tcW w:w="1240" w:type="dxa"/>
            <w:vAlign w:val="bottom"/>
          </w:tcPr>
          <w:p>
            <w:pPr>
              <w:spacing w:after="0"/>
              <w:rPr>
                <w:sz w:val="24"/>
                <w:szCs w:val="24"/>
                <w:color w:val="auto"/>
              </w:rPr>
            </w:pPr>
          </w:p>
        </w:tc>
      </w:tr>
      <w:tr>
        <w:trPr>
          <w:trHeight w:val="458"/>
        </w:trPr>
        <w:tc>
          <w:tcPr>
            <w:tcW w:w="460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color w:val="auto"/>
                <w:w w:val="92"/>
              </w:rPr>
              <w:t>As of</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6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w w:val="86"/>
              </w:rPr>
              <w:t>June 30,</w:t>
            </w:r>
          </w:p>
        </w:tc>
      </w:tr>
      <w:tr>
        <w:trPr>
          <w:trHeight w:val="230"/>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9"/>
              </w:rPr>
              <w:t>December 31, 2017</w:t>
            </w:r>
          </w:p>
        </w:tc>
        <w:tc>
          <w:tcPr>
            <w:tcW w:w="52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6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4"/>
          </w:tcPr>
          <w:p>
            <w:pPr>
              <w:jc w:val="center"/>
              <w:ind w:left="770"/>
              <w:spacing w:after="0"/>
              <w:rPr>
                <w:sz w:val="20"/>
                <w:szCs w:val="20"/>
                <w:color w:val="auto"/>
              </w:rPr>
            </w:pPr>
            <w:r>
              <w:rPr>
                <w:rFonts w:ascii="Arial" w:cs="Arial" w:eastAsia="Arial" w:hAnsi="Arial"/>
                <w:sz w:val="18"/>
                <w:szCs w:val="18"/>
                <w:color w:val="auto"/>
                <w:w w:val="88"/>
              </w:rPr>
              <w:t>(in thousands, except share amounts)</w:t>
            </w:r>
          </w:p>
        </w:tc>
        <w:tc>
          <w:tcPr>
            <w:tcW w:w="1140" w:type="dxa"/>
            <w:vAlign w:val="bottom"/>
          </w:tcPr>
          <w:p>
            <w:pPr>
              <w:spacing w:after="0"/>
              <w:rPr>
                <w:sz w:val="20"/>
                <w:szCs w:val="20"/>
                <w:color w:val="auto"/>
              </w:rPr>
            </w:pPr>
          </w:p>
        </w:tc>
      </w:tr>
      <w:tr>
        <w:trPr>
          <w:trHeight w:val="270"/>
        </w:trPr>
        <w:tc>
          <w:tcPr>
            <w:tcW w:w="6360" w:type="dxa"/>
            <w:vAlign w:val="bottom"/>
          </w:tcPr>
          <w:p>
            <w:pPr>
              <w:ind w:left="1700"/>
              <w:spacing w:after="0"/>
              <w:rPr>
                <w:sz w:val="20"/>
                <w:szCs w:val="20"/>
                <w:color w:val="auto"/>
              </w:rPr>
            </w:pPr>
            <w:r>
              <w:rPr>
                <w:rFonts w:ascii="Arial" w:cs="Arial" w:eastAsia="Arial" w:hAnsi="Arial"/>
                <w:sz w:val="18"/>
                <w:szCs w:val="18"/>
                <w:b w:val="1"/>
                <w:bCs w:val="1"/>
                <w:color w:val="auto"/>
              </w:rPr>
              <w:t>LIABILITIES AND TOTAL EQUITY</w:t>
            </w: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104,718</w:t>
            </w:r>
          </w:p>
        </w:tc>
        <w:tc>
          <w:tcPr>
            <w:tcW w:w="4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160,887</w:t>
            </w:r>
          </w:p>
        </w:tc>
        <w:tc>
          <w:tcPr>
            <w:tcW w:w="5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99,296</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190,339</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219,462</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191,806</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Derivative liabilities, current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485</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2,081</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676</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Accrued income taxes, net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1,022</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5,160</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current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52,102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6,832</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17,305</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Notes payable</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121,800</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211,300</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107,975</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255,743</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5,743</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5,743</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Current liabilities held for sale</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5,448</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41,774</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10,904</w:t>
            </w: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730,635</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649,101</w:t>
            </w:r>
          </w:p>
        </w:tc>
        <w:tc>
          <w:tcPr>
            <w:tcW w:w="52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438,865</w:t>
            </w:r>
          </w:p>
        </w:tc>
      </w:tr>
      <w:tr>
        <w:trPr>
          <w:trHeight w:val="291"/>
        </w:trPr>
        <w:tc>
          <w:tcPr>
            <w:tcW w:w="6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2,858,068</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3,109,400</w:t>
            </w:r>
          </w:p>
        </w:tc>
        <w:tc>
          <w:tcPr>
            <w:tcW w:w="5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3,160,302</w:t>
            </w:r>
          </w:p>
        </w:tc>
      </w:tr>
      <w:tr>
        <w:trPr>
          <w:trHeight w:val="291"/>
        </w:trPr>
        <w:tc>
          <w:tcPr>
            <w:tcW w:w="6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Deferred credits and other liabilities:</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Deferred income tax liabilities, net</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289,814</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336,520</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609,843</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Regulatory liabilities, non-current</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497,929</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478,294</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199,005</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Benefit plan liabilities</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162,199</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159,646</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176,102</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Other deferred credits and other liabilities</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104,951</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105,735</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112,550</w:t>
            </w: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Non-current liabilities held for sale</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23,048</w:t>
            </w: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36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8"/>
                <w:szCs w:val="18"/>
                <w:color w:val="auto"/>
              </w:rPr>
              <w:t>Total deferred credits and other liabilities</w:t>
            </w:r>
          </w:p>
        </w:tc>
        <w:tc>
          <w:tcPr>
            <w:tcW w:w="30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1,054,893</w:t>
            </w:r>
          </w:p>
        </w:tc>
        <w:tc>
          <w:tcPr>
            <w:tcW w:w="42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1,080,195</w:t>
            </w:r>
          </w:p>
        </w:tc>
        <w:tc>
          <w:tcPr>
            <w:tcW w:w="52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1,120,548</w:t>
            </w:r>
          </w:p>
        </w:tc>
      </w:tr>
      <w:tr>
        <w:trPr>
          <w:trHeight w:val="291"/>
        </w:trPr>
        <w:tc>
          <w:tcPr>
            <w:tcW w:w="6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Commitments and contingencies (See Notes 9, 11, 16, 17)</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97"/>
        </w:trPr>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6360" w:type="dxa"/>
            <w:vAlign w:val="bottom"/>
          </w:tcPr>
          <w:p>
            <w:pPr>
              <w:ind w:left="220"/>
              <w:spacing w:after="0"/>
              <w:rPr>
                <w:sz w:val="20"/>
                <w:szCs w:val="20"/>
                <w:color w:val="auto"/>
              </w:rPr>
            </w:pPr>
            <w:r>
              <w:rPr>
                <w:rFonts w:ascii="Arial" w:cs="Arial" w:eastAsia="Arial" w:hAnsi="Arial"/>
                <w:sz w:val="18"/>
                <w:szCs w:val="18"/>
                <w:color w:val="auto"/>
              </w:rPr>
              <w:t>Stockholders’ equity —</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360" w:type="dxa"/>
            <w:vAlign w:val="bottom"/>
            <w:shd w:val="clear" w:color="auto" w:fill="CEFFE7"/>
          </w:tcPr>
          <w:p>
            <w:pPr>
              <w:ind w:left="260"/>
              <w:spacing w:after="0"/>
              <w:rPr>
                <w:sz w:val="20"/>
                <w:szCs w:val="20"/>
                <w:color w:val="auto"/>
              </w:rPr>
            </w:pPr>
            <w:r>
              <w:rPr>
                <w:rFonts w:ascii="Arial" w:cs="Arial" w:eastAsia="Arial" w:hAnsi="Arial"/>
                <w:sz w:val="18"/>
                <w:szCs w:val="18"/>
                <w:color w:val="auto"/>
                <w:w w:val="94"/>
              </w:rPr>
              <w:t>Common stock $1 par value; 100,000,000 shares authorized; issued 53,661,850;</w:t>
            </w:r>
          </w:p>
        </w:tc>
        <w:tc>
          <w:tcPr>
            <w:tcW w:w="300" w:type="dxa"/>
            <w:vAlign w:val="bottom"/>
            <w:shd w:val="clear" w:color="auto" w:fill="CEFFE7"/>
          </w:tcPr>
          <w:p>
            <w:pPr>
              <w:spacing w:after="0"/>
              <w:rPr>
                <w:sz w:val="19"/>
                <w:szCs w:val="19"/>
                <w:color w:val="auto"/>
              </w:rPr>
            </w:pPr>
          </w:p>
        </w:tc>
        <w:tc>
          <w:tcPr>
            <w:tcW w:w="136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r>
      <w:tr>
        <w:trPr>
          <w:trHeight w:val="237"/>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53,579,986; and 53,513,521 shares, respectively</w:t>
            </w:r>
          </w:p>
        </w:tc>
        <w:tc>
          <w:tcPr>
            <w:tcW w:w="3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53,662</w:t>
            </w:r>
          </w:p>
        </w:tc>
        <w:tc>
          <w:tcPr>
            <w:tcW w:w="420" w:type="dxa"/>
            <w:vAlign w:val="bottom"/>
            <w:tcBorders>
              <w:bottom w:val="single" w:sz="8" w:color="CEFFE7"/>
            </w:tcBorders>
            <w:shd w:val="clear" w:color="auto" w:fill="CEFFE7"/>
          </w:tcPr>
          <w:p>
            <w:pPr>
              <w:spacing w:after="0"/>
              <w:rPr>
                <w:sz w:val="20"/>
                <w:szCs w:val="20"/>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53,580</w:t>
            </w:r>
          </w:p>
        </w:tc>
        <w:tc>
          <w:tcPr>
            <w:tcW w:w="520" w:type="dxa"/>
            <w:vAlign w:val="bottom"/>
            <w:tcBorders>
              <w:bottom w:val="single" w:sz="8" w:color="CEFFE7"/>
            </w:tcBorders>
            <w:shd w:val="clear" w:color="auto" w:fill="CEFFE7"/>
          </w:tcPr>
          <w:p>
            <w:pPr>
              <w:spacing w:after="0"/>
              <w:rPr>
                <w:sz w:val="20"/>
                <w:szCs w:val="20"/>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53,514</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1,154,947</w:t>
            </w:r>
          </w:p>
        </w:tc>
        <w:tc>
          <w:tcPr>
            <w:tcW w:w="4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1,150,285</w:t>
            </w:r>
          </w:p>
        </w:tc>
        <w:tc>
          <w:tcPr>
            <w:tcW w:w="5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1,145,493</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652,642</w:t>
            </w:r>
          </w:p>
        </w:tc>
        <w:tc>
          <w:tcPr>
            <w:tcW w:w="42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548,617</w:t>
            </w:r>
          </w:p>
        </w:tc>
        <w:tc>
          <w:tcPr>
            <w:tcW w:w="5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512,498</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Treasury stock, at cost – 64,981; 39,064; and 39,329 shares, respectively</w:t>
            </w: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(3,642)</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(2,306)</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(2,325)</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(38,763)</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(41,202)</w:t>
            </w:r>
          </w:p>
        </w:tc>
        <w:tc>
          <w:tcPr>
            <w:tcW w:w="5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(32,941)</w:t>
            </w:r>
          </w:p>
        </w:tc>
      </w:tr>
      <w:tr>
        <w:trPr>
          <w:trHeight w:val="237"/>
        </w:trPr>
        <w:tc>
          <w:tcPr>
            <w:tcW w:w="636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1,818,846</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1,708,974</w:t>
            </w: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1,676,239</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107,687</w:t>
            </w:r>
          </w:p>
        </w:tc>
        <w:tc>
          <w:tcPr>
            <w:tcW w:w="4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111,232</w:t>
            </w:r>
          </w:p>
        </w:tc>
        <w:tc>
          <w:tcPr>
            <w:tcW w:w="5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113,792</w:t>
            </w:r>
          </w:p>
        </w:tc>
      </w:tr>
      <w:tr>
        <w:trPr>
          <w:trHeight w:val="237"/>
        </w:trPr>
        <w:tc>
          <w:tcPr>
            <w:tcW w:w="6360" w:type="dxa"/>
            <w:vAlign w:val="bottom"/>
          </w:tcPr>
          <w:p>
            <w:pPr>
              <w:ind w:left="62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1,926,533</w:t>
            </w: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1,820,206</w:t>
            </w: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1,790,031</w:t>
            </w:r>
          </w:p>
        </w:tc>
      </w:tr>
      <w:tr>
        <w:trPr>
          <w:trHeight w:val="27"/>
        </w:trPr>
        <w:tc>
          <w:tcPr>
            <w:tcW w:w="63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3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 AND TOTAL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6,570,129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6,658,902</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6,509,746</w:t>
            </w:r>
          </w:p>
        </w:tc>
      </w:tr>
      <w:tr>
        <w:trPr>
          <w:trHeight w:val="20"/>
        </w:trPr>
        <w:tc>
          <w:tcPr>
            <w:tcW w:w="6360" w:type="dxa"/>
            <w:vAlign w:val="bottom"/>
          </w:tcPr>
          <w:p>
            <w:pPr>
              <w:spacing w:after="0" w:line="20" w:lineRule="exact"/>
              <w:rPr>
                <w:sz w:val="1"/>
                <w:szCs w:val="1"/>
                <w:color w:val="auto"/>
              </w:rPr>
            </w:pPr>
          </w:p>
        </w:tc>
        <w:tc>
          <w:tcPr>
            <w:tcW w:w="3860" w:type="dxa"/>
            <w:vAlign w:val="bottom"/>
            <w:tcBorders>
              <w:bottom w:val="single" w:sz="8" w:color="auto"/>
            </w:tcBorders>
            <w:gridSpan w:val="5"/>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67"/>
        </w:trPr>
        <w:tc>
          <w:tcPr>
            <w:tcW w:w="10220" w:type="dxa"/>
            <w:vAlign w:val="bottom"/>
            <w:gridSpan w:val="6"/>
          </w:tcPr>
          <w:p>
            <w:pPr>
              <w:ind w:left="1340"/>
              <w:spacing w:after="0"/>
              <w:rPr>
                <w:sz w:val="20"/>
                <w:szCs w:val="20"/>
                <w:color w:val="auto"/>
              </w:rPr>
            </w:pPr>
            <w:r>
              <w:rPr>
                <w:rFonts w:ascii="Arial" w:cs="Arial" w:eastAsia="Arial" w:hAnsi="Arial"/>
                <w:sz w:val="14"/>
                <w:szCs w:val="14"/>
                <w:color w:val="auto"/>
                <w:w w:val="93"/>
              </w:rPr>
              <w:t>The accompanying Notes to Condensed Consolidated Financial Statements are an integral part of these Condensed Consolidated Financial Statements.</w:t>
            </w:r>
          </w:p>
        </w:tc>
        <w:tc>
          <w:tcPr>
            <w:tcW w:w="1140" w:type="dxa"/>
            <w:vAlign w:val="bottom"/>
          </w:tcPr>
          <w:p>
            <w:pPr>
              <w:spacing w:after="0"/>
              <w:rPr>
                <w:sz w:val="24"/>
                <w:szCs w:val="24"/>
                <w:color w:val="auto"/>
              </w:rPr>
            </w:pPr>
          </w:p>
        </w:tc>
      </w:tr>
      <w:tr>
        <w:trPr>
          <w:trHeight w:val="458"/>
        </w:trPr>
        <w:tc>
          <w:tcPr>
            <w:tcW w:w="6360" w:type="dxa"/>
            <w:vAlign w:val="bottom"/>
          </w:tcPr>
          <w:p>
            <w:pPr>
              <w:ind w:left="56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ind w:left="40"/>
              <w:spacing w:after="0"/>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5"/>
                <w:szCs w:val="15"/>
                <w:color w:val="auto"/>
              </w:rPr>
            </w:pPr>
          </w:p>
        </w:tc>
        <w:tc>
          <w:tcPr>
            <w:tcW w:w="2600" w:type="dxa"/>
            <w:vAlign w:val="bottom"/>
            <w:gridSpan w:val="3"/>
          </w:tcPr>
          <w:p>
            <w:pPr>
              <w:jc w:val="center"/>
              <w:ind w:right="268"/>
              <w:spacing w:after="0"/>
              <w:rPr>
                <w:sz w:val="20"/>
                <w:szCs w:val="20"/>
                <w:color w:val="auto"/>
              </w:rPr>
            </w:pPr>
            <w:r>
              <w:rPr>
                <w:rFonts w:ascii="Arial" w:cs="Arial" w:eastAsia="Arial" w:hAnsi="Arial"/>
                <w:sz w:val="14"/>
                <w:szCs w:val="14"/>
                <w:color w:val="auto"/>
                <w:w w:val="92"/>
              </w:rPr>
              <w:t>Six Months Ended June 30,</w:t>
            </w:r>
          </w:p>
        </w:tc>
      </w:tr>
      <w:tr>
        <w:trPr>
          <w:trHeight w:val="276"/>
        </w:trPr>
        <w:tc>
          <w:tcPr>
            <w:tcW w:w="8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7"/>
                <w:szCs w:val="17"/>
                <w:color w:val="auto"/>
              </w:rPr>
            </w:pPr>
          </w:p>
        </w:tc>
        <w:tc>
          <w:tcPr>
            <w:tcW w:w="1640" w:type="dxa"/>
            <w:vAlign w:val="bottom"/>
            <w:gridSpan w:val="2"/>
          </w:tcPr>
          <w:p>
            <w:pPr>
              <w:jc w:val="center"/>
              <w:ind w:left="548"/>
              <w:spacing w:after="0"/>
              <w:rPr>
                <w:sz w:val="20"/>
                <w:szCs w:val="20"/>
                <w:color w:val="auto"/>
              </w:rPr>
            </w:pPr>
            <w:r>
              <w:rPr>
                <w:rFonts w:ascii="Arial" w:cs="Arial" w:eastAsia="Arial" w:hAnsi="Arial"/>
                <w:sz w:val="14"/>
                <w:szCs w:val="14"/>
                <w:color w:val="auto"/>
                <w:w w:val="92"/>
              </w:rPr>
              <w:t>(in thousands)</w:t>
            </w:r>
          </w:p>
        </w:tc>
        <w:tc>
          <w:tcPr>
            <w:tcW w:w="960" w:type="dxa"/>
            <w:vAlign w:val="bottom"/>
          </w:tcPr>
          <w:p>
            <w:pPr>
              <w:spacing w:after="0"/>
              <w:rPr>
                <w:sz w:val="17"/>
                <w:szCs w:val="17"/>
                <w:color w:val="auto"/>
              </w:rPr>
            </w:pPr>
          </w:p>
        </w:tc>
      </w:tr>
      <w:tr>
        <w:trPr>
          <w:trHeight w:val="222"/>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EFFE7"/>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161,374</w:t>
            </w:r>
          </w:p>
        </w:tc>
        <w:tc>
          <w:tcPr>
            <w:tcW w:w="520" w:type="dxa"/>
            <w:vAlign w:val="bottom"/>
            <w:shd w:val="clear" w:color="auto" w:fill="CEFFE7"/>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105,457</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4,770</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2,185</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Income from continuing operations</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166,144</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107,642</w:t>
            </w:r>
          </w:p>
        </w:tc>
      </w:tr>
      <w:tr>
        <w:trPr>
          <w:trHeight w:val="264"/>
        </w:trPr>
        <w:tc>
          <w:tcPr>
            <w:tcW w:w="846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97,299</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93,527</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Deferred financing cost amortization</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3,694</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4,138</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Stock compensation</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5,221</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6,589</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(21,419)</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52,385</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Employee benefit plans</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6,911</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5,717</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Other adjustments, net</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4,884</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(6,445)</w:t>
            </w:r>
          </w:p>
        </w:tc>
      </w:tr>
      <w:tr>
        <w:trPr>
          <w:trHeight w:val="276"/>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Changes in certain operating assets and liabilities:</w:t>
            </w: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Materials, supplies and fuel</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18,492</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7,753</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Accounts receivable, unbilled revenues and other operating assets</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50,711</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94,591</w:t>
            </w:r>
          </w:p>
        </w:tc>
      </w:tr>
      <w:tr>
        <w:trPr>
          <w:trHeight w:val="197"/>
        </w:trPr>
        <w:tc>
          <w:tcPr>
            <w:tcW w:w="8460" w:type="dxa"/>
            <w:vAlign w:val="bottom"/>
          </w:tcPr>
          <w:p>
            <w:pPr>
              <w:ind w:left="380"/>
              <w:spacing w:after="0"/>
              <w:rPr>
                <w:sz w:val="20"/>
                <w:szCs w:val="20"/>
                <w:color w:val="auto"/>
              </w:rPr>
            </w:pPr>
            <w:r>
              <w:rPr>
                <w:rFonts w:ascii="Arial" w:cs="Arial" w:eastAsia="Arial" w:hAnsi="Arial"/>
                <w:sz w:val="14"/>
                <w:szCs w:val="14"/>
                <w:color w:val="auto"/>
              </w:rPr>
              <w:t>Accounts payable and other operating liabilities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(96,394)</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(117,134)</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Regulatory assets - current</w:t>
            </w: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55,637</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3,086</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Regulatory liabilities - current</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19,990</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5,908</w:t>
            </w:r>
          </w:p>
        </w:tc>
      </w:tr>
      <w:tr>
        <w:trPr>
          <w:trHeight w:val="203"/>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Other operating activities, net</w:t>
            </w:r>
          </w:p>
        </w:tc>
        <w:tc>
          <w:tcPr>
            <w:tcW w:w="360" w:type="dxa"/>
            <w:vAlign w:val="bottom"/>
            <w:tcBorders>
              <w:bottom w:val="single" w:sz="8" w:color="auto"/>
            </w:tcBorders>
            <w:shd w:val="clear" w:color="auto" w:fill="CEFFE7"/>
          </w:tcPr>
          <w:p>
            <w:pPr>
              <w:spacing w:after="0"/>
              <w:rPr>
                <w:sz w:val="17"/>
                <w:szCs w:val="17"/>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(1,372)</w:t>
            </w:r>
          </w:p>
        </w:tc>
        <w:tc>
          <w:tcPr>
            <w:tcW w:w="52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(125)</w:t>
            </w:r>
          </w:p>
        </w:tc>
      </w:tr>
      <w:tr>
        <w:trPr>
          <w:trHeight w:val="210"/>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309,798</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257,632</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903</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5,237</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310,701</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262,869</w:t>
            </w:r>
          </w:p>
        </w:tc>
      </w:tr>
      <w:tr>
        <w:trPr>
          <w:trHeight w:val="175"/>
        </w:trPr>
        <w:tc>
          <w:tcPr>
            <w:tcW w:w="8460" w:type="dxa"/>
            <w:vAlign w:val="bottom"/>
            <w:shd w:val="clear" w:color="auto" w:fill="CEFFE7"/>
          </w:tcPr>
          <w:p>
            <w:pPr>
              <w:spacing w:after="0"/>
              <w:rPr>
                <w:sz w:val="15"/>
                <w:szCs w:val="15"/>
                <w:color w:val="auto"/>
              </w:rPr>
            </w:pPr>
          </w:p>
        </w:tc>
        <w:tc>
          <w:tcPr>
            <w:tcW w:w="360" w:type="dxa"/>
            <w:vAlign w:val="bottom"/>
            <w:shd w:val="clear" w:color="auto" w:fill="CEFFE7"/>
          </w:tcPr>
          <w:p>
            <w:pPr>
              <w:spacing w:after="0"/>
              <w:rPr>
                <w:sz w:val="15"/>
                <w:szCs w:val="15"/>
                <w:color w:val="auto"/>
              </w:rPr>
            </w:pPr>
          </w:p>
        </w:tc>
        <w:tc>
          <w:tcPr>
            <w:tcW w:w="112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Property, plant and equipment additions</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(156,748)</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(154,294)</w:t>
            </w:r>
          </w:p>
        </w:tc>
      </w:tr>
      <w:tr>
        <w:trPr>
          <w:trHeight w:val="210"/>
        </w:trPr>
        <w:tc>
          <w:tcPr>
            <w:tcW w:w="8460" w:type="dxa"/>
            <w:vAlign w:val="bottom"/>
          </w:tcPr>
          <w:p>
            <w:pPr>
              <w:ind w:left="240"/>
              <w:spacing w:after="0"/>
              <w:rPr>
                <w:sz w:val="20"/>
                <w:szCs w:val="20"/>
                <w:color w:val="auto"/>
              </w:rPr>
            </w:pPr>
            <w:r>
              <w:rPr>
                <w:rFonts w:ascii="Arial" w:cs="Arial" w:eastAsia="Arial" w:hAnsi="Arial"/>
                <w:sz w:val="14"/>
                <w:szCs w:val="14"/>
                <w:color w:val="auto"/>
              </w:rPr>
              <w:t>Purchase of investment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(24,429)</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Other investing activities</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(373)</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238</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 of continuing operations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(181,550)</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(154,056)</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(used in) investing activities of discontinued operations</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18,024</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(9,474)</w:t>
            </w:r>
          </w:p>
        </w:tc>
      </w:tr>
      <w:tr>
        <w:trPr>
          <w:trHeight w:val="196"/>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(163,526)</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(163,530)</w:t>
            </w:r>
          </w:p>
        </w:tc>
      </w:tr>
      <w:tr>
        <w:trPr>
          <w:trHeight w:val="270"/>
        </w:trPr>
        <w:tc>
          <w:tcPr>
            <w:tcW w:w="84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r>
    </w:tbl>
    <w:p>
      <w:pPr>
        <w:spacing w:after="0" w:line="76" w:lineRule="exact"/>
        <w:rPr>
          <w:sz w:val="20"/>
          <w:szCs w:val="20"/>
          <w:color w:val="auto"/>
        </w:rPr>
      </w:pPr>
    </w:p>
    <w:p>
      <w:pPr>
        <w:sectPr>
          <w:pgSz w:w="11900" w:h="16838" w:orient="portrait"/>
          <w:cols w:equalWidth="0" w:num="1">
            <w:col w:w="11420"/>
          </w:cols>
          <w:pgMar w:left="240" w:top="585" w:right="239" w:bottom="1440" w:gutter="0" w:footer="0" w:header="0"/>
        </w:sectPr>
      </w:pPr>
    </w:p>
    <w:p>
      <w:pPr>
        <w:ind w:left="40"/>
        <w:spacing w:after="0"/>
        <w:rPr>
          <w:sz w:val="20"/>
          <w:szCs w:val="20"/>
          <w:color w:val="auto"/>
        </w:rPr>
      </w:pPr>
      <w:r>
        <w:rPr>
          <w:rFonts w:ascii="Arial" w:cs="Arial" w:eastAsia="Arial" w:hAnsi="Arial"/>
          <w:sz w:val="14"/>
          <w:szCs w:val="14"/>
          <w:color w:val="auto"/>
        </w:rPr>
        <w:t>Financing activities:</w:t>
      </w:r>
    </w:p>
    <w:p>
      <w:pPr>
        <w:spacing w:after="0" w:line="42" w:lineRule="exact"/>
        <w:rPr>
          <w:sz w:val="20"/>
          <w:szCs w:val="20"/>
          <w:color w:val="auto"/>
        </w:rPr>
      </w:pPr>
    </w:p>
    <w:p>
      <w:pPr>
        <w:ind w:left="280" w:right="1540"/>
        <w:spacing w:after="0" w:line="322" w:lineRule="auto"/>
        <w:rPr>
          <w:sz w:val="20"/>
          <w:szCs w:val="20"/>
          <w:color w:val="auto"/>
        </w:rPr>
      </w:pPr>
      <w:r>
        <w:rPr>
          <w:rFonts w:ascii="Arial" w:cs="Arial" w:eastAsia="Arial" w:hAnsi="Arial"/>
          <w:sz w:val="14"/>
          <w:szCs w:val="14"/>
          <w:color w:val="auto"/>
        </w:rPr>
        <w:t>Dividends paid on common stock Common stock issued</w:t>
      </w:r>
    </w:p>
    <w:p>
      <w:pPr>
        <w:ind w:left="280"/>
        <w:spacing w:after="0"/>
        <w:rPr>
          <w:sz w:val="20"/>
          <w:szCs w:val="20"/>
          <w:color w:val="auto"/>
        </w:rPr>
      </w:pPr>
      <w:r>
        <w:rPr>
          <w:rFonts w:ascii="Arial" w:cs="Arial" w:eastAsia="Arial" w:hAnsi="Arial"/>
          <w:sz w:val="14"/>
          <w:szCs w:val="14"/>
          <w:color w:val="auto"/>
        </w:rPr>
        <w:t>Net (payments) borrowings of short-term debt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Long-term debt - repayments</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Distributions to noncontrolling interest</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financing activities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provided by (used in) financing activities</w:t>
      </w:r>
    </w:p>
    <w:p>
      <w:pPr>
        <w:spacing w:after="0" w:line="55" w:lineRule="exact"/>
        <w:rPr>
          <w:sz w:val="20"/>
          <w:szCs w:val="20"/>
          <w:color w:val="auto"/>
        </w:rPr>
      </w:pPr>
    </w:p>
    <w:p>
      <w:pPr>
        <w:jc w:val="center"/>
        <w:ind w:left="20"/>
        <w:spacing w:after="0"/>
        <w:rPr>
          <w:sz w:val="20"/>
          <w:szCs w:val="20"/>
          <w:color w:val="auto"/>
        </w:rPr>
      </w:pPr>
      <w:r>
        <w:rPr>
          <w:rFonts w:ascii="Arial" w:cs="Arial" w:eastAsia="Arial" w:hAnsi="Arial"/>
          <w:sz w:val="14"/>
          <w:szCs w:val="14"/>
          <w:color w:val="auto"/>
        </w:rPr>
        <w:t>Net change in cash, cash equivalents and restricted cash</w:t>
      </w:r>
    </w:p>
    <w:p>
      <w:pPr>
        <w:spacing w:after="0" w:line="55" w:lineRule="exact"/>
        <w:rPr>
          <w:sz w:val="20"/>
          <w:szCs w:val="20"/>
          <w:color w:val="auto"/>
        </w:rPr>
      </w:pPr>
    </w:p>
    <w:p>
      <w:pPr>
        <w:jc w:val="center"/>
        <w:ind w:left="40"/>
        <w:spacing w:after="0"/>
        <w:rPr>
          <w:sz w:val="20"/>
          <w:szCs w:val="20"/>
          <w:color w:val="auto"/>
        </w:rPr>
      </w:pPr>
      <w:r>
        <w:rPr>
          <w:rFonts w:ascii="Arial" w:cs="Arial" w:eastAsia="Arial" w:hAnsi="Arial"/>
          <w:sz w:val="12"/>
          <w:szCs w:val="12"/>
          <w:color w:val="auto"/>
        </w:rPr>
        <w:t>Cash, cash equivalents and restricted cash at beginning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466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(50,879)</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(47,544)</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1,074</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2,965</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(89,500)</w:t>
            </w:r>
          </w:p>
        </w:tc>
        <w:tc>
          <w:tcPr>
            <w:tcW w:w="4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11,375</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(2,871)</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(52,871)</w:t>
            </w:r>
          </w:p>
        </w:tc>
      </w:tr>
      <w:tr>
        <w:trPr>
          <w:trHeight w:val="203"/>
        </w:trPr>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(9,998)</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(8,335)</w:t>
            </w:r>
          </w:p>
        </w:tc>
      </w:tr>
      <w:tr>
        <w:trPr>
          <w:trHeight w:val="209"/>
        </w:trPr>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(6,659)</w:t>
            </w:r>
          </w:p>
        </w:tc>
      </w:tr>
      <w:tr>
        <w:trPr>
          <w:trHeight w:val="196"/>
        </w:trPr>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(153,701)</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(101,069)</w:t>
            </w:r>
          </w:p>
        </w:tc>
      </w:tr>
      <w:tr>
        <w:trPr>
          <w:trHeight w:val="190"/>
        </w:trPr>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(6,526)</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(1,730)</w:t>
            </w:r>
          </w:p>
        </w:tc>
      </w:tr>
      <w:tr>
        <w:trPr>
          <w:trHeight w:val="222"/>
        </w:trPr>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18,240</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15,792</w:t>
            </w:r>
          </w:p>
        </w:tc>
      </w:tr>
      <w:tr>
        <w:trPr>
          <w:trHeight w:val="21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11,714</w:t>
            </w: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14,062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-1371600</wp:posOffset>
            </wp:positionV>
            <wp:extent cx="72466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-1105535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-840105</wp:posOffset>
            </wp:positionV>
            <wp:extent cx="72466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-582295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-307975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See Note 15 for supplemental disclosure of cash flow information.</w:t>
      </w:r>
    </w:p>
    <w:p>
      <w:pPr>
        <w:spacing w:after="0" w:line="109" w:lineRule="exact"/>
        <w:rPr>
          <w:sz w:val="20"/>
          <w:szCs w:val="20"/>
          <w:color w:val="auto"/>
        </w:rPr>
      </w:pPr>
    </w:p>
    <w:p>
      <w:pPr>
        <w:sectPr>
          <w:pgSz w:w="11900" w:h="16838" w:orient="portrait"/>
          <w:cols w:equalWidth="0" w:num="2">
            <w:col w:w="3760" w:space="40"/>
            <w:col w:w="7620"/>
          </w:cols>
          <w:pgMar w:left="240" w:top="585"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color w:val="auto"/>
        </w:rPr>
        <w:t>The accompanying Notes to Condensed Consolidated Financial Statements are an integral part of these Condensed Consolidated Financial Statements.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included in the Company’s 2017 Annual Report on Form 10-K)</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MANAGEMENT’S STATEMENT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2017 Annual Report on Form 10-K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November 1, 2017, the BHC board of directors approved a complete divestiture of our Oil and Gas segment. The Oil and Gas segment assets and liabilities are classified as held for sale and the results of operations are shown in income (loss) from discontinued operations, excluding certain general and administrative costs and interest expense which do not meet the criteria for income (loss) from discontinued operations. As of June 30, 2018, we have sold nearly all oil and gas assets. Transaction closing for the last few assets and final accounting are expected within the third quarter. The closing of the oil and gas office will occur in August. See Note 18 for more information on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information furnished in the accompanying Condensed Consolidated Financial Statements reflects certain estimates required and all adjustments, including accruals, which are, in the opinion of management, necessary for a fair presentation of the June 30, 2018, December 31, 2017, and June 30, 2017 financial information and are of a normal recurring nature.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six months ended June 30, 2018 and June 30, 2017, and our financial condition as of June 30, 2018, December 31, 2017, and June 30, 2017, are not necessarily indicative of the results of operations and financial condition to be expected as of or for any other period. All earnings per share amounts discussed refer to diluted earnings per share unless otherwise noted.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purposes of the cash flow statements, we consider all highly liquid investments with original maturities of three months or less at the time of purchase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account for investments that we do not control under the cost method of accounting as we do not have the ability to exercise significant influence over the operating and financial policies of the investee. The cost method investments are recorded at cost and we record dividend income when applicable dividends are declared.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ASC 840, Leases. This ASU requires lessees to recognize a right-of-use asset and lease liability on the balance sheet for most leases, whereas today only financing-type lease liabilities (capital leases) are recognized on the balance sheet. In addition, the definition of a lease has been revised in regards to when an arrangement conveys the right to control the use of the identified asset under the arrangement which may result in changes to the classification of an arrangement as a lease. The ASU does not significantly change the lessees’ recognition, measurement and presentation of expenses and cash flows from the previous accounting standard. Lessors’ accounting under the ASU is largely unchanged from the previous accounting standard. The ASU expands the disclosure requirements of lease arrangements. Under the current guidance, lessees and lessors will use a modified retrospective transition approach, which requires application of the new guidance at the beginning of the earliest comparative period presented in the year of adoption. The guidance is effective for interim and annual reporting periods beginning after December 15, 2018, with early adoption permitted. In January 2018, the FASB issued amendments to the new lease standard, ASU No. 2018-01, allowing an entity to elect not to assess whether certain land easements are, or contain, leases when transitioning to the new lease standard. The FASB also issued additional amendments to the new lease standard in July 2018, ASU No. 2018-11, allowing companies to adopt the new standard with a cumulative effect adjustment as of the beginning of the year of adoption with prior year comparative financial information and disclosures remaining as previously reported.</w:t>
      </w:r>
    </w:p>
    <w:p>
      <w:pPr>
        <w:spacing w:after="0" w:line="16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expect to adopt this standard on January 1, 2019. For existing or expired land easements that were not previously accounted for as a lease, we anticipate electing the practical expedient which provides for no assessment of these easements. Further, we anticipate adopting the new standard with a cumulative effect adjustment with prior year comparative financial information remaining as previously reported when transitioning to the new standard. The standard also provides a transition practical expedient, commonly referred to as the “package of three”, that must be taken together and allows entities to (1) not reassess whether existing contracts contain leases, (2) carryforward the existing lease classification, and (3) not reassess initial direct costs associated with existing leases. We expect to elect the “package of three” practical expedient. We continue to evaluate the additional transition practical expedients available under the guidance and the impact of this new standard on our financial position, results of operations and cash flows. We are finalizing the process of identifying and categorizing our lease contracts and evaluating our current business processes relating to leases. We have selected and configured a new lease software solution that we are currently testing. We also continue to monitor utility industry lease implementation guidance that may change existing and future lease classification.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Improvements to Accounting for Hedging Activities, ASU 2017-12</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This standard better aligns risk management activities and financial reporting for hedging relationships, simplifies hedge accounting requirements and improves disclosures of hedging arrangements. This ASU is effective for fiscal years beginning after December 15, 2018, with early adoption permitted. We do not anticipate the adoption of this guidance to have a material impact on our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ASU 2017-04</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 (Topic 350)</w:t>
      </w:r>
      <w:r>
        <w:rPr>
          <w:rFonts w:ascii="Arial" w:cs="Arial" w:eastAsia="Arial" w:hAnsi="Arial"/>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15, 2019, applied on a prospective basis with early adoption permitted. We do not anticipate the adoption of this standard to have any impact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 ASU 2014-09</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Effective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its related amendments (collectively known as ASC 606). Under this standard, revenue is recognized when a customer obtains control of promised goods or services in an amount that reflects the consideration the entity expects to receive in exchange for those goods or services. In addition, the standard requires disclosure of the nature, amount, timing and uncertainty of revenue and cash flows arising from contracts with customers. We applied the five-step method outlined in the ASU to all in-scope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1" w:name="page12"/>
    <w:bookmarkEnd w:id="11"/>
    <w:p>
      <w:pPr>
        <w:ind w:right="120"/>
        <w:spacing w:after="0" w:line="259" w:lineRule="auto"/>
        <w:rPr>
          <w:sz w:val="20"/>
          <w:szCs w:val="20"/>
          <w:color w:val="auto"/>
        </w:rPr>
      </w:pPr>
      <w:r>
        <w:rPr>
          <w:rFonts w:ascii="Arial" w:cs="Arial" w:eastAsia="Arial" w:hAnsi="Arial"/>
          <w:sz w:val="18"/>
          <w:szCs w:val="18"/>
          <w:color w:val="auto"/>
        </w:rPr>
        <w:t>streams and elected the modified retrospective implementation method. Implementation of the standard did not have a material impact on our financial position, results of operations or cash flows. Implementation of the standard did not have a significant impact on the measurement or recognition of revenue; therefore, no cumulative adoption adjustment to the opening balance of Retained earnings at the date of initial application was necessary. The additional disclosures required by the ASU are included in Note 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 Retirement Benefits: Improving the Presentation of Net Periodic Pension Cost and Net Periodic Post-Retirement Benefit Cost, ASU 2017-07</w:t>
      </w:r>
    </w:p>
    <w:p>
      <w:pPr>
        <w:spacing w:after="0" w:line="24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Effective January 1, 2018, we adopted ASU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standard requires employers to report the service cost component in the same line item(s) as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costs, and require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The capitalization of only the service cost component of net periodic pension and post-retirement benefit costs in assets was applied on a prospective basis for the six months ended June 30, 2018. Retrospective impact was not material and therefore prior year presentation was not changed. For our rate-regulated entities, we capitalize the other components of net periodic benefit costs into regulatory assets or regulatory liabilities and maintain a FERC-to-GAAP reporting difference for these capitalized costs. The presentation changes required for net periodic pension and post-retirement costs resulted in offsetting changes to Operating income and Other income. Implementation of the standard did not have a material impact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Classification of Certain Cash Receipts and Cash Payments, ASU 2016-15</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Effective January 1, 2018, we adopted ASU 2016-15, </w:t>
      </w:r>
      <w:r>
        <w:rPr>
          <w:rFonts w:ascii="Arial" w:cs="Arial" w:eastAsia="Arial" w:hAnsi="Arial"/>
          <w:sz w:val="18"/>
          <w:szCs w:val="18"/>
          <w:i w:val="1"/>
          <w:iCs w:val="1"/>
          <w:color w:val="auto"/>
        </w:rPr>
        <w:t>Statement of Cash Flows (Topic 230): Classification of Certain Cash Receipts and Cash Payments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Emerging Issues Task Force). </w:t>
      </w:r>
      <w:r>
        <w:rPr>
          <w:rFonts w:ascii="Arial" w:cs="Arial" w:eastAsia="Arial" w:hAnsi="Arial"/>
          <w:sz w:val="18"/>
          <w:szCs w:val="18"/>
          <w:color w:val="auto"/>
        </w:rPr>
        <w:t>This ASU requires changes in the presentation of certain items, including but not limited to, debt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debt extinguishment costs; contingent consideration payments made after a business combination; proceeds from the settlement of insurance claims; proceeds from the settlement of corporate-owned life insurance policies and distributions received from equity method investees. We implemented this standard effective January 1, 2018 using the retrospective transition method. This standard had no impact on our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Restricted Cash, ASU 2016-18</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Effective January 1, 2018, we adopted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This ASU provides guidance on the presentation of restricted cash or restricted cash equivalents and reduces the diversity in practice. This ASU requires amounts generally described as restricted cash and restricted cash equivalents to be included with cash and cash equivalents when reconciling beginning-of-period and end-of-period total amounts on the statement of cash flows. We elected, as permitted by the standard, to early adopt ASU 2016-18 retrospectively as of January 1, 2017 and have applied it to all periods presented herein. The adoption of ASU 2016-18 did not have a material impact to our condensed consolidated financial statements. The effect of the adoption of ASU 2016-18 on our Condensed Consolidated Statements of Cash Flows was to include restricted cash balances in the beginning and end of period balances of cash, cash equivalents, and restricted cash. The change in restricted cash was previously disclosed in investing activities in the Condensed Consolidated Statements of Cash Flows.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tabs>
          <w:tab w:leader="none" w:pos="3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Revenues are recognized in an amount that reflects the consideration we expect to receive in exchange for goods or services, when control of the promised goods or services is transferred to our customers. Our primary types of revenue contracts are:</w:t>
      </w:r>
    </w:p>
    <w:p>
      <w:pPr>
        <w:spacing w:after="0" w:line="170" w:lineRule="exact"/>
        <w:rPr>
          <w:sz w:val="20"/>
          <w:szCs w:val="20"/>
          <w:color w:val="auto"/>
        </w:rPr>
      </w:pPr>
    </w:p>
    <w:p>
      <w:pPr>
        <w:ind w:left="660" w:right="8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Regulated natural gas and electric utility services tariffs</w:t>
      </w:r>
      <w:r>
        <w:rPr>
          <w:rFonts w:ascii="Arial" w:cs="Arial" w:eastAsia="Arial" w:hAnsi="Arial"/>
          <w:sz w:val="17"/>
          <w:szCs w:val="17"/>
          <w:color w:val="auto"/>
        </w:rPr>
        <w:t xml:space="preserve"> - Our utilities have regulated operations, as defined by ASC 980, that provide services to regulated customers under rates, charges, terms and conditions of service, and prices determined by the jurisdictional regulators designated for our service territories. Collectively, these rates, charges, terms and conditions are included in a tariff, which governs all aspects of the provision of our regulated services. Our regulated services primarily encompass single performance obligations material to the context of the contract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regulator-empowered statute to establish contractual rates between the utility and its customers. All of our utilities’ regulated sales are subject to regulatory-approved tariffs.</w:t>
      </w:r>
    </w:p>
    <w:p>
      <w:pPr>
        <w:spacing w:after="0" w:line="178" w:lineRule="exact"/>
        <w:rPr>
          <w:rFonts w:ascii="Arial" w:cs="Arial" w:eastAsia="Arial" w:hAnsi="Arial"/>
          <w:sz w:val="17"/>
          <w:szCs w:val="17"/>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Power sales agreements</w:t>
      </w:r>
      <w:r>
        <w:rPr>
          <w:rFonts w:ascii="Arial" w:cs="Arial" w:eastAsia="Arial" w:hAnsi="Arial"/>
          <w:sz w:val="18"/>
          <w:szCs w:val="18"/>
          <w:color w:val="auto"/>
        </w:rPr>
        <w:t xml:space="preserve"> - Our electric utilities and power generation segments have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Black Hills also sells excess energy to other load-serving entities on a short-term basis as a member of the Western States Power Pool. The pricing for all of these arrangements is included in the executed contracts or confirmations, reflecting the standalone selling price and is variable based on energy delivered.</w:t>
      </w:r>
    </w:p>
    <w:p>
      <w:pPr>
        <w:spacing w:after="0" w:line="189"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Coal supply agreements</w:t>
      </w:r>
      <w:r>
        <w:rPr>
          <w:rFonts w:ascii="Arial" w:cs="Arial" w:eastAsia="Arial" w:hAnsi="Arial"/>
          <w:sz w:val="17"/>
          <w:szCs w:val="17"/>
          <w:color w:val="auto"/>
        </w:rPr>
        <w:t xml:space="preserve"> - Our mining segment sells coal primarily under long-term contracts to utilities for use at their power generating plants, including affiliate electric utilities, and an affiliate non-regulated power generation entity. The contracts include a single promise to supply coal necessary to fuel the customers’ facilities during the contract term. The transaction price is established in the coal supply agreements, including cost-based agreements with the affiliated regulated utilities, and is variable based on tons of coal delivered.</w:t>
      </w:r>
    </w:p>
    <w:p>
      <w:pPr>
        <w:spacing w:after="0" w:line="184" w:lineRule="exact"/>
        <w:rPr>
          <w:rFonts w:ascii="Arial" w:cs="Arial" w:eastAsia="Arial" w:hAnsi="Arial"/>
          <w:sz w:val="17"/>
          <w:szCs w:val="17"/>
          <w:color w:val="auto"/>
        </w:rPr>
      </w:pPr>
    </w:p>
    <w:p>
      <w:pPr>
        <w:ind w:left="660" w:right="18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Other non-regulated services</w:t>
      </w:r>
      <w:r>
        <w:rPr>
          <w:rFonts w:ascii="Arial" w:cs="Arial" w:eastAsia="Arial" w:hAnsi="Arial"/>
          <w:sz w:val="18"/>
          <w:szCs w:val="18"/>
          <w:color w:val="auto"/>
        </w:rPr>
        <w:t xml:space="preserve"> - Our natural gas and electric utility segments also provide non-regulated services primarily comprised of appliance repair service and protection plans, electric and natural gas technical infrastructure construction and maintenance services, and in Nebraska and Wyoming, an unbundled natural gas commodity offering under the regulatory-approved Choice Gas Program. Revenue contracts for these services generally represent a single performance obligation with the price reflecting the standalone selling price stated in the agreement, and the revenue is variable based on the units delivered or services provided.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ind w:right="80"/>
        <w:spacing w:after="0" w:line="264" w:lineRule="auto"/>
        <w:rPr>
          <w:sz w:val="20"/>
          <w:szCs w:val="20"/>
          <w:color w:val="auto"/>
        </w:rPr>
      </w:pPr>
      <w:r>
        <w:rPr>
          <w:rFonts w:ascii="Arial" w:cs="Arial" w:eastAsia="Arial" w:hAnsi="Arial"/>
          <w:sz w:val="18"/>
          <w:szCs w:val="18"/>
          <w:color w:val="auto"/>
        </w:rPr>
        <w:t>The following tables depict the disaggregation of revenue, including intercompany revenue, from contracts with customers by customer type and timing of revenue recognition for each of the reporting segments, for the three and six months ended June 30, 2018. Sales tax and other similar taxes are excluded from revenues.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4"/>
              </w:rPr>
              <w:t>Electric</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0"/>
              </w:rPr>
              <w:t>Power</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Inter-company</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80" w:type="dxa"/>
            <w:vAlign w:val="bottom"/>
            <w:gridSpan w:val="6"/>
          </w:tcPr>
          <w:p>
            <w:pPr>
              <w:ind w:left="40"/>
              <w:spacing w:after="0"/>
              <w:rPr>
                <w:sz w:val="20"/>
                <w:szCs w:val="20"/>
                <w:color w:val="auto"/>
              </w:rPr>
            </w:pPr>
            <w:r>
              <w:rPr>
                <w:rFonts w:ascii="Arial" w:cs="Arial" w:eastAsia="Arial" w:hAnsi="Arial"/>
                <w:sz w:val="18"/>
                <w:szCs w:val="18"/>
                <w:color w:val="auto"/>
              </w:rPr>
              <w:t>Three Months Ended June 30, 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9"/>
              </w:rPr>
              <w:t>Utilities</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3"/>
              </w:rPr>
              <w:t>Gas Utilities</w:t>
            </w:r>
          </w:p>
        </w:tc>
        <w:tc>
          <w:tcPr>
            <w:tcW w:w="2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2"/>
              </w:rPr>
              <w:t>Generation</w:t>
            </w:r>
          </w:p>
        </w:tc>
        <w:tc>
          <w:tcPr>
            <w:tcW w:w="3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c>
          <w:tcPr>
            <w:tcW w:w="30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7"/>
        </w:trPr>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388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Customer types: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3"/>
          </w:tcPr>
          <w:p>
            <w:pPr>
              <w:jc w:val="right"/>
              <w:ind w:right="590"/>
              <w:spacing w:after="0" w:line="196" w:lineRule="exact"/>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bottom w:val="single" w:sz="8" w:color="CEFFE7"/>
              <w:right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Arial" w:cs="Arial" w:eastAsia="Arial" w:hAnsi="Arial"/>
                <w:sz w:val="18"/>
                <w:szCs w:val="18"/>
                <w:color w:val="auto"/>
              </w:rPr>
              <w:t>Retail</w:t>
            </w:r>
          </w:p>
        </w:tc>
        <w:tc>
          <w:tcPr>
            <w:tcW w:w="240" w:type="dxa"/>
            <w:vAlign w:val="bottom"/>
            <w:tcBorders>
              <w:bottom w:val="single" w:sz="8" w:color="CEFFE7"/>
            </w:tcBorders>
            <w:gridSpan w:val="2"/>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145,377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135,863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16,345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(7,979)</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289,606</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29,011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28,710</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Borders>
              <w:bottom w:val="single" w:sz="8" w:color="CEFFE7"/>
              <w:right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Arial" w:cs="Arial" w:eastAsia="Arial" w:hAnsi="Arial"/>
                <w:sz w:val="18"/>
                <w:szCs w:val="18"/>
                <w:color w:val="auto"/>
              </w:rPr>
              <w:t>Wholesale</w:t>
            </w:r>
          </w:p>
        </w:tc>
        <w:tc>
          <w:tcPr>
            <w:tcW w:w="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8,191</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12,743</w:t>
            </w: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(11,613)</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9,321</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20"/>
              <w:spacing w:after="0"/>
              <w:rPr>
                <w:sz w:val="20"/>
                <w:szCs w:val="20"/>
                <w:color w:val="auto"/>
              </w:rPr>
            </w:pPr>
            <w:r>
              <w:rPr>
                <w:rFonts w:ascii="Arial" w:cs="Arial" w:eastAsia="Arial" w:hAnsi="Arial"/>
                <w:sz w:val="18"/>
                <w:szCs w:val="18"/>
                <w:color w:val="auto"/>
              </w:rPr>
              <w:t>Market - off-system sales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3,440</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bottom w:val="single" w:sz="8" w:color="CEFFE7"/>
              <w:right w:val="single" w:sz="8" w:color="CEFFE7"/>
            </w:tcBorders>
            <w:shd w:val="clear" w:color="auto" w:fill="CEFFE7"/>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Arial" w:cs="Arial" w:eastAsia="Arial" w:hAnsi="Arial"/>
                <w:sz w:val="18"/>
                <w:szCs w:val="18"/>
                <w:color w:val="auto"/>
              </w:rPr>
              <w:t>Transmission/Other</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13,356</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11,672</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(3,644)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21,384</w:t>
            </w:r>
          </w:p>
        </w:tc>
        <w:tc>
          <w:tcPr>
            <w:tcW w:w="20" w:type="dxa"/>
            <w:vAlign w:val="bottom"/>
            <w:tcBorders>
              <w:bottom w:val="single" w:sz="8" w:color="CEFFE7"/>
            </w:tcBorders>
            <w:shd w:val="clear" w:color="auto" w:fill="CEFFE7"/>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3820" w:type="dxa"/>
            <w:vAlign w:val="bottom"/>
            <w:gridSpan w:val="5"/>
          </w:tcPr>
          <w:p>
            <w:pPr>
              <w:ind w:left="12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171,862</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176,708</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(25,197)</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352,461</w:t>
            </w:r>
          </w:p>
        </w:tc>
        <w:tc>
          <w:tcPr>
            <w:tcW w:w="2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bottom w:val="single" w:sz="8" w:color="CEFFE7"/>
              <w:right w:val="single" w:sz="8" w:color="CEFFE7"/>
            </w:tcBorders>
            <w:shd w:val="clear" w:color="auto" w:fill="CEFFE7"/>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Arial" w:cs="Arial" w:eastAsia="Arial" w:hAnsi="Arial"/>
                <w:sz w:val="18"/>
                <w:szCs w:val="18"/>
                <w:color w:val="auto"/>
              </w:rPr>
              <w:t>Other revenues</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9,141</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(9,118)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3,243</w:t>
            </w:r>
          </w:p>
        </w:tc>
        <w:tc>
          <w:tcPr>
            <w:tcW w:w="20" w:type="dxa"/>
            <w:vAlign w:val="bottom"/>
            <w:tcBorders>
              <w:bottom w:val="single" w:sz="8" w:color="CEFFE7"/>
            </w:tcBorders>
            <w:shd w:val="clear" w:color="auto" w:fill="CEFFE7"/>
          </w:tcPr>
          <w:p>
            <w:pPr>
              <w:spacing w:after="0"/>
              <w:rPr>
                <w:sz w:val="23"/>
                <w:szCs w:val="23"/>
                <w:color w:val="auto"/>
              </w:rPr>
            </w:pPr>
          </w:p>
        </w:tc>
      </w:tr>
      <w:tr>
        <w:trPr>
          <w:trHeight w:val="297"/>
        </w:trPr>
        <w:tc>
          <w:tcPr>
            <w:tcW w:w="3880" w:type="dxa"/>
            <w:vAlign w:val="bottom"/>
            <w:tcBorders>
              <w:bottom w:val="single" w:sz="8" w:color="CEFFE7"/>
            </w:tcBorders>
            <w:gridSpan w:val="6"/>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177,620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21,884</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(34,315)</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355,704</w:t>
            </w:r>
          </w:p>
        </w:tc>
        <w:tc>
          <w:tcPr>
            <w:tcW w:w="20" w:type="dxa"/>
            <w:vAlign w:val="bottom"/>
            <w:tcBorders>
              <w:top w:val="single" w:sz="8" w:color="auto"/>
              <w:bottom w:val="single" w:sz="8" w:color="auto"/>
            </w:tcBorders>
          </w:tcPr>
          <w:p>
            <w:pPr>
              <w:spacing w:after="0"/>
              <w:rPr>
                <w:sz w:val="24"/>
                <w:szCs w:val="24"/>
                <w:color w:val="auto"/>
              </w:rPr>
            </w:pPr>
          </w:p>
        </w:tc>
      </w:tr>
      <w:tr>
        <w:trPr>
          <w:trHeight w:val="311"/>
        </w:trPr>
        <w:tc>
          <w:tcPr>
            <w:tcW w:w="60" w:type="dxa"/>
            <w:vAlign w:val="bottom"/>
            <w:tcBorders>
              <w:right w:val="single" w:sz="8" w:color="CEFFE7"/>
            </w:tcBorders>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r>
      <w:tr>
        <w:trPr>
          <w:trHeight w:val="203"/>
        </w:trPr>
        <w:tc>
          <w:tcPr>
            <w:tcW w:w="388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Timing of revenue recognition: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bottom w:val="single" w:sz="8" w:color="CEFFE7"/>
              <w:right w:val="single" w:sz="8" w:color="CEFFE7"/>
            </w:tcBorders>
            <w:shd w:val="clear" w:color="auto" w:fill="CEFFE7"/>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Arial" w:cs="Arial" w:eastAsia="Arial" w:hAnsi="Arial"/>
                <w:sz w:val="18"/>
                <w:szCs w:val="18"/>
                <w:color w:val="auto"/>
              </w:rPr>
              <w:t>Services transferred at a point in time</w:t>
            </w:r>
          </w:p>
        </w:tc>
        <w:tc>
          <w:tcPr>
            <w:tcW w:w="240" w:type="dxa"/>
            <w:vAlign w:val="bottom"/>
            <w:tcBorders>
              <w:bottom w:val="single" w:sz="8" w:color="CEFFE7"/>
            </w:tcBorders>
            <w:gridSpan w:val="2"/>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16,345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(7,978)</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8,367</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20"/>
              <w:spacing w:after="0"/>
              <w:rPr>
                <w:sz w:val="20"/>
                <w:szCs w:val="20"/>
                <w:color w:val="auto"/>
              </w:rPr>
            </w:pPr>
            <w:r>
              <w:rPr>
                <w:rFonts w:ascii="Arial" w:cs="Arial" w:eastAsia="Arial" w:hAnsi="Arial"/>
                <w:sz w:val="18"/>
                <w:szCs w:val="18"/>
                <w:color w:val="auto"/>
              </w:rPr>
              <w:t>Services transferred over time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171,862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176,708</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12,743</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(17,219)</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344,094</w:t>
            </w:r>
          </w:p>
        </w:tc>
        <w:tc>
          <w:tcPr>
            <w:tcW w:w="20" w:type="dxa"/>
            <w:vAlign w:val="bottom"/>
          </w:tcPr>
          <w:p>
            <w:pPr>
              <w:spacing w:after="0"/>
              <w:rPr>
                <w:sz w:val="21"/>
                <w:szCs w:val="21"/>
                <w:color w:val="auto"/>
              </w:rPr>
            </w:pPr>
          </w:p>
        </w:tc>
      </w:tr>
      <w:tr>
        <w:trPr>
          <w:trHeight w:val="27"/>
        </w:trPr>
        <w:tc>
          <w:tcPr>
            <w:tcW w:w="6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58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60" w:type="dxa"/>
            <w:vAlign w:val="bottom"/>
            <w:tcBorders>
              <w:bottom w:val="single" w:sz="8" w:color="CEFFE7"/>
              <w:right w:val="single" w:sz="8" w:color="CEFFE7"/>
            </w:tcBorders>
            <w:shd w:val="clear" w:color="auto" w:fill="CEFFE7"/>
          </w:tcPr>
          <w:p>
            <w:pPr>
              <w:spacing w:after="0"/>
              <w:rPr>
                <w:sz w:val="22"/>
                <w:szCs w:val="22"/>
                <w:color w:val="auto"/>
              </w:rPr>
            </w:pPr>
          </w:p>
        </w:tc>
        <w:tc>
          <w:tcPr>
            <w:tcW w:w="3820" w:type="dxa"/>
            <w:vAlign w:val="bottom"/>
            <w:tcBorders>
              <w:bottom w:val="single" w:sz="8" w:color="CEFFE7"/>
            </w:tcBorders>
            <w:gridSpan w:val="5"/>
            <w:shd w:val="clear" w:color="auto" w:fill="CEFFE7"/>
          </w:tcPr>
          <w:p>
            <w:pPr>
              <w:ind w:left="12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Borders>
              <w:bottom w:val="single" w:sz="8" w:color="auto"/>
            </w:tcBorders>
            <w:gridSpan w:val="2"/>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171,862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176,708</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12,743</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16,345</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(25,197)</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352,461</w:t>
            </w:r>
          </w:p>
        </w:tc>
        <w:tc>
          <w:tcPr>
            <w:tcW w:w="20" w:type="dxa"/>
            <w:vAlign w:val="bottom"/>
            <w:tcBorders>
              <w:bottom w:val="single" w:sz="8" w:color="auto"/>
            </w:tcBorders>
            <w:shd w:val="clear" w:color="auto" w:fill="CEFFE7"/>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24"/>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Electric</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Power</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Inter-company</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0" w:type="dxa"/>
            <w:vAlign w:val="bottom"/>
          </w:tcPr>
          <w:p>
            <w:pPr>
              <w:spacing w:after="0"/>
              <w:rPr>
                <w:sz w:val="20"/>
                <w:szCs w:val="20"/>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Six Months Ended June 30, 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Utilities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Gas Utilities</w:t>
            </w:r>
          </w:p>
        </w:tc>
        <w:tc>
          <w:tcPr>
            <w:tcW w:w="2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9"/>
              </w:rPr>
              <w:t>Generation</w:t>
            </w:r>
          </w:p>
        </w:tc>
        <w:tc>
          <w:tcPr>
            <w:tcW w:w="3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c>
          <w:tcPr>
            <w:tcW w:w="30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7"/>
        </w:trPr>
        <w:tc>
          <w:tcPr>
            <w:tcW w:w="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60" w:type="dxa"/>
            <w:vAlign w:val="bottom"/>
          </w:tcPr>
          <w:p>
            <w:pPr>
              <w:spacing w:after="0"/>
              <w:rPr>
                <w:sz w:val="17"/>
                <w:szCs w:val="17"/>
                <w:color w:val="auto"/>
              </w:rPr>
            </w:pPr>
          </w:p>
        </w:tc>
        <w:tc>
          <w:tcPr>
            <w:tcW w:w="3820" w:type="dxa"/>
            <w:vAlign w:val="bottom"/>
            <w:gridSpan w:val="5"/>
          </w:tcPr>
          <w:p>
            <w:pPr>
              <w:spacing w:after="0" w:line="196" w:lineRule="exact"/>
              <w:rPr>
                <w:sz w:val="20"/>
                <w:szCs w:val="20"/>
                <w:color w:val="auto"/>
              </w:rPr>
            </w:pPr>
            <w:r>
              <w:rPr>
                <w:rFonts w:ascii="Arial" w:cs="Arial" w:eastAsia="Arial" w:hAnsi="Arial"/>
                <w:sz w:val="18"/>
                <w:szCs w:val="18"/>
                <w:color w:val="auto"/>
              </w:rPr>
              <w:t>Customer types: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3"/>
          </w:tcPr>
          <w:p>
            <w:pPr>
              <w:jc w:val="right"/>
              <w:ind w:right="590"/>
              <w:spacing w:after="0" w:line="196" w:lineRule="exact"/>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right w:val="single" w:sz="8" w:color="CEFFE7"/>
            </w:tcBorders>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Arial" w:cs="Arial" w:eastAsia="Arial" w:hAnsi="Arial"/>
                <w:sz w:val="18"/>
                <w:szCs w:val="18"/>
                <w:color w:val="auto"/>
              </w:rPr>
              <w:t>Retail</w:t>
            </w:r>
          </w:p>
        </w:tc>
        <w:tc>
          <w:tcPr>
            <w:tcW w:w="24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292,434</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477,257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32,902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(15,821)</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786,772</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4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70,681</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69,971</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Borders>
              <w:right w:val="single" w:sz="8" w:color="CEFFE7"/>
            </w:tcBorders>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Arial" w:cs="Arial" w:eastAsia="Arial" w:hAnsi="Arial"/>
                <w:sz w:val="18"/>
                <w:szCs w:val="18"/>
                <w:color w:val="auto"/>
              </w:rPr>
              <w:t>Wholesale</w:t>
            </w:r>
          </w:p>
        </w:tc>
        <w:tc>
          <w:tcPr>
            <w:tcW w:w="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17,241</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26,676</w:t>
            </w: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(23,826)</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20,091</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40"/>
              <w:spacing w:after="0"/>
              <w:rPr>
                <w:sz w:val="20"/>
                <w:szCs w:val="20"/>
                <w:color w:val="auto"/>
              </w:rPr>
            </w:pPr>
            <w:r>
              <w:rPr>
                <w:rFonts w:ascii="Arial" w:cs="Arial" w:eastAsia="Arial" w:hAnsi="Arial"/>
                <w:sz w:val="18"/>
                <w:szCs w:val="18"/>
                <w:color w:val="auto"/>
              </w:rPr>
              <w:t>Market - off-system sales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(4,182)</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5,489</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right w:val="single" w:sz="8" w:color="CEFFE7"/>
            </w:tcBorders>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Arial" w:cs="Arial" w:eastAsia="Arial" w:hAnsi="Arial"/>
                <w:sz w:val="18"/>
                <w:szCs w:val="18"/>
                <w:color w:val="auto"/>
              </w:rPr>
              <w:t>Transmission/Other</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26,427</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24,341</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(7,275)</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43,493</w:t>
            </w:r>
          </w:p>
        </w:tc>
        <w:tc>
          <w:tcPr>
            <w:tcW w:w="20" w:type="dxa"/>
            <w:vAlign w:val="bottom"/>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3820" w:type="dxa"/>
            <w:vAlign w:val="bottom"/>
            <w:gridSpan w:val="5"/>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345,184</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572,868</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26,676</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32,902</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(51,814)</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925,816</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right w:val="single" w:sz="8" w:color="CEFFE7"/>
            </w:tcBorders>
          </w:tcPr>
          <w:p>
            <w:pPr>
              <w:spacing w:after="0"/>
              <w:rPr>
                <w:sz w:val="23"/>
                <w:szCs w:val="23"/>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Arial" w:cs="Arial" w:eastAsia="Arial" w:hAnsi="Arial"/>
                <w:sz w:val="18"/>
                <w:szCs w:val="18"/>
                <w:color w:val="auto"/>
              </w:rPr>
              <w:t>Other revenues</w:t>
            </w:r>
          </w:p>
        </w:tc>
        <w:tc>
          <w:tcPr>
            <w:tcW w:w="2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1,987</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18,311</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(18,242)</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5,277</w:t>
            </w:r>
          </w:p>
        </w:tc>
        <w:tc>
          <w:tcPr>
            <w:tcW w:w="20" w:type="dxa"/>
            <w:vAlign w:val="bottom"/>
          </w:tcPr>
          <w:p>
            <w:pPr>
              <w:spacing w:after="0"/>
              <w:rPr>
                <w:sz w:val="23"/>
                <w:szCs w:val="23"/>
                <w:color w:val="auto"/>
              </w:rPr>
            </w:pPr>
          </w:p>
        </w:tc>
      </w:tr>
      <w:tr>
        <w:trPr>
          <w:trHeight w:val="297"/>
        </w:trPr>
        <w:tc>
          <w:tcPr>
            <w:tcW w:w="60" w:type="dxa"/>
            <w:vAlign w:val="bottom"/>
          </w:tcPr>
          <w:p>
            <w:pPr>
              <w:spacing w:after="0"/>
              <w:rPr>
                <w:sz w:val="24"/>
                <w:szCs w:val="24"/>
                <w:color w:val="auto"/>
              </w:rPr>
            </w:pPr>
          </w:p>
        </w:tc>
        <w:tc>
          <w:tcPr>
            <w:tcW w:w="3820" w:type="dxa"/>
            <w:vAlign w:val="bottom"/>
            <w:tcBorders>
              <w:bottom w:val="single" w:sz="8" w:color="CEFFE7"/>
            </w:tcBorders>
            <w:gridSpan w:val="5"/>
          </w:tcPr>
          <w:p>
            <w:pPr>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347,171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574,964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44,987</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(70,056)</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931,093</w:t>
            </w:r>
          </w:p>
        </w:tc>
        <w:tc>
          <w:tcPr>
            <w:tcW w:w="20" w:type="dxa"/>
            <w:vAlign w:val="bottom"/>
          </w:tcPr>
          <w:p>
            <w:pPr>
              <w:spacing w:after="0"/>
              <w:rPr>
                <w:sz w:val="24"/>
                <w:szCs w:val="24"/>
                <w:color w:val="auto"/>
              </w:rPr>
            </w:pPr>
          </w:p>
        </w:tc>
      </w:tr>
      <w:tr>
        <w:trPr>
          <w:trHeight w:val="311"/>
        </w:trPr>
        <w:tc>
          <w:tcPr>
            <w:tcW w:w="60" w:type="dxa"/>
            <w:vAlign w:val="bottom"/>
            <w:tcBorders>
              <w:right w:val="single" w:sz="8" w:color="CEFFE7"/>
            </w:tcBorders>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3820" w:type="dxa"/>
            <w:vAlign w:val="bottom"/>
            <w:gridSpan w:val="5"/>
          </w:tcPr>
          <w:p>
            <w:pPr>
              <w:spacing w:after="0" w:line="202" w:lineRule="exact"/>
              <w:rPr>
                <w:sz w:val="20"/>
                <w:szCs w:val="20"/>
                <w:color w:val="auto"/>
              </w:rPr>
            </w:pPr>
            <w:r>
              <w:rPr>
                <w:rFonts w:ascii="Arial" w:cs="Arial" w:eastAsia="Arial" w:hAnsi="Arial"/>
                <w:sz w:val="18"/>
                <w:szCs w:val="18"/>
                <w:color w:val="auto"/>
              </w:rPr>
              <w:t>Timing of revenue recognition: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0" w:type="dxa"/>
            <w:vAlign w:val="bottom"/>
            <w:tcBorders>
              <w:right w:val="single" w:sz="8" w:color="CEFFE7"/>
            </w:tcBorders>
          </w:tcPr>
          <w:p>
            <w:pPr>
              <w:spacing w:after="0"/>
              <w:rPr>
                <w:sz w:val="21"/>
                <w:szCs w:val="21"/>
                <w:color w:val="auto"/>
              </w:rPr>
            </w:pPr>
          </w:p>
        </w:tc>
        <w:tc>
          <w:tcPr>
            <w:tcW w:w="3820" w:type="dxa"/>
            <w:vAlign w:val="bottom"/>
            <w:tcBorders>
              <w:bottom w:val="single" w:sz="8" w:color="CEFFE7"/>
            </w:tcBorders>
            <w:gridSpan w:val="5"/>
            <w:shd w:val="clear" w:color="auto" w:fill="CEFFE7"/>
          </w:tcPr>
          <w:p>
            <w:pPr>
              <w:ind w:left="140"/>
              <w:spacing w:after="0"/>
              <w:rPr>
                <w:sz w:val="20"/>
                <w:szCs w:val="20"/>
                <w:color w:val="auto"/>
              </w:rPr>
            </w:pPr>
            <w:r>
              <w:rPr>
                <w:rFonts w:ascii="Arial" w:cs="Arial" w:eastAsia="Arial" w:hAnsi="Arial"/>
                <w:sz w:val="18"/>
                <w:szCs w:val="18"/>
                <w:color w:val="auto"/>
              </w:rPr>
              <w:t>Services transferred at a point in time</w:t>
            </w:r>
          </w:p>
        </w:tc>
        <w:tc>
          <w:tcPr>
            <w:tcW w:w="24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32,902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(15,820)</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17,082</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20" w:type="dxa"/>
            <w:vAlign w:val="bottom"/>
            <w:gridSpan w:val="5"/>
          </w:tcPr>
          <w:p>
            <w:pPr>
              <w:ind w:left="140"/>
              <w:spacing w:after="0"/>
              <w:rPr>
                <w:sz w:val="20"/>
                <w:szCs w:val="20"/>
                <w:color w:val="auto"/>
              </w:rPr>
            </w:pPr>
            <w:r>
              <w:rPr>
                <w:rFonts w:ascii="Arial" w:cs="Arial" w:eastAsia="Arial" w:hAnsi="Arial"/>
                <w:sz w:val="18"/>
                <w:szCs w:val="18"/>
                <w:color w:val="auto"/>
              </w:rPr>
              <w:t>Services transferred over time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345,184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572,868</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26,676</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(35,994)</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908,734</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5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0" w:type="dxa"/>
            <w:vAlign w:val="bottom"/>
            <w:tcBorders>
              <w:right w:val="single" w:sz="8" w:color="CEFFE7"/>
            </w:tcBorders>
          </w:tcPr>
          <w:p>
            <w:pPr>
              <w:spacing w:after="0"/>
              <w:rPr>
                <w:sz w:val="22"/>
                <w:szCs w:val="22"/>
                <w:color w:val="auto"/>
              </w:rPr>
            </w:pPr>
          </w:p>
        </w:tc>
        <w:tc>
          <w:tcPr>
            <w:tcW w:w="3820" w:type="dxa"/>
            <w:vAlign w:val="bottom"/>
            <w:gridSpan w:val="5"/>
            <w:shd w:val="clear" w:color="auto" w:fill="CEFFE7"/>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345,184</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572,868</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26,676</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32,902</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(51,814)</w:t>
            </w:r>
          </w:p>
        </w:tc>
        <w:tc>
          <w:tcPr>
            <w:tcW w:w="3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925,816</w:t>
            </w:r>
          </w:p>
        </w:tc>
        <w:tc>
          <w:tcPr>
            <w:tcW w:w="2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5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Revenue Not in Scope of ASC 606</w:t>
      </w:r>
    </w:p>
    <w:p>
      <w:pPr>
        <w:spacing w:after="0" w:line="18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Other revenues included in the tables above include our revenue accounted for under separate accounting guidance, including lease revenue under ASC 840 and alternative revenue programs revenue under ASC 980. The majority of our lease revenue is related to a 20-year power sale agreement between Colorado IPP and affiliate Colorado Electric. This agreement is accounted for as a direct financing lease whereby Colorado IPP receives revenue for energy delivered and related capacity payments. This lease revenue is eliminated in our consolidated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TCJA Revenue Reserve</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TCJA or “tax reform” signed into law on December 22, 2017, reduced the federal corporate income tax rate from 35% to 21% effective for tax years beginning after December 31, 2017. Black Hills has been collaborating with utility commissions in the states in which it provides utility service to deliver to customers the benefits of a lower corporate federal income tax rate beginning in 2018 with the passage of the TCJA. We estimated and recorded a reserve to revenue of approximately $8.0 million and $23 million during the three and six months ended June 30, 2018, respectively. As of June 30, 2018, $3.3 million has been returned to customers and approximately $19 million remains in reserve.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Unbilled Revenue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Revenues attributable to natural gas and electricity delivered to customers but not yet billed are estimated and accrued, and the related costs are charged to expense. Factors influencing the determination of unbilled revenues include estimates of delivered sales volumes based on weather information and customer consumption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Note 4. We do not typically incur costs that would be capitalized to obtain or fulfill a contract.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revenue contract performance obligations with similar characteristics, and we reasonably expect that the financial statement impact of applying the new revenue recognition guidance to a portfolio of contracts would not differ materially from applying this guidance to the individual contracts or performance obligations within the portfolio. Therefore, we have elected the portfolio approach in applying the new revenue guidance.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15" w:name="page16"/>
    <w:bookmarkEnd w:id="15"/>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and Corporate and Other included in the accompanying Condensed Consolidated Statements of Income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jc w:val="right"/>
              <w:ind w:right="420"/>
              <w:spacing w:after="0"/>
              <w:rPr>
                <w:sz w:val="20"/>
                <w:szCs w:val="20"/>
                <w:color w:val="auto"/>
              </w:rPr>
            </w:pPr>
            <w:r>
              <w:rPr>
                <w:rFonts w:ascii="Arial" w:cs="Arial" w:eastAsia="Arial" w:hAnsi="Arial"/>
                <w:sz w:val="18"/>
                <w:szCs w:val="18"/>
                <w:color w:val="auto"/>
                <w:w w:val="95"/>
              </w:rPr>
              <w:t>Inter-company Operating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40" w:type="dxa"/>
            <w:vAlign w:val="bottom"/>
            <w:gridSpan w:val="4"/>
          </w:tcPr>
          <w:p>
            <w:pPr>
              <w:ind w:left="40"/>
              <w:spacing w:after="0"/>
              <w:rPr>
                <w:sz w:val="20"/>
                <w:szCs w:val="20"/>
                <w:color w:val="auto"/>
              </w:rPr>
            </w:pPr>
            <w:r>
              <w:rPr>
                <w:rFonts w:ascii="Arial" w:cs="Arial" w:eastAsia="Arial" w:hAnsi="Arial"/>
                <w:sz w:val="18"/>
                <w:szCs w:val="18"/>
                <w:color w:val="auto"/>
              </w:rPr>
              <w:t>External Operating Revenue</w:t>
            </w:r>
          </w:p>
        </w:tc>
        <w:tc>
          <w:tcPr>
            <w:tcW w:w="140" w:type="dxa"/>
            <w:vAlign w:val="bottom"/>
          </w:tcPr>
          <w:p>
            <w:pPr>
              <w:spacing w:after="0"/>
              <w:rPr>
                <w:sz w:val="23"/>
                <w:szCs w:val="23"/>
                <w:color w:val="auto"/>
              </w:rPr>
            </w:pPr>
          </w:p>
        </w:tc>
        <w:tc>
          <w:tcPr>
            <w:tcW w:w="234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Net income (loss)</w:t>
            </w:r>
          </w:p>
        </w:tc>
      </w:tr>
      <w:tr>
        <w:trPr>
          <w:trHeight w:val="216"/>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Contract</w:t>
            </w:r>
          </w:p>
        </w:tc>
        <w:tc>
          <w:tcPr>
            <w:tcW w:w="2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Contract</w:t>
            </w:r>
          </w:p>
        </w:tc>
        <w:tc>
          <w:tcPr>
            <w:tcW w:w="1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from continuing</w:t>
            </w: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Three Months Ended June 30, 2018</w:t>
            </w: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4"/>
              </w:rPr>
              <w:t>Customers</w:t>
            </w:r>
          </w:p>
        </w:tc>
        <w:tc>
          <w:tcPr>
            <w:tcW w:w="2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Revenues</w:t>
            </w: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89"/>
              </w:rPr>
              <w:t>Customers</w:t>
            </w: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Revenues</w:t>
            </w: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Revenues</w:t>
            </w:r>
          </w:p>
        </w:tc>
        <w:tc>
          <w:tcPr>
            <w:tcW w:w="1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operations</w:t>
            </w:r>
          </w:p>
        </w:tc>
      </w:tr>
      <w:tr>
        <w:trPr>
          <w:trHeight w:val="27"/>
        </w:trPr>
        <w:tc>
          <w:tcPr>
            <w:tcW w:w="3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Electric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166,565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1,754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5,297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173,616</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21,890</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Gas</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176,399</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912</w:t>
            </w:r>
          </w:p>
        </w:tc>
        <w:tc>
          <w:tcPr>
            <w:tcW w:w="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gridSpan w:val="2"/>
            <w:shd w:val="clear" w:color="auto" w:fill="CEFFE7"/>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177,620</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(1,161)</w:t>
            </w:r>
          </w:p>
        </w:tc>
      </w:tr>
      <w:tr>
        <w:trPr>
          <w:trHeight w:val="270"/>
        </w:trPr>
        <w:tc>
          <w:tcPr>
            <w:tcW w:w="35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11,613</w:t>
            </w: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8,793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21,884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4,772</w:t>
            </w:r>
          </w:p>
        </w:tc>
      </w:tr>
      <w:tr>
        <w:trPr>
          <w:trHeight w:val="250"/>
        </w:trPr>
        <w:tc>
          <w:tcPr>
            <w:tcW w:w="354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Mining</w:t>
            </w:r>
          </w:p>
        </w:tc>
        <w:tc>
          <w:tcPr>
            <w:tcW w:w="1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8,367</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7,978</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16,899</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3,005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4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gridSpan w:val="2"/>
            <w:shd w:val="clear" w:color="auto" w:fill="CEFFE7"/>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(25,197)</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(9,118)</w:t>
            </w:r>
          </w:p>
        </w:tc>
        <w:tc>
          <w:tcPr>
            <w:tcW w:w="2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(34,315)</w:t>
            </w:r>
          </w:p>
        </w:tc>
        <w:tc>
          <w:tcPr>
            <w:tcW w:w="2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352,461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3,243</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355,704</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24,344</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Under our modified retrospective adoption of ASU 2014-09, revenues for the three and six months ended June 30, 2017 are not presented by contract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Net income (loss)</w:t>
            </w:r>
          </w:p>
        </w:tc>
      </w:tr>
      <w:tr>
        <w:trPr>
          <w:trHeight w:val="216"/>
        </w:trPr>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w w:val="98"/>
              </w:rPr>
              <w:t>External Operating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6"/>
          </w:tcPr>
          <w:p>
            <w:pPr>
              <w:ind w:left="260"/>
              <w:spacing w:after="0"/>
              <w:rPr>
                <w:sz w:val="20"/>
                <w:szCs w:val="20"/>
                <w:color w:val="auto"/>
              </w:rPr>
            </w:pPr>
            <w:r>
              <w:rPr>
                <w:rFonts w:ascii="Arial" w:cs="Arial" w:eastAsia="Arial" w:hAnsi="Arial"/>
                <w:sz w:val="18"/>
                <w:szCs w:val="18"/>
                <w:color w:val="auto"/>
              </w:rPr>
              <w:t>Inter-company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5"/>
              </w:rPr>
              <w:t>from continuing</w:t>
            </w:r>
          </w:p>
        </w:tc>
      </w:tr>
      <w:tr>
        <w:trPr>
          <w:trHeight w:val="230"/>
        </w:trPr>
        <w:tc>
          <w:tcPr>
            <w:tcW w:w="6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Three Months Ended June 30, 2017</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6"/>
          </w:tcPr>
          <w:p>
            <w:pPr>
              <w:jc w:val="right"/>
              <w:ind w:right="300"/>
              <w:spacing w:after="0"/>
              <w:rPr>
                <w:sz w:val="20"/>
                <w:szCs w:val="20"/>
                <w:color w:val="auto"/>
              </w:rPr>
            </w:pPr>
            <w:r>
              <w:rPr>
                <w:rFonts w:ascii="Arial" w:cs="Arial" w:eastAsia="Arial" w:hAnsi="Arial"/>
                <w:sz w:val="18"/>
                <w:szCs w:val="18"/>
                <w:color w:val="auto"/>
                <w:w w:val="94"/>
              </w:rPr>
              <w:t>Operating Revenue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7"/>
              </w:rPr>
              <w:t>operations</w:t>
            </w:r>
          </w:p>
        </w:tc>
      </w:tr>
      <w:tr>
        <w:trPr>
          <w:trHeight w:val="27"/>
        </w:trPr>
        <w:tc>
          <w:tcPr>
            <w:tcW w:w="6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3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Segment:</w:t>
            </w: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70"/>
        </w:trPr>
        <w:tc>
          <w:tcPr>
            <w:tcW w:w="60" w:type="dxa"/>
            <w:vAlign w:val="bottom"/>
          </w:tcPr>
          <w:p>
            <w:pPr>
              <w:spacing w:after="0"/>
              <w:rPr>
                <w:sz w:val="23"/>
                <w:szCs w:val="23"/>
                <w:color w:val="auto"/>
              </w:rPr>
            </w:pPr>
          </w:p>
        </w:tc>
        <w:tc>
          <w:tcPr>
            <w:tcW w:w="3480" w:type="dxa"/>
            <w:vAlign w:val="bottom"/>
          </w:tcPr>
          <w:p>
            <w:pPr>
              <w:ind w:left="160"/>
              <w:spacing w:after="0" w:line="270" w:lineRule="exact"/>
              <w:rPr>
                <w:sz w:val="20"/>
                <w:szCs w:val="20"/>
                <w:color w:val="auto"/>
              </w:rPr>
            </w:pPr>
            <w:r>
              <w:rPr>
                <w:rFonts w:ascii="Arial" w:cs="Arial" w:eastAsia="Arial" w:hAnsi="Arial"/>
                <w:sz w:val="18"/>
                <w:szCs w:val="18"/>
                <w:color w:val="auto"/>
              </w:rPr>
              <w:t>Electric</w:t>
            </w:r>
            <w:r>
              <w:rPr>
                <w:rFonts w:ascii="Arial" w:cs="Arial" w:eastAsia="Arial" w:hAnsi="Arial"/>
                <w:sz w:val="25"/>
                <w:szCs w:val="25"/>
                <w:color w:val="auto"/>
                <w:vertAlign w:val="superscript"/>
              </w:rPr>
              <w:t>.</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165,517</w:t>
            </w:r>
          </w:p>
        </w:tc>
        <w:tc>
          <w:tcPr>
            <w:tcW w:w="6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18,832</w:t>
            </w:r>
          </w:p>
        </w:tc>
      </w:tr>
      <w:tr>
        <w:trPr>
          <w:trHeight w:val="250"/>
        </w:trPr>
        <w:tc>
          <w:tcPr>
            <w:tcW w:w="60" w:type="dxa"/>
            <w:vAlign w:val="bottom"/>
          </w:tcPr>
          <w:p>
            <w:pPr>
              <w:spacing w:after="0"/>
              <w:rPr>
                <w:sz w:val="21"/>
                <w:szCs w:val="21"/>
                <w:color w:val="auto"/>
              </w:rPr>
            </w:pPr>
          </w:p>
        </w:tc>
        <w:tc>
          <w:tcPr>
            <w:tcW w:w="34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Gas</w:t>
            </w: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166,439</w:t>
            </w:r>
          </w:p>
        </w:tc>
        <w:tc>
          <w:tcPr>
            <w:tcW w:w="1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(272)</w:t>
            </w:r>
          </w:p>
        </w:tc>
      </w:tr>
      <w:tr>
        <w:trPr>
          <w:trHeight w:val="270"/>
        </w:trPr>
        <w:tc>
          <w:tcPr>
            <w:tcW w:w="60" w:type="dxa"/>
            <w:vAlign w:val="bottom"/>
          </w:tcPr>
          <w:p>
            <w:pPr>
              <w:spacing w:after="0"/>
              <w:rPr>
                <w:sz w:val="23"/>
                <w:szCs w:val="23"/>
                <w:color w:val="auto"/>
              </w:rPr>
            </w:pPr>
          </w:p>
        </w:tc>
        <w:tc>
          <w:tcPr>
            <w:tcW w:w="34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20,325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5,332</w:t>
            </w:r>
          </w:p>
        </w:tc>
      </w:tr>
      <w:tr>
        <w:trPr>
          <w:trHeight w:val="250"/>
        </w:trPr>
        <w:tc>
          <w:tcPr>
            <w:tcW w:w="60" w:type="dxa"/>
            <w:vAlign w:val="bottom"/>
          </w:tcPr>
          <w:p>
            <w:pPr>
              <w:spacing w:after="0"/>
              <w:rPr>
                <w:sz w:val="21"/>
                <w:szCs w:val="21"/>
                <w:color w:val="auto"/>
              </w:rPr>
            </w:pPr>
          </w:p>
        </w:tc>
        <w:tc>
          <w:tcPr>
            <w:tcW w:w="34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Mining</w:t>
            </w: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7"/>
              </w:rPr>
              <w:t>8,403</w:t>
            </w:r>
          </w:p>
        </w:tc>
        <w:tc>
          <w:tcPr>
            <w:tcW w:w="1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6,543</w:t>
            </w:r>
          </w:p>
        </w:tc>
        <w:tc>
          <w:tcPr>
            <w:tcW w:w="1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2,681</w:t>
            </w:r>
          </w:p>
        </w:tc>
      </w:tr>
      <w:tr>
        <w:trPr>
          <w:trHeight w:val="243"/>
        </w:trPr>
        <w:tc>
          <w:tcPr>
            <w:tcW w:w="6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(3,762)</w:t>
            </w:r>
          </w:p>
        </w:tc>
      </w:tr>
      <w:tr>
        <w:trPr>
          <w:trHeight w:val="27"/>
        </w:trPr>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3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8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spacing w:after="0"/>
              <w:rPr>
                <w:sz w:val="23"/>
                <w:szCs w:val="23"/>
                <w:color w:val="auto"/>
              </w:rPr>
            </w:pPr>
          </w:p>
        </w:tc>
        <w:tc>
          <w:tcPr>
            <w:tcW w:w="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(29,812)</w:t>
            </w:r>
          </w:p>
        </w:tc>
        <w:tc>
          <w:tcPr>
            <w:tcW w:w="120" w:type="dxa"/>
            <w:vAlign w:val="bottom"/>
            <w:tcBorders>
              <w:bottom w:val="single" w:sz="8" w:color="CEFFE7"/>
            </w:tcBorders>
            <w:shd w:val="clear" w:color="auto" w:fill="CEFFE7"/>
          </w:tcPr>
          <w:p>
            <w:pPr>
              <w:spacing w:after="0"/>
              <w:rPr>
                <w:sz w:val="23"/>
                <w:szCs w:val="23"/>
                <w:color w:val="auto"/>
              </w:rPr>
            </w:pPr>
          </w:p>
        </w:tc>
        <w:tc>
          <w:tcPr>
            <w:tcW w:w="8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 w:type="dxa"/>
            <w:vAlign w:val="bottom"/>
          </w:tcPr>
          <w:p>
            <w:pPr>
              <w:spacing w:after="0"/>
              <w:rPr>
                <w:sz w:val="22"/>
                <w:szCs w:val="22"/>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341,829</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22,811</w:t>
            </w:r>
          </w:p>
        </w:tc>
      </w:tr>
      <w:tr>
        <w:trPr>
          <w:trHeight w:val="20"/>
        </w:trPr>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61"/>
        </w:trPr>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External Operating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6"/>
          </w:tcPr>
          <w:p>
            <w:pPr>
              <w:jc w:val="right"/>
              <w:ind w:right="420"/>
              <w:spacing w:after="0"/>
              <w:rPr>
                <w:sz w:val="20"/>
                <w:szCs w:val="20"/>
                <w:color w:val="auto"/>
              </w:rPr>
            </w:pPr>
            <w:r>
              <w:rPr>
                <w:rFonts w:ascii="Arial" w:cs="Arial" w:eastAsia="Arial" w:hAnsi="Arial"/>
                <w:sz w:val="18"/>
                <w:szCs w:val="18"/>
                <w:color w:val="auto"/>
                <w:w w:val="91"/>
              </w:rPr>
              <w:t>Inter-company Operating</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2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Revenue</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Net income (loss)</w:t>
            </w:r>
          </w:p>
        </w:tc>
      </w:tr>
      <w:tr>
        <w:trPr>
          <w:trHeight w:val="216"/>
        </w:trPr>
        <w:tc>
          <w:tcPr>
            <w:tcW w:w="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Contract</w:t>
            </w:r>
          </w:p>
        </w:tc>
        <w:tc>
          <w:tcPr>
            <w:tcW w:w="2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w w:val="96"/>
              </w:rPr>
              <w:t>Contract</w:t>
            </w:r>
          </w:p>
        </w:tc>
        <w:tc>
          <w:tcPr>
            <w:tcW w:w="1360" w:type="dxa"/>
            <w:vAlign w:val="bottom"/>
            <w:gridSpan w:val="5"/>
          </w:tcPr>
          <w:p>
            <w:pPr>
              <w:ind w:left="4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6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4"/>
              </w:rPr>
              <w:t>from continuing</w:t>
            </w:r>
          </w:p>
        </w:tc>
      </w:tr>
      <w:tr>
        <w:trPr>
          <w:trHeight w:val="230"/>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Six Months Ended June 30, 2018</w:t>
            </w: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1"/>
              </w:rPr>
              <w:t>Customers</w:t>
            </w:r>
          </w:p>
        </w:tc>
        <w:tc>
          <w:tcPr>
            <w:tcW w:w="2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Revenues</w:t>
            </w:r>
          </w:p>
        </w:tc>
        <w:tc>
          <w:tcPr>
            <w:tcW w:w="80" w:type="dxa"/>
            <w:vAlign w:val="bottom"/>
          </w:tcPr>
          <w:p>
            <w:pPr>
              <w:spacing w:after="0"/>
              <w:rPr>
                <w:sz w:val="20"/>
                <w:szCs w:val="20"/>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w w:val="96"/>
              </w:rPr>
              <w:t>Customers</w:t>
            </w:r>
          </w:p>
        </w:tc>
        <w:tc>
          <w:tcPr>
            <w:tcW w:w="1360" w:type="dxa"/>
            <w:vAlign w:val="bottom"/>
            <w:gridSpan w:val="5"/>
          </w:tcPr>
          <w:p>
            <w:pPr>
              <w:jc w:val="right"/>
              <w:ind w:right="4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0"/>
                <w:szCs w:val="20"/>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Revenues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0"/>
              </w:rPr>
              <w:t>operations</w:t>
            </w:r>
          </w:p>
        </w:tc>
      </w:tr>
      <w:tr>
        <w:trPr>
          <w:trHeight w:val="27"/>
        </w:trPr>
        <w:tc>
          <w:tcPr>
            <w:tcW w:w="3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Electric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333,743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1,987</w:t>
            </w:r>
          </w:p>
        </w:tc>
        <w:tc>
          <w:tcPr>
            <w:tcW w:w="220" w:type="dxa"/>
            <w:vAlign w:val="bottom"/>
          </w:tcPr>
          <w:p>
            <w:pPr>
              <w:spacing w:after="0"/>
              <w:rPr>
                <w:sz w:val="21"/>
                <w:szCs w:val="21"/>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11,441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347,171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41,735</w:t>
            </w:r>
          </w:p>
        </w:tc>
      </w:tr>
      <w:tr>
        <w:trPr>
          <w:trHeight w:val="27"/>
        </w:trPr>
        <w:tc>
          <w:tcPr>
            <w:tcW w:w="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0" w:type="dxa"/>
            <w:vAlign w:val="bottom"/>
            <w:shd w:val="clear" w:color="auto" w:fill="CEFFE7"/>
          </w:tcPr>
          <w:p>
            <w:pPr>
              <w:spacing w:after="0"/>
              <w:rPr>
                <w:sz w:val="23"/>
                <w:szCs w:val="23"/>
                <w:color w:val="auto"/>
              </w:rPr>
            </w:pPr>
          </w:p>
        </w:tc>
        <w:tc>
          <w:tcPr>
            <w:tcW w:w="3480" w:type="dxa"/>
            <w:vAlign w:val="bottom"/>
            <w:shd w:val="clear" w:color="auto" w:fill="CEFFE7"/>
          </w:tcPr>
          <w:p>
            <w:pPr>
              <w:ind w:left="120"/>
              <w:spacing w:after="0" w:line="269" w:lineRule="exact"/>
              <w:rPr>
                <w:sz w:val="20"/>
                <w:szCs w:val="20"/>
                <w:color w:val="auto"/>
              </w:rPr>
            </w:pPr>
            <w:r>
              <w:rPr>
                <w:rFonts w:ascii="Arial" w:cs="Arial" w:eastAsia="Arial" w:hAnsi="Arial"/>
                <w:sz w:val="31"/>
                <w:szCs w:val="31"/>
                <w:color w:val="auto"/>
                <w:vertAlign w:val="subscript"/>
              </w:rPr>
              <w:t>Gas</w:t>
            </w:r>
            <w:r>
              <w:rPr>
                <w:rFonts w:ascii="Arial" w:cs="Arial" w:eastAsia="Arial" w:hAnsi="Arial"/>
                <w:sz w:val="12"/>
                <w:szCs w:val="12"/>
                <w:color w:val="auto"/>
              </w:rPr>
              <w:t xml:space="preserve"> (a)</w:t>
            </w:r>
          </w:p>
        </w:tc>
        <w:tc>
          <w:tcPr>
            <w:tcW w:w="160" w:type="dxa"/>
            <w:vAlign w:val="bottom"/>
            <w:shd w:val="clear" w:color="auto" w:fill="CEFFE7"/>
          </w:tcPr>
          <w:p>
            <w:pPr>
              <w:spacing w:after="0"/>
              <w:rPr>
                <w:sz w:val="23"/>
                <w:szCs w:val="23"/>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572,141</w:t>
            </w:r>
          </w:p>
        </w:tc>
        <w:tc>
          <w:tcPr>
            <w:tcW w:w="22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2,096</w:t>
            </w:r>
          </w:p>
        </w:tc>
        <w:tc>
          <w:tcPr>
            <w:tcW w:w="2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9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727</w:t>
            </w:r>
          </w:p>
        </w:tc>
        <w:tc>
          <w:tcPr>
            <w:tcW w:w="46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580" w:type="dxa"/>
            <w:vAlign w:val="bottom"/>
            <w:gridSpan w:val="2"/>
            <w:shd w:val="clear" w:color="auto" w:fill="CEFFE7"/>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EFFE7"/>
          </w:tcPr>
          <w:p>
            <w:pPr>
              <w:spacing w:after="0"/>
              <w:rPr>
                <w:sz w:val="23"/>
                <w:szCs w:val="23"/>
                <w:color w:val="auto"/>
              </w:rPr>
            </w:pPr>
          </w:p>
        </w:tc>
        <w:tc>
          <w:tcPr>
            <w:tcW w:w="980" w:type="dxa"/>
            <w:vAlign w:val="bottom"/>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574,964</w:t>
            </w:r>
          </w:p>
        </w:tc>
        <w:tc>
          <w:tcPr>
            <w:tcW w:w="8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106,459</w:t>
            </w:r>
          </w:p>
        </w:tc>
      </w:tr>
      <w:tr>
        <w:trPr>
          <w:trHeight w:val="270"/>
        </w:trPr>
        <w:tc>
          <w:tcPr>
            <w:tcW w:w="60" w:type="dxa"/>
            <w:vAlign w:val="bottom"/>
          </w:tcPr>
          <w:p>
            <w:pPr>
              <w:spacing w:after="0"/>
              <w:rPr>
                <w:sz w:val="23"/>
                <w:szCs w:val="23"/>
                <w:color w:val="auto"/>
              </w:rPr>
            </w:pPr>
          </w:p>
        </w:tc>
        <w:tc>
          <w:tcPr>
            <w:tcW w:w="348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23,826</w:t>
            </w:r>
          </w:p>
        </w:tc>
        <w:tc>
          <w:tcPr>
            <w:tcW w:w="460" w:type="dxa"/>
            <w:vAlign w:val="bottom"/>
          </w:tcPr>
          <w:p>
            <w:pPr>
              <w:spacing w:after="0"/>
              <w:rPr>
                <w:sz w:val="23"/>
                <w:szCs w:val="23"/>
                <w:color w:val="auto"/>
              </w:rPr>
            </w:pPr>
          </w:p>
        </w:tc>
        <w:tc>
          <w:tcPr>
            <w:tcW w:w="680" w:type="dxa"/>
            <w:vAlign w:val="bottom"/>
            <w:gridSpan w:val="3"/>
          </w:tcPr>
          <w:p>
            <w:pPr>
              <w:jc w:val="right"/>
              <w:ind w:right="10"/>
              <w:spacing w:after="0"/>
              <w:rPr>
                <w:sz w:val="20"/>
                <w:szCs w:val="20"/>
                <w:color w:val="auto"/>
              </w:rPr>
            </w:pPr>
            <w:r>
              <w:rPr>
                <w:rFonts w:ascii="Arial" w:cs="Arial" w:eastAsia="Arial" w:hAnsi="Arial"/>
                <w:sz w:val="18"/>
                <w:szCs w:val="18"/>
                <w:color w:val="auto"/>
              </w:rPr>
              <w:t>17,593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44,987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10,628</w:t>
            </w:r>
          </w:p>
        </w:tc>
      </w:tr>
      <w:tr>
        <w:trPr>
          <w:trHeight w:val="250"/>
        </w:trPr>
        <w:tc>
          <w:tcPr>
            <w:tcW w:w="60" w:type="dxa"/>
            <w:vAlign w:val="bottom"/>
            <w:tcBorders>
              <w:bottom w:val="single" w:sz="8" w:color="CEFFE7"/>
            </w:tcBorders>
            <w:shd w:val="clear" w:color="auto" w:fill="CEFFE7"/>
          </w:tcPr>
          <w:p>
            <w:pPr>
              <w:spacing w:after="0"/>
              <w:rPr>
                <w:sz w:val="21"/>
                <w:szCs w:val="21"/>
                <w:color w:val="auto"/>
              </w:rPr>
            </w:pPr>
          </w:p>
        </w:tc>
        <w:tc>
          <w:tcPr>
            <w:tcW w:w="34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Mining</w:t>
            </w: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17,082</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476</w:t>
            </w:r>
          </w:p>
        </w:tc>
        <w:tc>
          <w:tcPr>
            <w:tcW w:w="2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15,820</w:t>
            </w:r>
          </w:p>
        </w:tc>
        <w:tc>
          <w:tcPr>
            <w:tcW w:w="4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gridSpan w:val="3"/>
            <w:shd w:val="clear" w:color="auto" w:fill="CEFFE7"/>
          </w:tcPr>
          <w:p>
            <w:pPr>
              <w:jc w:val="right"/>
              <w:ind w:right="10"/>
              <w:spacing w:after="0"/>
              <w:rPr>
                <w:sz w:val="20"/>
                <w:szCs w:val="20"/>
                <w:color w:val="auto"/>
              </w:rPr>
            </w:pPr>
            <w:r>
              <w:rPr>
                <w:rFonts w:ascii="Arial" w:cs="Arial" w:eastAsia="Arial" w:hAnsi="Arial"/>
                <w:sz w:val="18"/>
                <w:szCs w:val="18"/>
                <w:color w:val="auto"/>
              </w:rPr>
              <w:t>649</w:t>
            </w:r>
          </w:p>
        </w:tc>
        <w:tc>
          <w:tcPr>
            <w:tcW w:w="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34,027</w:t>
            </w:r>
          </w:p>
        </w:tc>
        <w:tc>
          <w:tcPr>
            <w:tcW w:w="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5,989</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(5,120)</w:t>
            </w:r>
          </w:p>
        </w:tc>
      </w:tr>
      <w:tr>
        <w:trPr>
          <w:trHeight w:val="27"/>
        </w:trPr>
        <w:tc>
          <w:tcPr>
            <w:tcW w:w="3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5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gridSpan w:val="2"/>
            <w:shd w:val="clear" w:color="auto" w:fill="CEFFE7"/>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(51,814)</w:t>
            </w:r>
          </w:p>
        </w:tc>
        <w:tc>
          <w:tcPr>
            <w:tcW w:w="46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w w:val="92"/>
              </w:rPr>
              <w:t>(18,242)</w:t>
            </w:r>
          </w:p>
        </w:tc>
        <w:tc>
          <w:tcPr>
            <w:tcW w:w="2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gridSpan w:val="2"/>
            <w:shd w:val="clear" w:color="auto" w:fill="CEFFE7"/>
          </w:tcPr>
          <w:p>
            <w:pPr>
              <w:jc w:val="right"/>
              <w:ind w:right="60"/>
              <w:spacing w:after="0"/>
              <w:rPr>
                <w:sz w:val="20"/>
                <w:szCs w:val="20"/>
                <w:color w:val="auto"/>
              </w:rPr>
            </w:pPr>
            <w:r>
              <w:rPr>
                <w:rFonts w:ascii="Arial" w:cs="Arial" w:eastAsia="Arial" w:hAnsi="Arial"/>
                <w:sz w:val="18"/>
                <w:szCs w:val="18"/>
                <w:color w:val="auto"/>
              </w:rPr>
              <w:t>(70,056)</w:t>
            </w:r>
          </w:p>
        </w:tc>
        <w:tc>
          <w:tcPr>
            <w:tcW w:w="80" w:type="dxa"/>
            <w:vAlign w:val="bottom"/>
            <w:tcBorders>
              <w:bottom w:val="single" w:sz="8" w:color="CEFFE7"/>
            </w:tcBorders>
            <w:shd w:val="clear" w:color="auto" w:fill="CEFFE7"/>
          </w:tcPr>
          <w:p>
            <w:pPr>
              <w:spacing w:after="0"/>
              <w:rPr>
                <w:sz w:val="23"/>
                <w:szCs w:val="23"/>
                <w:color w:val="auto"/>
              </w:rPr>
            </w:pPr>
          </w:p>
        </w:tc>
        <w:tc>
          <w:tcPr>
            <w:tcW w:w="12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925,816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5,277</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931,093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159,691</w:t>
            </w:r>
          </w:p>
        </w:tc>
      </w:tr>
      <w:tr>
        <w:trPr>
          <w:trHeight w:val="20"/>
        </w:trPr>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6"/>
        </w:trPr>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Inter-company</w:t>
            </w: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1"/>
              </w:rPr>
              <w:t>Net income (loss)</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External Operating</w:t>
            </w:r>
          </w:p>
        </w:tc>
        <w:tc>
          <w:tcPr>
            <w:tcW w:w="1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Operating</w:t>
            </w: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4"/>
              </w:rPr>
              <w:t>from continuing</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2C2C2C"/>
              </w:rPr>
              <w:t>Six Months Ended June 30, 2017</w:t>
            </w:r>
          </w:p>
        </w:tc>
        <w:tc>
          <w:tcPr>
            <w:tcW w:w="30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Revenue</w:t>
            </w:r>
          </w:p>
        </w:tc>
        <w:tc>
          <w:tcPr>
            <w:tcW w:w="18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Revenue</w:t>
            </w: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0"/>
              </w:rPr>
              <w:t>operations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Segment:</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Electric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337,687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6,790</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41,062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Gas</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531,340</w:t>
            </w:r>
          </w:p>
        </w:tc>
        <w:tc>
          <w:tcPr>
            <w:tcW w:w="2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45,738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3,572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41,790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1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Mining</w:t>
            </w:r>
          </w:p>
        </w:tc>
        <w:tc>
          <w:tcPr>
            <w:tcW w:w="3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16,758</w:t>
            </w:r>
          </w:p>
        </w:tc>
        <w:tc>
          <w:tcPr>
            <w:tcW w:w="2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14,734</w:t>
            </w:r>
          </w:p>
        </w:tc>
        <w:tc>
          <w:tcPr>
            <w:tcW w:w="2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(c)</w:t>
            </w:r>
          </w:p>
        </w:tc>
        <w:tc>
          <w:tcPr>
            <w:tcW w:w="300" w:type="dxa"/>
            <w:vAlign w:val="bottom"/>
          </w:tcPr>
          <w:p>
            <w:pPr>
              <w:spacing w:after="0"/>
              <w:rPr>
                <w:sz w:val="23"/>
                <w:szCs w:val="23"/>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gridSpan w:val="2"/>
            <w:shd w:val="clear" w:color="auto" w:fill="CEFFE7"/>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(63,331)</w:t>
            </w:r>
          </w:p>
        </w:tc>
        <w:tc>
          <w:tcPr>
            <w:tcW w:w="2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889,357</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100,903</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jc w:val="right"/>
              <w:ind w:right="5210"/>
              <w:spacing w:after="0"/>
              <w:rPr>
                <w:sz w:val="20"/>
                <w:szCs w:val="20"/>
                <w:color w:val="auto"/>
              </w:rPr>
            </w:pPr>
            <w:r>
              <w:rPr>
                <w:rFonts w:ascii="Arial" w:cs="Arial" w:eastAsia="Arial" w:hAnsi="Arial"/>
                <w:sz w:val="16"/>
                <w:szCs w:val="16"/>
                <w:color w:val="auto"/>
                <w:w w:val="89"/>
              </w:rPr>
              <w:t>___________</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45"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from continuing operations available for common stock for the six months ended June 30, 2018 included a $49 million tax benefit resulting from legal entity restructuring. See Note 19 Income Taxes of the Notes to Condensed Consolidated Financial Statements for more information.</w:t>
      </w:r>
    </w:p>
    <w:p>
      <w:pPr>
        <w:ind w:left="340" w:right="16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Net income from continuing operations available for common stock for the </w:t>
      </w:r>
      <w:r>
        <w:rPr>
          <w:rFonts w:ascii="Arial" w:cs="Arial" w:eastAsia="Arial" w:hAnsi="Arial"/>
          <w:sz w:val="18"/>
          <w:szCs w:val="18"/>
          <w:color w:val="auto"/>
        </w:rPr>
        <w:t>three</w:t>
      </w:r>
      <w:r>
        <w:rPr>
          <w:rFonts w:ascii="Arial" w:cs="Arial" w:eastAsia="Arial" w:hAnsi="Arial"/>
          <w:sz w:val="16"/>
          <w:szCs w:val="16"/>
          <w:color w:val="auto"/>
        </w:rPr>
        <w:t xml:space="preserve"> and six months ended June 30, 2018 and June 30, 2017 reflects net income attributable to noncontrolling interests of $2.8 million and $6.5 million, and $3.1 million and $6.6 million, respectively.</w:t>
      </w:r>
    </w:p>
    <w:p>
      <w:pPr>
        <w:ind w:left="340" w:right="320" w:hanging="332"/>
        <w:spacing w:after="0" w:line="27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(loss) from continuing operations available for common stock for the six months ended June 30, 2017 included a $1.4 million tax benefit recognized from carryback claims for specified liability losses involving prior tax years.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and Corporate balances included in the accompanying Condensed Consolidated Balance Sheets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320" w:type="dxa"/>
            <w:vAlign w:val="bottom"/>
          </w:tcPr>
          <w:p>
            <w:pPr>
              <w:spacing w:after="0"/>
              <w:rPr>
                <w:sz w:val="20"/>
                <w:szCs w:val="20"/>
                <w:color w:val="auto"/>
              </w:rPr>
            </w:pPr>
          </w:p>
        </w:tc>
        <w:tc>
          <w:tcPr>
            <w:tcW w:w="1760" w:type="dxa"/>
            <w:vAlign w:val="bottom"/>
          </w:tcPr>
          <w:p>
            <w:pPr>
              <w:jc w:val="right"/>
              <w:ind w:right="470"/>
              <w:spacing w:after="0"/>
              <w:rPr>
                <w:sz w:val="20"/>
                <w:szCs w:val="20"/>
                <w:color w:val="auto"/>
              </w:rPr>
            </w:pPr>
            <w:r>
              <w:rPr>
                <w:rFonts w:ascii="Arial" w:cs="Arial" w:eastAsia="Arial" w:hAnsi="Arial"/>
                <w:sz w:val="18"/>
                <w:szCs w:val="18"/>
                <w:color w:val="auto"/>
              </w:rPr>
              <w:t>June 30, 2018</w:t>
            </w:r>
          </w:p>
        </w:tc>
        <w:tc>
          <w:tcPr>
            <w:tcW w:w="30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31, 2017</w:t>
            </w:r>
          </w:p>
        </w:tc>
        <w:tc>
          <w:tcPr>
            <w:tcW w:w="400" w:type="dxa"/>
            <w:vAlign w:val="bottom"/>
          </w:tcPr>
          <w:p>
            <w:pPr>
              <w:spacing w:after="0"/>
              <w:rPr>
                <w:sz w:val="20"/>
                <w:szCs w:val="20"/>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32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Electric </w:t>
            </w:r>
            <w:r>
              <w:rPr>
                <w:rFonts w:ascii="Arial" w:cs="Arial" w:eastAsia="Arial" w:hAnsi="Arial"/>
                <w:sz w:val="25"/>
                <w:szCs w:val="25"/>
                <w:color w:val="auto"/>
                <w:vertAlign w:val="superscript"/>
              </w:rPr>
              <w:t>(a)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2,902,925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2,906,275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2,901,570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w:t>
            </w:r>
          </w:p>
        </w:tc>
        <w:tc>
          <w:tcPr>
            <w:tcW w:w="32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3,367,247</w:t>
            </w:r>
          </w:p>
        </w:tc>
        <w:tc>
          <w:tcPr>
            <w:tcW w:w="30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3,426,466</w:t>
            </w:r>
          </w:p>
        </w:tc>
        <w:tc>
          <w:tcPr>
            <w:tcW w:w="40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3,242,461</w:t>
            </w: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49,628</w:t>
            </w:r>
          </w:p>
        </w:tc>
        <w:tc>
          <w:tcPr>
            <w:tcW w:w="30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60,852</w:t>
            </w:r>
          </w:p>
        </w:tc>
        <w:tc>
          <w:tcPr>
            <w:tcW w:w="4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66,292</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Mining</w:t>
            </w:r>
          </w:p>
        </w:tc>
        <w:tc>
          <w:tcPr>
            <w:tcW w:w="32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68,154</w:t>
            </w:r>
          </w:p>
        </w:tc>
        <w:tc>
          <w:tcPr>
            <w:tcW w:w="30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65,455</w:t>
            </w:r>
          </w:p>
        </w:tc>
        <w:tc>
          <w:tcPr>
            <w:tcW w:w="40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67,365</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178,618</w:t>
            </w: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115,612</w:t>
            </w:r>
          </w:p>
        </w:tc>
        <w:tc>
          <w:tcPr>
            <w:tcW w:w="4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109,581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EFFE7"/>
            </w:tcBorders>
            <w:shd w:val="clear" w:color="auto" w:fill="CEFFE7"/>
          </w:tcPr>
          <w:p>
            <w:pPr>
              <w:spacing w:after="0"/>
              <w:rPr>
                <w:sz w:val="23"/>
                <w:szCs w:val="23"/>
                <w:color w:val="auto"/>
              </w:rPr>
            </w:pP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3,557</w:t>
            </w:r>
          </w:p>
        </w:tc>
        <w:tc>
          <w:tcPr>
            <w:tcW w:w="300" w:type="dxa"/>
            <w:vAlign w:val="bottom"/>
            <w:tcBorders>
              <w:bottom w:val="single" w:sz="8" w:color="CEFFE7"/>
            </w:tcBorders>
            <w:shd w:val="clear" w:color="auto" w:fill="CEFFE7"/>
          </w:tcPr>
          <w:p>
            <w:pPr>
              <w:spacing w:after="0"/>
              <w:rPr>
                <w:sz w:val="23"/>
                <w:szCs w:val="23"/>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84,242</w:t>
            </w:r>
          </w:p>
        </w:tc>
        <w:tc>
          <w:tcPr>
            <w:tcW w:w="400" w:type="dxa"/>
            <w:vAlign w:val="bottom"/>
            <w:tcBorders>
              <w:bottom w:val="single" w:sz="8" w:color="CEFFE7"/>
            </w:tcBorders>
            <w:shd w:val="clear" w:color="auto" w:fill="CEFFE7"/>
          </w:tcPr>
          <w:p>
            <w:pPr>
              <w:spacing w:after="0"/>
              <w:rPr>
                <w:sz w:val="23"/>
                <w:szCs w:val="23"/>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122,477</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6,570,129</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6,658,902</w:t>
            </w:r>
          </w:p>
        </w:tc>
        <w:tc>
          <w:tcPr>
            <w:tcW w:w="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6,509,746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90"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2" w:right="239" w:bottom="1440" w:gutter="0" w:footer="0" w:header="0"/>
        </w:sectPr>
      </w:pPr>
    </w:p>
    <w:bookmarkStart w:id="17" w:name="page18"/>
    <w:bookmarkEnd w:id="17"/>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44,577</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34,940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79,014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70,244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23,557</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(3,517)</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90,284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1,681</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3,158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3,158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1,475</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1,475</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121,135</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58,497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175,612</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39,347</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36,384</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75,145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81,256</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88,967</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167,728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2,804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2,804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1,457</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1,457</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126,060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248,330</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41,635</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33,686</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74,855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62,908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26,584</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86,957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877</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2,904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2,904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1,167</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1,167</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109,491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60,270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166,760</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35"/>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(5)  REGULATORY ACCOUNTING</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We had the following regulatory assets and liabilities (in thousands) as of:</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58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6"/>
              </w:rPr>
              <w:t>Maximum Amortization</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(in years)</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June 30, 2018</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2017</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30, 2017</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Regulatory assets</w:t>
            </w: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energy and fuel cost adjustments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26,725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20,187</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20,761</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31,844</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9,120</w:t>
            </w:r>
          </w:p>
        </w:tc>
        <w:tc>
          <w:tcPr>
            <w:tcW w:w="2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11,935</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11,159</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 (f)</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7,813</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7,847</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108,366</w:t>
            </w:r>
          </w:p>
        </w:tc>
        <w:tc>
          <w:tcPr>
            <w:tcW w:w="2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109,235</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107,419</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subject to approval</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19,868</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20,667</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21,466</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subject to approval</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1,179</w:t>
            </w:r>
          </w:p>
        </w:tc>
        <w:tc>
          <w:tcPr>
            <w:tcW w:w="2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 (f)</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28,193</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26,978</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40,586</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Decommissioning costs</w:t>
            </w:r>
          </w:p>
        </w:tc>
        <w:tc>
          <w:tcPr>
            <w:tcW w:w="19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11,806</w:t>
            </w:r>
          </w:p>
        </w:tc>
        <w:tc>
          <w:tcPr>
            <w:tcW w:w="20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13,287</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14,681</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17,171</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20,001</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22,793</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30</w:t>
            </w:r>
          </w:p>
        </w:tc>
        <w:tc>
          <w:tcPr>
            <w:tcW w:w="16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27,976</w:t>
            </w:r>
          </w:p>
        </w:tc>
        <w:tc>
          <w:tcPr>
            <w:tcW w:w="200" w:type="dxa"/>
            <w:vAlign w:val="bottom"/>
            <w:tcBorders>
              <w:bottom w:val="single" w:sz="8" w:color="auto"/>
            </w:tcBorders>
            <w:shd w:val="clear" w:color="auto" w:fill="CEFFE7"/>
          </w:tcPr>
          <w:p>
            <w:pPr>
              <w:spacing w:after="0"/>
              <w:rPr>
                <w:sz w:val="23"/>
                <w:szCs w:val="23"/>
                <w:color w:val="auto"/>
              </w:rPr>
            </w:pPr>
          </w:p>
        </w:tc>
        <w:tc>
          <w:tcPr>
            <w:tcW w:w="1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32,837</w:t>
            </w:r>
          </w:p>
        </w:tc>
        <w:tc>
          <w:tcPr>
            <w:tcW w:w="18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31,663</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regulatory assets</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260,702</w:t>
            </w:r>
          </w:p>
        </w:tc>
        <w:tc>
          <w:tcPr>
            <w:tcW w:w="2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297,454</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297,160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Less current regulatory assets</w:t>
            </w:r>
          </w:p>
        </w:tc>
        <w:tc>
          <w:tcPr>
            <w:tcW w:w="196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(50,565)</w:t>
            </w:r>
          </w:p>
        </w:tc>
        <w:tc>
          <w:tcPr>
            <w:tcW w:w="200" w:type="dxa"/>
            <w:vAlign w:val="bottom"/>
            <w:tcBorders>
              <w:bottom w:val="single" w:sz="8" w:color="CEFFE7"/>
            </w:tcBorders>
            <w:shd w:val="clear" w:color="auto" w:fill="CEFFE7"/>
          </w:tcPr>
          <w:p>
            <w:pPr>
              <w:spacing w:after="0"/>
              <w:rPr>
                <w:sz w:val="23"/>
                <w:szCs w:val="23"/>
                <w:color w:val="auto"/>
              </w:rPr>
            </w:pP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(81,016)</w:t>
            </w:r>
          </w:p>
        </w:tc>
        <w:tc>
          <w:tcPr>
            <w:tcW w:w="1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(53,061)</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Regulatory assets, non-current</w:t>
            </w:r>
          </w:p>
        </w:tc>
        <w:tc>
          <w:tcPr>
            <w:tcW w:w="1960" w:type="dxa"/>
            <w:vAlign w:val="bottom"/>
            <w:tcBorders>
              <w:bottom w:val="single" w:sz="8" w:color="CEFFE7"/>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210,137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216,438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244,099</w:t>
            </w:r>
          </w:p>
        </w:tc>
        <w:tc>
          <w:tcPr>
            <w:tcW w:w="0" w:type="dxa"/>
            <w:vAlign w:val="bottom"/>
          </w:tcPr>
          <w:p>
            <w:pPr>
              <w:spacing w:after="0"/>
              <w:rPr>
                <w:sz w:val="1"/>
                <w:szCs w:val="1"/>
                <w:color w:val="auto"/>
              </w:rPr>
            </w:pPr>
          </w:p>
        </w:tc>
      </w:tr>
      <w:tr>
        <w:trPr>
          <w:trHeight w:val="230"/>
        </w:trPr>
        <w:tc>
          <w:tcPr>
            <w:tcW w:w="4580" w:type="dxa"/>
            <w:vAlign w:val="bottom"/>
            <w:shd w:val="clear" w:color="auto" w:fill="CEFFE7"/>
          </w:tcPr>
          <w:p>
            <w:pPr>
              <w:spacing w:after="0"/>
              <w:rPr>
                <w:sz w:val="20"/>
                <w:szCs w:val="20"/>
                <w:color w:val="auto"/>
              </w:rPr>
            </w:pPr>
          </w:p>
        </w:tc>
        <w:tc>
          <w:tcPr>
            <w:tcW w:w="196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174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27,188</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3,427</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w w:val="90"/>
              </w:rPr>
              <w:t xml:space="preserve">Employee benefit plan costs and related deferred taxes </w:t>
            </w:r>
            <w:r>
              <w:rPr>
                <w:rFonts w:ascii="Arial" w:cs="Arial" w:eastAsia="Arial" w:hAnsi="Arial"/>
                <w:sz w:val="25"/>
                <w:szCs w:val="25"/>
                <w:color w:val="auto"/>
                <w:w w:val="90"/>
                <w:vertAlign w:val="superscript"/>
              </w:rPr>
              <w:t>(c) (f)</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39,820</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40,629</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67,297</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141,954</w:t>
            </w:r>
          </w:p>
        </w:tc>
        <w:tc>
          <w:tcPr>
            <w:tcW w:w="2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130,932</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125,598</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 (d)</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310,132</w:t>
            </w: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301,553</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45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TCJA revenue reserve </w:t>
            </w:r>
            <w:r>
              <w:rPr>
                <w:rFonts w:ascii="Arial" w:cs="Arial" w:eastAsia="Arial" w:hAnsi="Arial"/>
                <w:sz w:val="25"/>
                <w:szCs w:val="25"/>
                <w:color w:val="auto"/>
                <w:vertAlign w:val="superscript"/>
              </w:rPr>
              <w:t>(e)</w:t>
            </w:r>
          </w:p>
        </w:tc>
        <w:tc>
          <w:tcPr>
            <w:tcW w:w="19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subject to approval</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19,312</w:t>
            </w:r>
          </w:p>
        </w:tc>
        <w:tc>
          <w:tcPr>
            <w:tcW w:w="200" w:type="dxa"/>
            <w:vAlign w:val="bottom"/>
            <w:shd w:val="clear" w:color="auto" w:fill="CEFFE7"/>
          </w:tcPr>
          <w:p>
            <w:pPr>
              <w:spacing w:after="0"/>
              <w:rPr>
                <w:sz w:val="23"/>
                <w:szCs w:val="23"/>
                <w:color w:val="auto"/>
              </w:rPr>
            </w:pPr>
          </w:p>
        </w:tc>
        <w:tc>
          <w:tcPr>
            <w:tcW w:w="1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196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25</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11,625</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8,585</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regulatory liabilities</w:t>
            </w:r>
          </w:p>
        </w:tc>
        <w:tc>
          <w:tcPr>
            <w:tcW w:w="19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550,031</w:t>
            </w:r>
          </w:p>
        </w:tc>
        <w:tc>
          <w:tcPr>
            <w:tcW w:w="20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485,126</w:t>
            </w:r>
          </w:p>
        </w:tc>
        <w:tc>
          <w:tcPr>
            <w:tcW w:w="1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216,310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current regulatory liabilities</w:t>
            </w:r>
          </w:p>
        </w:tc>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(52,102)</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(6,832)</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(17,305)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EFFE7"/>
            </w:tcBorders>
          </w:tcPr>
          <w:p>
            <w:pPr>
              <w:spacing w:after="0"/>
              <w:rPr>
                <w:sz w:val="2"/>
                <w:szCs w:val="2"/>
                <w:color w:val="auto"/>
              </w:rPr>
            </w:pPr>
          </w:p>
        </w:tc>
        <w:tc>
          <w:tcPr>
            <w:tcW w:w="19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Regulatory liabilities, non-current</w:t>
            </w:r>
          </w:p>
        </w:tc>
        <w:tc>
          <w:tcPr>
            <w:tcW w:w="196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497,929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478,294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199,005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8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5" w:lineRule="exact"/>
        <w:rPr>
          <w:rFonts w:ascii="Arial" w:cs="Arial" w:eastAsia="Arial" w:hAnsi="Arial"/>
          <w:sz w:val="16"/>
          <w:szCs w:val="16"/>
          <w:color w:val="auto"/>
        </w:rPr>
      </w:pPr>
    </w:p>
    <w:p>
      <w:pPr>
        <w:jc w:val="both"/>
        <w:ind w:left="340" w:right="28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increase in the regulatory tax liability is primarily related to the revaluation of deferred income tax balances at the lower income tax rate. As of June 30, 2018 and December 31, 2017, all of the liability was classified as non-current due to uncertainties around the timing and other regulatory decisions that will affect the amount of regulatory tax liability amortized and returned to customers through rate reductions of other revenue offsets in 2018.</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June 30, 2018, the amortization periods are yet to be determined and subject to approval by our regulators.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variance to the prior periods is primarily due to the TCJA.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discussed below, there have been no other significant changes to our Regulatory Matters from those previously disclosed in Note 13 of the Notes to the Consolidated Financial Statements in our 2017 Annual Report on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80"/>
        <w:spacing w:after="0" w:line="271" w:lineRule="auto"/>
        <w:rPr>
          <w:sz w:val="20"/>
          <w:szCs w:val="20"/>
          <w:color w:val="auto"/>
        </w:rPr>
      </w:pPr>
      <w:r>
        <w:rPr>
          <w:rFonts w:ascii="Arial" w:cs="Arial" w:eastAsia="Arial" w:hAnsi="Arial"/>
          <w:sz w:val="17"/>
          <w:szCs w:val="17"/>
          <w:b w:val="1"/>
          <w:bCs w:val="1"/>
          <w:i w:val="1"/>
          <w:iCs w:val="1"/>
          <w:color w:val="auto"/>
        </w:rPr>
        <w:t xml:space="preserve">TCJA revenue reserve - </w:t>
      </w:r>
      <w:r>
        <w:rPr>
          <w:rFonts w:ascii="Arial" w:cs="Arial" w:eastAsia="Arial" w:hAnsi="Arial"/>
          <w:sz w:val="17"/>
          <w:szCs w:val="17"/>
          <w:color w:val="auto"/>
        </w:rPr>
        <w:t>The TCJA signed into law on December 22, 2017, reduced the federal corporate income tax rate from 35% to 21%.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1, 2018, the key impact of tax reform on existing utility revenues/tariffs established prior to tax reform results primarily from the change in the federal tax rate from 35% to 21% (including the effects of tax gross-ups not yet approved) affecting current income tax expense embedded in those tariffs. Black Hills has been collaborating with utility commissions in the states in which it provides utility service to deliver to customers the benefits of a lower corporate federal income tax rate beginning in 2018 with the passage of the TCJA. We have now received state utility commission approvals to provide the benefits of federal tax reform to utility customers in four states. Discussions are underway with utility commissions in the remaining states and final approval is expected prior to year-end. We estimated and recorded a reserve to revenue of approximately $8.0 million and $23 million during the three and six months ended June 30, 2018, respectively. As of June 30, 2018, $3.3 million has been returned to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list of states where benefits to customers of federal tax reform have been approved is summarized below.</w:t>
      </w:r>
    </w:p>
    <w:p>
      <w:pPr>
        <w:spacing w:after="0" w:line="383" w:lineRule="exact"/>
        <w:rPr>
          <w:sz w:val="20"/>
          <w:szCs w:val="20"/>
          <w:color w:val="auto"/>
        </w:rPr>
      </w:pPr>
    </w:p>
    <w:tbl>
      <w:tblPr>
        <w:tblLayout w:type="fixed"/>
        <w:tblInd w:w="238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Approximate Annual Benefit for</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Start Date for Customer</w:t>
            </w:r>
          </w:p>
        </w:tc>
      </w:tr>
      <w:tr>
        <w:trPr>
          <w:trHeight w:val="234"/>
        </w:trPr>
        <w:tc>
          <w:tcPr>
            <w:tcW w:w="1360" w:type="dxa"/>
            <w:vAlign w:val="bottom"/>
          </w:tcPr>
          <w:p>
            <w:pPr>
              <w:ind w:left="640"/>
              <w:spacing w:after="0"/>
              <w:rPr>
                <w:sz w:val="20"/>
                <w:szCs w:val="20"/>
                <w:color w:val="auto"/>
              </w:rPr>
            </w:pPr>
            <w:r>
              <w:rPr>
                <w:rFonts w:ascii="Arial" w:cs="Arial" w:eastAsia="Arial" w:hAnsi="Arial"/>
                <w:sz w:val="18"/>
                <w:szCs w:val="18"/>
                <w:b w:val="1"/>
                <w:bCs w:val="1"/>
                <w:color w:val="auto"/>
              </w:rPr>
              <w:t>State</w:t>
            </w:r>
          </w:p>
        </w:tc>
        <w:tc>
          <w:tcPr>
            <w:tcW w:w="500" w:type="dxa"/>
            <w:vAlign w:val="bottom"/>
          </w:tcPr>
          <w:p>
            <w:pPr>
              <w:spacing w:after="0"/>
              <w:rPr>
                <w:sz w:val="20"/>
                <w:szCs w:val="20"/>
                <w:color w:val="auto"/>
              </w:rPr>
            </w:pPr>
          </w:p>
        </w:tc>
        <w:tc>
          <w:tcPr>
            <w:tcW w:w="2820" w:type="dxa"/>
            <w:vAlign w:val="bottom"/>
          </w:tcPr>
          <w:p>
            <w:pPr>
              <w:jc w:val="right"/>
              <w:ind w:right="1010"/>
              <w:spacing w:after="0"/>
              <w:rPr>
                <w:sz w:val="20"/>
                <w:szCs w:val="20"/>
                <w:color w:val="auto"/>
              </w:rPr>
            </w:pPr>
            <w:r>
              <w:rPr>
                <w:rFonts w:ascii="Arial" w:cs="Arial" w:eastAsia="Arial" w:hAnsi="Arial"/>
                <w:sz w:val="18"/>
                <w:szCs w:val="18"/>
                <w:b w:val="1"/>
                <w:bCs w:val="1"/>
                <w:color w:val="auto"/>
              </w:rPr>
              <w:t>Customers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Colorado</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10.8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July 2018</w:t>
            </w: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Iowa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20" w:type="dxa"/>
            <w:vAlign w:val="bottom"/>
          </w:tcPr>
          <w:p>
            <w:pPr>
              <w:jc w:val="right"/>
              <w:spacing w:after="0"/>
              <w:rPr>
                <w:sz w:val="20"/>
                <w:szCs w:val="20"/>
                <w:color w:val="auto"/>
              </w:rPr>
            </w:pPr>
            <w:r>
              <w:rPr>
                <w:rFonts w:ascii="Arial" w:cs="Arial" w:eastAsia="Arial" w:hAnsi="Arial"/>
                <w:sz w:val="18"/>
                <w:szCs w:val="18"/>
                <w:color w:val="auto"/>
              </w:rPr>
              <w:t>2.2 million</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June 2018</w:t>
            </w:r>
          </w:p>
        </w:tc>
      </w:tr>
      <w:tr>
        <w:trPr>
          <w:trHeight w:val="27"/>
        </w:trPr>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1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Kansas</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 million</w:t>
            </w:r>
          </w:p>
        </w:tc>
        <w:tc>
          <w:tcPr>
            <w:tcW w:w="20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6"/>
              </w:rPr>
              <w:t>April 2018</w:t>
            </w:r>
          </w:p>
        </w:tc>
      </w:tr>
      <w:tr>
        <w:trPr>
          <w:trHeight w:val="243"/>
        </w:trPr>
        <w:tc>
          <w:tcPr>
            <w:tcW w:w="1360" w:type="dxa"/>
            <w:vAlign w:val="bottom"/>
          </w:tcPr>
          <w:p>
            <w:pPr>
              <w:ind w:left="20"/>
              <w:spacing w:after="0"/>
              <w:rPr>
                <w:sz w:val="20"/>
                <w:szCs w:val="20"/>
                <w:color w:val="auto"/>
              </w:rPr>
            </w:pPr>
            <w:r>
              <w:rPr>
                <w:rFonts w:ascii="Arial" w:cs="Arial" w:eastAsia="Arial" w:hAnsi="Arial"/>
                <w:sz w:val="18"/>
                <w:szCs w:val="18"/>
                <w:color w:val="auto"/>
              </w:rPr>
              <w:t>Nebraska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20" w:type="dxa"/>
            <w:vAlign w:val="bottom"/>
          </w:tcPr>
          <w:p>
            <w:pPr>
              <w:jc w:val="right"/>
              <w:spacing w:after="0"/>
              <w:rPr>
                <w:sz w:val="20"/>
                <w:szCs w:val="20"/>
                <w:color w:val="auto"/>
              </w:rPr>
            </w:pPr>
            <w:r>
              <w:rPr>
                <w:rFonts w:ascii="Arial" w:cs="Arial" w:eastAsia="Arial" w:hAnsi="Arial"/>
                <w:sz w:val="18"/>
                <w:szCs w:val="18"/>
                <w:color w:val="auto"/>
              </w:rPr>
              <w:t>3.8 million</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July 2018</w:t>
            </w:r>
          </w:p>
        </w:tc>
      </w:tr>
    </w:tbl>
    <w:p>
      <w:pPr>
        <w:spacing w:after="0" w:line="229"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In support of returning benefits to customers, the three rate review requests filed in late 2017 for Arkansas Gas, Wyoming Gas (Northwest Wyoming) and Rocky Mountain Natural Gas (a pipeline system in Colorado) were adjusted to include the benefits to customers of federal tax reform as discussed below.</w:t>
      </w:r>
    </w:p>
    <w:p>
      <w:pPr>
        <w:spacing w:after="0" w:line="12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 xml:space="preserve">Rate Reviews - </w:t>
      </w:r>
      <w:r>
        <w:rPr>
          <w:rFonts w:ascii="Arial" w:cs="Arial" w:eastAsia="Arial" w:hAnsi="Arial"/>
          <w:sz w:val="16"/>
          <w:szCs w:val="16"/>
          <w:color w:val="auto"/>
        </w:rPr>
        <w:t>In Colorado, new rates for RMNG went into effect June 1, 2018 after an administrative law judge recommended approval of a settlement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and the CPUC took no further action. The settlement included $1.1 million in annual revenue increases and an extension of SSIR to recover costs from 2018 through December 31, 2021. The annual increase is based on a return on equity of 9.9% and a capital structure of 46.63% equity and 53.37% debt.</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July 16, 2018, the WPSC reached a bench decision approving our Wyoming Gas (Northwest Wyoming) settlement and stipulation with the OCA. We expect the final order in the third quarter of 2018. The settlement provides for $1.0 million of new revenue, a return on equity of 9.6%, and a capital structure of 54.0% equity and 46.0% debt. New rates, inclusive of customer benefits related to the TCJA, will be effective September 1, 2018.</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 Arkansas rate review was filed in December 2017 with the APSC requesting $30 million of annual revenue to recover more than $160 million of new infrastructure investment. The revenue request was subsequently adjusted to $19 million primarily related to a lower corporate income tax rate of 21%. The APSC previously issued a procedural schedule for the rate review. To date, testimony has been filed by the intervenors and Arkansas Gas filed rebuttal testimony on June 26, 2018. The APSC issued an order on July 26 requiring investor owned utilities to provide within 30 days their plans to return tax reform benefits to customers. Arkansas Gas is reviewing the order and its impacts to customers and may amend its current rate review if necessary. A final order and new rates are expected to be effective in the fourth quarter of 2018.</w:t>
      </w:r>
    </w:p>
    <w:p>
      <w:pPr>
        <w:spacing w:after="0" w:line="34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MATERIALS, SUPPLIES AND FUEL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in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June 30, 2018</w:t>
            </w:r>
          </w:p>
        </w:tc>
        <w:tc>
          <w:tcPr>
            <w:tcW w:w="340" w:type="dxa"/>
            <w:vAlign w:val="bottom"/>
          </w:tcPr>
          <w:p>
            <w:pPr>
              <w:spacing w:after="0"/>
              <w:rPr>
                <w:sz w:val="20"/>
                <w:szCs w:val="20"/>
                <w:color w:val="auto"/>
              </w:rPr>
            </w:pPr>
          </w:p>
        </w:tc>
        <w:tc>
          <w:tcPr>
            <w:tcW w:w="1940" w:type="dxa"/>
            <w:vAlign w:val="bottom"/>
          </w:tcPr>
          <w:p>
            <w:pPr>
              <w:jc w:val="right"/>
              <w:ind w:right="310"/>
              <w:spacing w:after="0"/>
              <w:rPr>
                <w:sz w:val="20"/>
                <w:szCs w:val="20"/>
                <w:color w:val="auto"/>
              </w:rPr>
            </w:pPr>
            <w:r>
              <w:rPr>
                <w:rFonts w:ascii="Arial" w:cs="Arial" w:eastAsia="Arial" w:hAnsi="Arial"/>
                <w:sz w:val="18"/>
                <w:szCs w:val="18"/>
                <w:color w:val="auto"/>
                <w:w w:val="96"/>
              </w:rPr>
              <w:t>December 31, 2017</w:t>
            </w:r>
          </w:p>
        </w:tc>
        <w:tc>
          <w:tcPr>
            <w:tcW w:w="38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30, 2017</w:t>
            </w:r>
          </w:p>
        </w:tc>
      </w:tr>
      <w:tr>
        <w:trPr>
          <w:trHeight w:val="27"/>
        </w:trPr>
        <w:tc>
          <w:tcPr>
            <w:tcW w:w="51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73,075</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69,732</w:t>
            </w:r>
          </w:p>
        </w:tc>
        <w:tc>
          <w:tcPr>
            <w:tcW w:w="3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68,759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2,821</w:t>
            </w:r>
          </w:p>
        </w:tc>
        <w:tc>
          <w:tcPr>
            <w:tcW w:w="3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2,962</w:t>
            </w:r>
          </w:p>
        </w:tc>
        <w:tc>
          <w:tcPr>
            <w:tcW w:w="3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1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 held for distribution</w:t>
            </w:r>
          </w:p>
        </w:tc>
        <w:tc>
          <w:tcPr>
            <w:tcW w:w="280" w:type="dxa"/>
            <w:vAlign w:val="bottom"/>
            <w:tcBorders>
              <w:bottom w:val="single" w:sz="8" w:color="CEFFE7"/>
            </w:tcBorders>
            <w:shd w:val="clear" w:color="auto" w:fill="CEFFE7"/>
          </w:tcPr>
          <w:p>
            <w:pPr>
              <w:spacing w:after="0"/>
              <w:rPr>
                <w:sz w:val="23"/>
                <w:szCs w:val="23"/>
                <w:color w:val="auto"/>
              </w:rPr>
            </w:pPr>
          </w:p>
        </w:tc>
        <w:tc>
          <w:tcPr>
            <w:tcW w:w="16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19,558</w:t>
            </w:r>
          </w:p>
        </w:tc>
        <w:tc>
          <w:tcPr>
            <w:tcW w:w="34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40,589</w:t>
            </w:r>
          </w:p>
        </w:tc>
        <w:tc>
          <w:tcPr>
            <w:tcW w:w="380" w:type="dxa"/>
            <w:vAlign w:val="bottom"/>
            <w:tcBorders>
              <w:bottom w:val="single" w:sz="8" w:color="CEFFE7"/>
            </w:tcBorders>
            <w:shd w:val="clear" w:color="auto" w:fill="CEFFE7"/>
          </w:tcPr>
          <w:p>
            <w:pPr>
              <w:spacing w:after="0"/>
              <w:rPr>
                <w:sz w:val="23"/>
                <w:szCs w:val="23"/>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23,623</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materials, supplies and fuel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95,454</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113,283</w:t>
            </w:r>
          </w:p>
        </w:tc>
        <w:tc>
          <w:tcPr>
            <w:tcW w:w="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95,488</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INVESTMENTS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2018, we contributed $28 million of assets in exchange for equity securities in a privately held company. The carrying value of our investment in the equity securities was determined using the cost method. We review this investment on a periodic basis to determine whether a significant event or change in circumstances has occurred that may have an adverse effect on the value of the investment. We estimate that the fair value of this cost method investment approximated or exceeded its carrying value as of June 30,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our investments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color w:val="auto"/>
                <w:w w:val="92"/>
              </w:rPr>
              <w:t>December 31, 2017</w:t>
            </w:r>
          </w:p>
        </w:tc>
        <w:tc>
          <w:tcPr>
            <w:tcW w:w="38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30, 2017</w:t>
            </w:r>
          </w:p>
        </w:tc>
      </w:tr>
      <w:tr>
        <w:trPr>
          <w:trHeight w:val="27"/>
        </w:trPr>
        <w:tc>
          <w:tcPr>
            <w:tcW w:w="538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Cost method investment</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28,134</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surrender value of life insurance contracts</w:t>
            </w:r>
          </w:p>
        </w:tc>
        <w:tc>
          <w:tcPr>
            <w:tcW w:w="30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13,014</w:t>
            </w: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13,090</w:t>
            </w:r>
          </w:p>
        </w:tc>
        <w:tc>
          <w:tcPr>
            <w:tcW w:w="3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12,761</w:t>
            </w:r>
          </w:p>
        </w:tc>
      </w:tr>
      <w:tr>
        <w:trPr>
          <w:trHeight w:val="27"/>
        </w:trPr>
        <w:tc>
          <w:tcPr>
            <w:tcW w:w="538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41,148</w:t>
            </w:r>
          </w:p>
        </w:tc>
        <w:tc>
          <w:tcPr>
            <w:tcW w:w="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13,090</w:t>
            </w:r>
          </w:p>
        </w:tc>
        <w:tc>
          <w:tcPr>
            <w:tcW w:w="3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12,761</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EARNINGS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share amounts used to compute Earnings (loss)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110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21,917</w:t>
            </w:r>
          </w:p>
        </w:tc>
        <w:tc>
          <w:tcPr>
            <w:tcW w:w="1140" w:type="dxa"/>
            <w:vAlign w:val="bottom"/>
            <w:tcBorders>
              <w:bottom w:val="single" w:sz="8" w:color="auto"/>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87"/>
              </w:rPr>
              <w:t>22,195</w:t>
            </w:r>
          </w:p>
        </w:tc>
        <w:tc>
          <w:tcPr>
            <w:tcW w:w="12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154,921</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98,718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110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0"/>
              </w:rPr>
              <w:t>53,355</w:t>
            </w:r>
          </w:p>
        </w:tc>
        <w:tc>
          <w:tcPr>
            <w:tcW w:w="11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7"/>
              </w:rPr>
              <w:t>53,229</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53,337</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53,191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Equity Units </w:t>
            </w:r>
            <w:r>
              <w:rPr>
                <w:rFonts w:ascii="Arial" w:cs="Arial" w:eastAsia="Arial" w:hAnsi="Arial"/>
                <w:sz w:val="25"/>
                <w:szCs w:val="25"/>
                <w:color w:val="auto"/>
                <w:vertAlign w:val="superscript"/>
              </w:rPr>
              <w:t>(a)</w:t>
            </w:r>
          </w:p>
        </w:tc>
        <w:tc>
          <w:tcPr>
            <w:tcW w:w="1100" w:type="dxa"/>
            <w:vAlign w:val="bottom"/>
            <w:shd w:val="clear" w:color="auto" w:fill="CEFFE7"/>
          </w:tcPr>
          <w:p>
            <w:pPr>
              <w:spacing w:after="0"/>
              <w:rPr>
                <w:sz w:val="23"/>
                <w:szCs w:val="23"/>
                <w:color w:val="auto"/>
              </w:rPr>
            </w:pPr>
          </w:p>
        </w:tc>
        <w:tc>
          <w:tcPr>
            <w:tcW w:w="6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1,057</w:t>
            </w:r>
          </w:p>
        </w:tc>
        <w:tc>
          <w:tcPr>
            <w:tcW w:w="1140" w:type="dxa"/>
            <w:vAlign w:val="bottom"/>
            <w:shd w:val="clear" w:color="auto" w:fill="CEFFE7"/>
          </w:tcPr>
          <w:p>
            <w:pPr>
              <w:spacing w:after="0"/>
              <w:rPr>
                <w:sz w:val="23"/>
                <w:szCs w:val="23"/>
                <w:color w:val="auto"/>
              </w:rPr>
            </w:pPr>
          </w:p>
        </w:tc>
        <w:tc>
          <w:tcPr>
            <w:tcW w:w="6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904</w:t>
            </w:r>
          </w:p>
        </w:tc>
        <w:tc>
          <w:tcPr>
            <w:tcW w:w="44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1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1100" w:type="dxa"/>
            <w:vAlign w:val="bottom"/>
            <w:tcBorders>
              <w:bottom w:val="single" w:sz="8" w:color="auto"/>
            </w:tcBorders>
            <w:shd w:val="clear" w:color="auto" w:fill="CEFFE7"/>
          </w:tcPr>
          <w:p>
            <w:pPr>
              <w:spacing w:after="0"/>
              <w:rPr>
                <w:sz w:val="22"/>
                <w:szCs w:val="22"/>
                <w:color w:val="auto"/>
              </w:rPr>
            </w:pP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0"/>
              </w:rPr>
              <w:t>54,520</w:t>
            </w:r>
          </w:p>
        </w:tc>
        <w:tc>
          <w:tcPr>
            <w:tcW w:w="1140" w:type="dxa"/>
            <w:vAlign w:val="bottom"/>
            <w:tcBorders>
              <w:bottom w:val="single" w:sz="8" w:color="auto"/>
            </w:tcBorders>
            <w:shd w:val="clear" w:color="auto" w:fill="CEFFE7"/>
          </w:tcPr>
          <w:p>
            <w:pPr>
              <w:spacing w:after="0"/>
              <w:rPr>
                <w:sz w:val="22"/>
                <w:szCs w:val="22"/>
                <w:color w:val="auto"/>
              </w:rPr>
            </w:pP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87"/>
              </w:rPr>
              <w:t>55,384</w:t>
            </w:r>
          </w:p>
        </w:tc>
        <w:tc>
          <w:tcPr>
            <w:tcW w:w="12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spacing w:after="0"/>
              <w:rPr>
                <w:sz w:val="22"/>
                <w:szCs w:val="22"/>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54,361</w:t>
            </w:r>
          </w:p>
        </w:tc>
        <w:tc>
          <w:tcPr>
            <w:tcW w:w="44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55,179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Arial" w:cs="Arial" w:eastAsia="Arial" w:hAnsi="Arial"/>
                <w:sz w:val="16"/>
                <w:szCs w:val="16"/>
                <w:color w:val="auto"/>
              </w:rPr>
              <w:t>(a)  Calculated using the treasury stock method.</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outstanding securities were excluded in the computation of diluted net income (loss) per share as their inclusion would have been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000" w:type="dxa"/>
            <w:vAlign w:val="bottom"/>
            <w:gridSpan w:val="2"/>
          </w:tcPr>
          <w:p>
            <w:pPr>
              <w:jc w:val="right"/>
              <w:ind w:right="90"/>
              <w:spacing w:after="0"/>
              <w:rPr>
                <w:sz w:val="20"/>
                <w:szCs w:val="20"/>
                <w:color w:val="auto"/>
              </w:rPr>
            </w:pPr>
            <w:r>
              <w:rPr>
                <w:rFonts w:ascii="Arial" w:cs="Arial" w:eastAsia="Arial" w:hAnsi="Arial"/>
                <w:sz w:val="18"/>
                <w:szCs w:val="18"/>
                <w:color w:val="auto"/>
              </w:rPr>
              <w:t>Three Months Ended June 30,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2"/>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55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jc w:val="right"/>
              <w:ind w:right="870"/>
              <w:spacing w:after="0"/>
              <w:rPr>
                <w:sz w:val="20"/>
                <w:szCs w:val="20"/>
                <w:color w:val="auto"/>
              </w:rPr>
            </w:pPr>
            <w:r>
              <w:rPr>
                <w:rFonts w:ascii="Arial" w:cs="Arial" w:eastAsia="Arial" w:hAnsi="Arial"/>
                <w:sz w:val="18"/>
                <w:szCs w:val="18"/>
                <w:color w:val="auto"/>
              </w:rPr>
              <w:t>2018</w:t>
            </w: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110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ind w:right="1290"/>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17</w:t>
            </w:r>
          </w:p>
        </w:tc>
        <w:tc>
          <w:tcPr>
            <w:tcW w:w="1420" w:type="dxa"/>
            <w:vAlign w:val="bottom"/>
            <w:tcBorders>
              <w:bottom w:val="single" w:sz="8" w:color="CEFFE7"/>
            </w:tcBorders>
            <w:shd w:val="clear" w:color="auto" w:fill="CEFFE7"/>
          </w:tcPr>
          <w:p>
            <w:pPr>
              <w:ind w:left="1140"/>
              <w:spacing w:after="0"/>
              <w:rPr>
                <w:sz w:val="20"/>
                <w:szCs w:val="20"/>
                <w:color w:val="auto"/>
              </w:rPr>
            </w:pPr>
            <w:r>
              <w:rPr>
                <w:rFonts w:ascii="Arial" w:cs="Arial" w:eastAsia="Arial" w:hAnsi="Arial"/>
                <w:sz w:val="18"/>
                <w:szCs w:val="18"/>
                <w:color w:val="auto"/>
              </w:rPr>
              <w:t>—</w:t>
            </w: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Anti-dilutive shares</w:t>
            </w:r>
          </w:p>
        </w:tc>
        <w:tc>
          <w:tcPr>
            <w:tcW w:w="110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rPr>
              <w:t>15</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17</w:t>
            </w:r>
          </w:p>
        </w:tc>
        <w:tc>
          <w:tcPr>
            <w:tcW w:w="142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rPr>
              <w:t>—</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08"/>
        </w:trPr>
        <w:tc>
          <w:tcPr>
            <w:tcW w:w="4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00" w:type="dxa"/>
            <w:vAlign w:val="bottom"/>
          </w:tcPr>
          <w:p>
            <w:pPr>
              <w:jc w:val="right"/>
              <w:ind w:right="157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w w:val="99"/>
              </w:rPr>
              <w:t>(9)  NOTES PAYABLE, CURRENT MATURITIES AND DEBT</w:t>
            </w: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5"/>
        </w:trPr>
        <w:tc>
          <w:tcPr>
            <w:tcW w:w="10020" w:type="dxa"/>
            <w:vAlign w:val="bottom"/>
            <w:gridSpan w:val="11"/>
          </w:tcPr>
          <w:p>
            <w:pPr>
              <w:spacing w:after="0"/>
              <w:rPr>
                <w:sz w:val="20"/>
                <w:szCs w:val="20"/>
                <w:color w:val="auto"/>
              </w:rPr>
            </w:pPr>
            <w:r>
              <w:rPr>
                <w:rFonts w:ascii="Arial" w:cs="Arial" w:eastAsia="Arial" w:hAnsi="Arial"/>
                <w:sz w:val="18"/>
                <w:szCs w:val="18"/>
                <w:color w:val="auto"/>
                <w:w w:val="94"/>
              </w:rPr>
              <w:t>We had the following notes payable outstanding in the accompanying Condensed Consolidated Balance Sheets (in thousands) as of:</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June 30, 2018</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3"/>
          </w:tcPr>
          <w:p>
            <w:pPr>
              <w:jc w:val="right"/>
              <w:ind w:right="450"/>
              <w:spacing w:after="0"/>
              <w:rPr>
                <w:sz w:val="20"/>
                <w:szCs w:val="20"/>
                <w:color w:val="auto"/>
              </w:rPr>
            </w:pPr>
            <w:r>
              <w:rPr>
                <w:rFonts w:ascii="Arial" w:cs="Arial" w:eastAsia="Arial" w:hAnsi="Arial"/>
                <w:sz w:val="18"/>
                <w:szCs w:val="18"/>
                <w:color w:val="auto"/>
              </w:rPr>
              <w:t>December 31, 2017</w:t>
            </w:r>
          </w:p>
        </w:tc>
        <w:tc>
          <w:tcPr>
            <w:tcW w:w="160" w:type="dxa"/>
            <w:vAlign w:val="bottom"/>
          </w:tcPr>
          <w:p>
            <w:pPr>
              <w:spacing w:after="0"/>
              <w:rPr>
                <w:sz w:val="24"/>
                <w:szCs w:val="24"/>
                <w:color w:val="auto"/>
              </w:rPr>
            </w:pPr>
          </w:p>
        </w:tc>
        <w:tc>
          <w:tcPr>
            <w:tcW w:w="1760" w:type="dxa"/>
            <w:vAlign w:val="bottom"/>
            <w:gridSpan w:val="2"/>
          </w:tcPr>
          <w:p>
            <w:pPr>
              <w:jc w:val="center"/>
              <w:ind w:left="470"/>
              <w:spacing w:after="0"/>
              <w:rPr>
                <w:sz w:val="20"/>
                <w:szCs w:val="20"/>
                <w:color w:val="auto"/>
              </w:rPr>
            </w:pPr>
            <w:r>
              <w:rPr>
                <w:rFonts w:ascii="Arial" w:cs="Arial" w:eastAsia="Arial" w:hAnsi="Arial"/>
                <w:sz w:val="18"/>
                <w:szCs w:val="18"/>
                <w:color w:val="auto"/>
                <w:w w:val="87"/>
              </w:rPr>
              <w:t>June 30, 2017</w:t>
            </w:r>
          </w:p>
        </w:tc>
        <w:tc>
          <w:tcPr>
            <w:tcW w:w="70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c>
          <w:tcPr>
            <w:tcW w:w="1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2"/>
              </w:rPr>
              <w:t>Outstanding</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3"/>
              </w:rPr>
              <w:t>Letters of Credit</w:t>
            </w:r>
          </w:p>
        </w:tc>
        <w:tc>
          <w:tcPr>
            <w:tcW w:w="16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0"/>
              </w:rPr>
              <w:t>Outstanding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Letters of Credit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jc w:val="center"/>
              <w:ind w:right="3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11,448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26,848</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jc w:val="center"/>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24,540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121,800</w:t>
            </w:r>
          </w:p>
        </w:tc>
        <w:tc>
          <w:tcPr>
            <w:tcW w:w="7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211,300</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107,975</w:t>
            </w:r>
          </w:p>
        </w:tc>
        <w:tc>
          <w:tcPr>
            <w:tcW w:w="7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121,800</w:t>
            </w:r>
          </w:p>
        </w:tc>
        <w:tc>
          <w:tcPr>
            <w:tcW w:w="720" w:type="dxa"/>
            <w:vAlign w:val="bottom"/>
            <w:tcBorders>
              <w:bottom w:val="single" w:sz="8" w:color="auto"/>
            </w:tcBorders>
            <w:shd w:val="clear" w:color="auto" w:fill="CEFFE7"/>
          </w:tcPr>
          <w:p>
            <w:pPr>
              <w:jc w:val="center"/>
              <w:ind w:right="3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11,448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42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26,848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107,975</w:t>
            </w:r>
          </w:p>
        </w:tc>
        <w:tc>
          <w:tcPr>
            <w:tcW w:w="700" w:type="dxa"/>
            <w:vAlign w:val="bottom"/>
            <w:tcBorders>
              <w:bottom w:val="single" w:sz="8" w:color="auto"/>
            </w:tcBorders>
            <w:shd w:val="clear" w:color="auto" w:fill="CEFFE7"/>
          </w:tcPr>
          <w:p>
            <w:pPr>
              <w:jc w:val="center"/>
              <w:ind w:right="3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24,540</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0.250%, 1.250%, and 1.250%, respectively, at June 30, 2018 and are unchanged under our amended and restated Revolving Credit Facility. Based on our credit ratings, a 0.200% commitment fee was charged on the unused amount at June 30, 2018. This commitment fee requirement is unchanged under our amended and restated Revolving Credit Facility.</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payments under the CP Program during the six months ended June 30, 2018 were $90 million and our notes outstanding as of June 30, 2018 were $122 million. As of June 30, 2018, the weighted average interest rate on CP Program borrowings was 2.29%.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Under our Revolving Credit Facility and term loan agreement (before each was amended and restated), we were required to maintain a Consolidated Indebtedness to Capitalization Ratio not to exceed 0.65 to 1.00. At June 30, 2018, our Consolidated Indebtedness to Capitalization Ratio was calculated by dividing (i) Consolidated Indebtedness (which included letters of credit and certain guarantees issued but excluded the RSNs), by (ii) Capital, which is Consolidated Indebtedness plus Consolidated Net Worth (which excluded noncontrolling interests in subsidiaries and included the aggregate outstanding amount of the RSNs). Under our amended and restated revolving Credit Facility and amended and restated term loan agreement, we are also required to maintain a Consolidated Indebtedness to Capitalization Ratio not to exceed 0.65 to 1.00, but as of September 30, 2018 only, Consolidated Net Worth will include the amount receivable by the Company in connection with the common stock settlement under the purchase contracts which are part of the Equity Units, rather than the outstanding amount of the RSNs.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term loans require compliance with the following financial covenant at the end of each quarter: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As of June 30, 2018</w:t>
            </w:r>
          </w:p>
        </w:tc>
        <w:tc>
          <w:tcPr>
            <w:tcW w:w="2560" w:type="dxa"/>
            <w:vAlign w:val="bottom"/>
            <w:gridSpan w:val="2"/>
          </w:tcPr>
          <w:p>
            <w:pPr>
              <w:jc w:val="right"/>
              <w:ind w:right="270"/>
              <w:spacing w:after="0"/>
              <w:rPr>
                <w:sz w:val="20"/>
                <w:szCs w:val="20"/>
                <w:color w:val="auto"/>
              </w:rPr>
            </w:pPr>
            <w:r>
              <w:rPr>
                <w:rFonts w:ascii="Arial" w:cs="Arial" w:eastAsia="Arial" w:hAnsi="Arial"/>
                <w:sz w:val="18"/>
                <w:szCs w:val="18"/>
                <w:color w:val="auto"/>
              </w:rPr>
              <w:t>Covenant Requirement</w:t>
            </w:r>
          </w:p>
        </w:tc>
      </w:tr>
      <w:tr>
        <w:trPr>
          <w:trHeight w:val="27"/>
        </w:trPr>
        <w:tc>
          <w:tcPr>
            <w:tcW w:w="6280" w:type="dxa"/>
            <w:vAlign w:val="bottom"/>
            <w:tcBorders>
              <w:bottom w:val="single" w:sz="8" w:color="CEFFE7"/>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Consolidated Indebtedness to Capitalization Ratio</w:t>
            </w:r>
          </w:p>
        </w:tc>
        <w:tc>
          <w:tcPr>
            <w:tcW w:w="2580" w:type="dxa"/>
            <w:vAlign w:val="bottom"/>
            <w:shd w:val="clear" w:color="auto" w:fill="CEFFE7"/>
          </w:tcPr>
          <w:p>
            <w:pPr>
              <w:jc w:val="right"/>
              <w:ind w:right="1010"/>
              <w:spacing w:after="0"/>
              <w:rPr>
                <w:sz w:val="20"/>
                <w:szCs w:val="20"/>
                <w:color w:val="auto"/>
              </w:rPr>
            </w:pPr>
            <w:r>
              <w:rPr>
                <w:rFonts w:ascii="Arial" w:cs="Arial" w:eastAsia="Arial" w:hAnsi="Arial"/>
                <w:sz w:val="18"/>
                <w:szCs w:val="18"/>
                <w:color w:val="auto"/>
              </w:rPr>
              <w:t>58%</w:t>
            </w:r>
          </w:p>
        </w:tc>
        <w:tc>
          <w:tcPr>
            <w:tcW w:w="1540" w:type="dxa"/>
            <w:vAlign w:val="bottom"/>
            <w:shd w:val="clear" w:color="auto" w:fill="CEFFE7"/>
          </w:tcPr>
          <w:p>
            <w:pPr>
              <w:ind w:left="600"/>
              <w:spacing w:after="0"/>
              <w:rPr>
                <w:sz w:val="20"/>
                <w:szCs w:val="20"/>
                <w:color w:val="auto"/>
              </w:rPr>
            </w:pPr>
            <w:r>
              <w:rPr>
                <w:rFonts w:ascii="Arial" w:cs="Arial" w:eastAsia="Arial" w:hAnsi="Arial"/>
                <w:sz w:val="18"/>
                <w:szCs w:val="18"/>
                <w:color w:val="auto"/>
              </w:rPr>
              <w:t>Less than</w:t>
            </w:r>
          </w:p>
        </w:tc>
        <w:tc>
          <w:tcPr>
            <w:tcW w:w="102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154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were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Current Maturities</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of June 30, 2018, our $250 million Senior unsecured notes due January 11, 2019 and $5.7 million of principal due in the next twelve months on our Corporate term loan due June 7, 2021 are classified as Current maturities of long-term debt on our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July 30, 2018, we amended and restated our unsecured term loan due August 2019. This amended and restated term loan, with $300 million outstanding at June 30, 2018, will now mature on July 30, 2020 and has substantially similar terms and covenants as the amended and restated Revolving Credit Facility. The interest cost associated with this term loan is determined based upon our corporate credit rating from S&amp;P, Fitch, and Moody’s for our Senior unsecured long-term debt. Based on our credit ratings, the margins for base rate borrowings and Eurodollar borrowings were 0.050% and 1.050%, respectively, at June 30, 2018, and are 0.000% and 0.750%, respectively, under our amended and restated Revolving Credit Facility.</w:t>
      </w:r>
    </w:p>
    <w:p>
      <w:pPr>
        <w:spacing w:after="0" w:line="14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w:t>
        <w:tab/>
        <w:t>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equity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Six Months Ended June 30, 2018</w:t>
            </w: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FFFE7"/>
            </w:tcBorders>
            <w:shd w:val="clear" w:color="auto" w:fill="CFFFE7"/>
          </w:tcPr>
          <w:p>
            <w:pPr>
              <w:ind w:left="40"/>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1,708,974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111,232</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1,820,206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154,921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6,453</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161,374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2,421</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2,421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(50,879)</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(50,879)</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3,194</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stock transactions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(9,998)</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(9,998)</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June 30, 2018</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1,818,846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107,687</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1,926,533</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67"/>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2"/>
              </w:rPr>
              <w:t>Total Stockholders’</w:t>
            </w:r>
          </w:p>
        </w:tc>
        <w:tc>
          <w:tcPr>
            <w:tcW w:w="22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5"/>
              </w:rPr>
              <w:t>Noncontrolling</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2C2C2C"/>
              </w:rPr>
              <w:t>Six Months Ended June 30, 2017</w:t>
            </w:r>
          </w:p>
        </w:tc>
        <w:tc>
          <w:tcPr>
            <w:tcW w:w="14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2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Total Equity</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1,614,639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115,495</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1,730,134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98,718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6,632</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105,350</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1,942</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Dividends on common stock</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(47,544)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(47,544)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4,133</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4,133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Dividend reinvestment and stock purchase plan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1,530</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(886)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Cumulative effect of ASU 2016-09 implementation</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3,714</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3,714</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stock transactions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(8,335)</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(8,335)</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June 30, 2017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1,676,239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113,792</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1,790,031</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200"/>
        <w:spacing w:after="0" w:line="257" w:lineRule="auto"/>
        <w:rPr>
          <w:sz w:val="20"/>
          <w:szCs w:val="20"/>
          <w:color w:val="auto"/>
        </w:rPr>
      </w:pPr>
      <w:r>
        <w:rPr>
          <w:rFonts w:ascii="Arial" w:cs="Arial" w:eastAsia="Arial" w:hAnsi="Arial"/>
          <w:sz w:val="18"/>
          <w:szCs w:val="18"/>
          <w:color w:val="auto"/>
        </w:rPr>
        <w:t>On August 4, 2017, we renewed our ATM equity offering program which reset the size of the program to an aggregate value of up to $300 million. The renewed program, which allows us to sell shares of our common stock, is the same as the prior program other than the aggregate value increased from $200 million to $300 million. The shares may be offered from time to time pursuant to a sales agreement dated August 4, 2017. Shares of common stock are offered pursuant to our shelf registration statement filed with the SEC. We did not issue any common shares during the six months ended June 30, 2018 and June 30, 2017 under the ATM equity offering program.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Colorado IPP owns a 200 MW, combined-cycle natural gas generating facility located in Pueblo, Colorado. On April 14, 2016, Black Hills Electric Generation sold a 49.9%, noncontrolling interest in Colorado IPP to a third-party buyer. Black Hills Electric Generation is the operator of the facility, which is contracted to provide capacity and energy through 2031 to Black Hills Colorado Electric.</w:t>
      </w:r>
    </w:p>
    <w:p>
      <w:pPr>
        <w:spacing w:after="0" w:line="18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Colorado IPP has been determined to be a variable interest entity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Colorado IPP’s economic performance. Black Hills Electric Generation, as the primary beneficiary, continues to consolidate Colorado IPP. Colorado IPP has not received financial or other support from the Company outside of pre-existing contractual arrangements during the reporting period. Colorado IPP does not have any debt and its cash flows from operations are sufficient to support its ongoing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the following assets and liabilities on our Condensed Consolidated Balance Sheets related to the VIE described above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w w:val="99"/>
              </w:rPr>
              <w:t>June 30, 2018</w:t>
            </w:r>
          </w:p>
        </w:tc>
        <w:tc>
          <w:tcPr>
            <w:tcW w:w="28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w w:val="93"/>
              </w:rPr>
              <w:t>December 31, 2017</w:t>
            </w:r>
          </w:p>
        </w:tc>
        <w:tc>
          <w:tcPr>
            <w:tcW w:w="36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w w:val="99"/>
              </w:rPr>
              <w:t>June 30, 2017</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11,462</w:t>
            </w: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14,837</w:t>
            </w:r>
          </w:p>
        </w:tc>
        <w:tc>
          <w:tcPr>
            <w:tcW w:w="3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12,042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Property, plant and equipment of variable interest entities,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203,308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208,595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214,239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56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76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560" w:type="dxa"/>
            <w:vAlign w:val="bottom"/>
            <w:shd w:val="clear" w:color="auto" w:fill="CEFFE7"/>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620" w:type="dxa"/>
            <w:vAlign w:val="bottom"/>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2,946</w:t>
            </w:r>
          </w:p>
        </w:tc>
        <w:tc>
          <w:tcPr>
            <w:tcW w:w="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4,565</w:t>
            </w:r>
          </w:p>
        </w:tc>
        <w:tc>
          <w:tcPr>
            <w:tcW w:w="3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2,651</w:t>
            </w:r>
          </w:p>
        </w:tc>
      </w:tr>
      <w:tr>
        <w:trPr>
          <w:trHeight w:val="27"/>
        </w:trPr>
        <w:tc>
          <w:tcPr>
            <w:tcW w:w="562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76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56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w:t>
        <w:tab/>
        <w:t>RISK MANAGEMENT ACTIVITIES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Policies and Procedures as discussed in our 2017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Market risk is the potential loss that might occur as a result of an adverse change in market price or rate. We are exposed to the following market risks including, but not limited to:</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marketing activities and our fuel procurement for certain gas-fired generation assets;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risk associated with our variable rate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8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6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July 2018 through May 2020. A portion of our over-the-counter swaps have been designated as cash flow hedges to mitigate the commodity price risk associated with forward contracts to deliver gas to our Choice Gas Program customers. The effective portion of the gain or loss on these designated derivatives is reported in AOCI in the accompanying Condensed Consolidated Balance Sheets and the ineffective portion, if any, is reported in Fuel, purchased power and cost of natural gas sold in the accompanying Condensed Consolidated Statements of Income. Effectiveness of our hedging position is evaluated at inception of the hedge, upon occurrence of a triggering event and as of the end of each quarter.</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40" w:type="dxa"/>
            <w:vAlign w:val="bottom"/>
          </w:tcPr>
          <w:p>
            <w:pPr>
              <w:spacing w:after="0"/>
              <w:rPr>
                <w:sz w:val="17"/>
                <w:szCs w:val="17"/>
                <w:color w:val="auto"/>
              </w:rPr>
            </w:pPr>
          </w:p>
        </w:tc>
        <w:tc>
          <w:tcPr>
            <w:tcW w:w="2760" w:type="dxa"/>
            <w:vAlign w:val="bottom"/>
            <w:gridSpan w:val="2"/>
          </w:tcPr>
          <w:p>
            <w:pPr>
              <w:ind w:left="880"/>
              <w:spacing w:after="0"/>
              <w:rPr>
                <w:sz w:val="20"/>
                <w:szCs w:val="20"/>
                <w:color w:val="auto"/>
              </w:rPr>
            </w:pPr>
            <w:r>
              <w:rPr>
                <w:rFonts w:ascii="Arial" w:cs="Arial" w:eastAsia="Arial" w:hAnsi="Arial"/>
                <w:sz w:val="16"/>
                <w:szCs w:val="16"/>
                <w:color w:val="auto"/>
              </w:rPr>
              <w:t>June 30, 2018</w:t>
            </w:r>
          </w:p>
        </w:tc>
        <w:tc>
          <w:tcPr>
            <w:tcW w:w="2740" w:type="dxa"/>
            <w:vAlign w:val="bottom"/>
            <w:gridSpan w:val="2"/>
          </w:tcPr>
          <w:p>
            <w:pPr>
              <w:ind w:left="680"/>
              <w:spacing w:after="0"/>
              <w:rPr>
                <w:sz w:val="20"/>
                <w:szCs w:val="20"/>
                <w:color w:val="auto"/>
              </w:rPr>
            </w:pPr>
            <w:r>
              <w:rPr>
                <w:rFonts w:ascii="Arial" w:cs="Arial" w:eastAsia="Arial" w:hAnsi="Arial"/>
                <w:sz w:val="16"/>
                <w:szCs w:val="16"/>
                <w:color w:val="auto"/>
              </w:rPr>
              <w:t>December 31, 2017</w:t>
            </w:r>
          </w:p>
        </w:tc>
        <w:tc>
          <w:tcPr>
            <w:tcW w:w="2580" w:type="dxa"/>
            <w:vAlign w:val="bottom"/>
            <w:gridSpan w:val="2"/>
          </w:tcPr>
          <w:p>
            <w:pPr>
              <w:ind w:left="840"/>
              <w:spacing w:after="0"/>
              <w:rPr>
                <w:sz w:val="20"/>
                <w:szCs w:val="20"/>
                <w:color w:val="auto"/>
              </w:rPr>
            </w:pPr>
            <w:r>
              <w:rPr>
                <w:rFonts w:ascii="Arial" w:cs="Arial" w:eastAsia="Arial" w:hAnsi="Arial"/>
                <w:sz w:val="16"/>
                <w:szCs w:val="16"/>
                <w:color w:val="auto"/>
              </w:rPr>
              <w:t>June 30, 2017</w:t>
            </w:r>
          </w:p>
        </w:tc>
      </w:tr>
      <w:tr>
        <w:trPr>
          <w:trHeight w:val="33"/>
        </w:trPr>
        <w:tc>
          <w:tcPr>
            <w:tcW w:w="3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3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98"/>
              </w:rPr>
              <w:t>Maximum</w:t>
            </w:r>
          </w:p>
        </w:tc>
        <w:tc>
          <w:tcPr>
            <w:tcW w:w="148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5"/>
              </w:rPr>
              <w:t>Maximum</w:t>
            </w:r>
          </w:p>
        </w:tc>
        <w:tc>
          <w:tcPr>
            <w:tcW w:w="1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3340" w:type="dxa"/>
            <w:vAlign w:val="bottom"/>
          </w:tcPr>
          <w:p>
            <w:pPr>
              <w:spacing w:after="0"/>
              <w:rPr>
                <w:sz w:val="17"/>
                <w:szCs w:val="17"/>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Notional</w:t>
            </w: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0"/>
              </w:rPr>
              <w:t>Term</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0"/>
              </w:rPr>
              <w:t>Term</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3340" w:type="dxa"/>
            <w:vAlign w:val="bottom"/>
            <w:tcBorders>
              <w:bottom w:val="single" w:sz="8" w:color="CEFFE7"/>
            </w:tcBorders>
          </w:tcPr>
          <w:p>
            <w:pPr>
              <w:spacing w:after="0"/>
              <w:rPr>
                <w:sz w:val="20"/>
                <w:szCs w:val="20"/>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(MMBtus)</w:t>
            </w:r>
          </w:p>
        </w:tc>
        <w:tc>
          <w:tcPr>
            <w:tcW w:w="128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4"/>
              </w:rPr>
              <w:t xml:space="preserve">(months) </w:t>
            </w:r>
            <w:r>
              <w:rPr>
                <w:rFonts w:ascii="Arial" w:cs="Arial" w:eastAsia="Arial" w:hAnsi="Arial"/>
                <w:sz w:val="21"/>
                <w:szCs w:val="21"/>
                <w:color w:val="auto"/>
                <w:w w:val="84"/>
                <w:vertAlign w:val="superscript"/>
              </w:rPr>
              <w:t>(a)</w:t>
            </w: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260" w:type="dxa"/>
            <w:vAlign w:val="bottom"/>
            <w:tcBorders>
              <w:bottom w:val="single" w:sz="8" w:color="auto"/>
            </w:tcBorders>
          </w:tcPr>
          <w:p>
            <w:pPr>
              <w:jc w:val="center"/>
              <w:ind w:right="39"/>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14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44"/>
        </w:trPr>
        <w:tc>
          <w:tcPr>
            <w:tcW w:w="3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futures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5,680,000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30</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8,330,000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36</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11,060,000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42</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Natural gas options purchased, net</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1,140,000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9</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3,540,000</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14</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1,640,000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33"/>
        </w:trPr>
        <w:tc>
          <w:tcPr>
            <w:tcW w:w="3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5,720,000</w:t>
            </w:r>
          </w:p>
        </w:tc>
        <w:tc>
          <w:tcPr>
            <w:tcW w:w="128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30</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8,060,000</w:t>
            </w:r>
          </w:p>
        </w:tc>
        <w:tc>
          <w:tcPr>
            <w:tcW w:w="1260" w:type="dxa"/>
            <w:vAlign w:val="bottom"/>
            <w:tcBorders>
              <w:bottom w:val="single" w:sz="8" w:color="CEFFE7"/>
            </w:tcBorders>
            <w:shd w:val="clear" w:color="auto" w:fill="CEFFE7"/>
          </w:tcPr>
          <w:p>
            <w:pPr>
              <w:jc w:val="center"/>
              <w:ind w:right="19"/>
              <w:spacing w:after="0"/>
              <w:rPr>
                <w:sz w:val="20"/>
                <w:szCs w:val="20"/>
                <w:color w:val="auto"/>
              </w:rPr>
            </w:pPr>
            <w:r>
              <w:rPr>
                <w:rFonts w:ascii="Arial" w:cs="Arial" w:eastAsia="Arial" w:hAnsi="Arial"/>
                <w:sz w:val="16"/>
                <w:szCs w:val="16"/>
                <w:color w:val="auto"/>
                <w:w w:val="89"/>
              </w:rPr>
              <w:t>36</w:t>
            </w:r>
          </w:p>
        </w:tc>
        <w:tc>
          <w:tcPr>
            <w:tcW w:w="14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10,070,000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42</w:t>
            </w: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4,950,000</w:t>
            </w: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23</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3,820,000</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w w:val="89"/>
              </w:rPr>
              <w:t>29</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5,200,000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270"/>
        </w:trPr>
        <w:tc>
          <w:tcPr>
            <w:tcW w:w="334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48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3,866,648</w:t>
            </w:r>
          </w:p>
        </w:tc>
        <w:tc>
          <w:tcPr>
            <w:tcW w:w="128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w w:val="89"/>
              </w:rPr>
              <w:t>210</w:t>
            </w:r>
          </w:p>
        </w:tc>
        <w:tc>
          <w:tcPr>
            <w:tcW w:w="14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12,826,605</w:t>
            </w:r>
          </w:p>
        </w:tc>
        <w:tc>
          <w:tcPr>
            <w:tcW w:w="1260" w:type="dxa"/>
            <w:vAlign w:val="bottom"/>
            <w:shd w:val="clear" w:color="auto" w:fill="CEFFE7"/>
          </w:tcPr>
          <w:p>
            <w:pPr>
              <w:jc w:val="center"/>
              <w:ind w:right="19"/>
              <w:spacing w:after="0"/>
              <w:rPr>
                <w:sz w:val="20"/>
                <w:szCs w:val="20"/>
                <w:color w:val="auto"/>
              </w:rPr>
            </w:pPr>
            <w:r>
              <w:rPr>
                <w:rFonts w:ascii="Arial" w:cs="Arial" w:eastAsia="Arial" w:hAnsi="Arial"/>
                <w:sz w:val="16"/>
                <w:szCs w:val="16"/>
                <w:color w:val="auto"/>
                <w:w w:val="89"/>
              </w:rPr>
              <w:t>35</w:t>
            </w:r>
          </w:p>
        </w:tc>
        <w:tc>
          <w:tcPr>
            <w:tcW w:w="14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8,427,119</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w:t>
            </w:r>
          </w:p>
        </w:tc>
      </w:tr>
      <w:tr>
        <w:trPr>
          <w:trHeight w:val="220"/>
        </w:trPr>
        <w:tc>
          <w:tcPr>
            <w:tcW w:w="3340" w:type="dxa"/>
            <w:vAlign w:val="bottom"/>
          </w:tcPr>
          <w:p>
            <w:pPr>
              <w:spacing w:after="0"/>
              <w:rPr>
                <w:sz w:val="20"/>
                <w:szCs w:val="20"/>
                <w:color w:val="auto"/>
              </w:rPr>
            </w:pPr>
            <w:r>
              <w:rPr>
                <w:rFonts w:ascii="Arial" w:cs="Arial" w:eastAsia="Arial" w:hAnsi="Arial"/>
                <w:sz w:val="18"/>
                <w:szCs w:val="18"/>
                <w:color w:val="auto"/>
              </w:rPr>
              <w:t>__________</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June 30, 2018</w:t>
      </w:r>
      <w:r>
        <w:rPr>
          <w:rFonts w:ascii="Arial" w:cs="Arial" w:eastAsia="Arial" w:hAnsi="Arial"/>
          <w:sz w:val="18"/>
          <w:szCs w:val="18"/>
          <w:color w:val="auto"/>
        </w:rPr>
        <w:t>,</w:t>
      </w:r>
      <w:r>
        <w:rPr>
          <w:rFonts w:ascii="Arial" w:cs="Arial" w:eastAsia="Arial" w:hAnsi="Arial"/>
          <w:sz w:val="16"/>
          <w:szCs w:val="16"/>
          <w:color w:val="auto"/>
        </w:rPr>
        <w:t xml:space="preserve"> 2,452,000 MMBtus were designated as cash flow hedges for the natural gas over-the-counter swaps purchased.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Volumes exclude contracts that qualify for the normal purchase, normal sales exception.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Based on June 30, 2018 prices, a $0.1 million loss would be realized, reported in pre-tax earnings and reclassified from AOCI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during the next 12 months. As market prices fluctuate, estimated and actual realized gains or losses will change during future periods.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certain derivative contracts which contain credit provisions. These credit provisions may require the Company to post collateral when credit exposure to the Company is in excess of a negotiated line of unsecured credit. At June 30, 2018, the Company posted $0.7 million related to such provisions, which is included in Other current assets on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June 30, 2018, we had no outstanding interest rate swap agreements. Our last interest rate swap agreement with a $50 million notional value, which was designated to borrowings on our Revolving Credit Facility, expired in January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Oil and Gas segment was exposed to risks associated with changes in the market prices of oil and gas. Through December 2017, we used exchange traded futures, swaps and options to hedge portions of our crude oil and natural gas production to mitigate commodity price risk and preserve cash flows. Hedge accounting was elected on the swaps and futures contracts. These transactions were designated upon inception as cash flow hedges, documented under accounting standards for derivatives and hedging and initially met prospective effectiveness testing. As a result of divesting our Oil and Gas assets, these activities were discontinued and there were no outstanding derivative agreements as of June 30, 2018 or December 31, 2017. At June 30, 2017, we had outstanding crude oil futures and swap contracts with notional volumes of 72,000 Bbls, crude oil option contracts with notional volumes of 18,000 Bbls and natural gas futures and swap contracts with notional volumes of 1,080,000 MMBtus.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impacts of cash flow hedges on our Condensed Consolidated Statements of Income is presented below for the three and six months ended June 30, 2018 and 2017 (in thousands).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June 30, 2018</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9"/>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9"/>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20"/>
        </w:trPr>
        <w:tc>
          <w:tcPr>
            <w:tcW w:w="252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(163)</w:t>
            </w:r>
          </w:p>
        </w:tc>
        <w:tc>
          <w:tcPr>
            <w:tcW w:w="2500" w:type="dxa"/>
            <w:vAlign w:val="bottom"/>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Pr>
          <w:p>
            <w:pPr>
              <w:spacing w:after="0"/>
              <w:rPr>
                <w:sz w:val="17"/>
                <w:szCs w:val="17"/>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Borders>
              <w:bottom w:val="single" w:sz="8" w:color="CEFFE7"/>
            </w:tcBorders>
          </w:tcPr>
          <w:p>
            <w:pPr>
              <w:spacing w:after="0"/>
              <w:rPr>
                <w:sz w:val="2"/>
                <w:szCs w:val="2"/>
                <w:color w:val="auto"/>
              </w:rPr>
            </w:pPr>
          </w:p>
        </w:tc>
        <w:tc>
          <w:tcPr>
            <w:tcW w:w="25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(876)</w:t>
            </w:r>
          </w:p>
        </w:tc>
        <w:tc>
          <w:tcPr>
            <w:tcW w:w="25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4720" w:type="dxa"/>
            <w:vAlign w:val="bottom"/>
            <w:gridSpan w:val="3"/>
          </w:tcPr>
          <w:p>
            <w:pPr>
              <w:ind w:left="1960"/>
              <w:spacing w:after="0"/>
              <w:rPr>
                <w:sz w:val="20"/>
                <w:szCs w:val="20"/>
                <w:color w:val="auto"/>
              </w:rPr>
            </w:pPr>
            <w:r>
              <w:rPr>
                <w:rFonts w:ascii="Arial" w:cs="Arial" w:eastAsia="Arial" w:hAnsi="Arial"/>
                <w:sz w:val="16"/>
                <w:szCs w:val="16"/>
                <w:b w:val="1"/>
                <w:bCs w:val="1"/>
                <w:color w:val="auto"/>
              </w:rPr>
              <w:t>Three Months Ended June 30, 2017</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25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5"/>
              </w:rPr>
              <w:t>Amount of</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40" w:type="dxa"/>
            <w:vAlign w:val="bottom"/>
          </w:tcPr>
          <w:p>
            <w:pPr>
              <w:jc w:val="center"/>
              <w:ind w:right="179"/>
              <w:spacing w:after="0"/>
              <w:rPr>
                <w:sz w:val="20"/>
                <w:szCs w:val="20"/>
                <w:color w:val="auto"/>
              </w:rPr>
            </w:pPr>
            <w:r>
              <w:rPr>
                <w:rFonts w:ascii="Arial" w:cs="Arial" w:eastAsia="Arial" w:hAnsi="Arial"/>
                <w:sz w:val="16"/>
                <w:szCs w:val="16"/>
                <w:color w:val="auto"/>
                <w:w w:val="94"/>
              </w:rPr>
              <w:t>Gain/(Loss)</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18"/>
              <w:spacing w:after="0"/>
              <w:rPr>
                <w:sz w:val="20"/>
                <w:szCs w:val="20"/>
                <w:color w:val="auto"/>
              </w:rPr>
            </w:pPr>
            <w:r>
              <w:rPr>
                <w:rFonts w:ascii="Arial" w:cs="Arial" w:eastAsia="Arial" w:hAnsi="Arial"/>
                <w:sz w:val="16"/>
                <w:szCs w:val="16"/>
                <w:color w:val="auto"/>
                <w:w w:val="95"/>
              </w:rPr>
              <w:t>Amount of</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Recognized in</w:t>
            </w:r>
          </w:p>
        </w:tc>
      </w:tr>
      <w:tr>
        <w:trPr>
          <w:trHeight w:val="203"/>
        </w:trPr>
        <w:tc>
          <w:tcPr>
            <w:tcW w:w="2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ind w:right="138"/>
              <w:spacing w:after="0"/>
              <w:rPr>
                <w:sz w:val="20"/>
                <w:szCs w:val="20"/>
                <w:color w:val="auto"/>
              </w:rPr>
            </w:pPr>
            <w:r>
              <w:rPr>
                <w:rFonts w:ascii="Arial" w:cs="Arial" w:eastAsia="Arial" w:hAnsi="Arial"/>
                <w:sz w:val="16"/>
                <w:szCs w:val="16"/>
                <w:color w:val="auto"/>
                <w:w w:val="92"/>
              </w:rPr>
              <w:t>Gain/(Loss) Reclassified</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0"/>
              </w:rPr>
              <w:t>Income on</w:t>
            </w:r>
          </w:p>
        </w:tc>
      </w:tr>
      <w:tr>
        <w:trPr>
          <w:trHeight w:val="203"/>
        </w:trPr>
        <w:tc>
          <w:tcPr>
            <w:tcW w:w="252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4"/>
              </w:rPr>
              <w:t>Location of</w:t>
            </w:r>
          </w:p>
        </w:tc>
        <w:tc>
          <w:tcPr>
            <w:tcW w:w="200" w:type="dxa"/>
            <w:vAlign w:val="bottom"/>
          </w:tcPr>
          <w:p>
            <w:pPr>
              <w:spacing w:after="0"/>
              <w:rPr>
                <w:sz w:val="17"/>
                <w:szCs w:val="17"/>
                <w:color w:val="auto"/>
              </w:rPr>
            </w:pPr>
          </w:p>
        </w:tc>
        <w:tc>
          <w:tcPr>
            <w:tcW w:w="1980" w:type="dxa"/>
            <w:vAlign w:val="bottom"/>
          </w:tcPr>
          <w:p>
            <w:pPr>
              <w:jc w:val="center"/>
              <w:ind w:right="118"/>
              <w:spacing w:after="0"/>
              <w:rPr>
                <w:sz w:val="20"/>
                <w:szCs w:val="20"/>
                <w:color w:val="auto"/>
              </w:rPr>
            </w:pPr>
            <w:r>
              <w:rPr>
                <w:rFonts w:ascii="Arial" w:cs="Arial" w:eastAsia="Arial" w:hAnsi="Arial"/>
                <w:sz w:val="16"/>
                <w:szCs w:val="16"/>
                <w:color w:val="auto"/>
                <w:w w:val="97"/>
              </w:rPr>
              <w:t>from AOCI</w:t>
            </w: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5"/>
              </w:rPr>
              <w:t>Derivative</w:t>
            </w:r>
          </w:p>
        </w:tc>
      </w:tr>
      <w:tr>
        <w:trPr>
          <w:trHeight w:val="203"/>
        </w:trPr>
        <w:tc>
          <w:tcPr>
            <w:tcW w:w="2520" w:type="dxa"/>
            <w:vAlign w:val="bottom"/>
          </w:tcPr>
          <w:p>
            <w:pPr>
              <w:jc w:val="center"/>
              <w:spacing w:after="0"/>
              <w:rPr>
                <w:sz w:val="20"/>
                <w:szCs w:val="20"/>
                <w:color w:val="auto"/>
              </w:rPr>
            </w:pPr>
            <w:r>
              <w:rPr>
                <w:rFonts w:ascii="Arial" w:cs="Arial" w:eastAsia="Arial" w:hAnsi="Arial"/>
                <w:sz w:val="16"/>
                <w:szCs w:val="16"/>
                <w:color w:val="auto"/>
                <w:w w:val="93"/>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200" w:type="dxa"/>
            <w:vAlign w:val="bottom"/>
          </w:tcPr>
          <w:p>
            <w:pPr>
              <w:spacing w:after="0"/>
              <w:rPr>
                <w:sz w:val="17"/>
                <w:szCs w:val="17"/>
                <w:color w:val="auto"/>
              </w:rPr>
            </w:pPr>
          </w:p>
        </w:tc>
        <w:tc>
          <w:tcPr>
            <w:tcW w:w="1980" w:type="dxa"/>
            <w:vAlign w:val="bottom"/>
          </w:tcPr>
          <w:p>
            <w:pPr>
              <w:jc w:val="center"/>
              <w:ind w:right="118"/>
              <w:spacing w:after="0"/>
              <w:rPr>
                <w:sz w:val="20"/>
                <w:szCs w:val="20"/>
                <w:color w:val="auto"/>
              </w:rPr>
            </w:pPr>
            <w:r>
              <w:rPr>
                <w:rFonts w:ascii="Arial" w:cs="Arial" w:eastAsia="Arial" w:hAnsi="Arial"/>
                <w:sz w:val="16"/>
                <w:szCs w:val="16"/>
                <w:color w:val="auto"/>
                <w:w w:val="94"/>
              </w:rPr>
              <w:t>into Income</w:t>
            </w:r>
          </w:p>
        </w:tc>
        <w:tc>
          <w:tcPr>
            <w:tcW w:w="250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7"/>
              </w:rPr>
              <w:t>(Ineffective</w:t>
            </w:r>
          </w:p>
        </w:tc>
      </w:tr>
      <w:tr>
        <w:trPr>
          <w:trHeight w:val="206"/>
        </w:trPr>
        <w:tc>
          <w:tcPr>
            <w:tcW w:w="252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Income</w:t>
            </w:r>
          </w:p>
        </w:tc>
        <w:tc>
          <w:tcPr>
            <w:tcW w:w="200" w:type="dxa"/>
            <w:vAlign w:val="bottom"/>
          </w:tcPr>
          <w:p>
            <w:pPr>
              <w:spacing w:after="0"/>
              <w:rPr>
                <w:sz w:val="17"/>
                <w:szCs w:val="17"/>
                <w:color w:val="auto"/>
              </w:rPr>
            </w:pPr>
          </w:p>
        </w:tc>
        <w:tc>
          <w:tcPr>
            <w:tcW w:w="1980" w:type="dxa"/>
            <w:vAlign w:val="bottom"/>
          </w:tcPr>
          <w:p>
            <w:pPr>
              <w:jc w:val="center"/>
              <w:ind w:right="118"/>
              <w:spacing w:after="0"/>
              <w:rPr>
                <w:sz w:val="20"/>
                <w:szCs w:val="20"/>
                <w:color w:val="auto"/>
              </w:rPr>
            </w:pPr>
            <w:r>
              <w:rPr>
                <w:rFonts w:ascii="Arial" w:cs="Arial" w:eastAsia="Arial" w:hAnsi="Arial"/>
                <w:sz w:val="16"/>
                <w:szCs w:val="16"/>
                <w:color w:val="auto"/>
                <w:w w:val="90"/>
              </w:rPr>
              <w:t>(Settlements)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color w:val="auto"/>
                <w:w w:val="92"/>
              </w:rPr>
              <w:t>Portion)</w:t>
            </w:r>
          </w:p>
        </w:tc>
      </w:tr>
      <w:tr>
        <w:trPr>
          <w:trHeight w:val="33"/>
        </w:trPr>
        <w:tc>
          <w:tcPr>
            <w:tcW w:w="25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20"/>
        </w:trPr>
        <w:tc>
          <w:tcPr>
            <w:tcW w:w="2520" w:type="dxa"/>
            <w:vAlign w:val="bottom"/>
          </w:tcPr>
          <w:p>
            <w:pPr>
              <w:spacing w:after="0"/>
              <w:rPr>
                <w:sz w:val="19"/>
                <w:szCs w:val="19"/>
                <w:color w:val="auto"/>
              </w:rPr>
            </w:pPr>
          </w:p>
        </w:tc>
        <w:tc>
          <w:tcPr>
            <w:tcW w:w="2540" w:type="dxa"/>
            <w:vAlign w:val="bottom"/>
          </w:tcPr>
          <w:p>
            <w:pPr>
              <w:ind w:left="140"/>
              <w:spacing w:after="0"/>
              <w:rPr>
                <w:sz w:val="20"/>
                <w:szCs w:val="20"/>
                <w:color w:val="auto"/>
              </w:rPr>
            </w:pPr>
            <w:r>
              <w:rPr>
                <w:rFonts w:ascii="Arial" w:cs="Arial" w:eastAsia="Arial" w:hAnsi="Arial"/>
                <w:sz w:val="16"/>
                <w:szCs w:val="16"/>
                <w:color w:val="auto"/>
              </w:rPr>
              <w:t>Net (loss) from discontinued</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6"/>
                <w:szCs w:val="16"/>
                <w:color w:val="auto"/>
              </w:rPr>
              <w:t>Net (loss) from discontinued</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200" w:type="dxa"/>
            <w:vAlign w:val="bottom"/>
          </w:tcPr>
          <w:p>
            <w:pPr>
              <w:spacing w:after="0"/>
              <w:rPr>
                <w:sz w:val="17"/>
                <w:szCs w:val="17"/>
                <w:color w:val="auto"/>
              </w:rPr>
            </w:pPr>
          </w:p>
        </w:tc>
        <w:tc>
          <w:tcPr>
            <w:tcW w:w="1980" w:type="dxa"/>
            <w:vAlign w:val="bottom"/>
          </w:tcPr>
          <w:p>
            <w:pPr>
              <w:jc w:val="right"/>
              <w:ind w:right="38"/>
              <w:spacing w:after="0"/>
              <w:rPr>
                <w:sz w:val="20"/>
                <w:szCs w:val="20"/>
                <w:color w:val="auto"/>
              </w:rPr>
            </w:pPr>
            <w:r>
              <w:rPr>
                <w:rFonts w:ascii="Arial" w:cs="Arial" w:eastAsia="Arial" w:hAnsi="Arial"/>
                <w:sz w:val="16"/>
                <w:szCs w:val="16"/>
                <w:color w:val="auto"/>
              </w:rPr>
              <w:t>430</w:t>
            </w:r>
          </w:p>
        </w:tc>
        <w:tc>
          <w:tcPr>
            <w:tcW w:w="2500" w:type="dxa"/>
            <w:vAlign w:val="bottom"/>
          </w:tcPr>
          <w:p>
            <w:pPr>
              <w:ind w:left="12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17"/>
                <w:szCs w:val="17"/>
                <w:color w:val="auto"/>
              </w:rPr>
            </w:pP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r>
      <w:tr>
        <w:trPr>
          <w:trHeight w:val="33"/>
        </w:trPr>
        <w:tc>
          <w:tcPr>
            <w:tcW w:w="2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520" w:type="dxa"/>
            <w:vAlign w:val="bottom"/>
            <w:shd w:val="clear" w:color="auto" w:fill="CEFFE7"/>
          </w:tcPr>
          <w:p>
            <w:pPr>
              <w:spacing w:after="0"/>
              <w:rPr>
                <w:sz w:val="19"/>
                <w:szCs w:val="19"/>
                <w:color w:val="auto"/>
              </w:rPr>
            </w:pPr>
          </w:p>
        </w:tc>
        <w:tc>
          <w:tcPr>
            <w:tcW w:w="2540" w:type="dxa"/>
            <w:vAlign w:val="bottom"/>
            <w:shd w:val="clear" w:color="auto" w:fill="CEFFE7"/>
          </w:tcPr>
          <w:p>
            <w:pPr>
              <w:ind w:left="140"/>
              <w:spacing w:after="0"/>
              <w:rPr>
                <w:sz w:val="20"/>
                <w:szCs w:val="20"/>
                <w:color w:val="auto"/>
              </w:rPr>
            </w:pPr>
            <w:r>
              <w:rPr>
                <w:rFonts w:ascii="Arial" w:cs="Arial" w:eastAsia="Arial" w:hAnsi="Arial"/>
                <w:sz w:val="16"/>
                <w:szCs w:val="16"/>
                <w:color w:val="auto"/>
                <w:w w:val="96"/>
              </w:rPr>
              <w:t>Fuel, purchased power and cost of</w:t>
            </w:r>
          </w:p>
        </w:tc>
        <w:tc>
          <w:tcPr>
            <w:tcW w:w="20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5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Fuel, purchased power and cost of</w:t>
            </w:r>
          </w:p>
        </w:tc>
        <w:tc>
          <w:tcPr>
            <w:tcW w:w="240" w:type="dxa"/>
            <w:vAlign w:val="bottom"/>
            <w:shd w:val="clear" w:color="auto" w:fill="CEFFE7"/>
          </w:tcPr>
          <w:p>
            <w:pPr>
              <w:spacing w:after="0"/>
              <w:rPr>
                <w:sz w:val="19"/>
                <w:szCs w:val="19"/>
                <w:color w:val="auto"/>
              </w:rPr>
            </w:pPr>
          </w:p>
        </w:tc>
        <w:tc>
          <w:tcPr>
            <w:tcW w:w="1440" w:type="dxa"/>
            <w:vAlign w:val="bottom"/>
            <w:shd w:val="clear" w:color="auto" w:fill="CEFFE7"/>
          </w:tcPr>
          <w:p>
            <w:pPr>
              <w:spacing w:after="0"/>
              <w:rPr>
                <w:sz w:val="19"/>
                <w:szCs w:val="19"/>
                <w:color w:val="auto"/>
              </w:rPr>
            </w:pPr>
          </w:p>
        </w:tc>
      </w:tr>
      <w:tr>
        <w:trPr>
          <w:trHeight w:val="239"/>
        </w:trPr>
        <w:tc>
          <w:tcPr>
            <w:tcW w:w="2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Commodity derivatives</w:t>
            </w:r>
          </w:p>
        </w:tc>
        <w:tc>
          <w:tcPr>
            <w:tcW w:w="2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natural gas sold</w:t>
            </w:r>
          </w:p>
        </w:tc>
        <w:tc>
          <w:tcPr>
            <w:tcW w:w="200" w:type="dxa"/>
            <w:vAlign w:val="bottom"/>
            <w:tcBorders>
              <w:bottom w:val="single" w:sz="8" w:color="CEFFE7"/>
            </w:tcBorders>
            <w:shd w:val="clear" w:color="auto" w:fill="CEFFE7"/>
          </w:tcPr>
          <w:p>
            <w:pPr>
              <w:spacing w:after="0"/>
              <w:rPr>
                <w:sz w:val="20"/>
                <w:szCs w:val="20"/>
                <w:color w:val="auto"/>
              </w:rPr>
            </w:pP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w:t>
            </w:r>
          </w:p>
        </w:tc>
        <w:tc>
          <w:tcPr>
            <w:tcW w:w="25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4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6"/>
                <w:szCs w:val="16"/>
                <w:color w:val="auto"/>
              </w:rPr>
              <w:t>—</w:t>
            </w: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25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jc w:val="right"/>
              <w:ind w:right="1358"/>
              <w:spacing w:after="0"/>
              <w:rPr>
                <w:sz w:val="20"/>
                <w:szCs w:val="20"/>
                <w:color w:val="auto"/>
              </w:rPr>
            </w:pPr>
            <w:r>
              <w:rPr>
                <w:rFonts w:ascii="Arial" w:cs="Arial" w:eastAsia="Arial" w:hAnsi="Arial"/>
                <w:sz w:val="18"/>
                <w:szCs w:val="18"/>
                <w:color w:val="auto"/>
              </w:rPr>
              <w:t>26</w:t>
            </w: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45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Six Months Ended June 30, 2018</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3"/>
        </w:trPr>
        <w:tc>
          <w:tcPr>
            <w:tcW w:w="26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5"/>
              </w:rPr>
              <w:t>Amount of</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4"/>
              </w:rPr>
              <w:t>Gain/(Loss)</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c>
          <w:tcPr>
            <w:tcW w:w="248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2"/>
              </w:rPr>
              <w:t>Recognized in</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c>
          <w:tcPr>
            <w:tcW w:w="248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3"/>
              </w:rPr>
              <w:t>Income on</w:t>
            </w:r>
          </w:p>
        </w:tc>
      </w:tr>
      <w:tr>
        <w:trPr>
          <w:trHeight w:val="203"/>
        </w:trPr>
        <w:tc>
          <w:tcPr>
            <w:tcW w:w="26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c>
          <w:tcPr>
            <w:tcW w:w="248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8"/>
              </w:rPr>
              <w:t>Derivative</w:t>
            </w:r>
          </w:p>
        </w:tc>
      </w:tr>
      <w:tr>
        <w:trPr>
          <w:trHeight w:val="203"/>
        </w:trPr>
        <w:tc>
          <w:tcPr>
            <w:tcW w:w="2600" w:type="dxa"/>
            <w:vAlign w:val="bottom"/>
          </w:tcPr>
          <w:p>
            <w:pPr>
              <w:jc w:val="center"/>
              <w:spacing w:after="0"/>
              <w:rPr>
                <w:sz w:val="20"/>
                <w:szCs w:val="20"/>
                <w:color w:val="auto"/>
              </w:rPr>
            </w:pPr>
            <w:r>
              <w:rPr>
                <w:rFonts w:ascii="Arial" w:cs="Arial" w:eastAsia="Arial" w:hAnsi="Arial"/>
                <w:sz w:val="16"/>
                <w:szCs w:val="16"/>
                <w:color w:val="auto"/>
                <w:w w:val="94"/>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c>
          <w:tcPr>
            <w:tcW w:w="248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4"/>
              </w:rPr>
              <w:t>(Ineffective</w:t>
            </w:r>
          </w:p>
        </w:tc>
      </w:tr>
      <w:tr>
        <w:trPr>
          <w:trHeight w:val="206"/>
        </w:trPr>
        <w:tc>
          <w:tcPr>
            <w:tcW w:w="260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(Settlements)</w:t>
            </w:r>
          </w:p>
        </w:tc>
        <w:tc>
          <w:tcPr>
            <w:tcW w:w="248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6"/>
              </w:rPr>
              <w:t>Portion)</w:t>
            </w:r>
          </w:p>
        </w:tc>
      </w:tr>
      <w:tr>
        <w:trPr>
          <w:trHeight w:val="33"/>
        </w:trPr>
        <w:tc>
          <w:tcPr>
            <w:tcW w:w="2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248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EFFE7"/>
            </w:tcBorders>
            <w:shd w:val="clear" w:color="auto" w:fill="CEFFE7"/>
          </w:tcPr>
          <w:p>
            <w:pPr>
              <w:ind w:left="1180"/>
              <w:spacing w:after="0"/>
              <w:rPr>
                <w:sz w:val="20"/>
                <w:szCs w:val="20"/>
                <w:color w:val="auto"/>
              </w:rPr>
            </w:pPr>
            <w:r>
              <w:rPr>
                <w:rFonts w:ascii="Arial" w:cs="Arial" w:eastAsia="Arial" w:hAnsi="Arial"/>
                <w:sz w:val="16"/>
                <w:szCs w:val="16"/>
                <w:color w:val="auto"/>
              </w:rPr>
              <w:t>—</w:t>
            </w:r>
          </w:p>
        </w:tc>
      </w:tr>
      <w:tr>
        <w:trPr>
          <w:trHeight w:val="220"/>
        </w:trPr>
        <w:tc>
          <w:tcPr>
            <w:tcW w:w="26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0"/>
              </w:rPr>
              <w:t>Fuel, purchased power and cost of</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80" w:type="dxa"/>
            <w:vAlign w:val="bottom"/>
          </w:tcPr>
          <w:p>
            <w:pPr>
              <w:ind w:left="140"/>
              <w:spacing w:after="0"/>
              <w:rPr>
                <w:sz w:val="20"/>
                <w:szCs w:val="20"/>
                <w:color w:val="auto"/>
              </w:rPr>
            </w:pPr>
            <w:r>
              <w:rPr>
                <w:rFonts w:ascii="Arial" w:cs="Arial" w:eastAsia="Arial" w:hAnsi="Arial"/>
                <w:sz w:val="16"/>
                <w:szCs w:val="16"/>
                <w:color w:val="auto"/>
              </w:rPr>
              <w:t>Fuel, purchased power and cost</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60"/>
              <w:spacing w:after="0"/>
              <w:rPr>
                <w:sz w:val="20"/>
                <w:szCs w:val="20"/>
                <w:color w:val="auto"/>
              </w:rPr>
            </w:pPr>
            <w:r>
              <w:rPr>
                <w:rFonts w:ascii="Arial" w:cs="Arial" w:eastAsia="Arial" w:hAnsi="Arial"/>
                <w:sz w:val="16"/>
                <w:szCs w:val="16"/>
                <w:color w:val="auto"/>
              </w:rPr>
              <w:t>natural gas sold</w:t>
            </w:r>
          </w:p>
        </w:tc>
        <w:tc>
          <w:tcPr>
            <w:tcW w:w="1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(784)</w:t>
            </w:r>
          </w:p>
        </w:tc>
        <w:tc>
          <w:tcPr>
            <w:tcW w:w="2480" w:type="dxa"/>
            <w:vAlign w:val="bottom"/>
          </w:tcPr>
          <w:p>
            <w:pPr>
              <w:ind w:left="140"/>
              <w:spacing w:after="0"/>
              <w:rPr>
                <w:sz w:val="20"/>
                <w:szCs w:val="20"/>
                <w:color w:val="auto"/>
              </w:rPr>
            </w:pPr>
            <w:r>
              <w:rPr>
                <w:rFonts w:ascii="Arial" w:cs="Arial" w:eastAsia="Arial" w:hAnsi="Arial"/>
                <w:sz w:val="16"/>
                <w:szCs w:val="16"/>
                <w:color w:val="auto"/>
              </w:rPr>
              <w:t>of natural gas sold</w:t>
            </w:r>
          </w:p>
        </w:tc>
        <w:tc>
          <w:tcPr>
            <w:tcW w:w="240" w:type="dxa"/>
            <w:vAlign w:val="bottom"/>
          </w:tcPr>
          <w:p>
            <w:pPr>
              <w:spacing w:after="0"/>
              <w:rPr>
                <w:sz w:val="17"/>
                <w:szCs w:val="17"/>
                <w:color w:val="auto"/>
              </w:rPr>
            </w:pP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33"/>
        </w:trPr>
        <w:tc>
          <w:tcPr>
            <w:tcW w:w="2600" w:type="dxa"/>
            <w:vAlign w:val="bottom"/>
            <w:tcBorders>
              <w:bottom w:val="single" w:sz="8" w:color="CEFFE7"/>
            </w:tcBorders>
          </w:tcPr>
          <w:p>
            <w:pPr>
              <w:spacing w:after="0"/>
              <w:rPr>
                <w:sz w:val="2"/>
                <w:szCs w:val="2"/>
                <w:color w:val="auto"/>
              </w:rPr>
            </w:pPr>
          </w:p>
        </w:tc>
        <w:tc>
          <w:tcPr>
            <w:tcW w:w="25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(2,210)</w:t>
            </w:r>
          </w:p>
        </w:tc>
        <w:tc>
          <w:tcPr>
            <w:tcW w:w="24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EFFE7"/>
          </w:tcPr>
          <w:p>
            <w:pPr>
              <w:ind w:left="1180"/>
              <w:spacing w:after="0"/>
              <w:rPr>
                <w:sz w:val="20"/>
                <w:szCs w:val="20"/>
                <w:color w:val="auto"/>
              </w:rPr>
            </w:pPr>
            <w:r>
              <w:rPr>
                <w:rFonts w:ascii="Arial" w:cs="Arial" w:eastAsia="Arial" w:hAnsi="Arial"/>
                <w:sz w:val="16"/>
                <w:szCs w:val="16"/>
                <w:color w:val="auto"/>
              </w:rPr>
              <w:t>—</w:t>
            </w:r>
          </w:p>
        </w:tc>
      </w:tr>
      <w:tr>
        <w:trPr>
          <w:trHeight w:val="20"/>
        </w:trPr>
        <w:tc>
          <w:tcPr>
            <w:tcW w:w="2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4580" w:type="dxa"/>
            <w:vAlign w:val="bottom"/>
            <w:gridSpan w:val="3"/>
          </w:tcPr>
          <w:p>
            <w:pPr>
              <w:ind w:left="1940"/>
              <w:spacing w:after="0"/>
              <w:rPr>
                <w:sz w:val="20"/>
                <w:szCs w:val="20"/>
                <w:color w:val="auto"/>
              </w:rPr>
            </w:pPr>
            <w:r>
              <w:rPr>
                <w:rFonts w:ascii="Arial" w:cs="Arial" w:eastAsia="Arial" w:hAnsi="Arial"/>
                <w:sz w:val="16"/>
                <w:szCs w:val="16"/>
                <w:b w:val="1"/>
                <w:bCs w:val="1"/>
                <w:color w:val="2C2C2C"/>
              </w:rPr>
              <w:t>Six Months Ended June 30, 2017</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3"/>
        </w:trPr>
        <w:tc>
          <w:tcPr>
            <w:tcW w:w="26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240" w:type="dxa"/>
            <w:vAlign w:val="bottom"/>
          </w:tcPr>
          <w:p>
            <w:pPr>
              <w:spacing w:after="0"/>
              <w:rPr>
                <w:sz w:val="21"/>
                <w:szCs w:val="21"/>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5"/>
              </w:rPr>
              <w:t>Amount of</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1"/>
              </w:rPr>
              <w:t>Gain/(Loss)</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4"/>
              </w:rPr>
              <w:t>Gain/(Loss)</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c>
          <w:tcPr>
            <w:tcW w:w="2480" w:type="dxa"/>
            <w:vAlign w:val="bottom"/>
          </w:tcPr>
          <w:p>
            <w:pPr>
              <w:jc w:val="center"/>
              <w:spacing w:after="0"/>
              <w:rPr>
                <w:sz w:val="20"/>
                <w:szCs w:val="20"/>
                <w:color w:val="auto"/>
              </w:rPr>
            </w:pPr>
            <w:r>
              <w:rPr>
                <w:rFonts w:ascii="Arial" w:cs="Arial" w:eastAsia="Arial" w:hAnsi="Arial"/>
                <w:sz w:val="16"/>
                <w:szCs w:val="16"/>
                <w:color w:val="auto"/>
                <w:w w:val="90"/>
              </w:rPr>
              <w:t>Recognized in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2"/>
              </w:rPr>
              <w:t>Recognized in</w:t>
            </w:r>
          </w:p>
        </w:tc>
      </w:tr>
      <w:tr>
        <w:trPr>
          <w:trHeight w:val="203"/>
        </w:trPr>
        <w:tc>
          <w:tcPr>
            <w:tcW w:w="26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c>
          <w:tcPr>
            <w:tcW w:w="2480" w:type="dxa"/>
            <w:vAlign w:val="bottom"/>
          </w:tcPr>
          <w:p>
            <w:pPr>
              <w:jc w:val="center"/>
              <w:spacing w:after="0"/>
              <w:rPr>
                <w:sz w:val="20"/>
                <w:szCs w:val="20"/>
                <w:color w:val="auto"/>
              </w:rPr>
            </w:pPr>
            <w:r>
              <w:rPr>
                <w:rFonts w:ascii="Arial" w:cs="Arial" w:eastAsia="Arial" w:hAnsi="Arial"/>
                <w:sz w:val="16"/>
                <w:szCs w:val="16"/>
                <w:color w:val="auto"/>
                <w:w w:val="90"/>
              </w:rPr>
              <w:t>Income on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3"/>
              </w:rPr>
              <w:t>Income on</w:t>
            </w:r>
          </w:p>
        </w:tc>
      </w:tr>
      <w:tr>
        <w:trPr>
          <w:trHeight w:val="203"/>
        </w:trPr>
        <w:tc>
          <w:tcPr>
            <w:tcW w:w="26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w w:val="97"/>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c>
          <w:tcPr>
            <w:tcW w:w="248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8"/>
              </w:rPr>
              <w:t>Derivative</w:t>
            </w:r>
          </w:p>
        </w:tc>
      </w:tr>
      <w:tr>
        <w:trPr>
          <w:trHeight w:val="203"/>
        </w:trPr>
        <w:tc>
          <w:tcPr>
            <w:tcW w:w="2600" w:type="dxa"/>
            <w:vAlign w:val="bottom"/>
          </w:tcPr>
          <w:p>
            <w:pPr>
              <w:jc w:val="center"/>
              <w:spacing w:after="0"/>
              <w:rPr>
                <w:sz w:val="20"/>
                <w:szCs w:val="20"/>
                <w:color w:val="auto"/>
              </w:rPr>
            </w:pPr>
            <w:r>
              <w:rPr>
                <w:rFonts w:ascii="Arial" w:cs="Arial" w:eastAsia="Arial" w:hAnsi="Arial"/>
                <w:sz w:val="16"/>
                <w:szCs w:val="16"/>
                <w:color w:val="auto"/>
                <w:w w:val="94"/>
              </w:rPr>
              <w:t>Derivatives in Cash Flow Hedging</w:t>
            </w:r>
          </w:p>
        </w:tc>
        <w:tc>
          <w:tcPr>
            <w:tcW w:w="2540" w:type="dxa"/>
            <w:vAlign w:val="bottom"/>
          </w:tcPr>
          <w:p>
            <w:pPr>
              <w:jc w:val="center"/>
              <w:spacing w:after="0"/>
              <w:rPr>
                <w:sz w:val="20"/>
                <w:szCs w:val="20"/>
                <w:color w:val="auto"/>
              </w:rPr>
            </w:pPr>
            <w:r>
              <w:rPr>
                <w:rFonts w:ascii="Arial" w:cs="Arial" w:eastAsia="Arial" w:hAnsi="Arial"/>
                <w:sz w:val="16"/>
                <w:szCs w:val="16"/>
                <w:color w:val="auto"/>
                <w:w w:val="95"/>
              </w:rPr>
              <w:t>Reclassifications from AOCI into</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c>
          <w:tcPr>
            <w:tcW w:w="2480" w:type="dxa"/>
            <w:vAlign w:val="bottom"/>
          </w:tcPr>
          <w:p>
            <w:pPr>
              <w:jc w:val="center"/>
              <w:spacing w:after="0"/>
              <w:rPr>
                <w:sz w:val="20"/>
                <w:szCs w:val="20"/>
                <w:color w:val="auto"/>
              </w:rPr>
            </w:pPr>
            <w:r>
              <w:rPr>
                <w:rFonts w:ascii="Arial" w:cs="Arial" w:eastAsia="Arial" w:hAnsi="Arial"/>
                <w:sz w:val="16"/>
                <w:szCs w:val="16"/>
                <w:color w:val="auto"/>
                <w:w w:val="97"/>
              </w:rPr>
              <w:t>(Ineffective</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4"/>
              </w:rPr>
              <w:t>(Ineffective</w:t>
            </w:r>
          </w:p>
        </w:tc>
      </w:tr>
      <w:tr>
        <w:trPr>
          <w:trHeight w:val="206"/>
        </w:trPr>
        <w:tc>
          <w:tcPr>
            <w:tcW w:w="2600" w:type="dxa"/>
            <w:vAlign w:val="bottom"/>
          </w:tcPr>
          <w:p>
            <w:pPr>
              <w:jc w:val="center"/>
              <w:spacing w:after="0"/>
              <w:rPr>
                <w:sz w:val="20"/>
                <w:szCs w:val="20"/>
                <w:color w:val="auto"/>
              </w:rPr>
            </w:pPr>
            <w:r>
              <w:rPr>
                <w:rFonts w:ascii="Arial" w:cs="Arial" w:eastAsia="Arial" w:hAnsi="Arial"/>
                <w:sz w:val="16"/>
                <w:szCs w:val="16"/>
                <w:color w:val="auto"/>
                <w:w w:val="91"/>
              </w:rPr>
              <w:t>Relationships</w:t>
            </w:r>
          </w:p>
        </w:tc>
        <w:tc>
          <w:tcPr>
            <w:tcW w:w="254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(Settlements)</w:t>
            </w:r>
          </w:p>
        </w:tc>
        <w:tc>
          <w:tcPr>
            <w:tcW w:w="2480" w:type="dxa"/>
            <w:vAlign w:val="bottom"/>
          </w:tcPr>
          <w:p>
            <w:pPr>
              <w:jc w:val="center"/>
              <w:spacing w:after="0"/>
              <w:rPr>
                <w:sz w:val="20"/>
                <w:szCs w:val="20"/>
                <w:color w:val="auto"/>
              </w:rPr>
            </w:pPr>
            <w:r>
              <w:rPr>
                <w:rFonts w:ascii="Arial" w:cs="Arial" w:eastAsia="Arial" w:hAnsi="Arial"/>
                <w:sz w:val="16"/>
                <w:szCs w:val="16"/>
                <w:color w:val="auto"/>
                <w:w w:val="92"/>
              </w:rPr>
              <w:t>Portion)</w:t>
            </w: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Arial" w:cs="Arial" w:eastAsia="Arial" w:hAnsi="Arial"/>
                <w:sz w:val="16"/>
                <w:szCs w:val="16"/>
                <w:color w:val="auto"/>
                <w:w w:val="96"/>
              </w:rPr>
              <w:t>Portion)</w:t>
            </w:r>
          </w:p>
        </w:tc>
      </w:tr>
      <w:tr>
        <w:trPr>
          <w:trHeight w:val="33"/>
        </w:trPr>
        <w:tc>
          <w:tcPr>
            <w:tcW w:w="2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25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(1,515)</w:t>
            </w:r>
          </w:p>
        </w:tc>
        <w:tc>
          <w:tcPr>
            <w:tcW w:w="248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EFFE7"/>
            </w:tcBorders>
            <w:shd w:val="clear" w:color="auto" w:fill="CEFFE7"/>
          </w:tcPr>
          <w:p>
            <w:pPr>
              <w:ind w:left="1180"/>
              <w:spacing w:after="0"/>
              <w:rPr>
                <w:sz w:val="20"/>
                <w:szCs w:val="20"/>
                <w:color w:val="auto"/>
              </w:rPr>
            </w:pPr>
            <w:r>
              <w:rPr>
                <w:rFonts w:ascii="Arial" w:cs="Arial" w:eastAsia="Arial" w:hAnsi="Arial"/>
                <w:sz w:val="16"/>
                <w:szCs w:val="16"/>
                <w:color w:val="auto"/>
              </w:rPr>
              <w:t>—</w:t>
            </w:r>
          </w:p>
        </w:tc>
      </w:tr>
      <w:tr>
        <w:trPr>
          <w:trHeight w:val="220"/>
        </w:trPr>
        <w:tc>
          <w:tcPr>
            <w:tcW w:w="260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6"/>
                <w:szCs w:val="16"/>
                <w:color w:val="auto"/>
              </w:rPr>
              <w:t>Net (loss) from discontinued</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80" w:type="dxa"/>
            <w:vAlign w:val="bottom"/>
          </w:tcPr>
          <w:p>
            <w:pPr>
              <w:ind w:left="140"/>
              <w:spacing w:after="0"/>
              <w:rPr>
                <w:sz w:val="20"/>
                <w:szCs w:val="20"/>
                <w:color w:val="auto"/>
              </w:rPr>
            </w:pPr>
            <w:r>
              <w:rPr>
                <w:rFonts w:ascii="Arial" w:cs="Arial" w:eastAsia="Arial" w:hAnsi="Arial"/>
                <w:sz w:val="16"/>
                <w:szCs w:val="16"/>
                <w:color w:val="auto"/>
              </w:rPr>
              <w:t>Net (loss) from discontinued</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254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7"/>
                <w:szCs w:val="17"/>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659</w:t>
            </w:r>
          </w:p>
        </w:tc>
        <w:tc>
          <w:tcPr>
            <w:tcW w:w="2480" w:type="dxa"/>
            <w:vAlign w:val="bottom"/>
          </w:tcPr>
          <w:p>
            <w:pPr>
              <w:ind w:left="14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17"/>
                <w:szCs w:val="17"/>
                <w:color w:val="auto"/>
              </w:rPr>
            </w:pPr>
          </w:p>
        </w:tc>
        <w:tc>
          <w:tcPr>
            <w:tcW w:w="146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33"/>
        </w:trPr>
        <w:tc>
          <w:tcPr>
            <w:tcW w:w="26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0"/>
        </w:trPr>
        <w:tc>
          <w:tcPr>
            <w:tcW w:w="2600" w:type="dxa"/>
            <w:vAlign w:val="bottom"/>
            <w:shd w:val="clear" w:color="auto" w:fill="CEFFE7"/>
          </w:tcPr>
          <w:p>
            <w:pPr>
              <w:spacing w:after="0"/>
              <w:rPr>
                <w:sz w:val="19"/>
                <w:szCs w:val="19"/>
                <w:color w:val="auto"/>
              </w:rPr>
            </w:pPr>
          </w:p>
        </w:tc>
        <w:tc>
          <w:tcPr>
            <w:tcW w:w="2540" w:type="dxa"/>
            <w:vAlign w:val="bottom"/>
            <w:shd w:val="clear" w:color="auto" w:fill="CEFFE7"/>
          </w:tcPr>
          <w:p>
            <w:pPr>
              <w:ind w:left="160"/>
              <w:spacing w:after="0"/>
              <w:rPr>
                <w:sz w:val="20"/>
                <w:szCs w:val="20"/>
                <w:color w:val="auto"/>
              </w:rPr>
            </w:pPr>
            <w:r>
              <w:rPr>
                <w:rFonts w:ascii="Arial" w:cs="Arial" w:eastAsia="Arial" w:hAnsi="Arial"/>
                <w:sz w:val="16"/>
                <w:szCs w:val="16"/>
                <w:color w:val="auto"/>
                <w:w w:val="96"/>
              </w:rPr>
              <w:t>Fuel, purchased power and cost of</w:t>
            </w:r>
          </w:p>
        </w:tc>
        <w:tc>
          <w:tcPr>
            <w:tcW w:w="16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24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Fuel, purchased power and cost</w:t>
            </w:r>
          </w:p>
        </w:tc>
        <w:tc>
          <w:tcPr>
            <w:tcW w:w="240" w:type="dxa"/>
            <w:vAlign w:val="bottom"/>
            <w:shd w:val="clear" w:color="auto" w:fill="CEFFE7"/>
          </w:tcPr>
          <w:p>
            <w:pPr>
              <w:spacing w:after="0"/>
              <w:rPr>
                <w:sz w:val="19"/>
                <w:szCs w:val="19"/>
                <w:color w:val="auto"/>
              </w:rPr>
            </w:pPr>
          </w:p>
        </w:tc>
        <w:tc>
          <w:tcPr>
            <w:tcW w:w="1460" w:type="dxa"/>
            <w:vAlign w:val="bottom"/>
            <w:shd w:val="clear" w:color="auto" w:fill="CEFFE7"/>
          </w:tcPr>
          <w:p>
            <w:pPr>
              <w:spacing w:after="0"/>
              <w:rPr>
                <w:sz w:val="19"/>
                <w:szCs w:val="19"/>
                <w:color w:val="auto"/>
              </w:rPr>
            </w:pPr>
          </w:p>
        </w:tc>
      </w:tr>
      <w:tr>
        <w:trPr>
          <w:trHeight w:val="239"/>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Commodity derivatives</w:t>
            </w:r>
          </w:p>
        </w:tc>
        <w:tc>
          <w:tcPr>
            <w:tcW w:w="25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natural gas sold</w:t>
            </w:r>
          </w:p>
        </w:tc>
        <w:tc>
          <w:tcPr>
            <w:tcW w:w="160" w:type="dxa"/>
            <w:vAlign w:val="bottom"/>
            <w:tcBorders>
              <w:bottom w:val="single" w:sz="8" w:color="CEFFE7"/>
            </w:tcBorders>
            <w:shd w:val="clear" w:color="auto" w:fill="CEFFE7"/>
          </w:tcPr>
          <w:p>
            <w:pPr>
              <w:spacing w:after="0"/>
              <w:rPr>
                <w:sz w:val="20"/>
                <w:szCs w:val="20"/>
                <w:color w:val="auto"/>
              </w:rPr>
            </w:pP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w:t>
            </w:r>
          </w:p>
        </w:tc>
        <w:tc>
          <w:tcPr>
            <w:tcW w:w="248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of natural gas sold</w:t>
            </w:r>
          </w:p>
        </w:tc>
        <w:tc>
          <w:tcPr>
            <w:tcW w:w="240" w:type="dxa"/>
            <w:vAlign w:val="bottom"/>
            <w:tcBorders>
              <w:bottom w:val="single" w:sz="8" w:color="CEFFE7"/>
            </w:tcBorders>
            <w:shd w:val="clear" w:color="auto" w:fill="CEFFE7"/>
          </w:tcPr>
          <w:p>
            <w:pPr>
              <w:spacing w:after="0"/>
              <w:rPr>
                <w:sz w:val="20"/>
                <w:szCs w:val="20"/>
                <w:color w:val="auto"/>
              </w:rPr>
            </w:pPr>
          </w:p>
        </w:tc>
        <w:tc>
          <w:tcPr>
            <w:tcW w:w="1460" w:type="dxa"/>
            <w:vAlign w:val="bottom"/>
            <w:tcBorders>
              <w:bottom w:val="single" w:sz="8" w:color="CEFFE7"/>
            </w:tcBorders>
            <w:shd w:val="clear" w:color="auto" w:fill="CEFFE7"/>
          </w:tcPr>
          <w:p>
            <w:pPr>
              <w:ind w:left="1180"/>
              <w:spacing w:after="0"/>
              <w:rPr>
                <w:sz w:val="20"/>
                <w:szCs w:val="20"/>
                <w:color w:val="auto"/>
              </w:rPr>
            </w:pPr>
            <w:r>
              <w:rPr>
                <w:rFonts w:ascii="Arial" w:cs="Arial" w:eastAsia="Arial" w:hAnsi="Arial"/>
                <w:sz w:val="16"/>
                <w:szCs w:val="16"/>
                <w:color w:val="auto"/>
              </w:rPr>
              <w:t>—</w:t>
            </w:r>
          </w:p>
        </w:tc>
      </w:tr>
      <w:tr>
        <w:trPr>
          <w:trHeight w:val="244"/>
        </w:trPr>
        <w:tc>
          <w:tcPr>
            <w:tcW w:w="2600" w:type="dxa"/>
            <w:vAlign w:val="bottom"/>
          </w:tcPr>
          <w:p>
            <w:pPr>
              <w:ind w:left="380"/>
              <w:spacing w:after="0"/>
              <w:rPr>
                <w:sz w:val="20"/>
                <w:szCs w:val="20"/>
                <w:color w:val="auto"/>
              </w:rPr>
            </w:pPr>
            <w:r>
              <w:rPr>
                <w:rFonts w:ascii="Arial" w:cs="Arial" w:eastAsia="Arial" w:hAnsi="Arial"/>
                <w:sz w:val="16"/>
                <w:szCs w:val="16"/>
                <w:color w:val="auto"/>
              </w:rPr>
              <w:t>Total</w:t>
            </w:r>
          </w:p>
        </w:tc>
        <w:tc>
          <w:tcPr>
            <w:tcW w:w="25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24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6"/>
                <w:szCs w:val="16"/>
                <w:color w:val="auto"/>
              </w:rPr>
              <w:t>—</w:t>
            </w:r>
          </w:p>
        </w:tc>
      </w:tr>
      <w:tr>
        <w:trPr>
          <w:trHeight w:val="20"/>
        </w:trPr>
        <w:tc>
          <w:tcPr>
            <w:tcW w:w="2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following tables summarize the gains and losses arising from hedging transactions that were recognized as a component of other comprehensive income (loss) for the three and six months ended June 30, 2018 and 2017. The amounts included in the tables below exclude gains and losses arising from ineffectiveness because these amounts, if any, are immediately recognized in the Condensed Consolidated Statements of Income as incurred.</w:t>
      </w:r>
    </w:p>
    <w:p>
      <w:pPr>
        <w:spacing w:after="0" w:line="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Increase (decrease) in fair value:</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76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Forward commodity contracts</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48</w:t>
            </w:r>
          </w:p>
        </w:tc>
        <w:tc>
          <w:tcPr>
            <w:tcW w:w="1260" w:type="dxa"/>
            <w:vAlign w:val="bottom"/>
            <w:tcBorders>
              <w:bottom w:val="single" w:sz="8" w:color="CEFFE7"/>
            </w:tcBorders>
            <w:shd w:val="clear" w:color="auto" w:fill="CEFFE7"/>
          </w:tcPr>
          <w:p>
            <w:pPr>
              <w:jc w:val="right"/>
              <w:ind w:right="9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525</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76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8"/>
                <w:szCs w:val="18"/>
                <w:color w:val="auto"/>
              </w:rPr>
              <w:t>Interest rate swaps</w:t>
            </w: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713</w:t>
            </w:r>
          </w:p>
        </w:tc>
        <w:tc>
          <w:tcPr>
            <w:tcW w:w="12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713</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tcPr>
          <w:p>
            <w:pPr>
              <w:ind w:left="140"/>
              <w:spacing w:after="0"/>
              <w:rPr>
                <w:sz w:val="20"/>
                <w:szCs w:val="20"/>
                <w:color w:val="auto"/>
              </w:rPr>
            </w:pPr>
            <w:r>
              <w:rPr>
                <w:rFonts w:ascii="Arial" w:cs="Arial" w:eastAsia="Arial" w:hAnsi="Arial"/>
                <w:sz w:val="18"/>
                <w:szCs w:val="18"/>
                <w:color w:val="auto"/>
              </w:rPr>
              <w:t>Forward commodity contracts</w:t>
            </w:r>
          </w:p>
        </w:tc>
        <w:tc>
          <w:tcPr>
            <w:tcW w:w="120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1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762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120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924</w:t>
            </w:r>
          </w:p>
        </w:tc>
        <w:tc>
          <w:tcPr>
            <w:tcW w:w="1260" w:type="dxa"/>
            <w:vAlign w:val="bottom"/>
            <w:tcBorders>
              <w:bottom w:val="single" w:sz="8" w:color="auto"/>
            </w:tcBorders>
            <w:shd w:val="clear" w:color="auto" w:fill="CEFFE7"/>
          </w:tcPr>
          <w:p>
            <w:pPr>
              <w:jc w:val="right"/>
              <w:ind w:right="9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852</w:t>
            </w:r>
          </w:p>
        </w:tc>
        <w:tc>
          <w:tcPr>
            <w:tcW w:w="20" w:type="dxa"/>
            <w:vAlign w:val="bottom"/>
            <w:tcBorders>
              <w:bottom w:val="single" w:sz="8" w:color="auto"/>
            </w:tcBorders>
            <w:shd w:val="clear" w:color="auto" w:fill="CEFFE7"/>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12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120" w:type="dxa"/>
            <w:vAlign w:val="bottom"/>
            <w:gridSpan w:val="3"/>
          </w:tcPr>
          <w:p>
            <w:pPr>
              <w:jc w:val="right"/>
              <w:ind w:right="170"/>
              <w:spacing w:after="0"/>
              <w:rPr>
                <w:sz w:val="20"/>
                <w:szCs w:val="20"/>
                <w:color w:val="auto"/>
              </w:rPr>
            </w:pPr>
            <w:r>
              <w:rPr>
                <w:rFonts w:ascii="Arial" w:cs="Arial" w:eastAsia="Arial" w:hAnsi="Arial"/>
                <w:sz w:val="18"/>
                <w:szCs w:val="18"/>
                <w:color w:val="auto"/>
              </w:rPr>
              <w:t>Six Months Ended June 30,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20" w:type="dxa"/>
            <w:vAlign w:val="bottom"/>
            <w:gridSpan w:val="2"/>
          </w:tcPr>
          <w:p>
            <w:pPr>
              <w:jc w:val="right"/>
              <w:ind w:right="650"/>
              <w:spacing w:after="0"/>
              <w:rPr>
                <w:sz w:val="20"/>
                <w:szCs w:val="20"/>
                <w:color w:val="auto"/>
              </w:rPr>
            </w:pPr>
            <w:r>
              <w:rPr>
                <w:rFonts w:ascii="Arial" w:cs="Arial" w:eastAsia="Arial" w:hAnsi="Arial"/>
                <w:sz w:val="18"/>
                <w:szCs w:val="18"/>
                <w:color w:val="auto"/>
              </w:rPr>
              <w:t>(in thousands)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Increase (decrease) in fair value:</w:t>
            </w: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Forward commodity contracts</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6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1,451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Recognition of (gains) losses in earnings due to settlements:</w:t>
            </w:r>
          </w:p>
        </w:tc>
        <w:tc>
          <w:tcPr>
            <w:tcW w:w="120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1,426</w:t>
            </w:r>
          </w:p>
        </w:tc>
        <w:tc>
          <w:tcPr>
            <w:tcW w:w="12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1,515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6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Forward commodity contracts</w:t>
            </w:r>
          </w:p>
        </w:tc>
        <w:tc>
          <w:tcPr>
            <w:tcW w:w="120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784</w:t>
            </w:r>
          </w:p>
        </w:tc>
        <w:tc>
          <w:tcPr>
            <w:tcW w:w="126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Total other comprehensive income (loss) from hedging</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1,961</w:t>
            </w:r>
          </w:p>
        </w:tc>
        <w:tc>
          <w:tcPr>
            <w:tcW w:w="126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085"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Condensed Consolidated Statements of Income for the three and six months ended June 30, 2018 and 2017 (in thousands).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Three Months Ended June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center"/>
              <w:ind w:right="25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3"/>
                <w:szCs w:val="23"/>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500"/>
              <w:spacing w:after="0"/>
              <w:rPr>
                <w:sz w:val="20"/>
                <w:szCs w:val="20"/>
                <w:color w:val="auto"/>
              </w:rPr>
            </w:pPr>
            <w:r>
              <w:rPr>
                <w:rFonts w:ascii="Arial" w:cs="Arial" w:eastAsia="Arial" w:hAnsi="Arial"/>
                <w:sz w:val="18"/>
                <w:szCs w:val="18"/>
                <w:color w:val="auto"/>
                <w:w w:val="94"/>
              </w:rPr>
              <w:t>Location of Gain/(Loss)</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4"/>
              </w:rPr>
              <w:t>Amount of Gain/(Loss)</w:t>
            </w:r>
          </w:p>
        </w:tc>
        <w:tc>
          <w:tcPr>
            <w:tcW w:w="196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70"/>
              <w:spacing w:after="0"/>
              <w:rPr>
                <w:sz w:val="20"/>
                <w:szCs w:val="20"/>
                <w:color w:val="auto"/>
              </w:rPr>
            </w:pPr>
            <w:r>
              <w:rPr>
                <w:rFonts w:ascii="Arial" w:cs="Arial" w:eastAsia="Arial" w:hAnsi="Arial"/>
                <w:sz w:val="18"/>
                <w:szCs w:val="18"/>
                <w:color w:val="auto"/>
                <w:w w:val="91"/>
              </w:rPr>
              <w:t>on Derivatives</w:t>
            </w:r>
          </w:p>
        </w:tc>
        <w:tc>
          <w:tcPr>
            <w:tcW w:w="24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Arial" w:cs="Arial" w:eastAsia="Arial" w:hAnsi="Arial"/>
                <w:sz w:val="18"/>
                <w:szCs w:val="18"/>
                <w:color w:val="auto"/>
                <w:w w:val="92"/>
              </w:rPr>
              <w:t>on Derivatives</w:t>
            </w:r>
          </w:p>
        </w:tc>
        <w:tc>
          <w:tcPr>
            <w:tcW w:w="38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4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0"/>
              </w:rPr>
              <w:t>Recognized in Income</w:t>
            </w:r>
          </w:p>
        </w:tc>
        <w:tc>
          <w:tcPr>
            <w:tcW w:w="196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shd w:val="clear" w:color="auto" w:fill="CEFFE7"/>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tcBorders>
              <w:right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Net (loss) from</w:t>
            </w:r>
          </w:p>
        </w:tc>
        <w:tc>
          <w:tcPr>
            <w:tcW w:w="240" w:type="dxa"/>
            <w:vAlign w:val="bottom"/>
            <w:shd w:val="clear" w:color="auto" w:fill="CFFFE7"/>
          </w:tcPr>
          <w:p>
            <w:pPr>
              <w:spacing w:after="0"/>
              <w:rPr>
                <w:sz w:val="19"/>
                <w:szCs w:val="19"/>
                <w:color w:val="auto"/>
              </w:rPr>
            </w:pPr>
          </w:p>
        </w:tc>
        <w:tc>
          <w:tcPr>
            <w:tcW w:w="1660" w:type="dxa"/>
            <w:vAlign w:val="bottom"/>
            <w:shd w:val="clear" w:color="auto" w:fill="CFFFE7"/>
          </w:tcPr>
          <w:p>
            <w:pPr>
              <w:spacing w:after="0"/>
              <w:rPr>
                <w:sz w:val="19"/>
                <w:szCs w:val="19"/>
                <w:color w:val="auto"/>
              </w:rPr>
            </w:pPr>
          </w:p>
        </w:tc>
        <w:tc>
          <w:tcPr>
            <w:tcW w:w="380" w:type="dxa"/>
            <w:vAlign w:val="bottom"/>
            <w:shd w:val="clear" w:color="auto" w:fill="CFFFE7"/>
          </w:tcPr>
          <w:p>
            <w:pPr>
              <w:spacing w:after="0"/>
              <w:rPr>
                <w:sz w:val="19"/>
                <w:szCs w:val="19"/>
                <w:color w:val="auto"/>
              </w:rPr>
            </w:pPr>
          </w:p>
        </w:tc>
        <w:tc>
          <w:tcPr>
            <w:tcW w:w="1560" w:type="dxa"/>
            <w:vAlign w:val="bottom"/>
            <w:shd w:val="clear" w:color="auto" w:fill="CFFFE7"/>
          </w:tcPr>
          <w:p>
            <w:pPr>
              <w:spacing w:after="0"/>
              <w:rPr>
                <w:sz w:val="19"/>
                <w:szCs w:val="19"/>
                <w:color w:val="auto"/>
              </w:rPr>
            </w:pPr>
          </w:p>
        </w:tc>
        <w:tc>
          <w:tcPr>
            <w:tcW w:w="20" w:type="dxa"/>
            <w:vAlign w:val="bottom"/>
            <w:shd w:val="clear" w:color="auto" w:fill="CFFFE7"/>
          </w:tcPr>
          <w:p>
            <w:pPr>
              <w:spacing w:after="0"/>
              <w:rPr>
                <w:sz w:val="19"/>
                <w:szCs w:val="19"/>
                <w:color w:val="auto"/>
              </w:rPr>
            </w:pPr>
          </w:p>
        </w:tc>
      </w:tr>
      <w:tr>
        <w:trPr>
          <w:trHeight w:val="237"/>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right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w w:val="93"/>
              </w:rPr>
              <w:t>discontinued operations</w:t>
            </w:r>
          </w:p>
        </w:tc>
        <w:tc>
          <w:tcPr>
            <w:tcW w:w="24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FFFE7"/>
            </w:tcBorders>
            <w:shd w:val="clear" w:color="auto" w:fill="CFFFE7"/>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FFFE7"/>
            </w:tcBorders>
            <w:shd w:val="clear" w:color="auto" w:fill="CFFFE7"/>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Fuel, purchased power</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and cost of natural gas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771</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771</w:t>
            </w:r>
          </w:p>
        </w:tc>
        <w:tc>
          <w:tcPr>
            <w:tcW w:w="3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(665)</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Six Months Ended June 30,</w:t>
            </w: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center"/>
              <w:ind w:right="25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3"/>
                <w:szCs w:val="23"/>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500"/>
              <w:spacing w:after="0"/>
              <w:rPr>
                <w:sz w:val="20"/>
                <w:szCs w:val="20"/>
                <w:color w:val="auto"/>
              </w:rPr>
            </w:pPr>
            <w:r>
              <w:rPr>
                <w:rFonts w:ascii="Arial" w:cs="Arial" w:eastAsia="Arial" w:hAnsi="Arial"/>
                <w:sz w:val="18"/>
                <w:szCs w:val="18"/>
                <w:color w:val="auto"/>
                <w:w w:val="94"/>
              </w:rPr>
              <w:t>Location of Gain/(Loss)</w:t>
            </w:r>
          </w:p>
        </w:tc>
        <w:tc>
          <w:tcPr>
            <w:tcW w:w="1900" w:type="dxa"/>
            <w:vAlign w:val="bottom"/>
            <w:gridSpan w:val="2"/>
          </w:tcPr>
          <w:p>
            <w:pPr>
              <w:jc w:val="center"/>
              <w:ind w:right="10"/>
              <w:spacing w:after="0"/>
              <w:rPr>
                <w:sz w:val="20"/>
                <w:szCs w:val="20"/>
                <w:color w:val="auto"/>
              </w:rPr>
            </w:pPr>
            <w:r>
              <w:rPr>
                <w:rFonts w:ascii="Arial" w:cs="Arial" w:eastAsia="Arial" w:hAnsi="Arial"/>
                <w:sz w:val="18"/>
                <w:szCs w:val="18"/>
                <w:color w:val="auto"/>
                <w:w w:val="93"/>
              </w:rPr>
              <w:t>Amount of Gain/(Loss)</w:t>
            </w:r>
          </w:p>
        </w:tc>
        <w:tc>
          <w:tcPr>
            <w:tcW w:w="196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2"/>
              </w:rPr>
              <w:t>on Derivatives</w:t>
            </w:r>
          </w:p>
        </w:tc>
        <w:tc>
          <w:tcPr>
            <w:tcW w:w="240" w:type="dxa"/>
            <w:vAlign w:val="bottom"/>
          </w:tcPr>
          <w:p>
            <w:pPr>
              <w:spacing w:after="0"/>
              <w:rPr>
                <w:sz w:val="18"/>
                <w:szCs w:val="18"/>
                <w:color w:val="auto"/>
              </w:rPr>
            </w:pPr>
          </w:p>
        </w:tc>
        <w:tc>
          <w:tcPr>
            <w:tcW w:w="1660" w:type="dxa"/>
            <w:vAlign w:val="bottom"/>
          </w:tcPr>
          <w:p>
            <w:pPr>
              <w:jc w:val="center"/>
              <w:ind w:right="270"/>
              <w:spacing w:after="0"/>
              <w:rPr>
                <w:sz w:val="20"/>
                <w:szCs w:val="20"/>
                <w:color w:val="auto"/>
              </w:rPr>
            </w:pPr>
            <w:r>
              <w:rPr>
                <w:rFonts w:ascii="Arial" w:cs="Arial" w:eastAsia="Arial" w:hAnsi="Arial"/>
                <w:sz w:val="18"/>
                <w:szCs w:val="18"/>
                <w:color w:val="auto"/>
                <w:w w:val="92"/>
              </w:rPr>
              <w:t>on Derivatives</w:t>
            </w:r>
          </w:p>
        </w:tc>
        <w:tc>
          <w:tcPr>
            <w:tcW w:w="3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6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0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Recognized in Income</w:t>
            </w:r>
          </w:p>
        </w:tc>
        <w:tc>
          <w:tcPr>
            <w:tcW w:w="196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tcBorders>
              <w:right w:val="single" w:sz="8" w:color="CFFFE7"/>
            </w:tcBorders>
            <w:shd w:val="clear" w:color="auto" w:fill="CEFFE7"/>
          </w:tcPr>
          <w:p>
            <w:pPr>
              <w:ind w:left="480"/>
              <w:spacing w:after="0"/>
              <w:rPr>
                <w:sz w:val="20"/>
                <w:szCs w:val="20"/>
                <w:color w:val="auto"/>
              </w:rPr>
            </w:pPr>
            <w:r>
              <w:rPr>
                <w:rFonts w:ascii="Arial" w:cs="Arial" w:eastAsia="Arial" w:hAnsi="Arial"/>
                <w:sz w:val="18"/>
                <w:szCs w:val="18"/>
                <w:color w:val="auto"/>
              </w:rPr>
              <w:t>Net (loss) from</w:t>
            </w:r>
          </w:p>
        </w:tc>
        <w:tc>
          <w:tcPr>
            <w:tcW w:w="240" w:type="dxa"/>
            <w:vAlign w:val="bottom"/>
            <w:shd w:val="clear" w:color="auto" w:fill="CFFFE7"/>
          </w:tcPr>
          <w:p>
            <w:pPr>
              <w:spacing w:after="0"/>
              <w:rPr>
                <w:sz w:val="19"/>
                <w:szCs w:val="19"/>
                <w:color w:val="auto"/>
              </w:rPr>
            </w:pPr>
          </w:p>
        </w:tc>
        <w:tc>
          <w:tcPr>
            <w:tcW w:w="1660" w:type="dxa"/>
            <w:vAlign w:val="bottom"/>
            <w:shd w:val="clear" w:color="auto" w:fill="CFFFE7"/>
          </w:tcPr>
          <w:p>
            <w:pPr>
              <w:spacing w:after="0"/>
              <w:rPr>
                <w:sz w:val="19"/>
                <w:szCs w:val="19"/>
                <w:color w:val="auto"/>
              </w:rPr>
            </w:pPr>
          </w:p>
        </w:tc>
        <w:tc>
          <w:tcPr>
            <w:tcW w:w="380" w:type="dxa"/>
            <w:vAlign w:val="bottom"/>
            <w:shd w:val="clear" w:color="auto" w:fill="CFFFE7"/>
          </w:tcPr>
          <w:p>
            <w:pPr>
              <w:spacing w:after="0"/>
              <w:rPr>
                <w:sz w:val="19"/>
                <w:szCs w:val="19"/>
                <w:color w:val="auto"/>
              </w:rPr>
            </w:pPr>
          </w:p>
        </w:tc>
        <w:tc>
          <w:tcPr>
            <w:tcW w:w="1560" w:type="dxa"/>
            <w:vAlign w:val="bottom"/>
            <w:shd w:val="clear" w:color="auto" w:fill="CFFFE7"/>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right w:val="single" w:sz="8" w:color="CFFFE7"/>
            </w:tcBorders>
            <w:shd w:val="clear" w:color="auto" w:fill="CEFFE7"/>
          </w:tcPr>
          <w:p>
            <w:pPr>
              <w:ind w:left="480"/>
              <w:spacing w:after="0"/>
              <w:rPr>
                <w:sz w:val="20"/>
                <w:szCs w:val="20"/>
                <w:color w:val="auto"/>
              </w:rPr>
            </w:pPr>
            <w:r>
              <w:rPr>
                <w:rFonts w:ascii="Arial" w:cs="Arial" w:eastAsia="Arial" w:hAnsi="Arial"/>
                <w:sz w:val="18"/>
                <w:szCs w:val="18"/>
                <w:color w:val="auto"/>
                <w:w w:val="93"/>
              </w:rPr>
              <w:t>discontinued operations</w:t>
            </w:r>
          </w:p>
        </w:tc>
        <w:tc>
          <w:tcPr>
            <w:tcW w:w="240" w:type="dxa"/>
            <w:vAlign w:val="bottom"/>
            <w:tcBorders>
              <w:bottom w:val="single" w:sz="8" w:color="CFFFE7"/>
            </w:tcBorders>
            <w:shd w:val="clear" w:color="auto" w:fill="CFFFE7"/>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FFFE7"/>
            </w:tcBorders>
            <w:shd w:val="clear" w:color="auto" w:fill="CFFFE7"/>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FE7"/>
            </w:tcBorders>
            <w:shd w:val="clear" w:color="auto" w:fill="CF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FFFE7"/>
            </w:tcBorders>
            <w:shd w:val="clear" w:color="auto" w:fill="CFFFE7"/>
          </w:tcPr>
          <w:p>
            <w:pPr>
              <w:jc w:val="right"/>
              <w:ind w:right="30"/>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Fuel, purchased power</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ind w:left="480"/>
              <w:spacing w:after="0"/>
              <w:rPr>
                <w:sz w:val="20"/>
                <w:szCs w:val="20"/>
                <w:color w:val="auto"/>
              </w:rPr>
            </w:pPr>
            <w:r>
              <w:rPr>
                <w:rFonts w:ascii="Arial" w:cs="Arial" w:eastAsia="Arial" w:hAnsi="Arial"/>
                <w:sz w:val="18"/>
                <w:szCs w:val="18"/>
                <w:color w:val="auto"/>
                <w:w w:val="97"/>
              </w:rPr>
              <w:t>and cost of natural gas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right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1,025</w:t>
            </w:r>
          </w:p>
        </w:tc>
        <w:tc>
          <w:tcPr>
            <w:tcW w:w="3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3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 hedges in our utilities were $9.1 million, $12 million and $11 million at June 30, 2018, December 31, 2017 and June 30, 2017, respectively.</w:t>
      </w:r>
    </w:p>
    <w:p>
      <w:pPr>
        <w:spacing w:after="0" w:line="200" w:lineRule="exact"/>
        <w:rPr>
          <w:sz w:val="20"/>
          <w:szCs w:val="20"/>
          <w:color w:val="auto"/>
        </w:rPr>
      </w:pPr>
    </w:p>
    <w:p>
      <w:pPr>
        <w:spacing w:after="0" w:line="203" w:lineRule="exact"/>
        <w:rPr>
          <w:sz w:val="20"/>
          <w:szCs w:val="20"/>
          <w:color w:val="auto"/>
        </w:rPr>
      </w:pPr>
    </w:p>
    <w:p>
      <w:pPr>
        <w:ind w:right="8380" w:firstLine="8"/>
        <w:spacing w:after="0" w:line="530"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FAIR VALUE MEASUREMENTS </w:t>
      </w:r>
      <w:r>
        <w:rPr>
          <w:rFonts w:ascii="Arial" w:cs="Arial" w:eastAsia="Arial" w:hAnsi="Arial"/>
          <w:sz w:val="17"/>
          <w:szCs w:val="17"/>
          <w:u w:val="single" w:color="auto"/>
          <w:color w:val="auto"/>
        </w:rPr>
        <w:t>Derivative Financial Instruments</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1, 9, 10 and 11 to the Consolidated Financial Statements included in our 2017 Annual Report on Form 10-K filed with the SEC.</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w:t>
      </w:r>
    </w:p>
    <w:p>
      <w:pPr>
        <w:spacing w:after="0" w:line="225" w:lineRule="exact"/>
        <w:rPr>
          <w:sz w:val="20"/>
          <w:szCs w:val="20"/>
          <w:color w:val="auto"/>
        </w:rPr>
      </w:pPr>
    </w:p>
    <w:p>
      <w:pPr>
        <w:ind w:right="3180" w:firstLine="332"/>
        <w:spacing w:after="0" w:line="501"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and gas derivative instruments are included in assets and liabilities held for sale discussed in Note 18. Utilities Segments:</w:t>
      </w:r>
    </w:p>
    <w:p>
      <w:pPr>
        <w:ind w:left="660" w:hanging="328"/>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commodity contracts for our Utilities Segments, are valued using the market approach and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component based on the credit spreads of the counterparties when we are in an unrealized gain position or on our own credit spread when we are in an unrealized loss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Activities:</w:t>
      </w:r>
    </w:p>
    <w:p>
      <w:pPr>
        <w:spacing w:after="0" w:line="225" w:lineRule="exact"/>
        <w:rPr>
          <w:sz w:val="20"/>
          <w:szCs w:val="20"/>
          <w:color w:val="auto"/>
        </w:rPr>
      </w:pPr>
    </w:p>
    <w:p>
      <w:pPr>
        <w:ind w:right="840" w:firstLine="332"/>
        <w:spacing w:after="0" w:line="501"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As of June 30, 2018, we no longer have derivatives within our corporate activities as our last interest rate swaps matured in January 2017. </w:t>
      </w:r>
      <w:r>
        <w:rPr>
          <w:rFonts w:ascii="Arial" w:cs="Arial" w:eastAsia="Arial" w:hAnsi="Arial"/>
          <w:sz w:val="18"/>
          <w:szCs w:val="18"/>
          <w:u w:val="single" w:color="auto"/>
          <w:color w:val="auto"/>
        </w:rPr>
        <w:t>Recurring Fair Value Measurements</w:t>
      </w:r>
    </w:p>
    <w:p>
      <w:pPr>
        <w:ind w:right="40"/>
        <w:spacing w:after="0" w:line="312" w:lineRule="auto"/>
        <w:rPr>
          <w:sz w:val="20"/>
          <w:szCs w:val="20"/>
          <w:color w:val="auto"/>
        </w:rPr>
      </w:pPr>
      <w:r>
        <w:rPr>
          <w:rFonts w:ascii="Arial" w:cs="Arial" w:eastAsia="Arial" w:hAnsi="Arial"/>
          <w:sz w:val="16"/>
          <w:szCs w:val="16"/>
          <w:color w:val="auto"/>
        </w:rPr>
        <w:t>There have been no significant transfers between Level 1 and Level 2 derivative balances.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4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Oil and gas derivative instruments are included in assets and liabilities held for sale discussed in Note 18. The following tables set forth by level within the fair value hierarchy present gross assets and gross liabilities and related offsetting cash collateral and counterparty netting as permitted by GAAP that were accounted for at fair value on a recurring basis for derivative instruments.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center"/>
              <w:ind w:right="1350"/>
              <w:spacing w:after="0"/>
              <w:rPr>
                <w:sz w:val="20"/>
                <w:szCs w:val="20"/>
                <w:color w:val="auto"/>
              </w:rPr>
            </w:pPr>
            <w:r>
              <w:rPr>
                <w:rFonts w:ascii="Arial" w:cs="Arial" w:eastAsia="Arial" w:hAnsi="Arial"/>
                <w:sz w:val="18"/>
                <w:szCs w:val="18"/>
                <w:color w:val="auto"/>
                <w:w w:val="89"/>
              </w:rPr>
              <w:t>As of June 30, 2018</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1,035</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672</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(9,144)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9,808</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(9,144)</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664</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gridSpan w:val="7"/>
          </w:tcPr>
          <w:p>
            <w:pPr>
              <w:jc w:val="center"/>
              <w:ind w:right="1090"/>
              <w:spacing w:after="0"/>
              <w:rPr>
                <w:sz w:val="20"/>
                <w:szCs w:val="20"/>
                <w:color w:val="auto"/>
              </w:rPr>
            </w:pPr>
            <w:r>
              <w:rPr>
                <w:rFonts w:ascii="Arial" w:cs="Arial" w:eastAsia="Arial" w:hAnsi="Arial"/>
                <w:sz w:val="18"/>
                <w:szCs w:val="18"/>
                <w:color w:val="auto"/>
                <w:w w:val="91"/>
              </w:rPr>
              <w:t>As of December 31, 2017</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(1,282)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1,586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(1,282)</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304</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(11,497)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2,259</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13,756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(11,497)</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2,259</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14"/>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jc w:val="center"/>
              <w:ind w:right="1350"/>
              <w:spacing w:after="0"/>
              <w:rPr>
                <w:sz w:val="20"/>
                <w:szCs w:val="20"/>
                <w:color w:val="auto"/>
              </w:rPr>
            </w:pPr>
            <w:r>
              <w:rPr>
                <w:rFonts w:ascii="Arial" w:cs="Arial" w:eastAsia="Arial" w:hAnsi="Arial"/>
                <w:sz w:val="18"/>
                <w:szCs w:val="18"/>
                <w:color w:val="auto"/>
                <w:w w:val="89"/>
              </w:rPr>
              <w:t>As of June 30, 2017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(977)</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645</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4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(11,568)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41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12,331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spacing w:after="0"/>
              <w:rPr>
                <w:sz w:val="22"/>
                <w:szCs w:val="22"/>
                <w:color w:val="auto"/>
              </w:rPr>
            </w:pPr>
          </w:p>
        </w:tc>
        <w:tc>
          <w:tcPr>
            <w:tcW w:w="980" w:type="dxa"/>
            <w:vAlign w:val="bottom"/>
            <w:tcBorders>
              <w:bottom w:val="single" w:sz="8" w:color="auto"/>
            </w:tcBorders>
            <w:shd w:val="clear" w:color="auto" w:fill="CEFFE7"/>
          </w:tcPr>
          <w:p>
            <w:pPr>
              <w:ind w:lef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8"/>
                <w:szCs w:val="18"/>
                <w:color w:val="auto"/>
              </w:rPr>
              <w:t>(11,568)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763</w:t>
            </w: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As of June 30, 2018</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7"/>
        </w:trPr>
        <w:tc>
          <w:tcPr>
            <w:tcW w:w="5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2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Fair Value</w:t>
            </w:r>
          </w:p>
        </w:tc>
      </w:tr>
      <w:tr>
        <w:trPr>
          <w:trHeight w:val="203"/>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of Liability</w:t>
            </w:r>
          </w:p>
        </w:tc>
      </w:tr>
      <w:tr>
        <w:trPr>
          <w:trHeight w:val="206"/>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gridSpan w:val="2"/>
          </w:tcPr>
          <w:p>
            <w:pPr>
              <w:ind w:left="92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Derivatives</w:t>
            </w:r>
          </w:p>
        </w:tc>
      </w:tr>
      <w:tr>
        <w:trPr>
          <w:trHeight w:val="33"/>
        </w:trPr>
        <w:tc>
          <w:tcPr>
            <w:tcW w:w="504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37"/>
        </w:trPr>
        <w:tc>
          <w:tcPr>
            <w:tcW w:w="504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305</w:t>
            </w: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w:t>
            </w:r>
          </w:p>
        </w:tc>
      </w:tr>
      <w:tr>
        <w:trPr>
          <w:trHeight w:val="284"/>
        </w:trPr>
        <w:tc>
          <w:tcPr>
            <w:tcW w:w="504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Total derivatives designated as hedges</w:t>
            </w:r>
          </w:p>
        </w:tc>
        <w:tc>
          <w:tcPr>
            <w:tcW w:w="20" w:type="dxa"/>
            <w:vAlign w:val="bottom"/>
            <w:tcBorders>
              <w:bottom w:val="single" w:sz="8" w:color="CEFFE7"/>
            </w:tcBorders>
          </w:tcPr>
          <w:p>
            <w:pPr>
              <w:spacing w:after="0"/>
              <w:rPr>
                <w:sz w:val="24"/>
                <w:szCs w:val="24"/>
                <w:color w:val="auto"/>
              </w:rPr>
            </w:pPr>
          </w:p>
        </w:tc>
        <w:tc>
          <w:tcPr>
            <w:tcW w:w="1300" w:type="dxa"/>
            <w:vAlign w:val="bottom"/>
            <w:tcBorders>
              <w:bottom w:val="single" w:sz="8" w:color="CEFFE7"/>
            </w:tcBorders>
          </w:tcPr>
          <w:p>
            <w:pPr>
              <w:spacing w:after="0"/>
              <w:rPr>
                <w:sz w:val="24"/>
                <w:szCs w:val="24"/>
                <w:color w:val="auto"/>
              </w:rPr>
            </w:pPr>
          </w:p>
        </w:tc>
        <w:tc>
          <w:tcPr>
            <w:tcW w:w="222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r>
      <w:tr>
        <w:trPr>
          <w:trHeight w:val="271"/>
        </w:trPr>
        <w:tc>
          <w:tcPr>
            <w:tcW w:w="50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300" w:type="dxa"/>
            <w:vAlign w:val="bottom"/>
            <w:shd w:val="clear" w:color="auto" w:fill="CEFFE7"/>
          </w:tcPr>
          <w:p>
            <w:pPr>
              <w:spacing w:after="0"/>
              <w:rPr>
                <w:sz w:val="23"/>
                <w:szCs w:val="23"/>
                <w:color w:val="auto"/>
              </w:rPr>
            </w:pPr>
          </w:p>
        </w:tc>
        <w:tc>
          <w:tcPr>
            <w:tcW w:w="22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Derivatives not designated as hedges:</w:t>
            </w: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538</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Other assets, non-current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180</w:t>
            </w:r>
          </w:p>
        </w:tc>
      </w:tr>
      <w:tr>
        <w:trPr>
          <w:trHeight w:val="237"/>
        </w:trPr>
        <w:tc>
          <w:tcPr>
            <w:tcW w:w="504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3540" w:type="dxa"/>
            <w:vAlign w:val="bottom"/>
            <w:gridSpan w:val="3"/>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50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300" w:type="dxa"/>
            <w:vAlign w:val="bottom"/>
            <w:tcBorders>
              <w:bottom w:val="single" w:sz="8" w:color="CEFFE7"/>
            </w:tcBorders>
          </w:tcPr>
          <w:p>
            <w:pPr>
              <w:spacing w:after="0"/>
              <w:rPr>
                <w:sz w:val="2"/>
                <w:szCs w:val="2"/>
                <w:color w:val="auto"/>
              </w:rPr>
            </w:pPr>
          </w:p>
        </w:tc>
        <w:tc>
          <w:tcPr>
            <w:tcW w:w="22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538</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343</w:t>
            </w: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9"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29"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4760" w:type="dxa"/>
            <w:vAlign w:val="bottom"/>
            <w:gridSpan w:val="6"/>
          </w:tcPr>
          <w:p>
            <w:pPr>
              <w:ind w:left="1060"/>
              <w:spacing w:after="0"/>
              <w:rPr>
                <w:sz w:val="20"/>
                <w:szCs w:val="20"/>
                <w:color w:val="auto"/>
              </w:rPr>
            </w:pPr>
            <w:r>
              <w:rPr>
                <w:rFonts w:ascii="Arial" w:cs="Arial" w:eastAsia="Arial" w:hAnsi="Arial"/>
                <w:sz w:val="16"/>
                <w:szCs w:val="16"/>
                <w:color w:val="auto"/>
              </w:rPr>
              <w:t>As of December 31, 2017</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rPr>
              <w:t>of Liability</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gridSpan w:val="3"/>
          </w:tcPr>
          <w:p>
            <w:pPr>
              <w:ind w:left="92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3"/>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4"/>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4"/>
        </w:trPr>
        <w:tc>
          <w:tcPr>
            <w:tcW w:w="3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060" w:type="dxa"/>
            <w:vAlign w:val="bottom"/>
            <w:tcBorders>
              <w:bottom w:val="single" w:sz="8" w:color="CEFFE7"/>
            </w:tcBorders>
          </w:tcPr>
          <w:p>
            <w:pPr>
              <w:spacing w:after="0"/>
              <w:rPr>
                <w:sz w:val="24"/>
                <w:szCs w:val="24"/>
                <w:color w:val="auto"/>
              </w:rPr>
            </w:pPr>
          </w:p>
        </w:tc>
        <w:tc>
          <w:tcPr>
            <w:tcW w:w="160" w:type="dxa"/>
            <w:vAlign w:val="bottom"/>
            <w:tcBorders>
              <w:bottom w:val="single" w:sz="8" w:color="CEFFE7"/>
            </w:tcBorders>
          </w:tcPr>
          <w:p>
            <w:pPr>
              <w:spacing w:after="0"/>
              <w:rPr>
                <w:sz w:val="24"/>
                <w:szCs w:val="24"/>
                <w:color w:val="auto"/>
              </w:rPr>
            </w:pPr>
          </w:p>
        </w:tc>
        <w:tc>
          <w:tcPr>
            <w:tcW w:w="20" w:type="dxa"/>
            <w:vAlign w:val="bottom"/>
            <w:tcBorders>
              <w:bottom w:val="single" w:sz="8" w:color="CEFFE7"/>
            </w:tcBorders>
          </w:tcPr>
          <w:p>
            <w:pPr>
              <w:spacing w:after="0"/>
              <w:rPr>
                <w:sz w:val="24"/>
                <w:szCs w:val="24"/>
                <w:color w:val="auto"/>
              </w:rPr>
            </w:pPr>
          </w:p>
        </w:tc>
        <w:tc>
          <w:tcPr>
            <w:tcW w:w="1300" w:type="dxa"/>
            <w:vAlign w:val="bottom"/>
            <w:tcBorders>
              <w:bottom w:val="single" w:sz="8" w:color="CEFFE7"/>
            </w:tcBorders>
          </w:tcPr>
          <w:p>
            <w:pPr>
              <w:spacing w:after="0"/>
              <w:rPr>
                <w:sz w:val="24"/>
                <w:szCs w:val="24"/>
                <w:color w:val="auto"/>
              </w:rPr>
            </w:pPr>
          </w:p>
        </w:tc>
        <w:tc>
          <w:tcPr>
            <w:tcW w:w="180" w:type="dxa"/>
            <w:vAlign w:val="bottom"/>
            <w:tcBorders>
              <w:bottom w:val="single" w:sz="8" w:color="CEFFE7"/>
            </w:tcBorders>
          </w:tcPr>
          <w:p>
            <w:pPr>
              <w:spacing w:after="0"/>
              <w:rPr>
                <w:sz w:val="24"/>
                <w:szCs w:val="24"/>
                <w:color w:val="auto"/>
              </w:rPr>
            </w:pPr>
          </w:p>
        </w:tc>
        <w:tc>
          <w:tcPr>
            <w:tcW w:w="204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71"/>
        </w:trPr>
        <w:tc>
          <w:tcPr>
            <w:tcW w:w="382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3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0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Derivatives not designated as hedges: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304</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4"/>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44"/>
        </w:trPr>
        <w:tc>
          <w:tcPr>
            <w:tcW w:w="3820" w:type="dxa"/>
            <w:vAlign w:val="bottom"/>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4"/>
            <w:vMerge w:val="restart"/>
          </w:tcPr>
          <w:p>
            <w:pPr>
              <w:ind w:left="20"/>
              <w:spacing w:after="0"/>
              <w:rPr>
                <w:sz w:val="20"/>
                <w:szCs w:val="20"/>
                <w:color w:val="auto"/>
              </w:rPr>
            </w:pPr>
            <w:r>
              <w:rPr>
                <w:rFonts w:ascii="Arial" w:cs="Arial" w:eastAsia="Arial" w:hAnsi="Arial"/>
                <w:sz w:val="16"/>
                <w:szCs w:val="16"/>
                <w:color w:val="auto"/>
              </w:rPr>
              <w:t>As of June 30, 2017</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0"/>
              </w:rPr>
              <w:t>Fair Value</w:t>
            </w:r>
          </w:p>
        </w:tc>
        <w:tc>
          <w:tcPr>
            <w:tcW w:w="280" w:type="dxa"/>
            <w:vAlign w:val="bottom"/>
          </w:tcPr>
          <w:p>
            <w:pPr>
              <w:spacing w:after="0"/>
              <w:rPr>
                <w:sz w:val="23"/>
                <w:szCs w:val="23"/>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0"/>
              </w:rPr>
              <w:t>Fair Value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of Asset</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rPr>
              <w:t>of Liability</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gridSpan w:val="3"/>
          </w:tcPr>
          <w:p>
            <w:pPr>
              <w:ind w:left="920"/>
              <w:spacing w:after="0"/>
              <w:rPr>
                <w:sz w:val="20"/>
                <w:szCs w:val="20"/>
                <w:color w:val="auto"/>
              </w:rPr>
            </w:pPr>
            <w:r>
              <w:rPr>
                <w:rFonts w:ascii="Arial" w:cs="Arial" w:eastAsia="Arial" w:hAnsi="Arial"/>
                <w:sz w:val="16"/>
                <w:szCs w:val="16"/>
                <w:color w:val="auto"/>
              </w:rPr>
              <w:t>Balance Sheet Location</w:t>
            </w:r>
          </w:p>
        </w:tc>
        <w:tc>
          <w:tcPr>
            <w:tcW w:w="2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color w:val="auto"/>
                <w:w w:val="93"/>
              </w:rPr>
              <w:t>Derivatives</w:t>
            </w:r>
          </w:p>
        </w:tc>
        <w:tc>
          <w:tcPr>
            <w:tcW w:w="28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color w:val="auto"/>
                <w:w w:val="93"/>
              </w:rPr>
              <w:t>Derivatives</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designated as hedges:</w:t>
            </w:r>
          </w:p>
        </w:tc>
        <w:tc>
          <w:tcPr>
            <w:tcW w:w="10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20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4"/>
          </w:tcPr>
          <w:p>
            <w:pPr>
              <w:ind w:left="20"/>
              <w:spacing w:after="0"/>
              <w:rPr>
                <w:sz w:val="20"/>
                <w:szCs w:val="20"/>
                <w:color w:val="auto"/>
              </w:rPr>
            </w:pPr>
            <w:r>
              <w:rPr>
                <w:rFonts w:ascii="Arial" w:cs="Arial" w:eastAsia="Arial" w:hAnsi="Arial"/>
                <w:sz w:val="16"/>
                <w:szCs w:val="16"/>
                <w:color w:val="auto"/>
              </w:rPr>
              <w:t>Derivative assets —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Current assets held for sale</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509</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4"/>
          </w:tcPr>
          <w:p>
            <w:pPr>
              <w:ind w:left="20"/>
              <w:spacing w:after="0"/>
              <w:rPr>
                <w:sz w:val="20"/>
                <w:szCs w:val="20"/>
                <w:color w:val="auto"/>
              </w:rPr>
            </w:pPr>
            <w:r>
              <w:rPr>
                <w:rFonts w:ascii="Arial" w:cs="Arial" w:eastAsia="Arial" w:hAnsi="Arial"/>
                <w:sz w:val="16"/>
                <w:szCs w:val="16"/>
                <w:color w:val="auto"/>
              </w:rPr>
              <w:t>Noncurrent assets held for sale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35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22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Commodity derivatives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4"/>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Commodity derivatives</w:t>
            </w:r>
          </w:p>
        </w:tc>
        <w:tc>
          <w:tcPr>
            <w:tcW w:w="106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35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Current liabilities held for sale</w:t>
            </w:r>
          </w:p>
        </w:tc>
        <w:tc>
          <w:tcPr>
            <w:tcW w:w="22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4"/>
        </w:trPr>
        <w:tc>
          <w:tcPr>
            <w:tcW w:w="3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Total derivatives designated as hedges</w:t>
            </w:r>
          </w:p>
        </w:tc>
        <w:tc>
          <w:tcPr>
            <w:tcW w:w="1060" w:type="dxa"/>
            <w:vAlign w:val="bottom"/>
            <w:tcBorders>
              <w:bottom w:val="single" w:sz="8" w:color="CEFFE7"/>
            </w:tcBorders>
          </w:tcPr>
          <w:p>
            <w:pPr>
              <w:spacing w:after="0"/>
              <w:rPr>
                <w:sz w:val="24"/>
                <w:szCs w:val="24"/>
                <w:color w:val="auto"/>
              </w:rPr>
            </w:pPr>
          </w:p>
        </w:tc>
        <w:tc>
          <w:tcPr>
            <w:tcW w:w="160" w:type="dxa"/>
            <w:vAlign w:val="bottom"/>
            <w:tcBorders>
              <w:bottom w:val="single" w:sz="8" w:color="CEFFE7"/>
            </w:tcBorders>
          </w:tcPr>
          <w:p>
            <w:pPr>
              <w:spacing w:after="0"/>
              <w:rPr>
                <w:sz w:val="24"/>
                <w:szCs w:val="24"/>
                <w:color w:val="auto"/>
              </w:rPr>
            </w:pPr>
          </w:p>
        </w:tc>
        <w:tc>
          <w:tcPr>
            <w:tcW w:w="20" w:type="dxa"/>
            <w:vAlign w:val="bottom"/>
            <w:tcBorders>
              <w:bottom w:val="single" w:sz="8" w:color="CEFFE7"/>
            </w:tcBorders>
          </w:tcPr>
          <w:p>
            <w:pPr>
              <w:spacing w:after="0"/>
              <w:rPr>
                <w:sz w:val="24"/>
                <w:szCs w:val="24"/>
                <w:color w:val="auto"/>
              </w:rPr>
            </w:pPr>
          </w:p>
        </w:tc>
        <w:tc>
          <w:tcPr>
            <w:tcW w:w="1300" w:type="dxa"/>
            <w:vAlign w:val="bottom"/>
            <w:tcBorders>
              <w:bottom w:val="single" w:sz="8" w:color="CEFFE7"/>
            </w:tcBorders>
          </w:tcPr>
          <w:p>
            <w:pPr>
              <w:spacing w:after="0"/>
              <w:rPr>
                <w:sz w:val="24"/>
                <w:szCs w:val="24"/>
                <w:color w:val="auto"/>
              </w:rPr>
            </w:pPr>
          </w:p>
        </w:tc>
        <w:tc>
          <w:tcPr>
            <w:tcW w:w="180" w:type="dxa"/>
            <w:vAlign w:val="bottom"/>
            <w:tcBorders>
              <w:bottom w:val="single" w:sz="8" w:color="CEFFE7"/>
            </w:tcBorders>
          </w:tcPr>
          <w:p>
            <w:pPr>
              <w:spacing w:after="0"/>
              <w:rPr>
                <w:sz w:val="24"/>
                <w:szCs w:val="24"/>
                <w:color w:val="auto"/>
              </w:rPr>
            </w:pPr>
          </w:p>
        </w:tc>
        <w:tc>
          <w:tcPr>
            <w:tcW w:w="2040" w:type="dxa"/>
            <w:vAlign w:val="bottom"/>
            <w:tcBorders>
              <w:bottom w:val="single" w:sz="8" w:color="CEFFE7"/>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71"/>
        </w:trPr>
        <w:tc>
          <w:tcPr>
            <w:tcW w:w="382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3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0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739" w:right="239" w:bottom="1440" w:gutter="0" w:footer="0" w:header="0"/>
        </w:sectPr>
      </w:pPr>
    </w:p>
    <w:p>
      <w:pPr>
        <w:ind w:left="40"/>
        <w:spacing w:after="0"/>
        <w:rPr>
          <w:sz w:val="20"/>
          <w:szCs w:val="20"/>
          <w:color w:val="auto"/>
        </w:rPr>
      </w:pPr>
      <w:r>
        <w:rPr>
          <w:rFonts w:ascii="Arial" w:cs="Arial" w:eastAsia="Arial" w:hAnsi="Arial"/>
          <w:sz w:val="16"/>
          <w:szCs w:val="16"/>
          <w:color w:val="auto"/>
        </w:rPr>
        <w:t>Derivatives not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Derivative assets — current</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Other assets,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Derivative liabilities — current</w:t>
      </w:r>
    </w:p>
    <w:p>
      <w:pPr>
        <w:spacing w:after="0" w:line="8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4"/>
          <w:szCs w:val="14"/>
          <w:color w:val="auto"/>
        </w:rPr>
        <w:t>Other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5040" w:val="left"/>
        </w:tabs>
        <w:rPr>
          <w:sz w:val="20"/>
          <w:szCs w:val="20"/>
          <w:color w:val="auto"/>
        </w:rPr>
      </w:pPr>
      <w:r>
        <w:rPr>
          <w:rFonts w:ascii="Arial" w:cs="Arial" w:eastAsia="Arial" w:hAnsi="Arial"/>
          <w:sz w:val="16"/>
          <w:szCs w:val="16"/>
          <w:color w:val="auto"/>
        </w:rPr>
        <w:t>Commodity derivatives</w:t>
      </w:r>
      <w:r>
        <w:rPr>
          <w:sz w:val="20"/>
          <w:szCs w:val="20"/>
          <w:color w:val="auto"/>
        </w:rPr>
        <w:tab/>
      </w:r>
      <w:r>
        <w:rPr>
          <w:rFonts w:ascii="Arial" w:cs="Arial" w:eastAsia="Arial" w:hAnsi="Arial"/>
          <w:sz w:val="15"/>
          <w:szCs w:val="15"/>
          <w:color w:val="auto"/>
        </w:rPr>
        <w:t>Current liabilities held for sale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derivatives not designated as hedges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600</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536</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70"/>
        </w:trPr>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606</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608</w:t>
            </w:r>
          </w:p>
        </w:tc>
      </w:tr>
      <w:tr>
        <w:trPr>
          <w:trHeight w:val="3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739" w:right="239" w:bottom="1440" w:gutter="0" w:footer="0" w:header="0"/>
          <w:type w:val="continuous"/>
        </w:sectPr>
      </w:pPr>
    </w:p>
    <w:p>
      <w:pPr>
        <w:spacing w:after="0" w:line="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2017 Annual Report on Form 10-K.</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39" w:right="239" w:bottom="1440" w:gutter="0" w:footer="0" w:header="0"/>
          <w:type w:val="continuous"/>
        </w:sectPr>
      </w:pPr>
    </w:p>
    <w:bookmarkStart w:id="31" w:name="page32"/>
    <w:bookmarkEnd w:id="31"/>
    <w:p>
      <w:pPr>
        <w:spacing w:after="0"/>
        <w:tabs>
          <w:tab w:leader="none" w:pos="4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our financial instruments, excluding derivatives which are presented in Note 12, were as follows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8"/>
                <w:szCs w:val="18"/>
                <w:color w:val="auto"/>
                <w:w w:val="89"/>
              </w:rPr>
              <w:t>June 30, 2018</w:t>
            </w:r>
          </w:p>
        </w:tc>
        <w:tc>
          <w:tcPr>
            <w:tcW w:w="200" w:type="dxa"/>
            <w:vAlign w:val="bottom"/>
          </w:tcPr>
          <w:p>
            <w:pPr>
              <w:spacing w:after="0"/>
              <w:rPr>
                <w:sz w:val="20"/>
                <w:szCs w:val="20"/>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December 31, 2017</w:t>
            </w:r>
          </w:p>
        </w:tc>
        <w:tc>
          <w:tcPr>
            <w:tcW w:w="180" w:type="dxa"/>
            <w:vAlign w:val="bottom"/>
          </w:tcPr>
          <w:p>
            <w:pPr>
              <w:spacing w:after="0"/>
              <w:rPr>
                <w:sz w:val="20"/>
                <w:szCs w:val="20"/>
                <w:color w:val="auto"/>
              </w:rPr>
            </w:pPr>
          </w:p>
        </w:tc>
        <w:tc>
          <w:tcPr>
            <w:tcW w:w="2080" w:type="dxa"/>
            <w:vAlign w:val="bottom"/>
            <w:gridSpan w:val="3"/>
          </w:tcPr>
          <w:p>
            <w:pPr>
              <w:jc w:val="right"/>
              <w:ind w:right="530"/>
              <w:spacing w:after="0"/>
              <w:rPr>
                <w:sz w:val="20"/>
                <w:szCs w:val="20"/>
                <w:color w:val="auto"/>
              </w:rPr>
            </w:pPr>
            <w:r>
              <w:rPr>
                <w:rFonts w:ascii="Arial" w:cs="Arial" w:eastAsia="Arial" w:hAnsi="Arial"/>
                <w:sz w:val="18"/>
                <w:szCs w:val="18"/>
                <w:color w:val="auto"/>
              </w:rPr>
              <w:t>June 30, 2017</w:t>
            </w:r>
          </w:p>
        </w:tc>
      </w:tr>
      <w:tr>
        <w:trPr>
          <w:trHeight w:val="27"/>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9"/>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2"/>
              </w:rPr>
              <w:t>Fair Value</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8,630</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8,630</w:t>
            </w:r>
          </w:p>
        </w:tc>
        <w:tc>
          <w:tcPr>
            <w:tcW w:w="120" w:type="dxa"/>
            <w:vAlign w:val="bottom"/>
            <w:shd w:val="clear" w:color="auto" w:fill="CEFFE7"/>
          </w:tcPr>
          <w:p>
            <w:pPr>
              <w:spacing w:after="0"/>
              <w:rPr>
                <w:sz w:val="22"/>
                <w:szCs w:val="22"/>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15,420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15,420</w:t>
            </w:r>
          </w:p>
        </w:tc>
        <w:tc>
          <w:tcPr>
            <w:tcW w:w="12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11,528</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11,528</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3,084</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0"/>
        </w:trPr>
        <w:tc>
          <w:tcPr>
            <w:tcW w:w="4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121,800</w:t>
            </w:r>
          </w:p>
        </w:tc>
        <w:tc>
          <w:tcPr>
            <w:tcW w:w="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121,800</w:t>
            </w: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211,300</w:t>
            </w:r>
          </w:p>
        </w:tc>
        <w:tc>
          <w:tcPr>
            <w:tcW w:w="120" w:type="dxa"/>
            <w:vAlign w:val="bottom"/>
            <w:shd w:val="clear" w:color="auto" w:fill="CEFFE7"/>
          </w:tcPr>
          <w:p>
            <w:pPr>
              <w:spacing w:after="0"/>
              <w:rPr>
                <w:sz w:val="23"/>
                <w:szCs w:val="23"/>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107,975</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107,975</w:t>
            </w:r>
          </w:p>
        </w:tc>
      </w:tr>
      <w:tr>
        <w:trPr>
          <w:trHeight w:val="256"/>
        </w:trPr>
        <w:tc>
          <w:tcPr>
            <w:tcW w:w="4000" w:type="dxa"/>
            <w:vAlign w:val="bottom"/>
          </w:tcPr>
          <w:p>
            <w:pPr>
              <w:ind w:left="40"/>
              <w:spacing w:after="0" w:line="256" w:lineRule="exact"/>
              <w:rPr>
                <w:sz w:val="20"/>
                <w:szCs w:val="20"/>
                <w:color w:val="auto"/>
              </w:rPr>
            </w:pPr>
            <w:r>
              <w:rPr>
                <w:rFonts w:ascii="Arial" w:cs="Arial" w:eastAsia="Arial" w:hAnsi="Arial"/>
                <w:sz w:val="18"/>
                <w:szCs w:val="18"/>
                <w:color w:val="auto"/>
                <w:w w:val="99"/>
              </w:rPr>
              <w:t xml:space="preserve">Long-term debt, including current maturities </w:t>
            </w:r>
            <w:r>
              <w:rPr>
                <w:rFonts w:ascii="Arial" w:cs="Arial" w:eastAsia="Arial" w:hAnsi="Arial"/>
                <w:sz w:val="25"/>
                <w:szCs w:val="25"/>
                <w:color w:val="auto"/>
                <w:w w:val="99"/>
                <w:vertAlign w:val="superscript"/>
              </w:rPr>
              <w:t>(c) (d)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3,113,811</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3,234,780</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3,115,143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3,350,544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3,166,045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3,377,891</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340" w:right="180" w:hanging="332"/>
        <w:spacing w:after="0" w:line="24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Carrying value approximates fair value due to either the short-term length of maturity or variable interest rates that approximate prevailing market rates, and therefore is classified in Level 1 in the fair value hierarchy.</w:t>
      </w:r>
    </w:p>
    <w:p>
      <w:pPr>
        <w:ind w:left="340" w:right="30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Notes payable consist of commercial paper borrowings and borrowings on our Revolving Credit Facility. Carrying value approximates fair value due to the short-term length of maturity; since these borrowings are not traded on an exchange, they are classified in Level 2 in the fair value hierarchy.</w:t>
      </w:r>
    </w:p>
    <w:p>
      <w:pPr>
        <w:ind w:left="340" w:right="18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Carrying amount of long-term debt is net of deferred financing costs.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gridSpan w:val="4"/>
          </w:tcPr>
          <w:p>
            <w:pPr>
              <w:ind w:left="40"/>
              <w:spacing w:after="0"/>
              <w:rPr>
                <w:sz w:val="20"/>
                <w:szCs w:val="20"/>
                <w:color w:val="auto"/>
              </w:rPr>
            </w:pPr>
            <w:r>
              <w:rPr>
                <w:rFonts w:ascii="Arial" w:cs="Arial" w:eastAsia="Arial" w:hAnsi="Arial"/>
                <w:sz w:val="18"/>
                <w:szCs w:val="18"/>
                <w:color w:val="auto"/>
                <w:w w:val="95"/>
              </w:rPr>
              <w:t>Amount Reclassified from AOCI</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60" w:type="dxa"/>
            <w:vAlign w:val="bottom"/>
            <w:vMerge w:val="restart"/>
          </w:tcPr>
          <w:p>
            <w:pPr>
              <w:ind w:left="440"/>
              <w:spacing w:after="0"/>
              <w:rPr>
                <w:sz w:val="20"/>
                <w:szCs w:val="20"/>
                <w:color w:val="auto"/>
              </w:rPr>
            </w:pPr>
            <w:r>
              <w:rPr>
                <w:rFonts w:ascii="Arial" w:cs="Arial" w:eastAsia="Arial" w:hAnsi="Arial"/>
                <w:sz w:val="18"/>
                <w:szCs w:val="18"/>
                <w:color w:val="auto"/>
              </w:rPr>
              <w:t>Location on the Condensed</w:t>
            </w:r>
          </w:p>
        </w:tc>
        <w:tc>
          <w:tcPr>
            <w:tcW w:w="260" w:type="dxa"/>
            <w:vAlign w:val="bottom"/>
          </w:tcPr>
          <w:p>
            <w:pPr>
              <w:spacing w:after="0"/>
              <w:rPr>
                <w:sz w:val="23"/>
                <w:szCs w:val="23"/>
                <w:color w:val="auto"/>
              </w:rPr>
            </w:pPr>
          </w:p>
        </w:tc>
        <w:tc>
          <w:tcPr>
            <w:tcW w:w="2140" w:type="dxa"/>
            <w:vAlign w:val="bottom"/>
            <w:gridSpan w:val="3"/>
          </w:tcPr>
          <w:p>
            <w:pPr>
              <w:jc w:val="right"/>
              <w:ind w:right="390"/>
              <w:spacing w:after="0"/>
              <w:rPr>
                <w:sz w:val="20"/>
                <w:szCs w:val="20"/>
                <w:color w:val="auto"/>
              </w:rPr>
            </w:pPr>
            <w:r>
              <w:rPr>
                <w:rFonts w:ascii="Arial" w:cs="Arial" w:eastAsia="Arial" w:hAnsi="Arial"/>
                <w:sz w:val="18"/>
                <w:szCs w:val="18"/>
                <w:color w:val="auto"/>
                <w:w w:val="97"/>
              </w:rPr>
              <w:t>Three Months Ended</w:t>
            </w:r>
          </w:p>
        </w:tc>
        <w:tc>
          <w:tcPr>
            <w:tcW w:w="400" w:type="dxa"/>
            <w:vAlign w:val="bottom"/>
          </w:tcPr>
          <w:p>
            <w:pPr>
              <w:spacing w:after="0"/>
              <w:rPr>
                <w:sz w:val="23"/>
                <w:szCs w:val="23"/>
                <w:color w:val="auto"/>
              </w:rPr>
            </w:pPr>
          </w:p>
        </w:tc>
        <w:tc>
          <w:tcPr>
            <w:tcW w:w="1980" w:type="dxa"/>
            <w:vAlign w:val="bottom"/>
            <w:gridSpan w:val="3"/>
          </w:tcPr>
          <w:p>
            <w:pPr>
              <w:jc w:val="right"/>
              <w:ind w:right="3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60" w:type="dxa"/>
            <w:vAlign w:val="bottom"/>
          </w:tcPr>
          <w:p>
            <w:pPr>
              <w:ind w:left="140"/>
              <w:spacing w:after="0"/>
              <w:rPr>
                <w:sz w:val="20"/>
                <w:szCs w:val="20"/>
                <w:color w:val="auto"/>
              </w:rPr>
            </w:pPr>
            <w:r>
              <w:rPr>
                <w:rFonts w:ascii="Arial" w:cs="Arial" w:eastAsia="Arial" w:hAnsi="Arial"/>
                <w:sz w:val="18"/>
                <w:szCs w:val="18"/>
                <w:color w:val="auto"/>
                <w:w w:val="94"/>
              </w:rPr>
              <w:t>Consolidated Statements of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2"/>
              </w:rPr>
              <w:t>June 30, 2018</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June 30, 2017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June 30, 2018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2"/>
              </w:rPr>
              <w:t>June 30, 2017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Gains and (losses) on cash flow hedges:</w:t>
            </w:r>
          </w:p>
        </w:tc>
        <w:tc>
          <w:tcPr>
            <w:tcW w:w="28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EFFE7"/>
          </w:tcPr>
          <w:p>
            <w:pPr>
              <w:spacing w:after="0"/>
              <w:rPr>
                <w:sz w:val="19"/>
                <w:szCs w:val="19"/>
                <w:color w:val="auto"/>
              </w:rPr>
            </w:pPr>
          </w:p>
        </w:tc>
        <w:tc>
          <w:tcPr>
            <w:tcW w:w="2860" w:type="dxa"/>
            <w:vAlign w:val="bottom"/>
            <w:shd w:val="clear" w:color="auto" w:fill="CEFFE7"/>
          </w:tcPr>
          <w:p>
            <w:pPr>
              <w:ind w:left="20"/>
              <w:spacing w:after="0"/>
              <w:rPr>
                <w:sz w:val="20"/>
                <w:szCs w:val="20"/>
                <w:color w:val="auto"/>
              </w:rPr>
            </w:pPr>
            <w:r>
              <w:rPr>
                <w:rFonts w:ascii="Arial" w:cs="Arial" w:eastAsia="Arial" w:hAnsi="Arial"/>
                <w:sz w:val="18"/>
                <w:szCs w:val="18"/>
                <w:color w:val="auto"/>
              </w:rPr>
              <w:t>Net (loss) from discontinued</w:t>
            </w: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2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430</w:t>
            </w:r>
          </w:p>
        </w:tc>
        <w:tc>
          <w:tcPr>
            <w:tcW w:w="4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Fuel, purchased power and cost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Commodity contracts</w:t>
            </w:r>
          </w:p>
        </w:tc>
        <w:tc>
          <w:tcPr>
            <w:tcW w:w="2860" w:type="dxa"/>
            <w:vAlign w:val="bottom"/>
          </w:tcPr>
          <w:p>
            <w:pPr>
              <w:ind w:left="20"/>
              <w:spacing w:after="0"/>
              <w:rPr>
                <w:sz w:val="20"/>
                <w:szCs w:val="20"/>
                <w:color w:val="auto"/>
              </w:rPr>
            </w:pPr>
            <w:r>
              <w:rPr>
                <w:rFonts w:ascii="Arial" w:cs="Arial" w:eastAsia="Arial" w:hAnsi="Arial"/>
                <w:sz w:val="18"/>
                <w:szCs w:val="18"/>
                <w:color w:val="auto"/>
              </w:rPr>
              <w:t>natural gas sold</w:t>
            </w:r>
          </w:p>
        </w:tc>
        <w:tc>
          <w:tcPr>
            <w:tcW w:w="2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20"/>
                <w:szCs w:val="20"/>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(784)</w:t>
            </w:r>
          </w:p>
        </w:tc>
        <w:tc>
          <w:tcPr>
            <w:tcW w:w="340" w:type="dxa"/>
            <w:vAlign w:val="bottom"/>
          </w:tcPr>
          <w:p>
            <w:pPr>
              <w:spacing w:after="0"/>
              <w:rPr>
                <w:sz w:val="20"/>
                <w:szCs w:val="20"/>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spacing w:after="0"/>
              <w:rPr>
                <w:sz w:val="21"/>
                <w:szCs w:val="21"/>
                <w:color w:val="auto"/>
              </w:rPr>
            </w:pPr>
          </w:p>
        </w:tc>
        <w:tc>
          <w:tcPr>
            <w:tcW w:w="28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(876)</w:t>
            </w: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(327)</w:t>
            </w: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(2,210)</w:t>
            </w: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28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40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EFFE7"/>
          </w:tcPr>
          <w:p>
            <w:pPr>
              <w:ind w:left="40"/>
              <w:spacing w:after="0"/>
              <w:rPr>
                <w:sz w:val="20"/>
                <w:szCs w:val="20"/>
                <w:color w:val="auto"/>
              </w:rPr>
            </w:pPr>
            <w:r>
              <w:rPr>
                <w:rFonts w:ascii="Arial" w:cs="Arial" w:eastAsia="Arial" w:hAnsi="Arial"/>
                <w:sz w:val="18"/>
                <w:szCs w:val="18"/>
                <w:color w:val="auto"/>
                <w:w w:val="95"/>
              </w:rPr>
              <w:t>Total reclassification adjustments related to cash</w:t>
            </w:r>
          </w:p>
        </w:tc>
        <w:tc>
          <w:tcPr>
            <w:tcW w:w="2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flow hedges, net of tax</w:t>
            </w:r>
          </w:p>
        </w:tc>
        <w:tc>
          <w:tcPr>
            <w:tcW w:w="286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(679)</w:t>
            </w:r>
          </w:p>
        </w:tc>
        <w:tc>
          <w:tcPr>
            <w:tcW w:w="4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(221)</w:t>
            </w:r>
          </w:p>
        </w:tc>
        <w:tc>
          <w:tcPr>
            <w:tcW w:w="4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(1,716)</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EFFE7"/>
          </w:tcPr>
          <w:p>
            <w:pPr>
              <w:ind w:left="40"/>
              <w:spacing w:after="0"/>
              <w:rPr>
                <w:sz w:val="20"/>
                <w:szCs w:val="20"/>
                <w:color w:val="auto"/>
              </w:rPr>
            </w:pPr>
            <w:r>
              <w:rPr>
                <w:rFonts w:ascii="Arial" w:cs="Arial" w:eastAsia="Arial" w:hAnsi="Arial"/>
                <w:sz w:val="18"/>
                <w:szCs w:val="18"/>
                <w:color w:val="auto"/>
              </w:rPr>
              <w:t>Amortization of components of defined benefit</w:t>
            </w:r>
          </w:p>
        </w:tc>
        <w:tc>
          <w:tcPr>
            <w:tcW w:w="286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plans:</w:t>
            </w:r>
          </w:p>
        </w:tc>
        <w:tc>
          <w:tcPr>
            <w:tcW w:w="286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spacing w:after="0"/>
              <w:rPr>
                <w:sz w:val="20"/>
                <w:szCs w:val="20"/>
                <w:color w:val="auto"/>
              </w:rPr>
            </w:pPr>
          </w:p>
        </w:tc>
        <w:tc>
          <w:tcPr>
            <w:tcW w:w="4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spacing w:after="0"/>
              <w:rPr>
                <w:sz w:val="20"/>
                <w:szCs w:val="20"/>
                <w:color w:val="auto"/>
              </w:rPr>
            </w:pPr>
          </w:p>
        </w:tc>
        <w:tc>
          <w:tcPr>
            <w:tcW w:w="40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spacing w:after="0"/>
              <w:rPr>
                <w:sz w:val="20"/>
                <w:szCs w:val="20"/>
                <w:color w:val="auto"/>
              </w:rPr>
            </w:pPr>
          </w:p>
        </w:tc>
        <w:tc>
          <w:tcPr>
            <w:tcW w:w="3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2860" w:type="dxa"/>
            <w:vAlign w:val="bottom"/>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780" w:type="dxa"/>
            <w:vAlign w:val="bottom"/>
            <w:shd w:val="clear" w:color="auto" w:fill="CEFFE7"/>
          </w:tcPr>
          <w:p>
            <w:pPr>
              <w:spacing w:after="0"/>
              <w:rPr>
                <w:sz w:val="24"/>
                <w:szCs w:val="24"/>
                <w:color w:val="auto"/>
              </w:rPr>
            </w:pPr>
          </w:p>
        </w:tc>
        <w:tc>
          <w:tcPr>
            <w:tcW w:w="28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2860" w:type="dxa"/>
            <w:vAlign w:val="bottom"/>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w:t>
            </w:r>
          </w:p>
        </w:tc>
        <w:tc>
          <w:tcPr>
            <w:tcW w:w="4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(1,244)</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EFFE7"/>
            </w:tcBorders>
            <w:shd w:val="clear" w:color="auto" w:fill="CEFFE7"/>
          </w:tcPr>
          <w:p>
            <w:pPr>
              <w:spacing w:after="0"/>
              <w:rPr>
                <w:sz w:val="21"/>
                <w:szCs w:val="21"/>
                <w:color w:val="auto"/>
              </w:rPr>
            </w:pPr>
          </w:p>
        </w:tc>
        <w:tc>
          <w:tcPr>
            <w:tcW w:w="286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(578)</w:t>
            </w: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(365)</w:t>
            </w:r>
          </w:p>
        </w:tc>
        <w:tc>
          <w:tcPr>
            <w:tcW w:w="4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(1,155)</w:t>
            </w:r>
          </w:p>
        </w:tc>
        <w:tc>
          <w:tcPr>
            <w:tcW w:w="3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28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EFFE7"/>
            </w:tcBorders>
          </w:tcPr>
          <w:p>
            <w:pPr>
              <w:spacing w:after="0"/>
              <w:rPr>
                <w:sz w:val="2"/>
                <w:szCs w:val="2"/>
                <w:color w:val="auto"/>
              </w:rPr>
            </w:pPr>
          </w:p>
        </w:tc>
        <w:tc>
          <w:tcPr>
            <w:tcW w:w="2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EFFE7"/>
          </w:tcPr>
          <w:p>
            <w:pPr>
              <w:ind w:left="40"/>
              <w:spacing w:after="0"/>
              <w:rPr>
                <w:sz w:val="20"/>
                <w:szCs w:val="20"/>
                <w:color w:val="auto"/>
              </w:rPr>
            </w:pPr>
            <w:r>
              <w:rPr>
                <w:rFonts w:ascii="Arial" w:cs="Arial" w:eastAsia="Arial" w:hAnsi="Arial"/>
                <w:sz w:val="18"/>
                <w:szCs w:val="18"/>
                <w:color w:val="auto"/>
                <w:w w:val="90"/>
              </w:rPr>
              <w:t>Total reclassification adjustments related to defined</w:t>
            </w:r>
          </w:p>
        </w:tc>
        <w:tc>
          <w:tcPr>
            <w:tcW w:w="2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benefit plans, net of tax</w:t>
            </w:r>
          </w:p>
        </w:tc>
        <w:tc>
          <w:tcPr>
            <w:tcW w:w="286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(452)</w:t>
            </w:r>
          </w:p>
        </w:tc>
        <w:tc>
          <w:tcPr>
            <w:tcW w:w="4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(237)</w:t>
            </w:r>
          </w:p>
        </w:tc>
        <w:tc>
          <w:tcPr>
            <w:tcW w:w="4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(903)</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 reclassifications</w:t>
            </w:r>
          </w:p>
        </w:tc>
        <w:tc>
          <w:tcPr>
            <w:tcW w:w="28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(458)</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60" w:type="dxa"/>
            <w:vAlign w:val="bottom"/>
            <w:vMerge w:val="restart"/>
          </w:tcPr>
          <w:p>
            <w:pPr>
              <w:ind w:left="1840"/>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Commodity Derivatives</w:t>
            </w:r>
          </w:p>
        </w:tc>
        <w:tc>
          <w:tcPr>
            <w:tcW w:w="18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As of December 31,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(19,581)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(41,202)</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1,122</w:t>
            </w:r>
          </w:p>
        </w:tc>
        <w:tc>
          <w:tcPr>
            <w:tcW w:w="16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903</w:t>
            </w: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2,619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8"/>
              </w:rPr>
              <w:t>Reclassifications of certain tax effects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June 30, 2018</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(18,444)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(20,197)</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(38,763)</w:t>
            </w: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3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5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540" w:type="dxa"/>
            <w:vAlign w:val="bottom"/>
            <w:gridSpan w:val="2"/>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360" w:type="dxa"/>
            <w:vAlign w:val="bottom"/>
            <w:shd w:val="clear" w:color="auto" w:fill="CEFFE7"/>
          </w:tcPr>
          <w:p>
            <w:pPr>
              <w:spacing w:after="0"/>
              <w:rPr>
                <w:sz w:val="24"/>
                <w:szCs w:val="24"/>
                <w:color w:val="auto"/>
              </w:rPr>
            </w:pPr>
          </w:p>
        </w:tc>
      </w:tr>
      <w:tr>
        <w:trPr>
          <w:trHeight w:val="229"/>
        </w:trPr>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Commodity Derivatives</w:t>
            </w:r>
          </w:p>
        </w:tc>
        <w:tc>
          <w:tcPr>
            <w:tcW w:w="18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as of December 31, 2016</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(16,541)</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(34,883)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466</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June 30, 2017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(17,124)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(16,075)</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(32,941)</w:t>
            </w:r>
          </w:p>
        </w:tc>
      </w:tr>
      <w:tr>
        <w:trPr>
          <w:trHeight w:val="20"/>
        </w:trPr>
        <w:tc>
          <w:tcPr>
            <w:tcW w:w="39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9"/>
        </w:trPr>
        <w:tc>
          <w:tcPr>
            <w:tcW w:w="6180" w:type="dxa"/>
            <w:vAlign w:val="bottom"/>
            <w:gridSpan w:val="3"/>
          </w:tcPr>
          <w:p>
            <w:pPr>
              <w:spacing w:after="0"/>
              <w:rPr>
                <w:sz w:val="20"/>
                <w:szCs w:val="20"/>
                <w:color w:val="auto"/>
              </w:rPr>
            </w:pPr>
            <w:r>
              <w:rPr>
                <w:rFonts w:ascii="Arial" w:cs="Arial" w:eastAsia="Arial" w:hAnsi="Arial"/>
                <w:sz w:val="18"/>
                <w:szCs w:val="18"/>
                <w:color w:val="auto"/>
              </w:rPr>
              <w:t>(15)  SUPPLEMENTAL DISCLOSURE OF CASH FLOW INFORMATION</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94"/>
        </w:trPr>
        <w:tc>
          <w:tcPr>
            <w:tcW w:w="3900" w:type="dxa"/>
            <w:vAlign w:val="bottom"/>
          </w:tcPr>
          <w:p>
            <w:pPr>
              <w:ind w:left="40"/>
              <w:spacing w:after="0"/>
              <w:rPr>
                <w:sz w:val="20"/>
                <w:szCs w:val="20"/>
                <w:color w:val="auto"/>
              </w:rPr>
            </w:pPr>
            <w:r>
              <w:rPr>
                <w:rFonts w:ascii="Arial" w:cs="Arial" w:eastAsia="Arial" w:hAnsi="Arial"/>
                <w:sz w:val="18"/>
                <w:szCs w:val="18"/>
                <w:color w:val="auto"/>
              </w:rPr>
              <w:t>Six Months Ended</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w w:val="87"/>
              </w:rPr>
              <w:t>June 30, 2017</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4"/>
          </w:tcPr>
          <w:p>
            <w:pPr>
              <w:jc w:val="right"/>
              <w:ind w:right="1150"/>
              <w:spacing w:after="0"/>
              <w:rPr>
                <w:sz w:val="20"/>
                <w:szCs w:val="20"/>
                <w:color w:val="auto"/>
              </w:rPr>
            </w:pPr>
            <w:r>
              <w:rPr>
                <w:rFonts w:ascii="Arial" w:cs="Arial" w:eastAsia="Arial" w:hAnsi="Arial"/>
                <w:sz w:val="18"/>
                <w:szCs w:val="18"/>
                <w:color w:val="auto"/>
              </w:rPr>
              <w:t>(in thousands)</w:t>
            </w: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 —</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61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8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16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gridSpan w:val="2"/>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37,168</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31,579</w:t>
            </w:r>
          </w:p>
        </w:tc>
      </w:tr>
      <w:tr>
        <w:trPr>
          <w:trHeight w:val="32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(paid) refunded during the period —</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(67,119)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(65,820)</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taxes (paid) refunded</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gridSpan w:val="2"/>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(14,837)</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r>
      <w:tr>
        <w:trPr>
          <w:trHeight w:val="86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ind w:right="8580" w:firstLine="8"/>
        <w:spacing w:after="0" w:line="530"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EMPLOYEE BENEFIT PLANS </w:t>
      </w:r>
      <w:r>
        <w:rPr>
          <w:rFonts w:ascii="Arial" w:cs="Arial" w:eastAsia="Arial" w:hAnsi="Arial"/>
          <w:sz w:val="17"/>
          <w:szCs w:val="17"/>
          <w:u w:val="single" w:color="auto"/>
          <w:color w:val="auto"/>
        </w:rPr>
        <w:t>Defined Benefit Pension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Pension Plan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44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4460" w:type="dxa"/>
            <w:vAlign w:val="bottom"/>
            <w:tcBorders>
              <w:bottom w:val="single" w:sz="8" w:color="CEFFE7"/>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10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1,709</w:t>
            </w:r>
          </w:p>
        </w:tc>
        <w:tc>
          <w:tcPr>
            <w:tcW w:w="112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3,417</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3,517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3,868</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7,735</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7,760</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(6,185)</w:t>
            </w:r>
          </w:p>
        </w:tc>
        <w:tc>
          <w:tcPr>
            <w:tcW w:w="112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4"/>
              </w:rPr>
              <w:t>(6,129)</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(12,370)</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(12,258)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10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2,157</w:t>
            </w:r>
          </w:p>
        </w:tc>
        <w:tc>
          <w:tcPr>
            <w:tcW w:w="1120" w:type="dxa"/>
            <w:vAlign w:val="bottom"/>
            <w:tcBorders>
              <w:bottom w:val="single" w:sz="8" w:color="CEFFE7"/>
            </w:tcBorders>
            <w:shd w:val="clear" w:color="auto" w:fill="CEFFE7"/>
          </w:tcPr>
          <w:p>
            <w:pPr>
              <w:spacing w:after="0"/>
              <w:rPr>
                <w:sz w:val="23"/>
                <w:szCs w:val="23"/>
                <w:color w:val="auto"/>
              </w:rPr>
            </w:pP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EFFE7"/>
            </w:tcBorders>
            <w:shd w:val="clear" w:color="auto" w:fill="CEFFE7"/>
          </w:tcPr>
          <w:p>
            <w:pPr>
              <w:spacing w:after="0"/>
              <w:rPr>
                <w:sz w:val="23"/>
                <w:szCs w:val="23"/>
                <w:color w:val="auto"/>
              </w:rPr>
            </w:pPr>
          </w:p>
        </w:tc>
        <w:tc>
          <w:tcPr>
            <w:tcW w:w="40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4,315</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2,003</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w:t>
            </w:r>
          </w:p>
        </w:tc>
        <w:tc>
          <w:tcPr>
            <w:tcW w:w="11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446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446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w:t>
            </w:r>
          </w:p>
        </w:tc>
        <w:tc>
          <w:tcPr>
            <w:tcW w:w="116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1,145</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1,042</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1,067</w:t>
            </w: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20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w:t>
            </w:r>
          </w:p>
        </w:tc>
        <w:tc>
          <w:tcPr>
            <w:tcW w:w="116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w:t>
            </w:r>
          </w:p>
        </w:tc>
        <w:tc>
          <w:tcPr>
            <w:tcW w:w="4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w:t>
            </w:r>
          </w:p>
        </w:tc>
        <w:tc>
          <w:tcPr>
            <w:tcW w:w="1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200" w:type="dxa"/>
            <w:vAlign w:val="bottom"/>
            <w:tcBorders>
              <w:bottom w:val="single" w:sz="8" w:color="CEFFE7"/>
            </w:tcBorders>
            <w:shd w:val="clear" w:color="auto" w:fill="CEFFE7"/>
          </w:tcPr>
          <w:p>
            <w:pPr>
              <w:spacing w:after="0"/>
              <w:rPr>
                <w:sz w:val="23"/>
                <w:szCs w:val="23"/>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w:t>
            </w:r>
          </w:p>
        </w:tc>
        <w:tc>
          <w:tcPr>
            <w:tcW w:w="116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EFFE7"/>
            </w:tcBorders>
            <w:shd w:val="clear" w:color="auto" w:fill="CEFFE7"/>
          </w:tcPr>
          <w:p>
            <w:pPr>
              <w:spacing w:after="0"/>
              <w:rPr>
                <w:sz w:val="23"/>
                <w:szCs w:val="23"/>
                <w:color w:val="auto"/>
              </w:rPr>
            </w:pPr>
          </w:p>
        </w:tc>
        <w:tc>
          <w:tcPr>
            <w:tcW w:w="40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250</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992</w:t>
            </w:r>
          </w:p>
        </w:tc>
        <w:tc>
          <w:tcPr>
            <w:tcW w:w="116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1,046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2,091</w:t>
            </w:r>
          </w:p>
        </w:tc>
      </w:tr>
      <w:tr>
        <w:trPr>
          <w:trHeight w:val="20"/>
        </w:trPr>
        <w:tc>
          <w:tcPr>
            <w:tcW w:w="4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446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446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200" w:type="dxa"/>
            <w:vAlign w:val="bottom"/>
            <w:tcBorders>
              <w:bottom w:val="single" w:sz="8" w:color="CEFFE7"/>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435</w:t>
            </w:r>
          </w:p>
        </w:tc>
        <w:tc>
          <w:tcPr>
            <w:tcW w:w="1180" w:type="dxa"/>
            <w:vAlign w:val="bottom"/>
            <w:tcBorders>
              <w:bottom w:val="single" w:sz="8" w:color="CEFFE7"/>
            </w:tcBorders>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715</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4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12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11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446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benefit cost</w:t>
            </w:r>
          </w:p>
        </w:tc>
        <w:tc>
          <w:tcPr>
            <w:tcW w:w="120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978</w:t>
            </w:r>
          </w:p>
        </w:tc>
        <w:tc>
          <w:tcPr>
            <w:tcW w:w="1180" w:type="dxa"/>
            <w:vAlign w:val="bottom"/>
            <w:tcBorders>
              <w:bottom w:val="single" w:sz="8" w:color="auto"/>
            </w:tcBorders>
            <w:shd w:val="clear" w:color="auto" w:fill="CEFFE7"/>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7"/>
              </w:rPr>
              <w:t>1,178</w:t>
            </w:r>
          </w:p>
        </w:tc>
        <w:tc>
          <w:tcPr>
            <w:tcW w:w="12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1,801</w:t>
            </w:r>
          </w:p>
        </w:tc>
        <w:tc>
          <w:tcPr>
            <w:tcW w:w="44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2,575</w:t>
            </w:r>
          </w:p>
        </w:tc>
      </w:tr>
      <w:tr>
        <w:trPr>
          <w:trHeight w:val="20"/>
        </w:trPr>
        <w:tc>
          <w:tcPr>
            <w:tcW w:w="4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the three and six months ended June 30, 2018, service costs were recorded in Operations and maintenance expense while non-service costs were recorded in Other income (expense), net, on the Condensed Consolidated Statements of Income. For the three and six months ended June 30, 2017, service costs and non-service costs were recorded in Operations and maintenance expense. Because prior years’ costs were not considered material, they were not reclassified on the Condensed Consolidated Statements of Income. See Note 1 for additional information.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Contributions to the Defined Benefit Pension Plan are cash contributions made directly to the Pension Plan Trust account. On July 25, 2018, we made a contribution of approximately $13 million (included in the table below) to the Defined Benefit Pension Plan. Contributions to the Postretirement Healthcare and Supplemental Plans are made in the form of benefit payments. Contributions made in 2018 and anticipated contributions for 2018 and 2019 are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Additional</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90"/>
              <w:spacing w:after="0"/>
              <w:rPr>
                <w:sz w:val="20"/>
                <w:szCs w:val="20"/>
                <w:color w:val="auto"/>
              </w:rPr>
            </w:pPr>
            <w:r>
              <w:rPr>
                <w:rFonts w:ascii="Arial" w:cs="Arial" w:eastAsia="Arial" w:hAnsi="Arial"/>
                <w:sz w:val="18"/>
                <w:szCs w:val="18"/>
                <w:color w:val="auto"/>
                <w:w w:val="92"/>
              </w:rPr>
              <w:t>Contributions Made</w:t>
            </w:r>
          </w:p>
        </w:tc>
        <w:tc>
          <w:tcPr>
            <w:tcW w:w="24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6"/>
              </w:rPr>
              <w:t>Contributions Made</w:t>
            </w:r>
          </w:p>
        </w:tc>
        <w:tc>
          <w:tcPr>
            <w:tcW w:w="24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9"/>
              </w:rPr>
              <w:t>Contributions</w:t>
            </w:r>
          </w:p>
        </w:tc>
      </w:tr>
      <w:tr>
        <w:trPr>
          <w:trHeight w:val="256"/>
        </w:trPr>
        <w:tc>
          <w:tcPr>
            <w:tcW w:w="4120" w:type="dxa"/>
            <w:vAlign w:val="bottom"/>
          </w:tcPr>
          <w:p>
            <w:pPr>
              <w:spacing w:after="0"/>
              <w:rPr>
                <w:sz w:val="22"/>
                <w:szCs w:val="22"/>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89"/>
              </w:rPr>
              <w:t>Three Months Ended June</w:t>
            </w:r>
          </w:p>
        </w:tc>
        <w:tc>
          <w:tcPr>
            <w:tcW w:w="3660" w:type="dxa"/>
            <w:vAlign w:val="bottom"/>
            <w:gridSpan w:val="4"/>
          </w:tcPr>
          <w:p>
            <w:pPr>
              <w:ind w:left="60"/>
              <w:spacing w:after="0"/>
              <w:rPr>
                <w:sz w:val="20"/>
                <w:szCs w:val="20"/>
                <w:color w:val="auto"/>
              </w:rPr>
            </w:pPr>
            <w:r>
              <w:rPr>
                <w:rFonts w:ascii="Arial" w:cs="Arial" w:eastAsia="Arial" w:hAnsi="Arial"/>
                <w:sz w:val="18"/>
                <w:szCs w:val="18"/>
                <w:color w:val="auto"/>
                <w:w w:val="92"/>
              </w:rPr>
              <w:t>Six Months Ended June 30, Anticipated for 2018</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4"/>
              </w:rPr>
              <w:t>Anticipated for 2019</w:t>
            </w: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110"/>
              <w:spacing w:after="0"/>
              <w:rPr>
                <w:sz w:val="20"/>
                <w:szCs w:val="20"/>
                <w:color w:val="auto"/>
              </w:rPr>
            </w:pPr>
            <w:r>
              <w:rPr>
                <w:rFonts w:ascii="Arial" w:cs="Arial" w:eastAsia="Arial" w:hAnsi="Arial"/>
                <w:sz w:val="18"/>
                <w:szCs w:val="18"/>
                <w:color w:val="auto"/>
                <w:w w:val="88"/>
              </w:rPr>
              <w:t>30, 2018</w:t>
            </w:r>
          </w:p>
        </w:tc>
        <w:tc>
          <w:tcPr>
            <w:tcW w:w="24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c>
          <w:tcPr>
            <w:tcW w:w="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1"/>
              </w:rPr>
              <w:t>Non-pension Defined Benefit Postretirement Healthcare</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Plans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2,468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4,802</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 Benefit and</w:t>
            </w:r>
          </w:p>
        </w:tc>
        <w:tc>
          <w:tcPr>
            <w:tcW w:w="22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r>
      <w:tr>
        <w:trPr>
          <w:trHeight w:val="230"/>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Defined Contribution Plans</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686</w:t>
            </w:r>
          </w:p>
        </w:tc>
        <w:tc>
          <w:tcPr>
            <w:tcW w:w="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1,921</w:t>
            </w:r>
          </w:p>
        </w:tc>
      </w:tr>
      <w:tr>
        <w:trPr>
          <w:trHeight w:val="27"/>
        </w:trPr>
        <w:tc>
          <w:tcPr>
            <w:tcW w:w="412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0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COMMITMENTS AND CONTINGENCIES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2017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Revolving Credit Facility and other debt obligations contain restrictions on the payment of cash dividends upon a default or event of default. As of June 30, 2018, we were in compliance with the debt covenants.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stockholders is derived from these cash flows. As a result, certain statutory limitations or regulatory or financing agreements could affect the levels of distributions allowed to be made by our subsidiaries.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utilities are generally limited to the amount of dividends allowed to be paid to us as a utility holding company under the Federal Power Act and settlement agreements with state regulatory jurisdictions and financing agreements. As of June 30, 2018, the restricted net assets at our Electric Utilities and Gas Utilities were approximately $257 million.</w:t>
      </w:r>
    </w:p>
    <w:p>
      <w:pPr>
        <w:spacing w:after="0" w:line="39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DISCONTINUED OPERATIONS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Results of operations for discontinued operations have been classified as Loss from discontinued operations, net of income taxes in the accompanying Condensed Consolidated Statements of Income. Current assets, noncurrent assets, current liabilities and non-current liabilities of the discontinued operations have been reclassified and reflected on the accompanying Condensed Consolidated Balance Sheets as “Current assets held for sale,” “Noncurrent assets held for sale,” “Current liabilities held for sale,” and “Noncurrent liabilities held for sale”, respectively. Prior periods relating to our discontinued operations have also been reclassified to reflect consistency within our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November 1, 2017, the BHC Board of Directors approved a complete divestiture of our Oil and Gas segment. As of June 30, 2018, we have sold nearly all oil and gas assets. Transaction closing for the last few assets and final accounting are expected within the third quarter. The closing of the oil and gas office will occur in August. We expect to transfer any associated liabilities, and settle substantially all remaining liabilities by September 30, 2018.</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process of divesting our Oil and Gas segment, we performed a fair value assessment of the assets and liabilities classified as held for sale. We evaluated our disposal groups classified as held for sale based on the lower of carrying value or fair value less cost to sell. The market approach was based on our recent sales of assets and pending sale transactions of our other properties.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60"/>
        <w:spacing w:after="0" w:line="257" w:lineRule="auto"/>
        <w:rPr>
          <w:sz w:val="20"/>
          <w:szCs w:val="20"/>
          <w:color w:val="auto"/>
        </w:rPr>
      </w:pPr>
      <w:r>
        <w:rPr>
          <w:rFonts w:ascii="Arial" w:cs="Arial" w:eastAsia="Arial" w:hAnsi="Arial"/>
          <w:sz w:val="18"/>
          <w:szCs w:val="18"/>
          <w:color w:val="auto"/>
        </w:rPr>
        <w:t>There is risk involved when determining the fair value of assets, as there may be unforeseen events and changes in circumstances and market conditions that have a material impact on the estimated amount and timing of future cash flows. In addition, the fair value of the assets and liabilities could be different using different estimates and assumptions in the valuation techniques used. We believe that the estimates used in calculating the fair value of our assets and liabilities held for sale are reasonable based on the information that was known when the estimates were made and how they compared with the additional property sales occurring after December 31, 2017.</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2017, the fair value of our held for sale assets was less than our carrying value, which required an after-tax write down of $13 million. There were no further adjustments made to the fair value of our held for sale assets at June 30, 2018.</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six months ended June 30, 2018, we recorded $2.2 million of expenses comprised of royalty payments and reclamation costs related to final closing on the sale of BHEP assets, which are presented as Loss on the sale of assets in the table below.</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Total assets and liabilities of BHEP at June 30, 2018 and December 31, 2017 have been classified as Current assets held for sale and Current liabilities held for sale on the accompanying Condensed Consolidated Balance Sheets due to the expected final disposals occurring by September 30, 2018. Held for sale assets and liabilities at June 30, 2017 are classified as current and non-current (in thousands) as of.</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w w:val="93"/>
              </w:rPr>
              <w:t>December 31, 2017</w:t>
            </w:r>
          </w:p>
        </w:tc>
        <w:tc>
          <w:tcPr>
            <w:tcW w:w="320" w:type="dxa"/>
            <w:vAlign w:val="bottom"/>
          </w:tcPr>
          <w:p>
            <w:pPr>
              <w:spacing w:after="0"/>
              <w:rPr>
                <w:sz w:val="20"/>
                <w:szCs w:val="20"/>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10,360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Derivative assets, current and noncurrent</w:t>
            </w:r>
          </w:p>
        </w:tc>
        <w:tc>
          <w:tcPr>
            <w:tcW w:w="32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Deferred income tax assets, noncurrent, net</w:t>
            </w:r>
          </w:p>
        </w:tc>
        <w:tc>
          <w:tcPr>
            <w:tcW w:w="320" w:type="dxa"/>
            <w:vAlign w:val="bottom"/>
          </w:tcPr>
          <w:p>
            <w:pPr>
              <w:spacing w:after="0"/>
              <w:rPr>
                <w:sz w:val="21"/>
                <w:szCs w:val="21"/>
                <w:color w:val="auto"/>
              </w:rPr>
            </w:pP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color w:val="auto"/>
              </w:rPr>
              <w:t>16,966</w:t>
            </w:r>
          </w:p>
        </w:tc>
        <w:tc>
          <w:tcPr>
            <w:tcW w:w="320" w:type="dxa"/>
            <w:vAlign w:val="bottom"/>
          </w:tcPr>
          <w:p>
            <w:pPr>
              <w:spacing w:after="0"/>
              <w:rPr>
                <w:sz w:val="21"/>
                <w:szCs w:val="21"/>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color w:val="auto"/>
              </w:rPr>
              <w:t>20,654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3,179</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56,916</w:t>
            </w:r>
          </w:p>
        </w:tc>
        <w:tc>
          <w:tcPr>
            <w:tcW w:w="32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93,089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(4,295)</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(18,966)</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Derivative liabilities, current and noncurrent</w:t>
            </w:r>
          </w:p>
        </w:tc>
        <w:tc>
          <w:tcPr>
            <w:tcW w:w="32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Deferred income tax liabilities, noncurrent, net</w:t>
            </w:r>
          </w:p>
        </w:tc>
        <w:tc>
          <w:tcPr>
            <w:tcW w:w="320" w:type="dxa"/>
            <w:vAlign w:val="bottom"/>
          </w:tcPr>
          <w:p>
            <w:pPr>
              <w:spacing w:after="0"/>
              <w:rPr>
                <w:sz w:val="21"/>
                <w:szCs w:val="21"/>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21"/>
                <w:szCs w:val="21"/>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(22,808)</w:t>
            </w:r>
          </w:p>
        </w:tc>
        <w:tc>
          <w:tcPr>
            <w:tcW w:w="320" w:type="dxa"/>
            <w:vAlign w:val="bottom"/>
            <w:tcBorders>
              <w:bottom w:val="single" w:sz="8" w:color="CEFFE7"/>
            </w:tcBorders>
            <w:shd w:val="clear" w:color="auto" w:fill="CEFFE7"/>
          </w:tcPr>
          <w:p>
            <w:pPr>
              <w:spacing w:after="0"/>
              <w:rPr>
                <w:sz w:val="23"/>
                <w:szCs w:val="23"/>
                <w:color w:val="auto"/>
              </w:rPr>
            </w:pP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(23,048)</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assets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42,468</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88,525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June 30, 2018, December 31, 2017 and June 30, 2017, the Oil and Gas segment’s net deferred tax assets and liabilities were primarily comprised of basis differences on oil and gas properties.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BHEP’s other current liabilities at June 30, 2018 consisted primarily of accrued royalties, payroll and property taxes. Current liabilities at December 31, 2017 consisted primarily of a liability contingent on final approval from the Bureau of Indian Affairs on the Jicarilla property sale, accrued royalties, payroll and property taxes. Current liabilities at June 30, 2017 consisted primarily of accrued royalties, payroll and property taxes. Other noncurrent liabilities at December 31, 2017 and June 30, 2017 consisted primarily of asset retirement obligations relating to plugging and abandonment of oil and gas wells.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color w:val="auto"/>
        </w:rPr>
        <w:t>Operating results of the Oil and Gas segment included in Discontinued operations on the accompanying Condensed Consolidated Statements of Income were as follows (in thousands) for the period ended: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3240" w:type="dxa"/>
            <w:vAlign w:val="bottom"/>
            <w:gridSpan w:val="5"/>
          </w:tcPr>
          <w:p>
            <w:pPr>
              <w:jc w:val="right"/>
              <w:ind w:right="54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0"/>
                <w:szCs w:val="20"/>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3"/>
                <w:szCs w:val="23"/>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Revenue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6,149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5,199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Operations and maintenance</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2,718</w:t>
            </w:r>
          </w:p>
        </w:tc>
        <w:tc>
          <w:tcPr>
            <w:tcW w:w="38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5,491</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8,407</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Loss (gain) on sale of assets</w:t>
            </w:r>
          </w:p>
        </w:tc>
        <w:tc>
          <w:tcPr>
            <w:tcW w:w="10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1,991</w:t>
            </w:r>
          </w:p>
        </w:tc>
        <w:tc>
          <w:tcPr>
            <w:tcW w:w="3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8"/>
                <w:szCs w:val="18"/>
                <w:color w:val="auto"/>
              </w:rPr>
              <w:t>(249)</w:t>
            </w: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2,203</w:t>
            </w:r>
          </w:p>
        </w:tc>
        <w:tc>
          <w:tcPr>
            <w:tcW w:w="3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1,838</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EFFE7"/>
            </w:tcBorders>
            <w:shd w:val="clear" w:color="auto" w:fill="CEFFE7"/>
          </w:tcPr>
          <w:p>
            <w:pPr>
              <w:spacing w:after="0"/>
              <w:rPr>
                <w:sz w:val="22"/>
                <w:szCs w:val="22"/>
                <w:color w:val="auto"/>
              </w:rPr>
            </w:pP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4,709</w:t>
            </w:r>
          </w:p>
        </w:tc>
        <w:tc>
          <w:tcPr>
            <w:tcW w:w="380" w:type="dxa"/>
            <w:vAlign w:val="bottom"/>
            <w:tcBorders>
              <w:bottom w:val="single" w:sz="8" w:color="CEFFE7"/>
            </w:tcBorders>
            <w:shd w:val="clear" w:color="auto" w:fill="CEFFE7"/>
          </w:tcPr>
          <w:p>
            <w:pPr>
              <w:spacing w:after="0"/>
              <w:rPr>
                <w:sz w:val="22"/>
                <w:szCs w:val="22"/>
                <w:color w:val="auto"/>
              </w:rPr>
            </w:pPr>
          </w:p>
        </w:tc>
        <w:tc>
          <w:tcPr>
            <w:tcW w:w="1260" w:type="dxa"/>
            <w:vAlign w:val="bottom"/>
            <w:tcBorders>
              <w:bottom w:val="single" w:sz="8" w:color="CEFFE7"/>
            </w:tcBorders>
            <w:gridSpan w:val="2"/>
            <w:shd w:val="clear" w:color="auto" w:fill="CEFFE7"/>
          </w:tcPr>
          <w:p>
            <w:pPr>
              <w:jc w:val="right"/>
              <w:ind w:right="140"/>
              <w:spacing w:after="0"/>
              <w:rPr>
                <w:sz w:val="20"/>
                <w:szCs w:val="20"/>
                <w:color w:val="auto"/>
              </w:rPr>
            </w:pPr>
            <w:r>
              <w:rPr>
                <w:rFonts w:ascii="Arial" w:cs="Arial" w:eastAsia="Arial" w:hAnsi="Arial"/>
                <w:sz w:val="18"/>
                <w:szCs w:val="18"/>
                <w:color w:val="auto"/>
              </w:rPr>
              <w:t>7,080</w:t>
            </w:r>
          </w:p>
        </w:tc>
        <w:tc>
          <w:tcPr>
            <w:tcW w:w="280" w:type="dxa"/>
            <w:vAlign w:val="bottom"/>
            <w:tcBorders>
              <w:bottom w:val="single" w:sz="8" w:color="CEFFE7"/>
            </w:tcBorders>
            <w:shd w:val="clear" w:color="auto" w:fill="CEFFE7"/>
          </w:tcPr>
          <w:p>
            <w:pPr>
              <w:spacing w:after="0"/>
              <w:rPr>
                <w:sz w:val="22"/>
                <w:szCs w:val="22"/>
                <w:color w:val="auto"/>
              </w:rPr>
            </w:pP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11,910</w:t>
            </w:r>
          </w:p>
        </w:tc>
        <w:tc>
          <w:tcPr>
            <w:tcW w:w="32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318"/>
        </w:trPr>
        <w:tc>
          <w:tcPr>
            <w:tcW w:w="49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(loss)</w:t>
            </w:r>
          </w:p>
        </w:tc>
        <w:tc>
          <w:tcPr>
            <w:tcW w:w="10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1"/>
              </w:rPr>
              <w:t>(3,425)</w:t>
            </w:r>
          </w:p>
        </w:tc>
        <w:tc>
          <w:tcPr>
            <w:tcW w:w="3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gridSpan w:val="2"/>
            <w:shd w:val="clear" w:color="auto" w:fill="CEFFE7"/>
          </w:tcPr>
          <w:p>
            <w:pPr>
              <w:jc w:val="right"/>
              <w:ind w:right="80"/>
              <w:spacing w:after="0"/>
              <w:rPr>
                <w:sz w:val="20"/>
                <w:szCs w:val="20"/>
                <w:color w:val="auto"/>
              </w:rPr>
            </w:pPr>
            <w:r>
              <w:rPr>
                <w:rFonts w:ascii="Arial" w:cs="Arial" w:eastAsia="Arial" w:hAnsi="Arial"/>
                <w:sz w:val="18"/>
                <w:szCs w:val="18"/>
                <w:color w:val="auto"/>
              </w:rPr>
              <w:t>(931)</w:t>
            </w: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(6,711)</w:t>
            </w:r>
          </w:p>
        </w:tc>
        <w:tc>
          <w:tcPr>
            <w:tcW w:w="3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324"/>
        </w:trPr>
        <w:tc>
          <w:tcPr>
            <w:tcW w:w="4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w:t>
            </w:r>
          </w:p>
        </w:tc>
        <w:tc>
          <w:tcPr>
            <w:tcW w:w="3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gridSpan w:val="2"/>
            <w:shd w:val="clear" w:color="auto" w:fill="CEFFE7"/>
          </w:tcPr>
          <w:p>
            <w:pPr>
              <w:jc w:val="right"/>
              <w:ind w:right="140"/>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38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1,822</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9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(2,427)</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(616)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(19)  INCOME TAXES</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9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color w:val="auto"/>
              </w:rPr>
              <w:t>The effective tax rate differs from the federal statutory rate as follows: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3"/>
          </w:tcPr>
          <w:p>
            <w:pPr>
              <w:jc w:val="right"/>
              <w:ind w:right="610"/>
              <w:spacing w:after="0"/>
              <w:rPr>
                <w:sz w:val="20"/>
                <w:szCs w:val="20"/>
                <w:color w:val="auto"/>
              </w:rPr>
            </w:pPr>
            <w:r>
              <w:rPr>
                <w:rFonts w:ascii="Arial" w:cs="Arial" w:eastAsia="Arial" w:hAnsi="Arial"/>
                <w:sz w:val="18"/>
                <w:szCs w:val="18"/>
                <w:color w:val="auto"/>
                <w:w w:val="93"/>
              </w:rPr>
              <w:t>Three Months Ended June 30,</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Tax (benefit) expense</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83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3"/>
                <w:szCs w:val="23"/>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020" w:type="dxa"/>
            <w:vAlign w:val="bottom"/>
            <w:tcBorders>
              <w:bottom w:val="single" w:sz="8" w:color="CEFFE7"/>
            </w:tcBorders>
          </w:tcPr>
          <w:p>
            <w:pPr>
              <w:spacing w:after="0"/>
              <w:rPr>
                <w:sz w:val="2"/>
                <w:szCs w:val="2"/>
                <w:color w:val="auto"/>
              </w:rPr>
            </w:pPr>
          </w:p>
        </w:tc>
        <w:tc>
          <w:tcPr>
            <w:tcW w:w="580" w:type="dxa"/>
            <w:vAlign w:val="bottom"/>
            <w:tcBorders>
              <w:bottom w:val="single" w:sz="8" w:color="CEFFE7"/>
            </w:tcBorders>
          </w:tcPr>
          <w:p>
            <w:pPr>
              <w:spacing w:after="0"/>
              <w:rPr>
                <w:sz w:val="2"/>
                <w:szCs w:val="2"/>
                <w:color w:val="auto"/>
              </w:rPr>
            </w:pPr>
          </w:p>
        </w:tc>
        <w:tc>
          <w:tcPr>
            <w:tcW w:w="38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statutory rate</w:t>
            </w:r>
          </w:p>
        </w:tc>
        <w:tc>
          <w:tcPr>
            <w:tcW w:w="10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21.0 %</w:t>
            </w:r>
          </w:p>
        </w:tc>
        <w:tc>
          <w:tcPr>
            <w:tcW w:w="3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State income tax (net of federal tax effect)</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Percentage depletion in excess of cost</w:t>
            </w:r>
          </w:p>
        </w:tc>
        <w:tc>
          <w:tcPr>
            <w:tcW w:w="10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(a)</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9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5"/>
                <w:szCs w:val="25"/>
                <w:color w:val="auto"/>
                <w:vertAlign w:val="superscript"/>
              </w:rPr>
              <w:t>(b)</w:t>
            </w:r>
          </w:p>
        </w:tc>
        <w:tc>
          <w:tcPr>
            <w:tcW w:w="1020" w:type="dxa"/>
            <w:vAlign w:val="bottom"/>
            <w:shd w:val="clear" w:color="auto" w:fill="CEFFE7"/>
          </w:tcPr>
          <w:p>
            <w:pPr>
              <w:spacing w:after="0"/>
              <w:rPr>
                <w:sz w:val="23"/>
                <w:szCs w:val="23"/>
                <w:color w:val="auto"/>
              </w:rPr>
            </w:pPr>
          </w:p>
        </w:tc>
        <w:tc>
          <w:tcPr>
            <w:tcW w:w="58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92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380" w:type="dxa"/>
            <w:vAlign w:val="bottom"/>
            <w:shd w:val="clear" w:color="auto" w:fill="CEFFE7"/>
          </w:tcPr>
          <w:p>
            <w:pPr>
              <w:jc w:val="right"/>
              <w:ind w:right="27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EFFE7"/>
          </w:tcPr>
          <w:p>
            <w:pPr>
              <w:spacing w:after="0"/>
              <w:rPr>
                <w:sz w:val="23"/>
                <w:szCs w:val="23"/>
                <w:color w:val="auto"/>
              </w:rPr>
            </w:pPr>
          </w:p>
        </w:tc>
        <w:tc>
          <w:tcPr>
            <w:tcW w:w="1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Effective tax rate adjustment </w:t>
            </w:r>
            <w:r>
              <w:rPr>
                <w:rFonts w:ascii="Arial" w:cs="Arial" w:eastAsia="Arial" w:hAnsi="Arial"/>
                <w:sz w:val="25"/>
                <w:szCs w:val="25"/>
                <w:color w:val="auto"/>
                <w:vertAlign w:val="superscript"/>
              </w:rPr>
              <w:t>(c)</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Flow-through adjustments</w:t>
            </w:r>
          </w:p>
        </w:tc>
        <w:tc>
          <w:tcPr>
            <w:tcW w:w="10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TCJA change in estimate </w:t>
            </w:r>
            <w:r>
              <w:rPr>
                <w:rFonts w:ascii="Arial" w:cs="Arial" w:eastAsia="Arial" w:hAnsi="Arial"/>
                <w:sz w:val="25"/>
                <w:szCs w:val="25"/>
                <w:color w:val="auto"/>
                <w:vertAlign w:val="superscript"/>
              </w:rPr>
              <w:t>(d)</w:t>
            </w: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AFUDC equity</w:t>
            </w:r>
          </w:p>
        </w:tc>
        <w:tc>
          <w:tcPr>
            <w:tcW w:w="10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Other tax differences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EFFE7"/>
            </w:tcBorders>
          </w:tcPr>
          <w:p>
            <w:pPr>
              <w:spacing w:after="0"/>
              <w:rPr>
                <w:sz w:val="2"/>
                <w:szCs w:val="2"/>
                <w:color w:val="auto"/>
              </w:rPr>
            </w:pPr>
          </w:p>
        </w:tc>
        <w:tc>
          <w:tcPr>
            <w:tcW w:w="1020" w:type="dxa"/>
            <w:vAlign w:val="bottom"/>
            <w:tcBorders>
              <w:bottom w:val="single" w:sz="8" w:color="CEFFE7"/>
            </w:tcBorders>
          </w:tcPr>
          <w:p>
            <w:pPr>
              <w:spacing w:after="0"/>
              <w:rPr>
                <w:sz w:val="2"/>
                <w:szCs w:val="2"/>
                <w:color w:val="auto"/>
              </w:rPr>
            </w:pPr>
          </w:p>
        </w:tc>
        <w:tc>
          <w:tcPr>
            <w:tcW w:w="580" w:type="dxa"/>
            <w:vAlign w:val="bottom"/>
            <w:tcBorders>
              <w:bottom w:val="single" w:sz="8" w:color="CEFFE7"/>
            </w:tcBorders>
          </w:tcPr>
          <w:p>
            <w:pPr>
              <w:spacing w:after="0"/>
              <w:rPr>
                <w:sz w:val="2"/>
                <w:szCs w:val="2"/>
                <w:color w:val="auto"/>
              </w:rPr>
            </w:pPr>
          </w:p>
        </w:tc>
        <w:tc>
          <w:tcPr>
            <w:tcW w:w="38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spacing w:after="0"/>
              <w:rPr>
                <w:sz w:val="22"/>
                <w:szCs w:val="22"/>
                <w:color w:val="auto"/>
              </w:rPr>
            </w:pPr>
          </w:p>
        </w:tc>
        <w:tc>
          <w:tcPr>
            <w:tcW w:w="58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spacing w:after="0"/>
              <w:rPr>
                <w:sz w:val="22"/>
                <w:szCs w:val="22"/>
                <w:color w:val="auto"/>
              </w:rPr>
            </w:pPr>
          </w:p>
        </w:tc>
        <w:tc>
          <w:tcPr>
            <w:tcW w:w="34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38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19.4 %</w:t>
            </w:r>
          </w:p>
        </w:tc>
        <w:tc>
          <w:tcPr>
            <w:tcW w:w="32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0"/>
        </w:trPr>
        <w:tc>
          <w:tcPr>
            <w:tcW w:w="49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w:t>
            </w:r>
          </w:p>
        </w:tc>
        <w:tc>
          <w:tcPr>
            <w:tcW w:w="1020" w:type="dxa"/>
            <w:vAlign w:val="bottom"/>
            <w:tcBorders>
              <w:top w:val="single" w:sz="8" w:color="CEFFE7"/>
            </w:tcBorders>
          </w:tcPr>
          <w:p>
            <w:pPr>
              <w:spacing w:after="0" w:line="20" w:lineRule="exact"/>
              <w:rPr>
                <w:sz w:val="1"/>
                <w:szCs w:val="1"/>
                <w:color w:val="auto"/>
              </w:rPr>
            </w:pPr>
          </w:p>
        </w:tc>
        <w:tc>
          <w:tcPr>
            <w:tcW w:w="58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tcBorders>
          </w:tcPr>
          <w:p>
            <w:pPr>
              <w:spacing w:after="0" w:line="20" w:lineRule="exact"/>
              <w:rPr>
                <w:sz w:val="1"/>
                <w:szCs w:val="1"/>
                <w:color w:val="auto"/>
              </w:rPr>
            </w:pPr>
          </w:p>
        </w:tc>
        <w:tc>
          <w:tcPr>
            <w:tcW w:w="92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adjustment reflects the non-controlling interest attributable to the sale of 49.9% of the membership interests of COIPP LLC in April 2016.</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credits are due to the production tax credits for the Peak View wind farm.</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 to reflect our projected annual effective tax rate, pursuant to ASC 740-270.</w:t>
      </w:r>
    </w:p>
    <w:p>
      <w:pPr>
        <w:spacing w:after="0" w:line="5" w:lineRule="exact"/>
        <w:rPr>
          <w:rFonts w:ascii="Arial" w:cs="Arial" w:eastAsia="Arial" w:hAnsi="Arial"/>
          <w:sz w:val="16"/>
          <w:szCs w:val="16"/>
          <w:color w:val="auto"/>
        </w:rPr>
      </w:pPr>
    </w:p>
    <w:p>
      <w:pPr>
        <w:jc w:val="both"/>
        <w:ind w:left="340" w:right="100" w:hanging="332"/>
        <w:spacing w:after="0" w:line="25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TCJA was signed into law on December 22, 2017. In accordance with ASC 740, net deferred tax assets and liabilities were revalued as of December 31, 2017 due to the reduction in the federal income tax rate from 35% to 21%. During the three months ended June 30, 2018, certain estimated items associated with the revaluation have been updated.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580" w:type="dxa"/>
            <w:vAlign w:val="bottom"/>
            <w:gridSpan w:val="2"/>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2120" w:type="dxa"/>
            <w:vAlign w:val="bottom"/>
          </w:tcPr>
          <w:p>
            <w:pPr>
              <w:jc w:val="right"/>
              <w:ind w:right="950"/>
              <w:spacing w:after="0"/>
              <w:rPr>
                <w:sz w:val="20"/>
                <w:szCs w:val="20"/>
                <w:color w:val="auto"/>
              </w:rPr>
            </w:pPr>
            <w:r>
              <w:rPr>
                <w:rFonts w:ascii="Arial" w:cs="Arial" w:eastAsia="Arial" w:hAnsi="Arial"/>
                <w:sz w:val="18"/>
                <w:szCs w:val="18"/>
                <w:color w:val="auto"/>
              </w:rPr>
              <w:t>2018</w:t>
            </w: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Borders>
              <w:bottom w:val="single" w:sz="8" w:color="CEFFE7"/>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Federal statutory rate</w:t>
            </w:r>
          </w:p>
        </w:tc>
        <w:tc>
          <w:tcPr>
            <w:tcW w:w="212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21.0 %</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State income tax (net of federal tax effect)</w:t>
            </w: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1.7</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Percentage depletion in excess of cost</w:t>
            </w:r>
          </w:p>
        </w:tc>
        <w:tc>
          <w:tcPr>
            <w:tcW w:w="2120" w:type="dxa"/>
            <w:vAlign w:val="bottom"/>
            <w:tcBorders>
              <w:bottom w:val="single" w:sz="8" w:color="CEFFE7"/>
            </w:tcBorders>
            <w:shd w:val="clear" w:color="auto" w:fill="CEFFE7"/>
          </w:tcPr>
          <w:p>
            <w:pPr>
              <w:jc w:val="right"/>
              <w:ind w:right="430"/>
              <w:spacing w:after="0"/>
              <w:rPr>
                <w:sz w:val="20"/>
                <w:szCs w:val="20"/>
                <w:color w:val="auto"/>
              </w:rPr>
            </w:pPr>
            <w:r>
              <w:rPr>
                <w:rFonts w:ascii="Arial" w:cs="Arial" w:eastAsia="Arial" w:hAnsi="Arial"/>
                <w:sz w:val="18"/>
                <w:szCs w:val="18"/>
                <w:color w:val="auto"/>
              </w:rPr>
              <w:t>(0.4)</w:t>
            </w:r>
          </w:p>
        </w:tc>
        <w:tc>
          <w:tcPr>
            <w:tcW w:w="14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IRC 172(f) carryback claim </w:t>
            </w:r>
            <w:r>
              <w:rPr>
                <w:rFonts w:ascii="Arial" w:cs="Arial" w:eastAsia="Arial" w:hAnsi="Arial"/>
                <w:sz w:val="25"/>
                <w:szCs w:val="25"/>
                <w:color w:val="auto"/>
                <w:vertAlign w:val="superscript"/>
              </w:rPr>
              <w:t>(a)</w:t>
            </w:r>
          </w:p>
        </w:tc>
        <w:tc>
          <w:tcPr>
            <w:tcW w:w="2120" w:type="dxa"/>
            <w:vAlign w:val="bottom"/>
            <w:shd w:val="clear" w:color="auto" w:fill="CEFFE7"/>
          </w:tcPr>
          <w:p>
            <w:pPr>
              <w:jc w:val="right"/>
              <w:ind w:right="4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Effective tax rate adjustment</w:t>
            </w:r>
          </w:p>
        </w:tc>
        <w:tc>
          <w:tcPr>
            <w:tcW w:w="2120" w:type="dxa"/>
            <w:vAlign w:val="bottom"/>
            <w:tcBorders>
              <w:bottom w:val="single" w:sz="8" w:color="CEFFE7"/>
            </w:tcBorders>
            <w:shd w:val="clear" w:color="auto" w:fill="CEFFE7"/>
          </w:tcPr>
          <w:p>
            <w:pPr>
              <w:jc w:val="right"/>
              <w:ind w:right="4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Flow-through adjustments</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TCJA change in estimate </w:t>
            </w:r>
            <w:r>
              <w:rPr>
                <w:rFonts w:ascii="Arial" w:cs="Arial" w:eastAsia="Arial" w:hAnsi="Arial"/>
                <w:sz w:val="25"/>
                <w:szCs w:val="25"/>
                <w:color w:val="auto"/>
                <w:vertAlign w:val="superscript"/>
              </w:rPr>
              <w:t>(b)</w:t>
            </w:r>
          </w:p>
        </w:tc>
        <w:tc>
          <w:tcPr>
            <w:tcW w:w="2120" w:type="dxa"/>
            <w:vAlign w:val="bottom"/>
            <w:shd w:val="clear" w:color="auto" w:fill="CEFFE7"/>
          </w:tcPr>
          <w:p>
            <w:pPr>
              <w:jc w:val="right"/>
              <w:ind w:right="490"/>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AFUDC equity</w:t>
            </w:r>
          </w:p>
        </w:tc>
        <w:tc>
          <w:tcPr>
            <w:tcW w:w="212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78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Jurisdictional simplification project </w:t>
            </w:r>
            <w:r>
              <w:rPr>
                <w:rFonts w:ascii="Arial" w:cs="Arial" w:eastAsia="Arial" w:hAnsi="Arial"/>
                <w:sz w:val="25"/>
                <w:szCs w:val="25"/>
                <w:color w:val="auto"/>
                <w:vertAlign w:val="superscript"/>
              </w:rPr>
              <w:t>(c)</w:t>
            </w:r>
          </w:p>
        </w:tc>
        <w:tc>
          <w:tcPr>
            <w:tcW w:w="212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rPr>
              <w:t>(33.7)</w:t>
            </w:r>
          </w:p>
        </w:tc>
        <w:tc>
          <w:tcPr>
            <w:tcW w:w="14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Other tax differences</w:t>
            </w: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0.6</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80" w:type="dxa"/>
            <w:vAlign w:val="bottom"/>
            <w:tcBorders>
              <w:bottom w:val="single" w:sz="8" w:color="CEFFE7"/>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80" w:type="dxa"/>
            <w:vAlign w:val="bottom"/>
            <w:tcBorders>
              <w:bottom w:val="single" w:sz="8" w:color="CEFFE7"/>
            </w:tcBorders>
            <w:shd w:val="clear" w:color="auto" w:fill="CEFFE7"/>
          </w:tcPr>
          <w:p>
            <w:pPr>
              <w:spacing w:after="0"/>
              <w:rPr>
                <w:sz w:val="21"/>
                <w:szCs w:val="21"/>
                <w:color w:val="auto"/>
              </w:rPr>
            </w:pPr>
          </w:p>
        </w:tc>
        <w:tc>
          <w:tcPr>
            <w:tcW w:w="212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(13.1)%</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shd w:val="clear" w:color="auto" w:fill="CEFFE7"/>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20" w:type="dxa"/>
            <w:vAlign w:val="bottom"/>
            <w:gridSpan w:val="2"/>
            <w:vMerge w:val="restart"/>
          </w:tcPr>
          <w:p>
            <w:pPr>
              <w:jc w:val="right"/>
              <w:ind w:right="6830"/>
              <w:spacing w:after="0"/>
              <w:rPr>
                <w:sz w:val="20"/>
                <w:szCs w:val="20"/>
                <w:color w:val="auto"/>
              </w:rPr>
            </w:pPr>
            <w:r>
              <w:rPr>
                <w:rFonts w:ascii="Arial" w:cs="Arial" w:eastAsia="Arial" w:hAnsi="Arial"/>
                <w:sz w:val="18"/>
                <w:szCs w:val="18"/>
                <w:color w:val="auto"/>
                <w:w w:val="87"/>
              </w:rPr>
              <w:t>__________</w:t>
            </w:r>
          </w:p>
        </w:tc>
        <w:tc>
          <w:tcPr>
            <w:tcW w:w="2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first quarter of 2017, the Company filed amended income tax returns for the years 2006 through 2008 to carryback specified liability losses in accordance with IRC172(f). As a result of filing the amended returns, the Company’s accrued tax liability interest decreased, certain valuation allowances increased and the previously recorded domestic production activities deduction decreased.</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TCJA was signed into law on December 22, 2017. In accordance with ASC 740, net deferred tax assets and liabilities were revalued as of December 31, 2017 due to the reduction in the federal income tax rate from 35% to 21%. During the six months ended June 30, 2018, certain estimated items associated with the revaluation have been updated.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Tax benefit from legal restructuring associated with amortizable goodwill as part of ongoing jurisdictional simplification.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 related to legal restructuring</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part of the Company’s ongoing efforts to continue to integrate the legal entities that the Company has acquired in recent years, certain legal entity restructuring transactions occurred on March 31, 2018. As a result of these transactions, additional deferred income tax assets of $49 million, related to goodwill that is amortizable for tax purposes, were recorded and deferred tax benefits of $49 million were recorded to income tax benefit (expense) on the Condensed Consolidated Statements of Income. Due to this being a common control transaction, it had no effect on the other assets and liabilities of these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TCJA</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TCJA. The TCJA reduced the U.S. federal corporate tax rate from 35% to 21%. The Company remeasured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rate regulators, which could have a material impact on the Company’s future results of operations, cash flows or financial position. We revalued our deferred tax assets and liabilities as of December 31, 2017, which reflected our estimate of the impact of the TCJA. We will continue to evaluate subsequent regulations, clarifications and interpretations with the assumptions made, which could materially change our estimate.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68" w:right="259" w:bottom="1440" w:gutter="0" w:footer="0" w:header="0"/>
        </w:sectPr>
      </w:pPr>
    </w:p>
    <w:bookmarkStart w:id="39" w:name="page40"/>
    <w:bookmarkEnd w:id="39"/>
    <w:p>
      <w:pPr>
        <w:spacing w:after="0"/>
        <w:tabs>
          <w:tab w:leader="none" w:pos="460" w:val="left"/>
        </w:tabs>
        <w:rPr>
          <w:sz w:val="20"/>
          <w:szCs w:val="20"/>
          <w:color w:val="auto"/>
        </w:rPr>
      </w:pPr>
      <w:r>
        <w:rPr>
          <w:rFonts w:ascii="Arial" w:cs="Arial" w:eastAsia="Arial" w:hAnsi="Arial"/>
          <w:sz w:val="18"/>
          <w:szCs w:val="18"/>
          <w:color w:val="auto"/>
        </w:rPr>
        <w:t>(20)</w:t>
        <w:tab/>
        <w:t>ACCRUED LIABILITIES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in the accompanying Condensed Consolidated Balance Sheets (in thousands) as of:</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330"/>
              <w:spacing w:after="0"/>
              <w:rPr>
                <w:sz w:val="20"/>
                <w:szCs w:val="20"/>
                <w:color w:val="auto"/>
              </w:rPr>
            </w:pPr>
            <w:r>
              <w:rPr>
                <w:rFonts w:ascii="Arial" w:cs="Arial" w:eastAsia="Arial" w:hAnsi="Arial"/>
                <w:sz w:val="18"/>
                <w:szCs w:val="18"/>
                <w:color w:val="auto"/>
                <w:w w:val="96"/>
              </w:rPr>
              <w:t>June 30, 2018</w:t>
            </w:r>
          </w:p>
        </w:tc>
        <w:tc>
          <w:tcPr>
            <w:tcW w:w="22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2017</w:t>
            </w:r>
          </w:p>
        </w:tc>
        <w:tc>
          <w:tcPr>
            <w:tcW w:w="32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30, 2017</w:t>
            </w:r>
          </w:p>
        </w:tc>
      </w:tr>
      <w:tr>
        <w:trPr>
          <w:trHeight w:val="27"/>
        </w:trPr>
        <w:tc>
          <w:tcPr>
            <w:tcW w:w="55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49,225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52,467</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44,658</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34,664</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42,029</w:t>
            </w:r>
          </w:p>
        </w:tc>
        <w:tc>
          <w:tcPr>
            <w:tcW w:w="3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32,440</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Customer deposits and prepayments</w:t>
            </w:r>
          </w:p>
        </w:tc>
        <w:tc>
          <w:tcPr>
            <w:tcW w:w="3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36,993</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44,420</w:t>
            </w:r>
          </w:p>
        </w:tc>
        <w:tc>
          <w:tcPr>
            <w:tcW w:w="32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41,068</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Accrued interest and contract adjustment payments</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33,767</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33,822</w:t>
            </w:r>
          </w:p>
        </w:tc>
        <w:tc>
          <w:tcPr>
            <w:tcW w:w="3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33,914</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CIAC current portion</w:t>
            </w:r>
          </w:p>
        </w:tc>
        <w:tc>
          <w:tcPr>
            <w:tcW w:w="32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1,552</w:t>
            </w:r>
          </w:p>
        </w:tc>
        <w:tc>
          <w:tcPr>
            <w:tcW w:w="32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34,138</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45,172</w:t>
            </w:r>
          </w:p>
        </w:tc>
        <w:tc>
          <w:tcPr>
            <w:tcW w:w="3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38,151</w:t>
            </w:r>
          </w:p>
        </w:tc>
      </w:tr>
      <w:tr>
        <w:trPr>
          <w:trHeight w:val="27"/>
        </w:trPr>
        <w:tc>
          <w:tcPr>
            <w:tcW w:w="55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190,339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219,462</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191,806</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24"/>
        </w:trPr>
        <w:tc>
          <w:tcPr>
            <w:tcW w:w="55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40</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360"/>
          </w:cols>
          <w:pgMar w:left="240" w:top="584" w:right="29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210,000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u w:val="single" w:color="auto"/>
          <w:color w:val="auto"/>
        </w:rPr>
        <w:t>Gas Utilities</w:t>
      </w:r>
      <w:r>
        <w:rPr>
          <w:rFonts w:ascii="Arial" w:cs="Arial" w:eastAsia="Arial" w:hAnsi="Arial"/>
          <w:sz w:val="16"/>
          <w:szCs w:val="16"/>
          <w:color w:val="auto"/>
        </w:rPr>
        <w:t>: Our Gas Utilities conduct natural gas utility operations through our Arkansas, Colorado, Iowa, Kansas, Nebraska and Wyoming subsidiaries. Our Gas Utilities distribute and transport natural gas through our pipeline network to approximately 1,042,000 natural gas customers. Additionally, we sell contractual pipeline capacity and gas commodities to other utilities and marketing companies, including our affiliates, on an as available basis.</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Gas Utilities also provide non-regulated services through Black Hills Energy Services. Black Hills Energy Services provides approximately 52,000 retail distribution customers in Nebraska and Wyoming with unbundled natural gas commodity offerings under the regulatory-approved Choice Gas Program. We also sell, install and service air conditioning, heating and water-heating equipment, and provide associated repair service and protection plans under various trade names. Service Guard and CAPP provide appliance repair services to approximately 63,000 and 31,000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produces coal at our coal mine near Gillette, Wyoming and sells the coal primarily to on-site, mine-mouth power generation facilities.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as well as changes in market prices.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2018 and 2017, and our financial condition as of June 30, 2018, December 31, 2017 and June 30, 2017, are not necessarily indicative of the results of operations and financial condition to be expected as of or for any other period or for the entire year.</w:t>
      </w:r>
    </w:p>
    <w:p>
      <w:pPr>
        <w:spacing w:after="0" w:line="351"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Forward-Looking Information in the Liquidity and Capital Resources section of this Item 2, beginning on Page </w:t>
      </w:r>
      <w:hyperlink w:anchor="page64">
        <w:r>
          <w:rPr>
            <w:rFonts w:ascii="Arial" w:cs="Arial" w:eastAsia="Arial" w:hAnsi="Arial"/>
            <w:sz w:val="18"/>
            <w:szCs w:val="18"/>
            <w:color w:val="0000EE"/>
          </w:rPr>
          <w:t>64</w:t>
        </w:r>
      </w:hyperlink>
      <w:r>
        <w:rPr>
          <w:rFonts w:ascii="Arial" w:cs="Arial" w:eastAsia="Arial" w:hAnsi="Arial"/>
          <w:sz w:val="18"/>
          <w:szCs w:val="18"/>
          <w:color w:val="auto"/>
        </w:rPr>
        <w:t>.</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0" w:right="2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Significant Events and Overview</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Three Months Ended June 30, 2018 Compared to Three Months Ended June 30, 2017. </w:t>
      </w:r>
      <w:r>
        <w:rPr>
          <w:rFonts w:ascii="Arial" w:cs="Arial" w:eastAsia="Arial" w:hAnsi="Arial"/>
          <w:sz w:val="18"/>
          <w:szCs w:val="18"/>
          <w:color w:val="auto"/>
        </w:rPr>
        <w:t>Net income from continuing operations available for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for the three months ended June 30, 2018 was $24 million, or $0.45 per diluted share, compared to $23 million, or $0.41 per diluted share, reported for the same period in 2017. The variance to the prior year included the following:</w:t>
      </w:r>
    </w:p>
    <w:p>
      <w:pPr>
        <w:spacing w:after="0" w:line="180" w:lineRule="exact"/>
        <w:rPr>
          <w:sz w:val="20"/>
          <w:szCs w:val="20"/>
          <w:color w:val="auto"/>
        </w:rPr>
      </w:pPr>
    </w:p>
    <w:p>
      <w:pPr>
        <w:ind w:left="660" w:right="28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Electric Utilities’ earnings increased $3.1 million driven primarily by recent transmission investments, higher commercial and industrial demand, and favorable weather, partially offset by higher operating expenses;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Gas Utilities’ earnings decreased $0.9 million primarily due to higher operating expenses, partially offset by favorable weather and increased sales of natural gas;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Mining segment’s earnings increased $0.3 million primarily due to higher sales, partially offset by higher operating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Power Generation’s earnings decreased $0.6 million primarily due to higher maintenance expenses.</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Net income available for common stock for the three months ended June 30, 2018 was $22 million, or $0.40 per diluted share, compared to $22 million, or $0.40 per diluted share reported for the same period in 2017. (Loss) from discontinued operations for the three months ended June 30, 2018 was $(2.4) million, or $(0.05) per diluted share compared to $(0.6) million or $(0.01) per diluted share reported for the same period in 2017.</w:t>
      </w:r>
    </w:p>
    <w:p>
      <w:pPr>
        <w:spacing w:after="0" w:line="162"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Six Months Ended June 30, 2018 Compared to Six Months Ended June 30, 2017. </w:t>
      </w:r>
      <w:r>
        <w:rPr>
          <w:rFonts w:ascii="Arial" w:cs="Arial" w:eastAsia="Arial" w:hAnsi="Arial"/>
          <w:sz w:val="18"/>
          <w:szCs w:val="18"/>
          <w:color w:val="auto"/>
        </w:rPr>
        <w:t>Net income from continuing operations available for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June 30, 2018 was $160 million, or $2.94 per diluted share, compared to $101 million, or $1.83 per diluted share, reported for the same period in 2017. The variance to the prior year included the following:</w:t>
      </w:r>
    </w:p>
    <w:p>
      <w:pPr>
        <w:spacing w:after="0" w:line="180" w:lineRule="exact"/>
        <w:rPr>
          <w:sz w:val="20"/>
          <w:szCs w:val="20"/>
          <w:color w:val="auto"/>
        </w:rPr>
      </w:pPr>
    </w:p>
    <w:p>
      <w:pPr>
        <w:ind w:left="660" w:right="42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Gas Utilities’ earnings increased $61 million primarily due to the recognition of a deferred tax benefit of $49 million resulting from legal entity restructuring associated with amortizable goodwill for tax purposes; earnings also benefited from colder winter weather and increased sales of natural gas;</w:t>
      </w:r>
    </w:p>
    <w:p>
      <w:pPr>
        <w:ind w:left="660" w:right="2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Electric Utilities’ earnings increased $0.7 million driven primarily by recent transmission investments, higher commercial and industrial demand, and favorable weather, partially offset by higher operating expenses;</w:t>
      </w:r>
    </w:p>
    <w:p>
      <w:pPr>
        <w:ind w:left="660" w:right="1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and other expenses increased $1.8 million primarily due to higher tax benefits recognized in the prior year, partially offset by a reduction in corporate operating expenses;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Power Generation’s earnings decreased $1.2 million primarily due to lower MWh sold and higher operating expenses.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Net income available for common stock for the six months ended June 30, 2018 was $155 million, or $2.85 per diluted share, compared to $99 million, or</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$1.79 per diluted share reported for the same period in 2017. (Loss) from discontinued operations for the six months ended June 30, 2018 was $(4.8) million, or $(0.09) per diluted share compared to $(2.2) million or $(0.04) per diluted share reported for the same period in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0"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summarizes select financial results by operating segment and details significant items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jc w:val="right"/>
              <w:ind w:right="51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0"/>
                <w:szCs w:val="20"/>
                <w:color w:val="auto"/>
              </w:rPr>
            </w:pPr>
          </w:p>
        </w:tc>
        <w:tc>
          <w:tcPr>
            <w:tcW w:w="3160" w:type="dxa"/>
            <w:vAlign w:val="bottom"/>
            <w:gridSpan w:val="5"/>
          </w:tcPr>
          <w:p>
            <w:pPr>
              <w:jc w:val="right"/>
              <w:ind w:right="5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2"/>
              </w:rPr>
              <w:t>Variance</w:t>
            </w:r>
          </w:p>
        </w:tc>
        <w:tc>
          <w:tcPr>
            <w:tcW w:w="220" w:type="dxa"/>
            <w:vAlign w:val="bottom"/>
          </w:tcPr>
          <w:p>
            <w:pPr>
              <w:spacing w:after="0"/>
              <w:rPr>
                <w:sz w:val="23"/>
                <w:szCs w:val="23"/>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7"/>
        </w:trPr>
        <w:tc>
          <w:tcPr>
            <w:tcW w:w="4540" w:type="dxa"/>
            <w:vAlign w:val="bottom"/>
            <w:gridSpan w:val="5"/>
            <w:vMerge w:val="restart"/>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390,019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371,641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18,378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7"/>
              </w:rPr>
              <w:t>1,001,149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952,688</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48,461</w:t>
            </w:r>
          </w:p>
        </w:tc>
        <w:tc>
          <w:tcPr>
            <w:tcW w:w="0" w:type="dxa"/>
            <w:vAlign w:val="bottom"/>
          </w:tcPr>
          <w:p>
            <w:pPr>
              <w:spacing w:after="0"/>
              <w:rPr>
                <w:sz w:val="1"/>
                <w:szCs w:val="1"/>
                <w:color w:val="auto"/>
              </w:rPr>
            </w:pPr>
          </w:p>
        </w:tc>
      </w:tr>
      <w:tr>
        <w:trPr>
          <w:trHeight w:val="243"/>
        </w:trPr>
        <w:tc>
          <w:tcPr>
            <w:tcW w:w="4540" w:type="dxa"/>
            <w:vAlign w:val="bottom"/>
            <w:gridSpan w:val="5"/>
          </w:tcPr>
          <w:p>
            <w:pPr>
              <w:ind w:left="40"/>
              <w:spacing w:after="0"/>
              <w:rPr>
                <w:sz w:val="20"/>
                <w:szCs w:val="20"/>
                <w:color w:val="auto"/>
              </w:rPr>
            </w:pPr>
            <w:r>
              <w:rPr>
                <w:rFonts w:ascii="Arial" w:cs="Arial" w:eastAsia="Arial" w:hAnsi="Arial"/>
                <w:sz w:val="18"/>
                <w:szCs w:val="18"/>
                <w:color w:val="auto"/>
              </w:rPr>
              <w:t>Inter-company eliminations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(34,315)</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(29,812)</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(70,056)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(63,331)</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318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420" w:type="dxa"/>
            <w:vAlign w:val="bottom"/>
            <w:tcBorders>
              <w:bottom w:val="single" w:sz="8" w:color="CEFFE7"/>
            </w:tcBorders>
            <w:shd w:val="clear" w:color="auto" w:fill="CEFFE7"/>
          </w:tcPr>
          <w:p>
            <w:pPr>
              <w:spacing w:after="0"/>
              <w:rPr>
                <w:sz w:val="22"/>
                <w:szCs w:val="22"/>
                <w:color w:val="auto"/>
              </w:rPr>
            </w:pPr>
          </w:p>
        </w:tc>
        <w:tc>
          <w:tcPr>
            <w:tcW w:w="318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355,704</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341,829</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13,875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931,093</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889,357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41,736</w:t>
            </w:r>
          </w:p>
        </w:tc>
        <w:tc>
          <w:tcPr>
            <w:tcW w:w="0" w:type="dxa"/>
            <w:vAlign w:val="bottom"/>
          </w:tcPr>
          <w:p>
            <w:pPr>
              <w:spacing w:after="0"/>
              <w:rPr>
                <w:sz w:val="1"/>
                <w:szCs w:val="1"/>
                <w:color w:val="auto"/>
              </w:rPr>
            </w:pPr>
          </w:p>
        </w:tc>
      </w:tr>
      <w:tr>
        <w:trPr>
          <w:trHeight w:val="20"/>
        </w:trPr>
        <w:tc>
          <w:tcPr>
            <w:tcW w:w="4540" w:type="dxa"/>
            <w:vAlign w:val="bottom"/>
            <w:tcBorders>
              <w:top w:val="single" w:sz="8" w:color="CEFFE7"/>
              <w:bottom w:val="single" w:sz="8" w:color="CEFFE7"/>
            </w:tcBorders>
            <w:gridSpan w:val="5"/>
            <w:vMerge w:val="restart"/>
          </w:tcPr>
          <w:p>
            <w:pPr>
              <w:ind w:left="40"/>
              <w:spacing w:after="0" w:line="196" w:lineRule="exact"/>
              <w:rPr>
                <w:sz w:val="20"/>
                <w:szCs w:val="20"/>
                <w:color w:val="auto"/>
              </w:rPr>
            </w:pPr>
            <w:r>
              <w:rPr>
                <w:rFonts w:ascii="Arial" w:cs="Arial" w:eastAsia="Arial" w:hAnsi="Arial"/>
                <w:sz w:val="18"/>
                <w:szCs w:val="18"/>
                <w:color w:val="auto"/>
                <w:w w:val="97"/>
              </w:rPr>
              <w:t>Net income (loss) from continuing operations available for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40" w:type="dxa"/>
            <w:vAlign w:val="bottom"/>
            <w:gridSpan w:val="5"/>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(b)</w:t>
            </w:r>
          </w:p>
        </w:tc>
        <w:tc>
          <w:tcPr>
            <w:tcW w:w="2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21,890</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18,832</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3,058</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41,735</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41,062</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0"/>
        </w:trPr>
        <w:tc>
          <w:tcPr>
            <w:tcW w:w="454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106,459</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45,738</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60,721</w:t>
            </w:r>
          </w:p>
        </w:tc>
        <w:tc>
          <w:tcPr>
            <w:tcW w:w="0" w:type="dxa"/>
            <w:vAlign w:val="bottom"/>
          </w:tcPr>
          <w:p>
            <w:pPr>
              <w:spacing w:after="0"/>
              <w:rPr>
                <w:sz w:val="1"/>
                <w:szCs w:val="1"/>
                <w:color w:val="auto"/>
              </w:rPr>
            </w:pPr>
          </w:p>
        </w:tc>
      </w:tr>
      <w:tr>
        <w:trPr>
          <w:trHeight w:val="270"/>
        </w:trPr>
        <w:tc>
          <w:tcPr>
            <w:tcW w:w="4540" w:type="dxa"/>
            <w:vAlign w:val="bottom"/>
            <w:gridSpan w:val="5"/>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(b)</w:t>
            </w:r>
          </w:p>
        </w:tc>
        <w:tc>
          <w:tcPr>
            <w:tcW w:w="260" w:type="dxa"/>
            <w:vAlign w:val="bottom"/>
            <w:shd w:val="clear" w:color="auto" w:fill="CEFFE7"/>
          </w:tcPr>
          <w:p>
            <w:pPr>
              <w:spacing w:after="0"/>
              <w:rPr>
                <w:sz w:val="23"/>
                <w:szCs w:val="23"/>
                <w:color w:val="auto"/>
              </w:rPr>
            </w:pPr>
          </w:p>
        </w:tc>
        <w:tc>
          <w:tcPr>
            <w:tcW w:w="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4,772</w:t>
            </w:r>
          </w:p>
        </w:tc>
        <w:tc>
          <w:tcPr>
            <w:tcW w:w="260" w:type="dxa"/>
            <w:vAlign w:val="bottom"/>
            <w:shd w:val="clear" w:color="auto" w:fill="CEFFE7"/>
          </w:tcPr>
          <w:p>
            <w:pPr>
              <w:spacing w:after="0"/>
              <w:rPr>
                <w:sz w:val="23"/>
                <w:szCs w:val="23"/>
                <w:color w:val="auto"/>
              </w:rPr>
            </w:pP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5,332</w:t>
            </w:r>
          </w:p>
        </w:tc>
        <w:tc>
          <w:tcPr>
            <w:tcW w:w="200" w:type="dxa"/>
            <w:vAlign w:val="bottom"/>
            <w:shd w:val="clear" w:color="auto" w:fill="CEFFE7"/>
          </w:tcPr>
          <w:p>
            <w:pPr>
              <w:spacing w:after="0"/>
              <w:rPr>
                <w:sz w:val="23"/>
                <w:szCs w:val="23"/>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EFFE7"/>
          </w:tcPr>
          <w:p>
            <w:pPr>
              <w:spacing w:after="0"/>
              <w:rPr>
                <w:sz w:val="23"/>
                <w:szCs w:val="23"/>
                <w:color w:val="auto"/>
              </w:rPr>
            </w:pPr>
          </w:p>
        </w:tc>
        <w:tc>
          <w:tcPr>
            <w:tcW w:w="9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10,628</w:t>
            </w:r>
          </w:p>
        </w:tc>
        <w:tc>
          <w:tcPr>
            <w:tcW w:w="260" w:type="dxa"/>
            <w:vAlign w:val="bottom"/>
            <w:shd w:val="clear" w:color="auto" w:fill="CEFFE7"/>
          </w:tcPr>
          <w:p>
            <w:pPr>
              <w:spacing w:after="0"/>
              <w:rPr>
                <w:sz w:val="23"/>
                <w:szCs w:val="23"/>
                <w:color w:val="auto"/>
              </w:rPr>
            </w:pPr>
          </w:p>
        </w:tc>
        <w:tc>
          <w:tcPr>
            <w:tcW w:w="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11,862</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EFFE7"/>
            </w:tcBorders>
            <w:gridSpan w:val="5"/>
          </w:tcPr>
          <w:p>
            <w:pPr>
              <w:ind w:left="40"/>
              <w:spacing w:after="0" w:line="270" w:lineRule="exact"/>
              <w:rPr>
                <w:sz w:val="20"/>
                <w:szCs w:val="20"/>
                <w:color w:val="auto"/>
              </w:rPr>
            </w:pPr>
            <w:r>
              <w:rPr>
                <w:rFonts w:ascii="Arial" w:cs="Arial" w:eastAsia="Arial" w:hAnsi="Arial"/>
                <w:sz w:val="18"/>
                <w:szCs w:val="18"/>
                <w:color w:val="auto"/>
              </w:rPr>
              <w:t xml:space="preserve">Mining </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3,005</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2,681</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5,989</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5,571</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4"/>
        </w:trPr>
        <w:tc>
          <w:tcPr>
            <w:tcW w:w="4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31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28,506</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26,573</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1,933</w:t>
            </w:r>
          </w:p>
        </w:tc>
        <w:tc>
          <w:tcPr>
            <w:tcW w:w="2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164,811</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104,233</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60,578</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EFFE7"/>
            </w:tcBorders>
            <w:gridSpan w:val="5"/>
          </w:tcPr>
          <w:p>
            <w:pPr>
              <w:ind w:left="4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24,344</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22,811</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1,533</w:t>
            </w:r>
          </w:p>
        </w:tc>
        <w:tc>
          <w:tcPr>
            <w:tcW w:w="2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159,691</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100,903</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58,788</w:t>
            </w:r>
          </w:p>
        </w:tc>
        <w:tc>
          <w:tcPr>
            <w:tcW w:w="0" w:type="dxa"/>
            <w:vAlign w:val="bottom"/>
          </w:tcPr>
          <w:p>
            <w:pPr>
              <w:spacing w:after="0"/>
              <w:rPr>
                <w:sz w:val="1"/>
                <w:szCs w:val="1"/>
                <w:color w:val="auto"/>
              </w:rPr>
            </w:pPr>
          </w:p>
        </w:tc>
      </w:tr>
      <w:tr>
        <w:trPr>
          <w:trHeight w:val="243"/>
        </w:trPr>
        <w:tc>
          <w:tcPr>
            <w:tcW w:w="4540" w:type="dxa"/>
            <w:vAlign w:val="bottom"/>
            <w:gridSpan w:val="5"/>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318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50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Net income available for common stock</w:t>
            </w:r>
          </w:p>
        </w:tc>
        <w:tc>
          <w:tcPr>
            <w:tcW w:w="2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21,917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22,195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154,921</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98,718</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56,203</w:t>
            </w: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80" w:type="dxa"/>
            <w:vAlign w:val="bottom"/>
            <w:gridSpan w:val="3"/>
            <w:vMerge w:val="continue"/>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(loss) from continuing operations for the six months ended June 30, 2018 included a $49 million tax benefit resulting from legal entity restructuring. See Note 19 of the Notes to Condensed Consolidated Financial Statements for more information.</w:t>
      </w:r>
    </w:p>
    <w:p>
      <w:pPr>
        <w:ind w:left="340" w:right="60" w:hanging="332"/>
        <w:spacing w:after="0" w:line="276"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Net income (loss) from continuing operations for the six months ended June 30, 2018 included approximately $2.3 million of income tax expense recorded primarily as a result of an increase to a valuation allowance associated with tax reform related changes in estimated future taxable income. The impact to our operating segments and Corporate and Other was: Electric Utilities $0.4 million; Mining $0.5 million; Power Generation $0.7 million; and Corporate and Other $0.7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ind w:left="660" w:right="2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Electric Utilities experienced hotter summer weather during the three and six months ended June 30, 2018 compared to the three and six months ended June 30, 2017. Cooling degree days for the three and six months ended June 30, 2018 were 109% higher than the 30-year average (normal) compared to 14% higher than normal for the same periods in 2017.</w:t>
      </w:r>
    </w:p>
    <w:p>
      <w:pPr>
        <w:spacing w:after="0" w:line="181" w:lineRule="exact"/>
        <w:rPr>
          <w:rFonts w:ascii="Arial" w:cs="Arial" w:eastAsia="Arial" w:hAnsi="Arial"/>
          <w:sz w:val="18"/>
          <w:szCs w:val="18"/>
          <w:color w:val="auto"/>
        </w:rPr>
      </w:pPr>
    </w:p>
    <w:p>
      <w:pPr>
        <w:ind w:left="660" w:right="80"/>
        <w:spacing w:after="0" w:line="277" w:lineRule="auto"/>
        <w:rPr>
          <w:rFonts w:ascii="Arial" w:cs="Arial" w:eastAsia="Arial" w:hAnsi="Arial"/>
          <w:sz w:val="18"/>
          <w:szCs w:val="18"/>
          <w:color w:val="auto"/>
        </w:rPr>
      </w:pPr>
      <w:r>
        <w:rPr>
          <w:rFonts w:ascii="Arial" w:cs="Arial" w:eastAsia="Arial" w:hAnsi="Arial"/>
          <w:sz w:val="18"/>
          <w:szCs w:val="18"/>
          <w:color w:val="auto"/>
        </w:rPr>
        <w:t>Heating degree days for the three and six months ended June 30, 2018 were 12% lower and 7% higher than normal compared to 9% and 11% lower than normal for the same periods in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Wyoming Electric and Colorado Electric set new summer peak loads:</w:t>
      </w:r>
    </w:p>
    <w:p>
      <w:pPr>
        <w:spacing w:after="0" w:line="225" w:lineRule="exact"/>
        <w:rPr>
          <w:rFonts w:ascii="Arial" w:cs="Arial" w:eastAsia="Arial" w:hAnsi="Arial"/>
          <w:sz w:val="18"/>
          <w:szCs w:val="18"/>
          <w:color w:val="auto"/>
        </w:rPr>
      </w:pPr>
    </w:p>
    <w:p>
      <w:pPr>
        <w:ind w:left="1300" w:right="8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On July 10, 2018, Wyoming Electric set a new all-time peak load of 254 MW, exceeding the previous summer peak of 249 MW set in July 2017.</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On June 27, 2018, Colorado Electric set a new all-time peak load of 413 MW, exceeding the previous summer peak of 412 MW set in July 2016.</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25, 2018, Colorado Electric received approval from the CPUC to contract with Black Hills Electric Generation to purchase 60 megawatts of wind energy through a 25-year power purchase agreement. This renewable energy will enable Colorado Electric to comply with Colorado's Renewable Energy Standard.</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July 25, 2018, South Dakota Electric placed in service the first 48-mile segment of a $70 million, 175-mile, 230-kilovolt transmission line from Rapid City, South Dakota, to Stegall, Nebraska. The remaining segment is expected to be in service by the end of 2019.</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584"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Gas Utilities Segment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Rate Review updates:</w:t>
      </w:r>
    </w:p>
    <w:p>
      <w:pPr>
        <w:spacing w:after="0" w:line="225" w:lineRule="exact"/>
        <w:rPr>
          <w:rFonts w:ascii="Arial" w:cs="Arial" w:eastAsia="Arial" w:hAnsi="Arial"/>
          <w:sz w:val="18"/>
          <w:szCs w:val="18"/>
          <w:color w:val="auto"/>
        </w:rPr>
      </w:pPr>
    </w:p>
    <w:p>
      <w:pPr>
        <w:ind w:left="1300" w:right="40" w:hanging="320"/>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On July 16, 2018, the WPSC reached a bench decision approving our Wyoming Gas (Northwest Wyoming) settlement and stipulation with the OCA. We expect the final order in the third quarter of 2018. The settlement provides for $1.0 million of new revenue, a return on equity of 9.6%, and a capital structure of 54.0% equity and 46.0% debt. New rates, inclusive of customer benefits related to the TCJA, will be effective September 1, 2018.</w:t>
      </w:r>
    </w:p>
    <w:p>
      <w:pPr>
        <w:spacing w:after="0" w:line="186" w:lineRule="exact"/>
        <w:rPr>
          <w:rFonts w:ascii="Arial" w:cs="Arial" w:eastAsia="Arial" w:hAnsi="Arial"/>
          <w:sz w:val="18"/>
          <w:szCs w:val="18"/>
          <w:color w:val="auto"/>
        </w:rPr>
      </w:pPr>
    </w:p>
    <w:p>
      <w:pPr>
        <w:ind w:left="1300" w:hanging="320"/>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Colorado, new rates for RMNG went into effect June 1, 2018 after an administrative law judge recommended approval of a settlement agreement and the CPUC took no further action. The settlement included $1.1 million in annual revenue increases and an extension of SSIR to recover costs from 2018 through 2021. The annual increase is based on a return on equity of 9.9% and a capital structure of 46.63% equity and 53.37% debt.</w:t>
      </w:r>
    </w:p>
    <w:p>
      <w:pPr>
        <w:spacing w:after="0" w:line="186" w:lineRule="exact"/>
        <w:rPr>
          <w:rFonts w:ascii="Arial" w:cs="Arial" w:eastAsia="Arial" w:hAnsi="Arial"/>
          <w:sz w:val="18"/>
          <w:szCs w:val="18"/>
          <w:color w:val="auto"/>
        </w:rPr>
      </w:pPr>
    </w:p>
    <w:p>
      <w:pPr>
        <w:ind w:left="1300" w:right="80" w:hanging="320"/>
        <w:spacing w:after="0" w:line="255"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Arkansas Gas filed a rate review in December 2017 with the APSC requesting $30 million of annual revenue to recover more than $160 million of new infrastructure investment. The revenue request was subsequently adjusted to $19 million primarily related to a lower corporate income tax rate of 21%. The APSC previously issued a procedural schedule for the rate review. To date, testimony has been filed by the intervenors and Arkansas Gas filed rebuttal testimony on June 26, 2018. The APSC issued an order on July 26 requiring investor owned utilities to provide within 30 days their plans to return tax reform benefits to customers. Arkansas Gas is reviewing the order and its impacts to customers and may amend its current rate review if necessary. A final order and new rates are expected to be effective in the fourth quarter of 2018.</w:t>
      </w:r>
    </w:p>
    <w:p>
      <w:pPr>
        <w:spacing w:after="0" w:line="189" w:lineRule="exact"/>
        <w:rPr>
          <w:rFonts w:ascii="Arial" w:cs="Arial" w:eastAsia="Arial" w:hAnsi="Arial"/>
          <w:sz w:val="18"/>
          <w:szCs w:val="18"/>
          <w:color w:val="auto"/>
        </w:rPr>
      </w:pPr>
    </w:p>
    <w:p>
      <w:pPr>
        <w:ind w:left="660" w:right="4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Wyoming Gas filed for a CPCN on May 18, 2018 with the WPSC to construct a new $54 million, 35-mile natural gas pipeline (Natural Bridge Pipeline) to enhance reliability of supply for approximately 57,000 customers in its Casper division in central Wyoming.</w:t>
      </w:r>
    </w:p>
    <w:p>
      <w:pPr>
        <w:spacing w:after="0" w:line="146"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legal entity restructuring transactions occurred on March 31, 2018 as part of the Company’s ongoing efforts to continue to integrate the legal entities that the Company has acquired in recent years. As a result of these transactions, additional deferred income tax assets of $49 million, related to goodwill that is amortizable for tax purposes, were recorded with a corresponding deferred tax benefit recorded on the Condensed Consolidated Statements of Income.</w:t>
      </w:r>
    </w:p>
    <w:p>
      <w:pPr>
        <w:spacing w:after="0" w:line="186"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Gas Utilities experienced colder winter and spring weather during the three and six months ended June 30, 2018 compared to the three and six months ended June 30, 2017. Heating degree days for the three and six months ended June 30, 2018 were 1% lower and 1% higher than the 30-year average (normal) compared to 9% and 12% lower than normal for the same periods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w:t>
      </w:r>
    </w:p>
    <w:p>
      <w:pPr>
        <w:spacing w:after="0" w:line="225" w:lineRule="exact"/>
        <w:rPr>
          <w:sz w:val="20"/>
          <w:szCs w:val="20"/>
          <w:color w:val="auto"/>
        </w:rPr>
      </w:pPr>
    </w:p>
    <w:p>
      <w:pPr>
        <w:ind w:left="660" w:right="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April 25, 2018, Black Hills Electric Generation was selected to provide 60 megawatts of renewable energy to Colorado Electric from a new wind project through a 25-year power purchase agreement. The $71 million Busch Ranch II wind project is expected to be in service by the end of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left="660" w:hanging="328"/>
        <w:spacing w:after="0" w:line="27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the banks increasing or providing new commitments, to increase total commitments of the facility up to $1.0 billion.</w:t>
      </w:r>
    </w:p>
    <w:p>
      <w:pPr>
        <w:spacing w:after="0" w:line="171"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30, 2018, we amended and restated our unsecured term loan due August 2019. This amended and restated term loan, with $300 million outstanding at June 30, 2018, matures on July 30,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19, 2018, Fitch affirmed South Dakota Electric’s credit rating at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01" w:right="259" w:bottom="1440" w:gutter="0" w:footer="0" w:header="0"/>
        </w:sectPr>
      </w:pPr>
    </w:p>
    <w:bookmarkStart w:id="44" w:name="page45"/>
    <w:bookmarkEnd w:id="44"/>
    <w:p>
      <w:pPr>
        <w:ind w:right="3340" w:firstLine="332"/>
        <w:spacing w:after="0" w:line="501"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On March 8, 2018, S&amp;P affirmed Black Hills’ credit rating at BBB and revised the outlook to Positive. </w:t>
      </w:r>
      <w:r>
        <w:rPr>
          <w:rFonts w:ascii="Arial" w:cs="Arial" w:eastAsia="Arial" w:hAnsi="Arial"/>
          <w:sz w:val="18"/>
          <w:szCs w:val="18"/>
          <w:u w:val="single" w:color="auto"/>
          <w:color w:val="auto"/>
        </w:rPr>
        <w:t>Discontinued Operations</w:t>
      </w:r>
    </w:p>
    <w:p>
      <w:pPr>
        <w:jc w:val="both"/>
        <w:ind w:left="660" w:right="100" w:hanging="328"/>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November 1, 2017, the BHC Board of Directors approved a complete divestiture of our Oil and Gas segment. As of June 30, 2018, we have sold nearly all oil and gas assets. Transaction closing for the last few assets and final accounting are expected within the third quarter. The closing of the oil and gas office will occur in August. See Note 18 of the Notes to Condensed Consolidated Financial Statements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discussion of operating results from our segments and Corporate activities follows. Revenues for operating segments in the following sections are presented in total and by retail class. For disaggregation of revenue by contract type and operating segment, see Note 2 of the Notes to Condensed Consolidated Financial Statements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purchases and natural gas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Electric Utilities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4"/>
                <w:szCs w:val="24"/>
                <w:color w:val="auto"/>
              </w:rPr>
            </w:pPr>
          </w:p>
        </w:tc>
        <w:tc>
          <w:tcPr>
            <w:tcW w:w="3440" w:type="dxa"/>
            <w:vAlign w:val="bottom"/>
            <w:gridSpan w:val="5"/>
          </w:tcPr>
          <w:p>
            <w:pPr>
              <w:jc w:val="right"/>
              <w:ind w:right="7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173,616</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168,453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5,163</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347,171</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344,477</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Total fuel and purchased power</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64,283</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62,265</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131,406</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130,665</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(b)</w:t>
            </w:r>
          </w:p>
        </w:tc>
        <w:tc>
          <w:tcPr>
            <w:tcW w:w="28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109,333</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106,188</w:t>
            </w:r>
          </w:p>
        </w:tc>
        <w:tc>
          <w:tcPr>
            <w:tcW w:w="22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3,145</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215,765</w:t>
            </w:r>
          </w:p>
        </w:tc>
        <w:tc>
          <w:tcPr>
            <w:tcW w:w="2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213,812</w:t>
            </w:r>
          </w:p>
        </w:tc>
        <w:tc>
          <w:tcPr>
            <w:tcW w:w="22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45,101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44,315</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90,194</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85,098</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24,640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23,120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49,153</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45,981</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27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69,741</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67,435</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2,306</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139,347</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131,079</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39,592</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38,753</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839</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76,418</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82,733</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(13,209)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(12,893)</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(26,305)</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(4,003)</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(7,618)</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3,615</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(7,512)</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(16,296)</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21,890</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18,832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41,735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41,062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40" w:hanging="332"/>
        <w:spacing w:after="0" w:line="265" w:lineRule="auto"/>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three and six months ended June 30, 2018 include Horizon Point shared facility revenues of approximately $2.7 million and $5.3 million, respectively, which are allocated to all of our operating segments as facility expenses. This shared facility agreement has no impact on BHC’s consolidated operating results.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158"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b w:val="1"/>
          <w:bCs w:val="1"/>
          <w:color w:val="auto"/>
        </w:rPr>
        <w:t xml:space="preserve">Results of Operations for the Electric Utilities for the Three Months Ended June 30, 2018 Compared to the Three Months Ended June 30, 2017: </w:t>
      </w:r>
      <w:r>
        <w:rPr>
          <w:rFonts w:ascii="Arial" w:cs="Arial" w:eastAsia="Arial" w:hAnsi="Arial"/>
          <w:sz w:val="16"/>
          <w:szCs w:val="16"/>
          <w:color w:val="auto"/>
        </w:rPr>
        <w:t>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from continuing operations available for common stock for the Electric Utilities was $22 million for the three months ended June 30, 2018, compared to Net income from continuing operations available for common stock of $19 million for the three months ended June 30, 2017, as a result of:</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increased primarily due to a $1.7 million increase in residential margins from warmer weather in the current year, higher rider revenues of $2.3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primarily related to transmission investment recovery, higher commercial and industrial demand of $1.1 million and higher non-energy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primarily from Horizon Point shared facility revenue (this shared facility revenue is offset by facility expenses at our operating segments and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impact on consolidated results). These increases were partially offset by a $5.3 million reserve to revenue to reflect the lower federal income tax rate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TCJA on our existing rate tariffs.</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higher facility costs of $1.3 million, partially offset by lower vegetation management expenses compared to the same period in the prior year.</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the prior year additions of Horizon Point and the Teckla-Lange transmission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Other income (expense), net</w:t>
      </w:r>
      <w:r>
        <w:rPr>
          <w:rFonts w:ascii="Arial" w:cs="Arial" w:eastAsia="Arial" w:hAnsi="Arial"/>
          <w:sz w:val="17"/>
          <w:szCs w:val="17"/>
          <w:color w:val="auto"/>
        </w:rPr>
        <w:t xml:space="preserve"> decreased due to the presentation change of non-service pension costs to Other income (expense) in the current year, previously reported in Operations and maintenance, and higher prior year AFUDC associated with higher prior year capital spend.</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decreased from the prior year due to the reduction in the federal corporate income tax rate from 35% to 21% from the TCJA, effective January 1, 2018.</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67" w:right="259" w:bottom="1440" w:gutter="0" w:footer="0" w:header="0"/>
        </w:sectPr>
      </w:pPr>
    </w:p>
    <w:bookmarkStart w:id="46" w:name="page47"/>
    <w:bookmarkEnd w:id="46"/>
    <w:p>
      <w:pPr>
        <w:spacing w:after="0" w:line="289" w:lineRule="auto"/>
        <w:rPr>
          <w:sz w:val="20"/>
          <w:szCs w:val="20"/>
          <w:color w:val="auto"/>
        </w:rPr>
      </w:pPr>
      <w:r>
        <w:rPr>
          <w:rFonts w:ascii="Arial" w:cs="Arial" w:eastAsia="Arial" w:hAnsi="Arial"/>
          <w:sz w:val="17"/>
          <w:szCs w:val="17"/>
          <w:b w:val="1"/>
          <w:bCs w:val="1"/>
          <w:color w:val="auto"/>
        </w:rPr>
        <w:t xml:space="preserve">Results of Operations for the Electric Utilities for the Six Months Ended June 30, 2018 Compared to the Six Months Ended June 30, 2017: </w:t>
      </w:r>
      <w:r>
        <w:rPr>
          <w:rFonts w:ascii="Arial" w:cs="Arial" w:eastAsia="Arial" w:hAnsi="Arial"/>
          <w:sz w:val="17"/>
          <w:szCs w:val="17"/>
          <w:color w:val="auto"/>
        </w:rPr>
        <w:t>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from continuing operations available for common stock for the Electric Utilities was $42 million for the six months ended June 30, 2018, compared to Net income from continuing operations available for common stock of $41 million for the six months ended June 30, 2017, as a result of:</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increased primarily due to a $3.3 million increase in residential margins from favorable weather in the current year, higher rider revenues of $3.5 million primarily related to transmission investment recovery, higher commercial and industrial demand of $0.6 million and higher non-energy revenue of $5.7 million primarily from Horizon Point shared facility revenue (this shared facility revenue is offset by facility expenses at our operating segments and has no impact on consolidated results). These increases were partially offset by an $11 million reserve to revenue to reflect the lower federal income tax rate from the TCJA on our existing rate tariffs.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w:t>
      </w:r>
      <w:r>
        <w:rPr>
          <w:rFonts w:ascii="Arial" w:cs="Arial" w:eastAsia="Arial" w:hAnsi="Arial"/>
          <w:sz w:val="16"/>
          <w:szCs w:val="16"/>
          <w:color w:val="auto"/>
        </w:rPr>
        <w:t xml:space="preserve"> increased primarily due to $2.1 million of higher vegetation management expenses and $2.6 million of shared facility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Higher employee costs and property taxes comprise the remainder of the increase compared to the same period in the prior year.</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the prior year additions of Horizon Point and the Teckla-Lange transmission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Other income (expense), net</w:t>
      </w:r>
      <w:r>
        <w:rPr>
          <w:rFonts w:ascii="Arial" w:cs="Arial" w:eastAsia="Arial" w:hAnsi="Arial"/>
          <w:sz w:val="17"/>
          <w:szCs w:val="17"/>
          <w:color w:val="auto"/>
        </w:rPr>
        <w:t xml:space="preserve"> decreased due to the presentation change of non-service pension costs to Other income (expense) in the current year, previously reported in Operations and maintenance, and higher prior year AFUDC associated with higher prior year capital spend.</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decreased from the prior year due to the reduction in the federal corporate income tax rate from 35% to 21% from the TCJA, effective January 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6"/>
          </w:tcPr>
          <w:p>
            <w:pPr>
              <w:jc w:val="right"/>
              <w:spacing w:after="0"/>
              <w:rPr>
                <w:sz w:val="20"/>
                <w:szCs w:val="20"/>
                <w:color w:val="auto"/>
              </w:rPr>
            </w:pPr>
            <w:r>
              <w:rPr>
                <w:rFonts w:ascii="Arial" w:cs="Arial" w:eastAsia="Arial" w:hAnsi="Arial"/>
                <w:sz w:val="16"/>
                <w:szCs w:val="16"/>
                <w:color w:val="auto"/>
              </w:rPr>
              <w:t>Electric Revenue (in thousands)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gridSpan w:val="2"/>
          </w:tcPr>
          <w:p>
            <w:pPr>
              <w:jc w:val="right"/>
              <w:ind w:right="86"/>
              <w:spacing w:after="0"/>
              <w:rPr>
                <w:sz w:val="20"/>
                <w:szCs w:val="20"/>
                <w:color w:val="auto"/>
              </w:rPr>
            </w:pPr>
            <w:r>
              <w:rPr>
                <w:rFonts w:ascii="Arial" w:cs="Arial" w:eastAsia="Arial" w:hAnsi="Arial"/>
                <w:sz w:val="16"/>
                <w:szCs w:val="16"/>
                <w:color w:val="auto"/>
              </w:rPr>
              <w:t>Quantities sold (MWh)</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87"/>
              <w:spacing w:after="0"/>
              <w:rPr>
                <w:sz w:val="20"/>
                <w:szCs w:val="20"/>
                <w:color w:val="auto"/>
              </w:rPr>
            </w:pPr>
            <w:r>
              <w:rPr>
                <w:rFonts w:ascii="Arial" w:cs="Arial" w:eastAsia="Arial" w:hAnsi="Arial"/>
                <w:sz w:val="16"/>
                <w:szCs w:val="16"/>
                <w:color w:val="auto"/>
                <w:w w:val="95"/>
              </w:rPr>
              <w:t>Three Months Ended</w:t>
            </w:r>
          </w:p>
        </w:tc>
        <w:tc>
          <w:tcPr>
            <w:tcW w:w="220" w:type="dxa"/>
            <w:vAlign w:val="bottom"/>
          </w:tcPr>
          <w:p>
            <w:pPr>
              <w:spacing w:after="0"/>
              <w:rPr>
                <w:sz w:val="18"/>
                <w:szCs w:val="18"/>
                <w:color w:val="auto"/>
              </w:rPr>
            </w:pPr>
          </w:p>
        </w:tc>
        <w:tc>
          <w:tcPr>
            <w:tcW w:w="1560" w:type="dxa"/>
            <w:vAlign w:val="bottom"/>
            <w:gridSpan w:val="3"/>
          </w:tcPr>
          <w:p>
            <w:pPr>
              <w:jc w:val="right"/>
              <w:ind w:right="187"/>
              <w:spacing w:after="0"/>
              <w:rPr>
                <w:sz w:val="20"/>
                <w:szCs w:val="20"/>
                <w:color w:val="auto"/>
              </w:rPr>
            </w:pPr>
            <w:r>
              <w:rPr>
                <w:rFonts w:ascii="Arial" w:cs="Arial" w:eastAsia="Arial" w:hAnsi="Arial"/>
                <w:sz w:val="16"/>
                <w:szCs w:val="16"/>
                <w:color w:val="auto"/>
                <w:w w:val="98"/>
              </w:rPr>
              <w:t>Six Months Ended</w:t>
            </w:r>
          </w:p>
        </w:tc>
        <w:tc>
          <w:tcPr>
            <w:tcW w:w="120" w:type="dxa"/>
            <w:vAlign w:val="bottom"/>
          </w:tcPr>
          <w:p>
            <w:pPr>
              <w:spacing w:after="0"/>
              <w:rPr>
                <w:sz w:val="18"/>
                <w:szCs w:val="18"/>
                <w:color w:val="auto"/>
              </w:rPr>
            </w:pPr>
          </w:p>
        </w:tc>
        <w:tc>
          <w:tcPr>
            <w:tcW w:w="1800" w:type="dxa"/>
            <w:vAlign w:val="bottom"/>
            <w:gridSpan w:val="2"/>
          </w:tcPr>
          <w:p>
            <w:pPr>
              <w:jc w:val="right"/>
              <w:ind w:right="147"/>
              <w:spacing w:after="0"/>
              <w:rPr>
                <w:sz w:val="20"/>
                <w:szCs w:val="20"/>
                <w:color w:val="auto"/>
              </w:rPr>
            </w:pPr>
            <w:r>
              <w:rPr>
                <w:rFonts w:ascii="Arial" w:cs="Arial" w:eastAsia="Arial" w:hAnsi="Arial"/>
                <w:sz w:val="16"/>
                <w:szCs w:val="16"/>
                <w:color w:val="auto"/>
              </w:rPr>
              <w:t>Three Months Ended</w:t>
            </w:r>
          </w:p>
        </w:tc>
        <w:tc>
          <w:tcPr>
            <w:tcW w:w="1700" w:type="dxa"/>
            <w:vAlign w:val="bottom"/>
            <w:gridSpan w:val="2"/>
          </w:tcPr>
          <w:p>
            <w:pPr>
              <w:jc w:val="right"/>
              <w:ind w:right="187"/>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ind w:right="507"/>
              <w:spacing w:after="0"/>
              <w:rPr>
                <w:sz w:val="20"/>
                <w:szCs w:val="20"/>
                <w:color w:val="auto"/>
              </w:rPr>
            </w:pPr>
            <w:r>
              <w:rPr>
                <w:rFonts w:ascii="Arial" w:cs="Arial" w:eastAsia="Arial" w:hAnsi="Arial"/>
                <w:sz w:val="16"/>
                <w:szCs w:val="16"/>
                <w:color w:val="auto"/>
              </w:rPr>
              <w:t>June 30,</w:t>
            </w:r>
          </w:p>
        </w:tc>
        <w:tc>
          <w:tcPr>
            <w:tcW w:w="120" w:type="dxa"/>
            <w:vAlign w:val="bottom"/>
          </w:tcPr>
          <w:p>
            <w:pPr>
              <w:spacing w:after="0"/>
              <w:rPr>
                <w:sz w:val="17"/>
                <w:szCs w:val="17"/>
                <w:color w:val="auto"/>
              </w:rPr>
            </w:pPr>
          </w:p>
        </w:tc>
        <w:tc>
          <w:tcPr>
            <w:tcW w:w="1800" w:type="dxa"/>
            <w:vAlign w:val="bottom"/>
            <w:gridSpan w:val="2"/>
          </w:tcPr>
          <w:p>
            <w:pPr>
              <w:jc w:val="right"/>
              <w:ind w:right="567"/>
              <w:spacing w:after="0"/>
              <w:rPr>
                <w:sz w:val="20"/>
                <w:szCs w:val="20"/>
                <w:color w:val="auto"/>
              </w:rPr>
            </w:pPr>
            <w:r>
              <w:rPr>
                <w:rFonts w:ascii="Arial" w:cs="Arial" w:eastAsia="Arial" w:hAnsi="Arial"/>
                <w:sz w:val="16"/>
                <w:szCs w:val="16"/>
                <w:color w:val="auto"/>
              </w:rPr>
              <w:t>June 30,</w:t>
            </w:r>
          </w:p>
        </w:tc>
        <w:tc>
          <w:tcPr>
            <w:tcW w:w="1700" w:type="dxa"/>
            <w:vAlign w:val="bottom"/>
            <w:gridSpan w:val="2"/>
          </w:tcPr>
          <w:p>
            <w:pPr>
              <w:jc w:val="right"/>
              <w:ind w:right="507"/>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ind w:right="166"/>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23"/>
                <w:szCs w:val="23"/>
                <w:color w:val="auto"/>
              </w:rPr>
            </w:pPr>
          </w:p>
        </w:tc>
        <w:tc>
          <w:tcPr>
            <w:tcW w:w="580" w:type="dxa"/>
            <w:vAlign w:val="bottom"/>
          </w:tcPr>
          <w:p>
            <w:pPr>
              <w:jc w:val="right"/>
              <w:ind w:right="167"/>
              <w:spacing w:after="0"/>
              <w:rPr>
                <w:sz w:val="20"/>
                <w:szCs w:val="20"/>
                <w:color w:val="auto"/>
              </w:rPr>
            </w:pPr>
            <w:r>
              <w:rPr>
                <w:rFonts w:ascii="Arial" w:cs="Arial" w:eastAsia="Arial" w:hAnsi="Arial"/>
                <w:sz w:val="16"/>
                <w:szCs w:val="16"/>
                <w:color w:val="auto"/>
                <w:w w:val="89"/>
              </w:rPr>
              <w:t>2017</w:t>
            </w:r>
          </w:p>
        </w:tc>
        <w:tc>
          <w:tcPr>
            <w:tcW w:w="220" w:type="dxa"/>
            <w:vAlign w:val="bottom"/>
          </w:tcPr>
          <w:p>
            <w:pPr>
              <w:spacing w:after="0"/>
              <w:rPr>
                <w:sz w:val="23"/>
                <w:szCs w:val="23"/>
                <w:color w:val="auto"/>
              </w:rPr>
            </w:pPr>
          </w:p>
        </w:tc>
        <w:tc>
          <w:tcPr>
            <w:tcW w:w="640" w:type="dxa"/>
            <w:vAlign w:val="bottom"/>
          </w:tcPr>
          <w:p>
            <w:pPr>
              <w:jc w:val="right"/>
              <w:ind w:right="146"/>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23"/>
                <w:szCs w:val="23"/>
                <w:color w:val="auto"/>
              </w:rPr>
            </w:pPr>
          </w:p>
        </w:tc>
        <w:tc>
          <w:tcPr>
            <w:tcW w:w="660" w:type="dxa"/>
            <w:vAlign w:val="bottom"/>
          </w:tcPr>
          <w:p>
            <w:pPr>
              <w:jc w:val="right"/>
              <w:ind w:right="187"/>
              <w:spacing w:after="0"/>
              <w:rPr>
                <w:sz w:val="20"/>
                <w:szCs w:val="20"/>
                <w:color w:val="auto"/>
              </w:rPr>
            </w:pPr>
            <w:r>
              <w:rPr>
                <w:rFonts w:ascii="Arial" w:cs="Arial" w:eastAsia="Arial" w:hAnsi="Arial"/>
                <w:sz w:val="16"/>
                <w:szCs w:val="16"/>
                <w:color w:val="auto"/>
              </w:rPr>
              <w:t>2017</w:t>
            </w:r>
          </w:p>
        </w:tc>
        <w:tc>
          <w:tcPr>
            <w:tcW w:w="1000" w:type="dxa"/>
            <w:vAlign w:val="bottom"/>
            <w:gridSpan w:val="2"/>
          </w:tcPr>
          <w:p>
            <w:pPr>
              <w:jc w:val="right"/>
              <w:ind w:right="205"/>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247"/>
              <w:spacing w:after="0"/>
              <w:rPr>
                <w:sz w:val="20"/>
                <w:szCs w:val="20"/>
                <w:color w:val="auto"/>
              </w:rPr>
            </w:pPr>
            <w:r>
              <w:rPr>
                <w:rFonts w:ascii="Arial" w:cs="Arial" w:eastAsia="Arial" w:hAnsi="Arial"/>
                <w:sz w:val="16"/>
                <w:szCs w:val="16"/>
                <w:color w:val="auto"/>
              </w:rPr>
              <w:t>2017</w:t>
            </w:r>
          </w:p>
        </w:tc>
        <w:tc>
          <w:tcPr>
            <w:tcW w:w="880" w:type="dxa"/>
            <w:vAlign w:val="bottom"/>
          </w:tcPr>
          <w:p>
            <w:pPr>
              <w:jc w:val="right"/>
              <w:ind w:right="246"/>
              <w:spacing w:after="0"/>
              <w:rPr>
                <w:sz w:val="20"/>
                <w:szCs w:val="20"/>
                <w:color w:val="auto"/>
              </w:rPr>
            </w:pPr>
            <w:r>
              <w:rPr>
                <w:rFonts w:ascii="Arial" w:cs="Arial" w:eastAsia="Arial" w:hAnsi="Arial"/>
                <w:sz w:val="16"/>
                <w:szCs w:val="16"/>
                <w:color w:val="auto"/>
              </w:rPr>
              <w:t>2018</w:t>
            </w:r>
          </w:p>
        </w:tc>
        <w:tc>
          <w:tcPr>
            <w:tcW w:w="820" w:type="dxa"/>
            <w:vAlign w:val="bottom"/>
          </w:tcPr>
          <w:p>
            <w:pPr>
              <w:jc w:val="right"/>
              <w:ind w:right="207"/>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50,116</w:t>
            </w:r>
          </w:p>
        </w:tc>
        <w:tc>
          <w:tcPr>
            <w:tcW w:w="32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47,933</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105,857</w:t>
            </w:r>
          </w:p>
        </w:tc>
        <w:tc>
          <w:tcPr>
            <w:tcW w:w="2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102,151</w:t>
            </w:r>
          </w:p>
        </w:tc>
        <w:tc>
          <w:tcPr>
            <w:tcW w:w="1000" w:type="dxa"/>
            <w:vAlign w:val="bottom"/>
            <w:gridSpan w:val="2"/>
            <w:shd w:val="clear" w:color="auto" w:fill="CEFFE7"/>
          </w:tcPr>
          <w:p>
            <w:pPr>
              <w:jc w:val="right"/>
              <w:ind w:right="45"/>
              <w:spacing w:after="0"/>
              <w:rPr>
                <w:sz w:val="20"/>
                <w:szCs w:val="20"/>
                <w:color w:val="auto"/>
              </w:rPr>
            </w:pPr>
            <w:r>
              <w:rPr>
                <w:rFonts w:ascii="Arial" w:cs="Arial" w:eastAsia="Arial" w:hAnsi="Arial"/>
                <w:sz w:val="14"/>
                <w:szCs w:val="14"/>
                <w:color w:val="auto"/>
              </w:rPr>
              <w:t>328,638</w:t>
            </w:r>
          </w:p>
        </w:tc>
        <w:tc>
          <w:tcPr>
            <w:tcW w:w="920" w:type="dxa"/>
            <w:vAlign w:val="bottom"/>
            <w:shd w:val="clear" w:color="auto" w:fill="CEFFE7"/>
          </w:tcPr>
          <w:p>
            <w:pPr>
              <w:jc w:val="right"/>
              <w:ind w:right="87"/>
              <w:spacing w:after="0"/>
              <w:rPr>
                <w:sz w:val="20"/>
                <w:szCs w:val="20"/>
                <w:color w:val="auto"/>
              </w:rPr>
            </w:pPr>
            <w:r>
              <w:rPr>
                <w:rFonts w:ascii="Arial" w:cs="Arial" w:eastAsia="Arial" w:hAnsi="Arial"/>
                <w:sz w:val="14"/>
                <w:szCs w:val="14"/>
                <w:color w:val="auto"/>
              </w:rPr>
              <w:t>306,866</w:t>
            </w:r>
          </w:p>
        </w:tc>
        <w:tc>
          <w:tcPr>
            <w:tcW w:w="880" w:type="dxa"/>
            <w:vAlign w:val="bottom"/>
            <w:shd w:val="clear" w:color="auto" w:fill="CEFFE7"/>
          </w:tcPr>
          <w:p>
            <w:pPr>
              <w:jc w:val="right"/>
              <w:ind w:right="86"/>
              <w:spacing w:after="0"/>
              <w:rPr>
                <w:sz w:val="20"/>
                <w:szCs w:val="20"/>
                <w:color w:val="auto"/>
              </w:rPr>
            </w:pPr>
            <w:r>
              <w:rPr>
                <w:rFonts w:ascii="Arial" w:cs="Arial" w:eastAsia="Arial" w:hAnsi="Arial"/>
                <w:sz w:val="14"/>
                <w:szCs w:val="14"/>
                <w:color w:val="auto"/>
              </w:rPr>
              <w:t>711,908</w:t>
            </w:r>
          </w:p>
        </w:tc>
        <w:tc>
          <w:tcPr>
            <w:tcW w:w="82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668,971</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64,902</w:t>
            </w:r>
          </w:p>
        </w:tc>
        <w:tc>
          <w:tcPr>
            <w:tcW w:w="320" w:type="dxa"/>
            <w:vAlign w:val="bottom"/>
          </w:tcPr>
          <w:p>
            <w:pPr>
              <w:spacing w:after="0"/>
              <w:rPr>
                <w:sz w:val="22"/>
                <w:szCs w:val="22"/>
                <w:color w:val="auto"/>
              </w:rPr>
            </w:pPr>
          </w:p>
        </w:tc>
        <w:tc>
          <w:tcPr>
            <w:tcW w:w="580" w:type="dxa"/>
            <w:vAlign w:val="bottom"/>
          </w:tcPr>
          <w:p>
            <w:pPr>
              <w:jc w:val="right"/>
              <w:ind w:right="7"/>
              <w:spacing w:after="0"/>
              <w:rPr>
                <w:sz w:val="20"/>
                <w:szCs w:val="20"/>
                <w:color w:val="auto"/>
              </w:rPr>
            </w:pPr>
            <w:r>
              <w:rPr>
                <w:rFonts w:ascii="Arial" w:cs="Arial" w:eastAsia="Arial" w:hAnsi="Arial"/>
                <w:sz w:val="14"/>
                <w:szCs w:val="14"/>
                <w:color w:val="auto"/>
              </w:rPr>
              <w:t>63,938</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126,886</w:t>
            </w:r>
          </w:p>
        </w:tc>
        <w:tc>
          <w:tcPr>
            <w:tcW w:w="260" w:type="dxa"/>
            <w:vAlign w:val="bottom"/>
          </w:tcPr>
          <w:p>
            <w:pPr>
              <w:spacing w:after="0"/>
              <w:rPr>
                <w:sz w:val="22"/>
                <w:szCs w:val="22"/>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127,451</w:t>
            </w:r>
          </w:p>
        </w:tc>
        <w:tc>
          <w:tcPr>
            <w:tcW w:w="1000" w:type="dxa"/>
            <w:vAlign w:val="bottom"/>
            <w:gridSpan w:val="2"/>
          </w:tcPr>
          <w:p>
            <w:pPr>
              <w:jc w:val="right"/>
              <w:ind w:right="45"/>
              <w:spacing w:after="0"/>
              <w:rPr>
                <w:sz w:val="20"/>
                <w:szCs w:val="20"/>
                <w:color w:val="auto"/>
              </w:rPr>
            </w:pPr>
            <w:r>
              <w:rPr>
                <w:rFonts w:ascii="Arial" w:cs="Arial" w:eastAsia="Arial" w:hAnsi="Arial"/>
                <w:sz w:val="14"/>
                <w:szCs w:val="14"/>
                <w:color w:val="auto"/>
              </w:rPr>
              <w:t>509,984</w:t>
            </w:r>
          </w:p>
        </w:tc>
        <w:tc>
          <w:tcPr>
            <w:tcW w:w="920" w:type="dxa"/>
            <w:vAlign w:val="bottom"/>
          </w:tcPr>
          <w:p>
            <w:pPr>
              <w:jc w:val="right"/>
              <w:ind w:right="87"/>
              <w:spacing w:after="0"/>
              <w:rPr>
                <w:sz w:val="20"/>
                <w:szCs w:val="20"/>
                <w:color w:val="auto"/>
              </w:rPr>
            </w:pPr>
            <w:r>
              <w:rPr>
                <w:rFonts w:ascii="Arial" w:cs="Arial" w:eastAsia="Arial" w:hAnsi="Arial"/>
                <w:sz w:val="14"/>
                <w:szCs w:val="14"/>
                <w:color w:val="auto"/>
              </w:rPr>
              <w:t>485,205</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1,010,120</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989,279</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60" w:type="dxa"/>
            <w:vAlign w:val="bottom"/>
            <w:shd w:val="clear" w:color="auto" w:fill="CEFFE7"/>
          </w:tcPr>
          <w:p>
            <w:pPr>
              <w:spacing w:after="0"/>
              <w:rPr>
                <w:sz w:val="24"/>
                <w:szCs w:val="24"/>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31,220</w:t>
            </w:r>
          </w:p>
        </w:tc>
        <w:tc>
          <w:tcPr>
            <w:tcW w:w="320" w:type="dxa"/>
            <w:vAlign w:val="bottom"/>
            <w:shd w:val="clear" w:color="auto" w:fill="CEFFE7"/>
          </w:tcPr>
          <w:p>
            <w:pPr>
              <w:spacing w:after="0"/>
              <w:rPr>
                <w:sz w:val="24"/>
                <w:szCs w:val="24"/>
                <w:color w:val="auto"/>
              </w:rPr>
            </w:pPr>
          </w:p>
        </w:tc>
        <w:tc>
          <w:tcPr>
            <w:tcW w:w="58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30,736</w:t>
            </w:r>
          </w:p>
        </w:tc>
        <w:tc>
          <w:tcPr>
            <w:tcW w:w="220" w:type="dxa"/>
            <w:vAlign w:val="bottom"/>
            <w:shd w:val="clear" w:color="auto" w:fill="CEFFE7"/>
          </w:tcPr>
          <w:p>
            <w:pPr>
              <w:spacing w:after="0"/>
              <w:rPr>
                <w:sz w:val="24"/>
                <w:szCs w:val="24"/>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62,020</w:t>
            </w:r>
          </w:p>
        </w:tc>
        <w:tc>
          <w:tcPr>
            <w:tcW w:w="260" w:type="dxa"/>
            <w:vAlign w:val="bottom"/>
            <w:shd w:val="clear" w:color="auto" w:fill="CEFFE7"/>
          </w:tcPr>
          <w:p>
            <w:pPr>
              <w:spacing w:after="0"/>
              <w:rPr>
                <w:sz w:val="24"/>
                <w:szCs w:val="24"/>
                <w:color w:val="auto"/>
              </w:rPr>
            </w:pPr>
          </w:p>
        </w:tc>
        <w:tc>
          <w:tcPr>
            <w:tcW w:w="66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61,019</w:t>
            </w:r>
          </w:p>
        </w:tc>
        <w:tc>
          <w:tcPr>
            <w:tcW w:w="1000" w:type="dxa"/>
            <w:vAlign w:val="bottom"/>
            <w:gridSpan w:val="2"/>
            <w:shd w:val="clear" w:color="auto" w:fill="CEFFE7"/>
          </w:tcPr>
          <w:p>
            <w:pPr>
              <w:jc w:val="right"/>
              <w:ind w:right="45"/>
              <w:spacing w:after="0"/>
              <w:rPr>
                <w:sz w:val="20"/>
                <w:szCs w:val="20"/>
                <w:color w:val="auto"/>
              </w:rPr>
            </w:pPr>
            <w:r>
              <w:rPr>
                <w:rFonts w:ascii="Arial" w:cs="Arial" w:eastAsia="Arial" w:hAnsi="Arial"/>
                <w:sz w:val="14"/>
                <w:szCs w:val="14"/>
                <w:color w:val="auto"/>
              </w:rPr>
              <w:t>418,596</w:t>
            </w:r>
          </w:p>
        </w:tc>
        <w:tc>
          <w:tcPr>
            <w:tcW w:w="920" w:type="dxa"/>
            <w:vAlign w:val="bottom"/>
            <w:shd w:val="clear" w:color="auto" w:fill="CEFFE7"/>
          </w:tcPr>
          <w:p>
            <w:pPr>
              <w:jc w:val="right"/>
              <w:ind w:right="87"/>
              <w:spacing w:after="0"/>
              <w:rPr>
                <w:sz w:val="20"/>
                <w:szCs w:val="20"/>
                <w:color w:val="auto"/>
              </w:rPr>
            </w:pPr>
            <w:r>
              <w:rPr>
                <w:rFonts w:ascii="Arial" w:cs="Arial" w:eastAsia="Arial" w:hAnsi="Arial"/>
                <w:sz w:val="14"/>
                <w:szCs w:val="14"/>
                <w:color w:val="auto"/>
              </w:rPr>
              <w:t>394,796</w:t>
            </w:r>
          </w:p>
        </w:tc>
        <w:tc>
          <w:tcPr>
            <w:tcW w:w="880" w:type="dxa"/>
            <w:vAlign w:val="bottom"/>
            <w:shd w:val="clear" w:color="auto" w:fill="CEFFE7"/>
          </w:tcPr>
          <w:p>
            <w:pPr>
              <w:jc w:val="right"/>
              <w:ind w:right="86"/>
              <w:spacing w:after="0"/>
              <w:rPr>
                <w:sz w:val="20"/>
                <w:szCs w:val="20"/>
                <w:color w:val="auto"/>
              </w:rPr>
            </w:pPr>
            <w:r>
              <w:rPr>
                <w:rFonts w:ascii="Arial" w:cs="Arial" w:eastAsia="Arial" w:hAnsi="Arial"/>
                <w:sz w:val="14"/>
                <w:szCs w:val="14"/>
                <w:color w:val="auto"/>
              </w:rPr>
              <w:t>819,305</w:t>
            </w:r>
          </w:p>
        </w:tc>
        <w:tc>
          <w:tcPr>
            <w:tcW w:w="82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785,370</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Municipal</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4,666</w:t>
            </w: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4,676</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8,807</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8,976</w:t>
            </w:r>
          </w:p>
        </w:tc>
        <w:tc>
          <w:tcPr>
            <w:tcW w:w="120" w:type="dxa"/>
            <w:vAlign w:val="bottom"/>
            <w:tcBorders>
              <w:bottom w:val="single" w:sz="8" w:color="CEFFE7"/>
            </w:tcBorders>
          </w:tcPr>
          <w:p>
            <w:pPr>
              <w:spacing w:after="0"/>
              <w:rPr>
                <w:sz w:val="22"/>
                <w:szCs w:val="22"/>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42,657</w:t>
            </w:r>
          </w:p>
        </w:tc>
        <w:tc>
          <w:tcPr>
            <w:tcW w:w="9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40,704</w:t>
            </w:r>
          </w:p>
        </w:tc>
        <w:tc>
          <w:tcPr>
            <w:tcW w:w="8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78,981</w:t>
            </w: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77,676</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Subtotal Retail Revenue - Electric</w:t>
            </w:r>
          </w:p>
        </w:tc>
        <w:tc>
          <w:tcPr>
            <w:tcW w:w="160" w:type="dxa"/>
            <w:vAlign w:val="bottom"/>
            <w:tcBorders>
              <w:bottom w:val="single" w:sz="8" w:color="auto"/>
            </w:tcBorders>
            <w:shd w:val="clear" w:color="auto" w:fill="CEFFE7"/>
          </w:tcPr>
          <w:p>
            <w:pPr>
              <w:spacing w:after="0"/>
              <w:rPr>
                <w:sz w:val="22"/>
                <w:szCs w:val="22"/>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150,904</w:t>
            </w:r>
          </w:p>
        </w:tc>
        <w:tc>
          <w:tcPr>
            <w:tcW w:w="320" w:type="dxa"/>
            <w:vAlign w:val="bottom"/>
            <w:tcBorders>
              <w:bottom w:val="single" w:sz="8" w:color="auto"/>
            </w:tcBorders>
            <w:shd w:val="clear" w:color="auto" w:fill="CEFFE7"/>
          </w:tcPr>
          <w:p>
            <w:pPr>
              <w:spacing w:after="0"/>
              <w:rPr>
                <w:sz w:val="22"/>
                <w:szCs w:val="22"/>
                <w:color w:val="auto"/>
              </w:rPr>
            </w:pPr>
          </w:p>
        </w:tc>
        <w:tc>
          <w:tcPr>
            <w:tcW w:w="580" w:type="dxa"/>
            <w:vAlign w:val="bottom"/>
            <w:tcBorders>
              <w:bottom w:val="single" w:sz="8" w:color="auto"/>
            </w:tcBorders>
            <w:shd w:val="clear" w:color="auto" w:fill="CEFFE7"/>
          </w:tcPr>
          <w:p>
            <w:pPr>
              <w:jc w:val="right"/>
              <w:ind w:right="7"/>
              <w:spacing w:after="0"/>
              <w:rPr>
                <w:sz w:val="20"/>
                <w:szCs w:val="20"/>
                <w:color w:val="auto"/>
              </w:rPr>
            </w:pPr>
            <w:r>
              <w:rPr>
                <w:rFonts w:ascii="Arial" w:cs="Arial" w:eastAsia="Arial" w:hAnsi="Arial"/>
                <w:sz w:val="14"/>
                <w:szCs w:val="14"/>
                <w:color w:val="auto"/>
                <w:w w:val="94"/>
              </w:rPr>
              <w:t>147,283</w:t>
            </w:r>
          </w:p>
        </w:tc>
        <w:tc>
          <w:tcPr>
            <w:tcW w:w="220" w:type="dxa"/>
            <w:vAlign w:val="bottom"/>
            <w:tcBorders>
              <w:bottom w:val="single" w:sz="8" w:color="auto"/>
            </w:tcBorders>
            <w:shd w:val="clear" w:color="auto" w:fill="CEFFE7"/>
          </w:tcPr>
          <w:p>
            <w:pPr>
              <w:spacing w:after="0"/>
              <w:rPr>
                <w:sz w:val="22"/>
                <w:szCs w:val="22"/>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303,570</w:t>
            </w:r>
          </w:p>
        </w:tc>
        <w:tc>
          <w:tcPr>
            <w:tcW w:w="260" w:type="dxa"/>
            <w:vAlign w:val="bottom"/>
            <w:tcBorders>
              <w:bottom w:val="single" w:sz="8" w:color="auto"/>
            </w:tcBorders>
            <w:shd w:val="clear" w:color="auto" w:fill="CEFFE7"/>
          </w:tcPr>
          <w:p>
            <w:pPr>
              <w:spacing w:after="0"/>
              <w:rPr>
                <w:sz w:val="22"/>
                <w:szCs w:val="22"/>
                <w:color w:val="auto"/>
              </w:rPr>
            </w:pPr>
          </w:p>
        </w:tc>
        <w:tc>
          <w:tcPr>
            <w:tcW w:w="660" w:type="dxa"/>
            <w:vAlign w:val="bottom"/>
            <w:tcBorders>
              <w:bottom w:val="single" w:sz="8" w:color="auto"/>
            </w:tcBorders>
            <w:shd w:val="clear" w:color="auto" w:fill="CEFFE7"/>
          </w:tcPr>
          <w:p>
            <w:pPr>
              <w:jc w:val="right"/>
              <w:ind w:right="27"/>
              <w:spacing w:after="0"/>
              <w:rPr>
                <w:sz w:val="20"/>
                <w:szCs w:val="20"/>
                <w:color w:val="auto"/>
              </w:rPr>
            </w:pPr>
            <w:r>
              <w:rPr>
                <w:rFonts w:ascii="Arial" w:cs="Arial" w:eastAsia="Arial" w:hAnsi="Arial"/>
                <w:sz w:val="14"/>
                <w:szCs w:val="14"/>
                <w:color w:val="auto"/>
              </w:rPr>
              <w:t>299,597</w:t>
            </w:r>
          </w:p>
        </w:tc>
        <w:tc>
          <w:tcPr>
            <w:tcW w:w="120" w:type="dxa"/>
            <w:vAlign w:val="bottom"/>
            <w:shd w:val="clear" w:color="auto" w:fill="CEFFE7"/>
          </w:tcPr>
          <w:p>
            <w:pPr>
              <w:spacing w:after="0"/>
              <w:rPr>
                <w:sz w:val="22"/>
                <w:szCs w:val="22"/>
                <w:color w:val="auto"/>
              </w:rPr>
            </w:pPr>
          </w:p>
        </w:tc>
        <w:tc>
          <w:tcPr>
            <w:tcW w:w="880" w:type="dxa"/>
            <w:vAlign w:val="bottom"/>
            <w:tcBorders>
              <w:bottom w:val="single" w:sz="8" w:color="auto"/>
            </w:tcBorders>
            <w:shd w:val="clear" w:color="auto" w:fill="CEFFE7"/>
          </w:tcPr>
          <w:p>
            <w:pPr>
              <w:jc w:val="right"/>
              <w:ind w:right="45"/>
              <w:spacing w:after="0"/>
              <w:rPr>
                <w:sz w:val="20"/>
                <w:szCs w:val="20"/>
                <w:color w:val="auto"/>
              </w:rPr>
            </w:pPr>
            <w:r>
              <w:rPr>
                <w:rFonts w:ascii="Arial" w:cs="Arial" w:eastAsia="Arial" w:hAnsi="Arial"/>
                <w:sz w:val="14"/>
                <w:szCs w:val="14"/>
                <w:color w:val="auto"/>
              </w:rPr>
              <w:t>1,299,875</w:t>
            </w:r>
          </w:p>
        </w:tc>
        <w:tc>
          <w:tcPr>
            <w:tcW w:w="920" w:type="dxa"/>
            <w:vAlign w:val="bottom"/>
            <w:tcBorders>
              <w:bottom w:val="single" w:sz="8" w:color="auto"/>
            </w:tcBorders>
            <w:shd w:val="clear" w:color="auto" w:fill="CEFFE7"/>
          </w:tcPr>
          <w:p>
            <w:pPr>
              <w:jc w:val="right"/>
              <w:ind w:right="87"/>
              <w:spacing w:after="0"/>
              <w:rPr>
                <w:sz w:val="20"/>
                <w:szCs w:val="20"/>
                <w:color w:val="auto"/>
              </w:rPr>
            </w:pPr>
            <w:r>
              <w:rPr>
                <w:rFonts w:ascii="Arial" w:cs="Arial" w:eastAsia="Arial" w:hAnsi="Arial"/>
                <w:sz w:val="14"/>
                <w:szCs w:val="14"/>
                <w:color w:val="auto"/>
              </w:rPr>
              <w:t>1,227,571</w:t>
            </w:r>
          </w:p>
        </w:tc>
        <w:tc>
          <w:tcPr>
            <w:tcW w:w="880" w:type="dxa"/>
            <w:vAlign w:val="bottom"/>
            <w:tcBorders>
              <w:bottom w:val="single" w:sz="8" w:color="auto"/>
            </w:tcBorders>
            <w:shd w:val="clear" w:color="auto" w:fill="CEFFE7"/>
          </w:tcPr>
          <w:p>
            <w:pPr>
              <w:jc w:val="right"/>
              <w:ind w:right="86"/>
              <w:spacing w:after="0"/>
              <w:rPr>
                <w:sz w:val="20"/>
                <w:szCs w:val="20"/>
                <w:color w:val="auto"/>
              </w:rPr>
            </w:pPr>
            <w:r>
              <w:rPr>
                <w:rFonts w:ascii="Arial" w:cs="Arial" w:eastAsia="Arial" w:hAnsi="Arial"/>
                <w:sz w:val="14"/>
                <w:szCs w:val="14"/>
                <w:color w:val="auto"/>
              </w:rPr>
              <w:t>2,620,314</w:t>
            </w:r>
          </w:p>
        </w:tc>
        <w:tc>
          <w:tcPr>
            <w:tcW w:w="820" w:type="dxa"/>
            <w:vAlign w:val="bottom"/>
            <w:tcBorders>
              <w:bottom w:val="single" w:sz="8" w:color="auto"/>
            </w:tcBorders>
            <w:shd w:val="clear" w:color="auto" w:fill="CEFFE7"/>
          </w:tcPr>
          <w:p>
            <w:pPr>
              <w:jc w:val="right"/>
              <w:ind w:right="27"/>
              <w:spacing w:after="0"/>
              <w:rPr>
                <w:sz w:val="20"/>
                <w:szCs w:val="20"/>
                <w:color w:val="auto"/>
              </w:rPr>
            </w:pPr>
            <w:r>
              <w:rPr>
                <w:rFonts w:ascii="Arial" w:cs="Arial" w:eastAsia="Arial" w:hAnsi="Arial"/>
                <w:sz w:val="14"/>
                <w:szCs w:val="14"/>
                <w:color w:val="auto"/>
              </w:rPr>
              <w:t>2,521,296</w:t>
            </w:r>
          </w:p>
        </w:tc>
        <w:tc>
          <w:tcPr>
            <w:tcW w:w="0" w:type="dxa"/>
            <w:vAlign w:val="bottom"/>
          </w:tcPr>
          <w:p>
            <w:pPr>
              <w:spacing w:after="0"/>
              <w:rPr>
                <w:sz w:val="1"/>
                <w:szCs w:val="1"/>
                <w:color w:val="auto"/>
              </w:rPr>
            </w:pPr>
          </w:p>
        </w:tc>
      </w:tr>
      <w:tr>
        <w:trPr>
          <w:trHeight w:val="244"/>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Contract Wholesale</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8,191</w:t>
            </w:r>
          </w:p>
        </w:tc>
        <w:tc>
          <w:tcPr>
            <w:tcW w:w="320" w:type="dxa"/>
            <w:vAlign w:val="bottom"/>
          </w:tcPr>
          <w:p>
            <w:pPr>
              <w:spacing w:after="0"/>
              <w:rPr>
                <w:sz w:val="21"/>
                <w:szCs w:val="21"/>
                <w:color w:val="auto"/>
              </w:rPr>
            </w:pPr>
          </w:p>
        </w:tc>
        <w:tc>
          <w:tcPr>
            <w:tcW w:w="580" w:type="dxa"/>
            <w:vAlign w:val="bottom"/>
          </w:tcPr>
          <w:p>
            <w:pPr>
              <w:jc w:val="right"/>
              <w:ind w:right="7"/>
              <w:spacing w:after="0"/>
              <w:rPr>
                <w:sz w:val="20"/>
                <w:szCs w:val="20"/>
                <w:color w:val="auto"/>
              </w:rPr>
            </w:pPr>
            <w:r>
              <w:rPr>
                <w:rFonts w:ascii="Arial" w:cs="Arial" w:eastAsia="Arial" w:hAnsi="Arial"/>
                <w:sz w:val="14"/>
                <w:szCs w:val="14"/>
                <w:color w:val="auto"/>
              </w:rPr>
              <w:t>6,702</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17,241</w:t>
            </w:r>
          </w:p>
        </w:tc>
        <w:tc>
          <w:tcPr>
            <w:tcW w:w="260" w:type="dxa"/>
            <w:vAlign w:val="bottom"/>
          </w:tcPr>
          <w:p>
            <w:pPr>
              <w:spacing w:after="0"/>
              <w:rPr>
                <w:sz w:val="21"/>
                <w:szCs w:val="21"/>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color w:val="auto"/>
              </w:rPr>
              <w:t>14,545</w:t>
            </w:r>
          </w:p>
        </w:tc>
        <w:tc>
          <w:tcPr>
            <w:tcW w:w="1000" w:type="dxa"/>
            <w:vAlign w:val="bottom"/>
            <w:gridSpan w:val="2"/>
          </w:tcPr>
          <w:p>
            <w:pPr>
              <w:jc w:val="right"/>
              <w:ind w:right="45"/>
              <w:spacing w:after="0"/>
              <w:rPr>
                <w:sz w:val="20"/>
                <w:szCs w:val="20"/>
                <w:color w:val="auto"/>
              </w:rPr>
            </w:pPr>
            <w:r>
              <w:rPr>
                <w:rFonts w:ascii="Arial" w:cs="Arial" w:eastAsia="Arial" w:hAnsi="Arial"/>
                <w:sz w:val="14"/>
                <w:szCs w:val="14"/>
                <w:color w:val="auto"/>
              </w:rPr>
              <w:t>218,132</w:t>
            </w:r>
          </w:p>
        </w:tc>
        <w:tc>
          <w:tcPr>
            <w:tcW w:w="920" w:type="dxa"/>
            <w:vAlign w:val="bottom"/>
          </w:tcPr>
          <w:p>
            <w:pPr>
              <w:jc w:val="right"/>
              <w:ind w:right="87"/>
              <w:spacing w:after="0"/>
              <w:rPr>
                <w:sz w:val="20"/>
                <w:szCs w:val="20"/>
                <w:color w:val="auto"/>
              </w:rPr>
            </w:pPr>
            <w:r>
              <w:rPr>
                <w:rFonts w:ascii="Arial" w:cs="Arial" w:eastAsia="Arial" w:hAnsi="Arial"/>
                <w:sz w:val="14"/>
                <w:szCs w:val="14"/>
                <w:color w:val="auto"/>
              </w:rPr>
              <w:t>165,881</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455,836</w:t>
            </w:r>
          </w:p>
        </w:tc>
        <w:tc>
          <w:tcPr>
            <w:tcW w:w="820" w:type="dxa"/>
            <w:vAlign w:val="bottom"/>
          </w:tcPr>
          <w:p>
            <w:pPr>
              <w:jc w:val="right"/>
              <w:ind w:right="27"/>
              <w:spacing w:after="0"/>
              <w:rPr>
                <w:sz w:val="20"/>
                <w:szCs w:val="20"/>
                <w:color w:val="auto"/>
              </w:rPr>
            </w:pPr>
            <w:r>
              <w:rPr>
                <w:rFonts w:ascii="Arial" w:cs="Arial" w:eastAsia="Arial" w:hAnsi="Arial"/>
                <w:sz w:val="14"/>
                <w:szCs w:val="14"/>
                <w:color w:val="auto"/>
              </w:rPr>
              <w:t>351,997</w:t>
            </w: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Off-system/Power Marketing Wholesale</w:t>
            </w:r>
          </w:p>
        </w:tc>
        <w:tc>
          <w:tcPr>
            <w:tcW w:w="160" w:type="dxa"/>
            <w:vAlign w:val="bottom"/>
            <w:shd w:val="clear" w:color="auto" w:fill="CEFFE7"/>
          </w:tcPr>
          <w:p>
            <w:pPr>
              <w:spacing w:after="0"/>
              <w:rPr>
                <w:sz w:val="24"/>
                <w:szCs w:val="24"/>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4,939</w:t>
            </w:r>
          </w:p>
        </w:tc>
        <w:tc>
          <w:tcPr>
            <w:tcW w:w="320" w:type="dxa"/>
            <w:vAlign w:val="bottom"/>
            <w:shd w:val="clear" w:color="auto" w:fill="CEFFE7"/>
          </w:tcPr>
          <w:p>
            <w:pPr>
              <w:spacing w:after="0"/>
              <w:rPr>
                <w:sz w:val="24"/>
                <w:szCs w:val="24"/>
                <w:color w:val="auto"/>
              </w:rPr>
            </w:pPr>
          </w:p>
        </w:tc>
        <w:tc>
          <w:tcPr>
            <w:tcW w:w="58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rPr>
              <w:t>3,668</w:t>
            </w:r>
          </w:p>
        </w:tc>
        <w:tc>
          <w:tcPr>
            <w:tcW w:w="220" w:type="dxa"/>
            <w:vAlign w:val="bottom"/>
            <w:shd w:val="clear" w:color="auto" w:fill="CEFFE7"/>
          </w:tcPr>
          <w:p>
            <w:pPr>
              <w:spacing w:after="0"/>
              <w:rPr>
                <w:sz w:val="24"/>
                <w:szCs w:val="24"/>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9,083</w:t>
            </w:r>
          </w:p>
        </w:tc>
        <w:tc>
          <w:tcPr>
            <w:tcW w:w="260" w:type="dxa"/>
            <w:vAlign w:val="bottom"/>
            <w:shd w:val="clear" w:color="auto" w:fill="CEFFE7"/>
          </w:tcPr>
          <w:p>
            <w:pPr>
              <w:spacing w:after="0"/>
              <w:rPr>
                <w:sz w:val="24"/>
                <w:szCs w:val="24"/>
                <w:color w:val="auto"/>
              </w:rPr>
            </w:pPr>
          </w:p>
        </w:tc>
        <w:tc>
          <w:tcPr>
            <w:tcW w:w="66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9,178</w:t>
            </w:r>
          </w:p>
        </w:tc>
        <w:tc>
          <w:tcPr>
            <w:tcW w:w="1000" w:type="dxa"/>
            <w:vAlign w:val="bottom"/>
            <w:gridSpan w:val="2"/>
            <w:shd w:val="clear" w:color="auto" w:fill="CEFFE7"/>
          </w:tcPr>
          <w:p>
            <w:pPr>
              <w:jc w:val="right"/>
              <w:ind w:right="45"/>
              <w:spacing w:after="0"/>
              <w:rPr>
                <w:sz w:val="20"/>
                <w:szCs w:val="20"/>
                <w:color w:val="auto"/>
              </w:rPr>
            </w:pPr>
            <w:r>
              <w:rPr>
                <w:rFonts w:ascii="Arial" w:cs="Arial" w:eastAsia="Arial" w:hAnsi="Arial"/>
                <w:sz w:val="14"/>
                <w:szCs w:val="14"/>
                <w:color w:val="auto"/>
              </w:rPr>
              <w:t>178,854</w:t>
            </w:r>
          </w:p>
        </w:tc>
        <w:tc>
          <w:tcPr>
            <w:tcW w:w="920" w:type="dxa"/>
            <w:vAlign w:val="bottom"/>
            <w:shd w:val="clear" w:color="auto" w:fill="CEFFE7"/>
          </w:tcPr>
          <w:p>
            <w:pPr>
              <w:jc w:val="right"/>
              <w:ind w:right="87"/>
              <w:spacing w:after="0"/>
              <w:rPr>
                <w:sz w:val="20"/>
                <w:szCs w:val="20"/>
                <w:color w:val="auto"/>
              </w:rPr>
            </w:pPr>
            <w:r>
              <w:rPr>
                <w:rFonts w:ascii="Arial" w:cs="Arial" w:eastAsia="Arial" w:hAnsi="Arial"/>
                <w:sz w:val="14"/>
                <w:szCs w:val="14"/>
                <w:color w:val="auto"/>
              </w:rPr>
              <w:t>130,423</w:t>
            </w:r>
          </w:p>
        </w:tc>
        <w:tc>
          <w:tcPr>
            <w:tcW w:w="880" w:type="dxa"/>
            <w:vAlign w:val="bottom"/>
            <w:shd w:val="clear" w:color="auto" w:fill="CEFFE7"/>
          </w:tcPr>
          <w:p>
            <w:pPr>
              <w:jc w:val="right"/>
              <w:ind w:right="86"/>
              <w:spacing w:after="0"/>
              <w:rPr>
                <w:sz w:val="20"/>
                <w:szCs w:val="20"/>
                <w:color w:val="auto"/>
              </w:rPr>
            </w:pPr>
            <w:r>
              <w:rPr>
                <w:rFonts w:ascii="Arial" w:cs="Arial" w:eastAsia="Arial" w:hAnsi="Arial"/>
                <w:sz w:val="14"/>
                <w:szCs w:val="14"/>
                <w:color w:val="auto"/>
              </w:rPr>
              <w:t>307,895</w:t>
            </w:r>
          </w:p>
        </w:tc>
        <w:tc>
          <w:tcPr>
            <w:tcW w:w="82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317,858</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9,582</w:t>
            </w: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10,800</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17,277</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21,157</w:t>
            </w:r>
          </w:p>
        </w:tc>
        <w:tc>
          <w:tcPr>
            <w:tcW w:w="120" w:type="dxa"/>
            <w:vAlign w:val="bottom"/>
            <w:tcBorders>
              <w:bottom w:val="single" w:sz="8" w:color="CEFFE7"/>
            </w:tcBorders>
          </w:tcPr>
          <w:p>
            <w:pPr>
              <w:spacing w:after="0"/>
              <w:rPr>
                <w:sz w:val="22"/>
                <w:szCs w:val="22"/>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 Sold</w:t>
            </w:r>
          </w:p>
        </w:tc>
        <w:tc>
          <w:tcPr>
            <w:tcW w:w="160" w:type="dxa"/>
            <w:vAlign w:val="bottom"/>
            <w:shd w:val="clear" w:color="auto" w:fill="CEFFE7"/>
          </w:tcPr>
          <w:p>
            <w:pPr>
              <w:spacing w:after="0"/>
              <w:rPr>
                <w:sz w:val="22"/>
                <w:szCs w:val="22"/>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173,616</w:t>
            </w:r>
          </w:p>
        </w:tc>
        <w:tc>
          <w:tcPr>
            <w:tcW w:w="320" w:type="dxa"/>
            <w:vAlign w:val="bottom"/>
            <w:shd w:val="clear" w:color="auto" w:fill="CEFFE7"/>
          </w:tcPr>
          <w:p>
            <w:pPr>
              <w:spacing w:after="0"/>
              <w:rPr>
                <w:sz w:val="22"/>
                <w:szCs w:val="22"/>
                <w:color w:val="auto"/>
              </w:rPr>
            </w:pPr>
          </w:p>
        </w:tc>
        <w:tc>
          <w:tcPr>
            <w:tcW w:w="58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w w:val="94"/>
              </w:rPr>
              <w:t>168,453</w:t>
            </w:r>
          </w:p>
        </w:tc>
        <w:tc>
          <w:tcPr>
            <w:tcW w:w="220" w:type="dxa"/>
            <w:vAlign w:val="bottom"/>
            <w:shd w:val="clear" w:color="auto" w:fill="CEFFE7"/>
          </w:tcPr>
          <w:p>
            <w:pPr>
              <w:spacing w:after="0"/>
              <w:rPr>
                <w:sz w:val="22"/>
                <w:szCs w:val="22"/>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347,171</w:t>
            </w:r>
          </w:p>
        </w:tc>
        <w:tc>
          <w:tcPr>
            <w:tcW w:w="260" w:type="dxa"/>
            <w:vAlign w:val="bottom"/>
            <w:shd w:val="clear" w:color="auto" w:fill="CEFFE7"/>
          </w:tcPr>
          <w:p>
            <w:pPr>
              <w:spacing w:after="0"/>
              <w:rPr>
                <w:sz w:val="22"/>
                <w:szCs w:val="22"/>
                <w:color w:val="auto"/>
              </w:rPr>
            </w:pPr>
          </w:p>
        </w:tc>
        <w:tc>
          <w:tcPr>
            <w:tcW w:w="66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344,477</w:t>
            </w:r>
          </w:p>
        </w:tc>
        <w:tc>
          <w:tcPr>
            <w:tcW w:w="1000" w:type="dxa"/>
            <w:vAlign w:val="bottom"/>
            <w:gridSpan w:val="2"/>
            <w:shd w:val="clear" w:color="auto" w:fill="CEFFE7"/>
          </w:tcPr>
          <w:p>
            <w:pPr>
              <w:jc w:val="right"/>
              <w:ind w:right="45"/>
              <w:spacing w:after="0"/>
              <w:rPr>
                <w:sz w:val="20"/>
                <w:szCs w:val="20"/>
                <w:color w:val="auto"/>
              </w:rPr>
            </w:pPr>
            <w:r>
              <w:rPr>
                <w:rFonts w:ascii="Arial" w:cs="Arial" w:eastAsia="Arial" w:hAnsi="Arial"/>
                <w:sz w:val="14"/>
                <w:szCs w:val="14"/>
                <w:color w:val="auto"/>
              </w:rPr>
              <w:t>1,696,861</w:t>
            </w:r>
          </w:p>
        </w:tc>
        <w:tc>
          <w:tcPr>
            <w:tcW w:w="920" w:type="dxa"/>
            <w:vAlign w:val="bottom"/>
            <w:shd w:val="clear" w:color="auto" w:fill="CEFFE7"/>
          </w:tcPr>
          <w:p>
            <w:pPr>
              <w:jc w:val="right"/>
              <w:ind w:right="87"/>
              <w:spacing w:after="0"/>
              <w:rPr>
                <w:sz w:val="20"/>
                <w:szCs w:val="20"/>
                <w:color w:val="auto"/>
              </w:rPr>
            </w:pPr>
            <w:r>
              <w:rPr>
                <w:rFonts w:ascii="Arial" w:cs="Arial" w:eastAsia="Arial" w:hAnsi="Arial"/>
                <w:sz w:val="14"/>
                <w:szCs w:val="14"/>
                <w:color w:val="auto"/>
              </w:rPr>
              <w:t>1,523,875</w:t>
            </w:r>
          </w:p>
        </w:tc>
        <w:tc>
          <w:tcPr>
            <w:tcW w:w="880" w:type="dxa"/>
            <w:vAlign w:val="bottom"/>
            <w:shd w:val="clear" w:color="auto" w:fill="CEFFE7"/>
          </w:tcPr>
          <w:p>
            <w:pPr>
              <w:jc w:val="right"/>
              <w:ind w:right="86"/>
              <w:spacing w:after="0"/>
              <w:rPr>
                <w:sz w:val="20"/>
                <w:szCs w:val="20"/>
                <w:color w:val="auto"/>
              </w:rPr>
            </w:pPr>
            <w:r>
              <w:rPr>
                <w:rFonts w:ascii="Arial" w:cs="Arial" w:eastAsia="Arial" w:hAnsi="Arial"/>
                <w:sz w:val="14"/>
                <w:szCs w:val="14"/>
                <w:color w:val="auto"/>
              </w:rPr>
              <w:t>3,384,045</w:t>
            </w:r>
          </w:p>
        </w:tc>
        <w:tc>
          <w:tcPr>
            <w:tcW w:w="82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3,191,151</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Other Uses, Losses or Generation, net</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EFFE7"/>
            </w:tcBorders>
          </w:tcPr>
          <w:p>
            <w:pPr>
              <w:spacing w:after="0"/>
              <w:rPr>
                <w:sz w:val="22"/>
                <w:szCs w:val="22"/>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125,606</w:t>
            </w:r>
          </w:p>
        </w:tc>
        <w:tc>
          <w:tcPr>
            <w:tcW w:w="9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116,642</w:t>
            </w:r>
          </w:p>
        </w:tc>
        <w:tc>
          <w:tcPr>
            <w:tcW w:w="8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216,461</w:t>
            </w: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219,977</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w:t>
            </w:r>
          </w:p>
        </w:tc>
        <w:tc>
          <w:tcPr>
            <w:tcW w:w="160" w:type="dxa"/>
            <w:vAlign w:val="bottom"/>
            <w:shd w:val="clear" w:color="auto" w:fill="CEFFE7"/>
          </w:tcPr>
          <w:p>
            <w:pPr>
              <w:spacing w:after="0"/>
              <w:rPr>
                <w:sz w:val="21"/>
                <w:szCs w:val="21"/>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173,616</w:t>
            </w:r>
          </w:p>
        </w:tc>
        <w:tc>
          <w:tcPr>
            <w:tcW w:w="320" w:type="dxa"/>
            <w:vAlign w:val="bottom"/>
            <w:shd w:val="clear" w:color="auto" w:fill="CEFFE7"/>
          </w:tcPr>
          <w:p>
            <w:pPr>
              <w:spacing w:after="0"/>
              <w:rPr>
                <w:sz w:val="21"/>
                <w:szCs w:val="21"/>
                <w:color w:val="auto"/>
              </w:rPr>
            </w:pPr>
          </w:p>
        </w:tc>
        <w:tc>
          <w:tcPr>
            <w:tcW w:w="580" w:type="dxa"/>
            <w:vAlign w:val="bottom"/>
            <w:shd w:val="clear" w:color="auto" w:fill="CEFFE7"/>
          </w:tcPr>
          <w:p>
            <w:pPr>
              <w:jc w:val="right"/>
              <w:ind w:right="7"/>
              <w:spacing w:after="0"/>
              <w:rPr>
                <w:sz w:val="20"/>
                <w:szCs w:val="20"/>
                <w:color w:val="auto"/>
              </w:rPr>
            </w:pPr>
            <w:r>
              <w:rPr>
                <w:rFonts w:ascii="Arial" w:cs="Arial" w:eastAsia="Arial" w:hAnsi="Arial"/>
                <w:sz w:val="14"/>
                <w:szCs w:val="14"/>
                <w:color w:val="auto"/>
                <w:w w:val="94"/>
              </w:rPr>
              <w:t>168,453</w:t>
            </w:r>
          </w:p>
        </w:tc>
        <w:tc>
          <w:tcPr>
            <w:tcW w:w="220" w:type="dxa"/>
            <w:vAlign w:val="bottom"/>
            <w:shd w:val="clear" w:color="auto" w:fill="CEFFE7"/>
          </w:tcPr>
          <w:p>
            <w:pPr>
              <w:spacing w:after="0"/>
              <w:rPr>
                <w:sz w:val="21"/>
                <w:szCs w:val="21"/>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347,171</w:t>
            </w:r>
          </w:p>
        </w:tc>
        <w:tc>
          <w:tcPr>
            <w:tcW w:w="260" w:type="dxa"/>
            <w:vAlign w:val="bottom"/>
            <w:shd w:val="clear" w:color="auto" w:fill="CEFFE7"/>
          </w:tcPr>
          <w:p>
            <w:pPr>
              <w:spacing w:after="0"/>
              <w:rPr>
                <w:sz w:val="21"/>
                <w:szCs w:val="21"/>
                <w:color w:val="auto"/>
              </w:rPr>
            </w:pPr>
          </w:p>
        </w:tc>
        <w:tc>
          <w:tcPr>
            <w:tcW w:w="66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344,477</w:t>
            </w:r>
          </w:p>
        </w:tc>
        <w:tc>
          <w:tcPr>
            <w:tcW w:w="1000" w:type="dxa"/>
            <w:vAlign w:val="bottom"/>
            <w:gridSpan w:val="2"/>
            <w:shd w:val="clear" w:color="auto" w:fill="CEFFE7"/>
          </w:tcPr>
          <w:p>
            <w:pPr>
              <w:jc w:val="right"/>
              <w:ind w:right="45"/>
              <w:spacing w:after="0"/>
              <w:rPr>
                <w:sz w:val="20"/>
                <w:szCs w:val="20"/>
                <w:color w:val="auto"/>
              </w:rPr>
            </w:pPr>
            <w:r>
              <w:rPr>
                <w:rFonts w:ascii="Arial" w:cs="Arial" w:eastAsia="Arial" w:hAnsi="Arial"/>
                <w:sz w:val="14"/>
                <w:szCs w:val="14"/>
                <w:color w:val="auto"/>
              </w:rPr>
              <w:t>1,822,467</w:t>
            </w:r>
          </w:p>
        </w:tc>
        <w:tc>
          <w:tcPr>
            <w:tcW w:w="920" w:type="dxa"/>
            <w:vAlign w:val="bottom"/>
            <w:shd w:val="clear" w:color="auto" w:fill="CEFFE7"/>
          </w:tcPr>
          <w:p>
            <w:pPr>
              <w:jc w:val="right"/>
              <w:ind w:right="87"/>
              <w:spacing w:after="0"/>
              <w:rPr>
                <w:sz w:val="20"/>
                <w:szCs w:val="20"/>
                <w:color w:val="auto"/>
              </w:rPr>
            </w:pPr>
            <w:r>
              <w:rPr>
                <w:rFonts w:ascii="Arial" w:cs="Arial" w:eastAsia="Arial" w:hAnsi="Arial"/>
                <w:sz w:val="14"/>
                <w:szCs w:val="14"/>
                <w:color w:val="auto"/>
              </w:rPr>
              <w:t>1,640,517</w:t>
            </w:r>
          </w:p>
        </w:tc>
        <w:tc>
          <w:tcPr>
            <w:tcW w:w="880" w:type="dxa"/>
            <w:vAlign w:val="bottom"/>
            <w:shd w:val="clear" w:color="auto" w:fill="CEFFE7"/>
          </w:tcPr>
          <w:p>
            <w:pPr>
              <w:jc w:val="right"/>
              <w:ind w:right="86"/>
              <w:spacing w:after="0"/>
              <w:rPr>
                <w:sz w:val="20"/>
                <w:szCs w:val="20"/>
                <w:color w:val="auto"/>
              </w:rPr>
            </w:pPr>
            <w:r>
              <w:rPr>
                <w:rFonts w:ascii="Arial" w:cs="Arial" w:eastAsia="Arial" w:hAnsi="Arial"/>
                <w:sz w:val="14"/>
                <w:szCs w:val="14"/>
                <w:color w:val="auto"/>
              </w:rPr>
              <w:t>3,600,506</w:t>
            </w:r>
          </w:p>
        </w:tc>
        <w:tc>
          <w:tcPr>
            <w:tcW w:w="820" w:type="dxa"/>
            <w:vAlign w:val="bottom"/>
            <w:shd w:val="clear" w:color="auto" w:fill="CEFFE7"/>
          </w:tcPr>
          <w:p>
            <w:pPr>
              <w:jc w:val="right"/>
              <w:ind w:right="27"/>
              <w:spacing w:after="0"/>
              <w:rPr>
                <w:sz w:val="20"/>
                <w:szCs w:val="20"/>
                <w:color w:val="auto"/>
              </w:rPr>
            </w:pPr>
            <w:r>
              <w:rPr>
                <w:rFonts w:ascii="Arial" w:cs="Arial" w:eastAsia="Arial" w:hAnsi="Arial"/>
                <w:sz w:val="14"/>
                <w:szCs w:val="14"/>
                <w:color w:val="auto"/>
              </w:rPr>
              <w:t>3,411,128</w:t>
            </w:r>
          </w:p>
        </w:tc>
        <w:tc>
          <w:tcPr>
            <w:tcW w:w="0" w:type="dxa"/>
            <w:vAlign w:val="bottom"/>
          </w:tcPr>
          <w:p>
            <w:pPr>
              <w:spacing w:after="0"/>
              <w:rPr>
                <w:sz w:val="1"/>
                <w:szCs w:val="1"/>
                <w:color w:val="auto"/>
              </w:rPr>
            </w:pPr>
          </w:p>
        </w:tc>
      </w:tr>
      <w:tr>
        <w:trPr>
          <w:trHeight w:val="20"/>
        </w:trPr>
        <w:tc>
          <w:tcPr>
            <w:tcW w:w="3900" w:type="dxa"/>
            <w:vAlign w:val="bottom"/>
            <w:tcBorders>
              <w:top w:val="single" w:sz="8" w:color="CEFFE7"/>
              <w:bottom w:val="single" w:sz="8" w:color="CEFFE7"/>
            </w:tcBorders>
            <w:gridSpan w:val="2"/>
            <w:vMerge w:val="restart"/>
          </w:tcPr>
          <w:p>
            <w:pPr>
              <w:ind w:left="40"/>
              <w:spacing w:after="0"/>
              <w:rPr>
                <w:sz w:val="20"/>
                <w:szCs w:val="20"/>
                <w:color w:val="auto"/>
              </w:rPr>
            </w:pPr>
            <w:r>
              <w:rPr>
                <w:rFonts w:ascii="Arial" w:cs="Arial" w:eastAsia="Arial" w:hAnsi="Arial"/>
                <w:sz w:val="16"/>
                <w:szCs w:val="16"/>
                <w:color w:val="auto"/>
              </w:rPr>
              <w:t>Less cost of fuel and purchased power</w:t>
            </w:r>
          </w:p>
        </w:tc>
        <w:tc>
          <w:tcPr>
            <w:tcW w:w="160" w:type="dxa"/>
            <w:vAlign w:val="bottom"/>
            <w:tcBorders>
              <w:top w:val="single" w:sz="8" w:color="CEFFE7"/>
            </w:tcBorders>
          </w:tcPr>
          <w:p>
            <w:pPr>
              <w:spacing w:after="0" w:line="20" w:lineRule="exact"/>
              <w:rPr>
                <w:sz w:val="1"/>
                <w:szCs w:val="1"/>
                <w:color w:val="auto"/>
              </w:rPr>
            </w:pPr>
          </w:p>
        </w:tc>
        <w:tc>
          <w:tcPr>
            <w:tcW w:w="70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4"/>
                <w:szCs w:val="14"/>
                <w:color w:val="auto"/>
              </w:rPr>
              <w:t>64,283</w:t>
            </w:r>
          </w:p>
        </w:tc>
        <w:tc>
          <w:tcPr>
            <w:tcW w:w="320" w:type="dxa"/>
            <w:vAlign w:val="bottom"/>
            <w:tcBorders>
              <w:top w:val="single" w:sz="8" w:color="CEFFE7"/>
            </w:tcBorders>
          </w:tcPr>
          <w:p>
            <w:pPr>
              <w:spacing w:after="0" w:line="20" w:lineRule="exact"/>
              <w:rPr>
                <w:sz w:val="1"/>
                <w:szCs w:val="1"/>
                <w:color w:val="auto"/>
              </w:rPr>
            </w:pPr>
          </w:p>
        </w:tc>
        <w:tc>
          <w:tcPr>
            <w:tcW w:w="580" w:type="dxa"/>
            <w:vAlign w:val="bottom"/>
            <w:tcBorders>
              <w:top w:val="single" w:sz="8" w:color="CEFFE7"/>
              <w:bottom w:val="single" w:sz="8" w:color="CEFFE7"/>
            </w:tcBorders>
            <w:vMerge w:val="restart"/>
          </w:tcPr>
          <w:p>
            <w:pPr>
              <w:jc w:val="right"/>
              <w:ind w:right="7"/>
              <w:spacing w:after="0"/>
              <w:rPr>
                <w:sz w:val="20"/>
                <w:szCs w:val="20"/>
                <w:color w:val="auto"/>
              </w:rPr>
            </w:pPr>
            <w:r>
              <w:rPr>
                <w:rFonts w:ascii="Arial" w:cs="Arial" w:eastAsia="Arial" w:hAnsi="Arial"/>
                <w:sz w:val="14"/>
                <w:szCs w:val="14"/>
                <w:color w:val="auto"/>
              </w:rPr>
              <w:t>62,265</w:t>
            </w:r>
          </w:p>
        </w:tc>
        <w:tc>
          <w:tcPr>
            <w:tcW w:w="22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4"/>
                <w:szCs w:val="14"/>
                <w:color w:val="auto"/>
              </w:rPr>
              <w:t>131,406</w:t>
            </w:r>
          </w:p>
        </w:tc>
        <w:tc>
          <w:tcPr>
            <w:tcW w:w="260" w:type="dxa"/>
            <w:vAlign w:val="bottom"/>
            <w:tcBorders>
              <w:top w:val="single" w:sz="8" w:color="CEFFE7"/>
            </w:tcBorders>
          </w:tcPr>
          <w:p>
            <w:pPr>
              <w:spacing w:after="0" w:line="20" w:lineRule="exact"/>
              <w:rPr>
                <w:sz w:val="1"/>
                <w:szCs w:val="1"/>
                <w:color w:val="auto"/>
              </w:rPr>
            </w:pPr>
          </w:p>
        </w:tc>
        <w:tc>
          <w:tcPr>
            <w:tcW w:w="660" w:type="dxa"/>
            <w:vAlign w:val="bottom"/>
            <w:tcBorders>
              <w:top w:val="single" w:sz="8" w:color="CEFFE7"/>
              <w:bottom w:val="single" w:sz="8" w:color="CEFFE7"/>
            </w:tcBorders>
            <w:vMerge w:val="restart"/>
          </w:tcPr>
          <w:p>
            <w:pPr>
              <w:jc w:val="right"/>
              <w:ind w:right="27"/>
              <w:spacing w:after="0"/>
              <w:rPr>
                <w:sz w:val="20"/>
                <w:szCs w:val="20"/>
                <w:color w:val="auto"/>
              </w:rPr>
            </w:pPr>
            <w:r>
              <w:rPr>
                <w:rFonts w:ascii="Arial" w:cs="Arial" w:eastAsia="Arial" w:hAnsi="Arial"/>
                <w:sz w:val="14"/>
                <w:szCs w:val="14"/>
                <w:color w:val="auto"/>
              </w:rPr>
              <w:t>130,665</w:t>
            </w:r>
          </w:p>
        </w:tc>
        <w:tc>
          <w:tcPr>
            <w:tcW w:w="120" w:type="dxa"/>
            <w:vAlign w:val="bottom"/>
            <w:tcBorders>
              <w:top w:val="single" w:sz="8" w:color="CEFFE7"/>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00" w:type="dxa"/>
            <w:vAlign w:val="bottom"/>
            <w:tcBorders>
              <w:bottom w:val="single" w:sz="8" w:color="CEFFE7"/>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EFFE7"/>
            </w:tcBorders>
          </w:tcPr>
          <w:p>
            <w:pPr>
              <w:spacing w:after="0"/>
              <w:rPr>
                <w:sz w:val="21"/>
                <w:szCs w:val="21"/>
                <w:color w:val="auto"/>
              </w:rPr>
            </w:pPr>
          </w:p>
        </w:tc>
        <w:tc>
          <w:tcPr>
            <w:tcW w:w="880" w:type="dxa"/>
            <w:vAlign w:val="bottom"/>
            <w:tcBorders>
              <w:bottom w:val="single" w:sz="8" w:color="CEFFE7"/>
            </w:tcBorders>
          </w:tcPr>
          <w:p>
            <w:pPr>
              <w:spacing w:after="0"/>
              <w:rPr>
                <w:sz w:val="21"/>
                <w:szCs w:val="21"/>
                <w:color w:val="auto"/>
              </w:rPr>
            </w:pPr>
          </w:p>
        </w:tc>
        <w:tc>
          <w:tcPr>
            <w:tcW w:w="920" w:type="dxa"/>
            <w:vAlign w:val="bottom"/>
            <w:tcBorders>
              <w:bottom w:val="single" w:sz="8" w:color="CEFFE7"/>
            </w:tcBorders>
          </w:tcPr>
          <w:p>
            <w:pPr>
              <w:spacing w:after="0"/>
              <w:rPr>
                <w:sz w:val="21"/>
                <w:szCs w:val="21"/>
                <w:color w:val="auto"/>
              </w:rPr>
            </w:pPr>
          </w:p>
        </w:tc>
        <w:tc>
          <w:tcPr>
            <w:tcW w:w="880" w:type="dxa"/>
            <w:vAlign w:val="bottom"/>
            <w:tcBorders>
              <w:bottom w:val="single" w:sz="8" w:color="CEFFE7"/>
            </w:tcBorders>
          </w:tcPr>
          <w:p>
            <w:pPr>
              <w:spacing w:after="0"/>
              <w:rPr>
                <w:sz w:val="21"/>
                <w:szCs w:val="21"/>
                <w:color w:val="auto"/>
              </w:rPr>
            </w:pPr>
          </w:p>
        </w:tc>
        <w:tc>
          <w:tcPr>
            <w:tcW w:w="820" w:type="dxa"/>
            <w:vAlign w:val="bottom"/>
            <w:tcBorders>
              <w:bottom w:val="single" w:sz="8" w:color="CEFFE7"/>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(a)</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109,333</w:t>
            </w:r>
          </w:p>
        </w:tc>
        <w:tc>
          <w:tcPr>
            <w:tcW w:w="32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EFFE7"/>
          </w:tcPr>
          <w:p>
            <w:pPr>
              <w:jc w:val="right"/>
              <w:ind w:right="7"/>
              <w:spacing w:after="0"/>
              <w:rPr>
                <w:sz w:val="20"/>
                <w:szCs w:val="20"/>
                <w:color w:val="auto"/>
              </w:rPr>
            </w:pPr>
            <w:r>
              <w:rPr>
                <w:rFonts w:ascii="Arial" w:cs="Arial" w:eastAsia="Arial" w:hAnsi="Arial"/>
                <w:sz w:val="14"/>
                <w:szCs w:val="14"/>
                <w:color w:val="auto"/>
                <w:w w:val="94"/>
              </w:rPr>
              <w:t>106,188</w:t>
            </w:r>
          </w:p>
        </w:tc>
        <w:tc>
          <w:tcPr>
            <w:tcW w:w="2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215,765</w:t>
            </w:r>
          </w:p>
        </w:tc>
        <w:tc>
          <w:tcPr>
            <w:tcW w:w="2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EFFE7"/>
          </w:tcPr>
          <w:p>
            <w:pPr>
              <w:jc w:val="right"/>
              <w:ind w:right="27"/>
              <w:spacing w:after="0"/>
              <w:rPr>
                <w:sz w:val="20"/>
                <w:szCs w:val="20"/>
                <w:color w:val="auto"/>
              </w:rPr>
            </w:pPr>
            <w:r>
              <w:rPr>
                <w:rFonts w:ascii="Arial" w:cs="Arial" w:eastAsia="Arial" w:hAnsi="Arial"/>
                <w:sz w:val="14"/>
                <w:szCs w:val="14"/>
                <w:color w:val="auto"/>
              </w:rPr>
              <w:t>213,812</w:t>
            </w:r>
          </w:p>
        </w:tc>
        <w:tc>
          <w:tcPr>
            <w:tcW w:w="12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Non-GAAP measure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96" w:right="259" w:bottom="1440" w:gutter="0" w:footer="0" w:header="0"/>
        </w:sectPr>
      </w:pPr>
    </w:p>
    <w:bookmarkStart w:id="47" w:name="page48"/>
    <w:bookmarkEnd w:id="47"/>
    <w:tbl>
      <w:tblPr>
        <w:tblLayout w:type="fixed"/>
        <w:tblInd w:w="340" w:type="dxa"/>
        <w:tblCellMar>
          <w:top w:w="0" w:type="dxa"/>
          <w:left w:w="0" w:type="dxa"/>
          <w:bottom w:w="0" w:type="dxa"/>
          <w:right w:w="0" w:type="dxa"/>
        </w:tblCellMar>
      </w:tblPr>
      <w:tr>
        <w:trPr>
          <w:trHeight w:val="241"/>
        </w:trPr>
        <w:tc>
          <w:tcPr>
            <w:tcW w:w="4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6"/>
                <w:szCs w:val="16"/>
                <w:color w:val="auto"/>
              </w:rPr>
              <w:t>Electric Revenue (in</w:t>
            </w: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w w:val="93"/>
              </w:rPr>
              <w:t xml:space="preserve">Gross Margin </w:t>
            </w:r>
            <w:r>
              <w:rPr>
                <w:rFonts w:ascii="Arial" w:cs="Arial" w:eastAsia="Arial" w:hAnsi="Arial"/>
                <w:sz w:val="21"/>
                <w:szCs w:val="21"/>
                <w:color w:val="auto"/>
                <w:w w:val="93"/>
                <w:vertAlign w:val="superscript"/>
              </w:rPr>
              <w:t>(a)</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(in</w:t>
            </w: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9"/>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Three Months Ended June 30,</w:t>
            </w:r>
          </w:p>
        </w:tc>
        <w:tc>
          <w:tcPr>
            <w:tcW w:w="220" w:type="dxa"/>
            <w:vAlign w:val="bottom"/>
          </w:tcPr>
          <w:p>
            <w:pPr>
              <w:spacing w:after="0"/>
              <w:rPr>
                <w:sz w:val="20"/>
                <w:szCs w:val="20"/>
                <w:color w:val="auto"/>
              </w:rPr>
            </w:pPr>
          </w:p>
        </w:tc>
        <w:tc>
          <w:tcPr>
            <w:tcW w:w="1900" w:type="dxa"/>
            <w:vAlign w:val="bottom"/>
            <w:gridSpan w:val="4"/>
          </w:tcPr>
          <w:p>
            <w:pPr>
              <w:ind w:left="440"/>
              <w:spacing w:after="0"/>
              <w:rPr>
                <w:sz w:val="20"/>
                <w:szCs w:val="20"/>
                <w:color w:val="auto"/>
              </w:rPr>
            </w:pPr>
            <w:r>
              <w:rPr>
                <w:rFonts w:ascii="Arial" w:cs="Arial" w:eastAsia="Arial" w:hAnsi="Arial"/>
                <w:sz w:val="16"/>
                <w:szCs w:val="16"/>
                <w:color w:val="auto"/>
              </w:rPr>
              <w:t>thousands)</w:t>
            </w:r>
          </w:p>
        </w:tc>
        <w:tc>
          <w:tcPr>
            <w:tcW w:w="160" w:type="dxa"/>
            <w:vAlign w:val="bottom"/>
          </w:tcPr>
          <w:p>
            <w:pPr>
              <w:spacing w:after="0"/>
              <w:rPr>
                <w:sz w:val="20"/>
                <w:szCs w:val="20"/>
                <w:color w:val="auto"/>
              </w:rPr>
            </w:pPr>
          </w:p>
        </w:tc>
        <w:tc>
          <w:tcPr>
            <w:tcW w:w="1880" w:type="dxa"/>
            <w:vAlign w:val="bottom"/>
            <w:gridSpan w:val="3"/>
          </w:tcPr>
          <w:p>
            <w:pPr>
              <w:jc w:val="right"/>
              <w:ind w:right="619"/>
              <w:spacing w:after="0"/>
              <w:rPr>
                <w:sz w:val="20"/>
                <w:szCs w:val="20"/>
                <w:color w:val="auto"/>
              </w:rPr>
            </w:pPr>
            <w:r>
              <w:rPr>
                <w:rFonts w:ascii="Arial" w:cs="Arial" w:eastAsia="Arial" w:hAnsi="Arial"/>
                <w:sz w:val="16"/>
                <w:szCs w:val="16"/>
                <w:color w:val="auto"/>
              </w:rPr>
              <w:t>thousands)</w:t>
            </w:r>
          </w:p>
        </w:tc>
        <w:tc>
          <w:tcPr>
            <w:tcW w:w="2000" w:type="dxa"/>
            <w:vAlign w:val="bottom"/>
            <w:gridSpan w:val="2"/>
          </w:tcPr>
          <w:p>
            <w:pPr>
              <w:jc w:val="right"/>
              <w:ind w:right="3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(b)</w:t>
            </w:r>
          </w:p>
        </w:tc>
      </w:tr>
      <w:tr>
        <w:trPr>
          <w:trHeight w:val="231"/>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2017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2018</w:t>
            </w: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2017</w:t>
            </w:r>
          </w:p>
        </w:tc>
        <w:tc>
          <w:tcPr>
            <w:tcW w:w="10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2017</w:t>
            </w:r>
          </w:p>
        </w:tc>
      </w:tr>
      <w:tr>
        <w:trPr>
          <w:trHeight w:val="33"/>
        </w:trPr>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South Dakota Electric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70,676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66,052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49,922</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47,441</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837,943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718,878</w:t>
            </w:r>
          </w:p>
        </w:tc>
      </w:tr>
      <w:tr>
        <w:trPr>
          <w:trHeight w:val="3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Wyoming Electric</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40,408</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40,351</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21,951</w:t>
            </w:r>
          </w:p>
        </w:tc>
        <w:tc>
          <w:tcPr>
            <w:tcW w:w="3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22,439</w:t>
            </w:r>
          </w:p>
        </w:tc>
        <w:tc>
          <w:tcPr>
            <w:tcW w:w="10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441,996</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423,157</w:t>
            </w: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Colorado Electric</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62,532</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62,050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37,460</w:t>
            </w:r>
          </w:p>
        </w:tc>
        <w:tc>
          <w:tcPr>
            <w:tcW w:w="36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36,308</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542,528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498,482</w:t>
            </w: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Electric Revenue, Gross Margin, and Quantities Sold</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173,616</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168,453</w:t>
            </w:r>
          </w:p>
        </w:tc>
        <w:tc>
          <w:tcPr>
            <w:tcW w:w="12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109,333</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93"/>
              </w:rPr>
              <w:t>106,188</w:t>
            </w:r>
          </w:p>
        </w:tc>
        <w:tc>
          <w:tcPr>
            <w:tcW w:w="10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1,822,467</w:t>
            </w:r>
          </w:p>
        </w:tc>
        <w:tc>
          <w:tcPr>
            <w:tcW w:w="9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1,640,517</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9" w:lineRule="exact"/>
        <w:rPr>
          <w:rFonts w:ascii="Arial" w:cs="Arial" w:eastAsia="Arial" w:hAnsi="Arial"/>
          <w:sz w:val="16"/>
          <w:szCs w:val="16"/>
          <w:color w:val="auto"/>
        </w:rPr>
      </w:pPr>
    </w:p>
    <w:p>
      <w:pPr>
        <w:ind w:left="340" w:right="500" w:hanging="332"/>
        <w:spacing w:after="0" w:line="25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MWh includes Other Uses, Losses or Generation, net, which are approximately 7%, 6%, and 7% for South Dakota Electric, Wyoming Electric, and Colorado Electric, respectively.</w:t>
      </w: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6"/>
                <w:szCs w:val="16"/>
                <w:color w:val="auto"/>
              </w:rPr>
              <w:t>Electric Revenue (in</w:t>
            </w:r>
          </w:p>
        </w:tc>
        <w:tc>
          <w:tcPr>
            <w:tcW w:w="220" w:type="dxa"/>
            <w:vAlign w:val="bottom"/>
          </w:tcPr>
          <w:p>
            <w:pPr>
              <w:spacing w:after="0"/>
              <w:rPr>
                <w:sz w:val="21"/>
                <w:szCs w:val="21"/>
                <w:color w:val="auto"/>
              </w:rPr>
            </w:pPr>
          </w:p>
        </w:tc>
        <w:tc>
          <w:tcPr>
            <w:tcW w:w="1820" w:type="dxa"/>
            <w:vAlign w:val="bottom"/>
            <w:gridSpan w:val="3"/>
          </w:tcPr>
          <w:p>
            <w:pPr>
              <w:jc w:val="right"/>
              <w:ind w:right="319"/>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(in</w:t>
            </w: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9"/>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Six Months Ended June 30,</w:t>
            </w:r>
          </w:p>
        </w:tc>
        <w:tc>
          <w:tcPr>
            <w:tcW w:w="220" w:type="dxa"/>
            <w:vAlign w:val="bottom"/>
          </w:tcPr>
          <w:p>
            <w:pPr>
              <w:spacing w:after="0"/>
              <w:rPr>
                <w:sz w:val="20"/>
                <w:szCs w:val="20"/>
                <w:color w:val="auto"/>
              </w:rPr>
            </w:pPr>
          </w:p>
        </w:tc>
        <w:tc>
          <w:tcPr>
            <w:tcW w:w="1900" w:type="dxa"/>
            <w:vAlign w:val="bottom"/>
            <w:gridSpan w:val="4"/>
          </w:tcPr>
          <w:p>
            <w:pPr>
              <w:ind w:left="440"/>
              <w:spacing w:after="0"/>
              <w:rPr>
                <w:sz w:val="20"/>
                <w:szCs w:val="20"/>
                <w:color w:val="auto"/>
              </w:rPr>
            </w:pPr>
            <w:r>
              <w:rPr>
                <w:rFonts w:ascii="Arial" w:cs="Arial" w:eastAsia="Arial" w:hAnsi="Arial"/>
                <w:sz w:val="16"/>
                <w:szCs w:val="16"/>
                <w:color w:val="auto"/>
              </w:rPr>
              <w:t>thousands)</w:t>
            </w:r>
          </w:p>
        </w:tc>
        <w:tc>
          <w:tcPr>
            <w:tcW w:w="220" w:type="dxa"/>
            <w:vAlign w:val="bottom"/>
          </w:tcPr>
          <w:p>
            <w:pPr>
              <w:spacing w:after="0"/>
              <w:rPr>
                <w:sz w:val="20"/>
                <w:szCs w:val="20"/>
                <w:color w:val="auto"/>
              </w:rPr>
            </w:pPr>
          </w:p>
        </w:tc>
        <w:tc>
          <w:tcPr>
            <w:tcW w:w="1820" w:type="dxa"/>
            <w:vAlign w:val="bottom"/>
            <w:gridSpan w:val="3"/>
          </w:tcPr>
          <w:p>
            <w:pPr>
              <w:jc w:val="right"/>
              <w:ind w:right="619"/>
              <w:spacing w:after="0"/>
              <w:rPr>
                <w:sz w:val="20"/>
                <w:szCs w:val="20"/>
                <w:color w:val="auto"/>
              </w:rPr>
            </w:pPr>
            <w:r>
              <w:rPr>
                <w:rFonts w:ascii="Arial" w:cs="Arial" w:eastAsia="Arial" w:hAnsi="Arial"/>
                <w:sz w:val="16"/>
                <w:szCs w:val="16"/>
                <w:color w:val="auto"/>
              </w:rPr>
              <w:t>thousands)</w:t>
            </w:r>
          </w:p>
        </w:tc>
        <w:tc>
          <w:tcPr>
            <w:tcW w:w="2000" w:type="dxa"/>
            <w:vAlign w:val="bottom"/>
            <w:gridSpan w:val="2"/>
          </w:tcPr>
          <w:p>
            <w:pPr>
              <w:jc w:val="right"/>
              <w:ind w:right="3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(b)</w:t>
            </w:r>
          </w:p>
        </w:tc>
      </w:tr>
      <w:tr>
        <w:trPr>
          <w:trHeight w:val="231"/>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2017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2018</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2017</w:t>
            </w:r>
          </w:p>
        </w:tc>
        <w:tc>
          <w:tcPr>
            <w:tcW w:w="10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2017</w:t>
            </w:r>
          </w:p>
        </w:tc>
      </w:tr>
      <w:tr>
        <w:trPr>
          <w:trHeight w:val="33"/>
        </w:trPr>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South Dakota Electric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144,491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139,846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101,298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98,086</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1,666,120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1,564,710</w:t>
            </w:r>
          </w:p>
        </w:tc>
      </w:tr>
      <w:tr>
        <w:trPr>
          <w:trHeight w:val="33"/>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9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Wyoming Electric</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81,795</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82,629</w:t>
            </w: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43,646</w:t>
            </w:r>
          </w:p>
        </w:tc>
        <w:tc>
          <w:tcPr>
            <w:tcW w:w="26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45,225</w:t>
            </w:r>
          </w:p>
        </w:tc>
        <w:tc>
          <w:tcPr>
            <w:tcW w:w="10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904,858</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863,064</w:t>
            </w: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6"/>
                <w:szCs w:val="16"/>
                <w:color w:val="auto"/>
              </w:rPr>
              <w:t>Colorado Electric</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120,885</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122,002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70,821</w:t>
            </w:r>
          </w:p>
        </w:tc>
        <w:tc>
          <w:tcPr>
            <w:tcW w:w="2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70,501</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1,029,528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983,354</w:t>
            </w:r>
          </w:p>
        </w:tc>
      </w:tr>
      <w:tr>
        <w:trPr>
          <w:trHeight w:val="33"/>
        </w:trPr>
        <w:tc>
          <w:tcPr>
            <w:tcW w:w="47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Electric Revenue, Gross Margin, and Quantities Sold</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347,171</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344,477</w:t>
            </w:r>
          </w:p>
        </w:tc>
        <w:tc>
          <w:tcPr>
            <w:tcW w:w="12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215,765</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213,812</w:t>
            </w:r>
          </w:p>
        </w:tc>
        <w:tc>
          <w:tcPr>
            <w:tcW w:w="10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3,600,506</w:t>
            </w:r>
          </w:p>
        </w:tc>
        <w:tc>
          <w:tcPr>
            <w:tcW w:w="9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3,411,128</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9" w:lineRule="exact"/>
        <w:rPr>
          <w:rFonts w:ascii="Arial" w:cs="Arial" w:eastAsia="Arial" w:hAnsi="Arial"/>
          <w:sz w:val="16"/>
          <w:szCs w:val="16"/>
          <w:color w:val="auto"/>
        </w:rPr>
      </w:pPr>
    </w:p>
    <w:p>
      <w:pPr>
        <w:ind w:left="340" w:right="500" w:hanging="332"/>
        <w:spacing w:after="0" w:line="25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 MWh includes Other Uses, Losses or Generation, net, which are approximately 5%, 6%, and 7% for South Dakota Electric, Wyoming Electric, and Colorado Electric, respectively.</w:t>
      </w: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860" w:type="dxa"/>
            <w:vAlign w:val="bottom"/>
            <w:gridSpan w:val="2"/>
          </w:tcPr>
          <w:p>
            <w:pPr>
              <w:jc w:val="center"/>
              <w:ind w:right="99"/>
              <w:spacing w:after="0"/>
              <w:rPr>
                <w:sz w:val="20"/>
                <w:szCs w:val="20"/>
                <w:color w:val="auto"/>
              </w:rPr>
            </w:pPr>
            <w:r>
              <w:rPr>
                <w:rFonts w:ascii="Arial" w:cs="Arial" w:eastAsia="Arial" w:hAnsi="Arial"/>
                <w:sz w:val="16"/>
                <w:szCs w:val="16"/>
                <w:color w:val="auto"/>
                <w:w w:val="90"/>
              </w:rPr>
              <w:t>Three Months Ended</w:t>
            </w:r>
          </w:p>
        </w:tc>
        <w:tc>
          <w:tcPr>
            <w:tcW w:w="2440" w:type="dxa"/>
            <w:vAlign w:val="bottom"/>
            <w:gridSpan w:val="2"/>
          </w:tcPr>
          <w:p>
            <w:pPr>
              <w:jc w:val="center"/>
              <w:ind w:right="79"/>
              <w:spacing w:after="0"/>
              <w:rPr>
                <w:sz w:val="20"/>
                <w:szCs w:val="20"/>
                <w:color w:val="auto"/>
              </w:rPr>
            </w:pPr>
            <w:r>
              <w:rPr>
                <w:rFonts w:ascii="Arial" w:cs="Arial" w:eastAsia="Arial" w:hAnsi="Arial"/>
                <w:sz w:val="16"/>
                <w:szCs w:val="16"/>
                <w:color w:val="auto"/>
                <w:w w:val="92"/>
              </w:rPr>
              <w:t>Six Months Ended</w:t>
            </w:r>
          </w:p>
        </w:tc>
      </w:tr>
      <w:tr>
        <w:trPr>
          <w:trHeight w:val="206"/>
        </w:trPr>
        <w:tc>
          <w:tcPr>
            <w:tcW w:w="5760" w:type="dxa"/>
            <w:vAlign w:val="bottom"/>
          </w:tcPr>
          <w:p>
            <w:pPr>
              <w:spacing w:after="0"/>
              <w:rPr>
                <w:sz w:val="17"/>
                <w:szCs w:val="17"/>
                <w:color w:val="auto"/>
              </w:rPr>
            </w:pPr>
          </w:p>
        </w:tc>
        <w:tc>
          <w:tcPr>
            <w:tcW w:w="1720" w:type="dxa"/>
            <w:vAlign w:val="bottom"/>
          </w:tcPr>
          <w:p>
            <w:pPr>
              <w:jc w:val="center"/>
              <w:ind w:left="899"/>
              <w:spacing w:after="0"/>
              <w:rPr>
                <w:sz w:val="20"/>
                <w:szCs w:val="20"/>
                <w:color w:val="auto"/>
              </w:rPr>
            </w:pPr>
            <w:r>
              <w:rPr>
                <w:rFonts w:ascii="Arial" w:cs="Arial" w:eastAsia="Arial" w:hAnsi="Arial"/>
                <w:sz w:val="16"/>
                <w:szCs w:val="16"/>
                <w:color w:val="auto"/>
                <w:w w:val="87"/>
              </w:rPr>
              <w:t>June 30,</w:t>
            </w:r>
          </w:p>
        </w:tc>
        <w:tc>
          <w:tcPr>
            <w:tcW w:w="1140" w:type="dxa"/>
            <w:vAlign w:val="bottom"/>
          </w:tcPr>
          <w:p>
            <w:pPr>
              <w:spacing w:after="0"/>
              <w:rPr>
                <w:sz w:val="17"/>
                <w:szCs w:val="17"/>
                <w:color w:val="auto"/>
              </w:rPr>
            </w:pPr>
          </w:p>
        </w:tc>
        <w:tc>
          <w:tcPr>
            <w:tcW w:w="1520" w:type="dxa"/>
            <w:vAlign w:val="bottom"/>
          </w:tcPr>
          <w:p>
            <w:pPr>
              <w:jc w:val="center"/>
              <w:ind w:left="659"/>
              <w:spacing w:after="0"/>
              <w:rPr>
                <w:sz w:val="20"/>
                <w:szCs w:val="20"/>
                <w:color w:val="auto"/>
              </w:rPr>
            </w:pPr>
            <w:r>
              <w:rPr>
                <w:rFonts w:ascii="Arial" w:cs="Arial" w:eastAsia="Arial" w:hAnsi="Arial"/>
                <w:sz w:val="16"/>
                <w:szCs w:val="16"/>
                <w:color w:val="auto"/>
                <w:w w:val="87"/>
              </w:rPr>
              <w:t>June 30,</w:t>
            </w:r>
          </w:p>
        </w:tc>
        <w:tc>
          <w:tcPr>
            <w:tcW w:w="920" w:type="dxa"/>
            <w:vAlign w:val="bottom"/>
          </w:tcPr>
          <w:p>
            <w:pPr>
              <w:spacing w:after="0"/>
              <w:rPr>
                <w:sz w:val="17"/>
                <w:szCs w:val="17"/>
                <w:color w:val="auto"/>
              </w:rPr>
            </w:pPr>
          </w:p>
        </w:tc>
      </w:tr>
      <w:tr>
        <w:trPr>
          <w:trHeight w:val="257"/>
        </w:trPr>
        <w:tc>
          <w:tcPr>
            <w:tcW w:w="5760" w:type="dxa"/>
            <w:vAlign w:val="bottom"/>
          </w:tcPr>
          <w:p>
            <w:pPr>
              <w:ind w:left="40"/>
              <w:spacing w:after="0"/>
              <w:rPr>
                <w:sz w:val="20"/>
                <w:szCs w:val="20"/>
                <w:color w:val="auto"/>
              </w:rPr>
            </w:pPr>
            <w:r>
              <w:rPr>
                <w:rFonts w:ascii="Arial" w:cs="Arial" w:eastAsia="Arial" w:hAnsi="Arial"/>
                <w:sz w:val="16"/>
                <w:szCs w:val="16"/>
                <w:color w:val="auto"/>
              </w:rPr>
              <w:t>Quantities Generated and Purchased (MWh)</w:t>
            </w:r>
          </w:p>
        </w:tc>
        <w:tc>
          <w:tcPr>
            <w:tcW w:w="1720" w:type="dxa"/>
            <w:vAlign w:val="bottom"/>
          </w:tcPr>
          <w:p>
            <w:pPr>
              <w:jc w:val="right"/>
              <w:ind w:right="819"/>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2017</w:t>
            </w:r>
          </w:p>
        </w:tc>
        <w:tc>
          <w:tcPr>
            <w:tcW w:w="1520" w:type="dxa"/>
            <w:vAlign w:val="bottom"/>
          </w:tcPr>
          <w:p>
            <w:pPr>
              <w:jc w:val="right"/>
              <w:ind w:right="819"/>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419"/>
              <w:spacing w:after="0"/>
              <w:rPr>
                <w:sz w:val="20"/>
                <w:szCs w:val="20"/>
                <w:color w:val="auto"/>
              </w:rPr>
            </w:pPr>
            <w:r>
              <w:rPr>
                <w:rFonts w:ascii="Arial" w:cs="Arial" w:eastAsia="Arial" w:hAnsi="Arial"/>
                <w:sz w:val="16"/>
                <w:szCs w:val="16"/>
                <w:color w:val="auto"/>
              </w:rPr>
              <w:t>2017</w:t>
            </w:r>
          </w:p>
        </w:tc>
      </w:tr>
      <w:tr>
        <w:trPr>
          <w:trHeight w:val="33"/>
        </w:trPr>
        <w:tc>
          <w:tcPr>
            <w:tcW w:w="5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5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Coal-fired</w:t>
            </w:r>
          </w:p>
        </w:tc>
        <w:tc>
          <w:tcPr>
            <w:tcW w:w="17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568,733</w:t>
            </w:r>
          </w:p>
        </w:tc>
        <w:tc>
          <w:tcPr>
            <w:tcW w:w="114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466,265</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1,164,333</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1,038,345</w:t>
            </w:r>
          </w:p>
        </w:tc>
      </w:tr>
      <w:tr>
        <w:trPr>
          <w:trHeight w:val="224"/>
        </w:trPr>
        <w:tc>
          <w:tcPr>
            <w:tcW w:w="5760" w:type="dxa"/>
            <w:vAlign w:val="bottom"/>
          </w:tcPr>
          <w:p>
            <w:pPr>
              <w:ind w:left="40"/>
              <w:spacing w:after="0"/>
              <w:rPr>
                <w:sz w:val="20"/>
                <w:szCs w:val="20"/>
                <w:color w:val="auto"/>
              </w:rPr>
            </w:pPr>
            <w:r>
              <w:rPr>
                <w:rFonts w:ascii="Arial" w:cs="Arial" w:eastAsia="Arial" w:hAnsi="Arial"/>
                <w:sz w:val="16"/>
                <w:szCs w:val="16"/>
                <w:color w:val="auto"/>
              </w:rPr>
              <w:t>Natural Gas and Oil</w:t>
            </w:r>
          </w:p>
        </w:tc>
        <w:tc>
          <w:tcPr>
            <w:tcW w:w="1720" w:type="dxa"/>
            <w:vAlign w:val="bottom"/>
          </w:tcPr>
          <w:p>
            <w:pPr>
              <w:jc w:val="right"/>
              <w:ind w:right="419"/>
              <w:spacing w:after="0"/>
              <w:rPr>
                <w:sz w:val="20"/>
                <w:szCs w:val="20"/>
                <w:color w:val="auto"/>
              </w:rPr>
            </w:pPr>
            <w:r>
              <w:rPr>
                <w:rFonts w:ascii="Arial" w:cs="Arial" w:eastAsia="Arial" w:hAnsi="Arial"/>
                <w:sz w:val="16"/>
                <w:szCs w:val="16"/>
                <w:color w:val="auto"/>
              </w:rPr>
              <w:t>105,304</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64,071</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146,627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92,600</w:t>
            </w:r>
          </w:p>
        </w:tc>
      </w:tr>
      <w:tr>
        <w:trPr>
          <w:trHeight w:val="33"/>
        </w:trPr>
        <w:tc>
          <w:tcPr>
            <w:tcW w:w="5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Wind</w:t>
            </w:r>
          </w:p>
        </w:tc>
        <w:tc>
          <w:tcPr>
            <w:tcW w:w="17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68,501</w:t>
            </w:r>
          </w:p>
        </w:tc>
        <w:tc>
          <w:tcPr>
            <w:tcW w:w="114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58,113</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142,482</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128,656</w:t>
            </w:r>
          </w:p>
        </w:tc>
      </w:tr>
      <w:tr>
        <w:trPr>
          <w:trHeight w:val="217"/>
        </w:trPr>
        <w:tc>
          <w:tcPr>
            <w:tcW w:w="5760" w:type="dxa"/>
            <w:vAlign w:val="bottom"/>
          </w:tcPr>
          <w:p>
            <w:pPr>
              <w:ind w:left="280"/>
              <w:spacing w:after="0"/>
              <w:rPr>
                <w:sz w:val="20"/>
                <w:szCs w:val="20"/>
                <w:color w:val="auto"/>
              </w:rPr>
            </w:pPr>
            <w:r>
              <w:rPr>
                <w:rFonts w:ascii="Arial" w:cs="Arial" w:eastAsia="Arial" w:hAnsi="Arial"/>
                <w:sz w:val="16"/>
                <w:szCs w:val="16"/>
                <w:color w:val="auto"/>
              </w:rPr>
              <w:t>Total Generated</w:t>
            </w:r>
          </w:p>
        </w:tc>
        <w:tc>
          <w:tcPr>
            <w:tcW w:w="17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742,538</w:t>
            </w:r>
          </w:p>
        </w:tc>
        <w:tc>
          <w:tcPr>
            <w:tcW w:w="11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588,449</w:t>
            </w:r>
          </w:p>
        </w:tc>
        <w:tc>
          <w:tcPr>
            <w:tcW w:w="15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1,453,442</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1,259,601</w:t>
            </w:r>
          </w:p>
        </w:tc>
      </w:tr>
      <w:tr>
        <w:trPr>
          <w:trHeight w:val="33"/>
        </w:trPr>
        <w:tc>
          <w:tcPr>
            <w:tcW w:w="5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Purchased</w:t>
            </w:r>
          </w:p>
        </w:tc>
        <w:tc>
          <w:tcPr>
            <w:tcW w:w="17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1,079,929</w:t>
            </w:r>
          </w:p>
        </w:tc>
        <w:tc>
          <w:tcPr>
            <w:tcW w:w="114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1,052,068</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2,147,064</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2,151,527</w:t>
            </w:r>
          </w:p>
        </w:tc>
      </w:tr>
      <w:tr>
        <w:trPr>
          <w:trHeight w:val="244"/>
        </w:trPr>
        <w:tc>
          <w:tcPr>
            <w:tcW w:w="5760" w:type="dxa"/>
            <w:vAlign w:val="bottom"/>
          </w:tcPr>
          <w:p>
            <w:pPr>
              <w:ind w:left="280"/>
              <w:spacing w:after="0"/>
              <w:rPr>
                <w:sz w:val="20"/>
                <w:szCs w:val="20"/>
                <w:color w:val="auto"/>
              </w:rPr>
            </w:pPr>
            <w:r>
              <w:rPr>
                <w:rFonts w:ascii="Arial" w:cs="Arial" w:eastAsia="Arial" w:hAnsi="Arial"/>
                <w:sz w:val="16"/>
                <w:szCs w:val="16"/>
                <w:color w:val="auto"/>
              </w:rPr>
              <w:t>Total Generated and Purchased</w:t>
            </w:r>
          </w:p>
        </w:tc>
        <w:tc>
          <w:tcPr>
            <w:tcW w:w="17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1,822,467</w:t>
            </w:r>
          </w:p>
        </w:tc>
        <w:tc>
          <w:tcPr>
            <w:tcW w:w="11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1,640,517</w:t>
            </w:r>
          </w:p>
        </w:tc>
        <w:tc>
          <w:tcPr>
            <w:tcW w:w="15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3,600,506</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3,411,128</w:t>
            </w:r>
          </w:p>
        </w:tc>
      </w:tr>
      <w:tr>
        <w:trPr>
          <w:trHeight w:val="20"/>
        </w:trPr>
        <w:tc>
          <w:tcPr>
            <w:tcW w:w="5760" w:type="dxa"/>
            <w:vAlign w:val="bottom"/>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r>
      <w:tr>
        <w:trPr>
          <w:trHeight w:val="531"/>
        </w:trPr>
        <w:tc>
          <w:tcPr>
            <w:tcW w:w="5760" w:type="dxa"/>
            <w:vAlign w:val="bottom"/>
          </w:tcPr>
          <w:p>
            <w:pPr>
              <w:spacing w:after="0"/>
              <w:rPr>
                <w:sz w:val="24"/>
                <w:szCs w:val="24"/>
                <w:color w:val="auto"/>
              </w:rPr>
            </w:pPr>
          </w:p>
        </w:tc>
        <w:tc>
          <w:tcPr>
            <w:tcW w:w="2860" w:type="dxa"/>
            <w:vAlign w:val="bottom"/>
            <w:gridSpan w:val="2"/>
          </w:tcPr>
          <w:p>
            <w:pPr>
              <w:jc w:val="center"/>
              <w:ind w:right="99"/>
              <w:spacing w:after="0"/>
              <w:rPr>
                <w:sz w:val="20"/>
                <w:szCs w:val="20"/>
                <w:color w:val="auto"/>
              </w:rPr>
            </w:pPr>
            <w:r>
              <w:rPr>
                <w:rFonts w:ascii="Arial" w:cs="Arial" w:eastAsia="Arial" w:hAnsi="Arial"/>
                <w:sz w:val="16"/>
                <w:szCs w:val="16"/>
                <w:color w:val="auto"/>
                <w:w w:val="90"/>
              </w:rPr>
              <w:t>Three Months Ended</w:t>
            </w:r>
          </w:p>
        </w:tc>
        <w:tc>
          <w:tcPr>
            <w:tcW w:w="2440" w:type="dxa"/>
            <w:vAlign w:val="bottom"/>
            <w:gridSpan w:val="2"/>
          </w:tcPr>
          <w:p>
            <w:pPr>
              <w:jc w:val="center"/>
              <w:ind w:right="79"/>
              <w:spacing w:after="0"/>
              <w:rPr>
                <w:sz w:val="20"/>
                <w:szCs w:val="20"/>
                <w:color w:val="auto"/>
              </w:rPr>
            </w:pPr>
            <w:r>
              <w:rPr>
                <w:rFonts w:ascii="Arial" w:cs="Arial" w:eastAsia="Arial" w:hAnsi="Arial"/>
                <w:sz w:val="16"/>
                <w:szCs w:val="16"/>
                <w:color w:val="auto"/>
                <w:w w:val="92"/>
              </w:rPr>
              <w:t>Six Months Ended</w:t>
            </w:r>
          </w:p>
        </w:tc>
      </w:tr>
      <w:tr>
        <w:trPr>
          <w:trHeight w:val="206"/>
        </w:trPr>
        <w:tc>
          <w:tcPr>
            <w:tcW w:w="5760" w:type="dxa"/>
            <w:vAlign w:val="bottom"/>
          </w:tcPr>
          <w:p>
            <w:pPr>
              <w:spacing w:after="0"/>
              <w:rPr>
                <w:sz w:val="17"/>
                <w:szCs w:val="17"/>
                <w:color w:val="auto"/>
              </w:rPr>
            </w:pPr>
          </w:p>
        </w:tc>
        <w:tc>
          <w:tcPr>
            <w:tcW w:w="1720" w:type="dxa"/>
            <w:vAlign w:val="bottom"/>
          </w:tcPr>
          <w:p>
            <w:pPr>
              <w:jc w:val="center"/>
              <w:ind w:left="899"/>
              <w:spacing w:after="0"/>
              <w:rPr>
                <w:sz w:val="20"/>
                <w:szCs w:val="20"/>
                <w:color w:val="auto"/>
              </w:rPr>
            </w:pPr>
            <w:r>
              <w:rPr>
                <w:rFonts w:ascii="Arial" w:cs="Arial" w:eastAsia="Arial" w:hAnsi="Arial"/>
                <w:sz w:val="16"/>
                <w:szCs w:val="16"/>
                <w:color w:val="auto"/>
                <w:w w:val="87"/>
              </w:rPr>
              <w:t>June 30,</w:t>
            </w:r>
          </w:p>
        </w:tc>
        <w:tc>
          <w:tcPr>
            <w:tcW w:w="1140" w:type="dxa"/>
            <w:vAlign w:val="bottom"/>
          </w:tcPr>
          <w:p>
            <w:pPr>
              <w:spacing w:after="0"/>
              <w:rPr>
                <w:sz w:val="17"/>
                <w:szCs w:val="17"/>
                <w:color w:val="auto"/>
              </w:rPr>
            </w:pPr>
          </w:p>
        </w:tc>
        <w:tc>
          <w:tcPr>
            <w:tcW w:w="1520" w:type="dxa"/>
            <w:vAlign w:val="bottom"/>
          </w:tcPr>
          <w:p>
            <w:pPr>
              <w:jc w:val="center"/>
              <w:ind w:left="659"/>
              <w:spacing w:after="0"/>
              <w:rPr>
                <w:sz w:val="20"/>
                <w:szCs w:val="20"/>
                <w:color w:val="auto"/>
              </w:rPr>
            </w:pPr>
            <w:r>
              <w:rPr>
                <w:rFonts w:ascii="Arial" w:cs="Arial" w:eastAsia="Arial" w:hAnsi="Arial"/>
                <w:sz w:val="16"/>
                <w:szCs w:val="16"/>
                <w:color w:val="auto"/>
                <w:w w:val="87"/>
              </w:rPr>
              <w:t>June 30,</w:t>
            </w:r>
          </w:p>
        </w:tc>
        <w:tc>
          <w:tcPr>
            <w:tcW w:w="920" w:type="dxa"/>
            <w:vAlign w:val="bottom"/>
          </w:tcPr>
          <w:p>
            <w:pPr>
              <w:spacing w:after="0"/>
              <w:rPr>
                <w:sz w:val="17"/>
                <w:szCs w:val="17"/>
                <w:color w:val="auto"/>
              </w:rPr>
            </w:pPr>
          </w:p>
        </w:tc>
      </w:tr>
      <w:tr>
        <w:trPr>
          <w:trHeight w:val="257"/>
        </w:trPr>
        <w:tc>
          <w:tcPr>
            <w:tcW w:w="5760" w:type="dxa"/>
            <w:vAlign w:val="bottom"/>
          </w:tcPr>
          <w:p>
            <w:pPr>
              <w:ind w:left="40"/>
              <w:spacing w:after="0"/>
              <w:rPr>
                <w:sz w:val="20"/>
                <w:szCs w:val="20"/>
                <w:color w:val="auto"/>
              </w:rPr>
            </w:pPr>
            <w:r>
              <w:rPr>
                <w:rFonts w:ascii="Arial" w:cs="Arial" w:eastAsia="Arial" w:hAnsi="Arial"/>
                <w:sz w:val="16"/>
                <w:szCs w:val="16"/>
                <w:color w:val="auto"/>
              </w:rPr>
              <w:t>Quantities Generated and Purchased (MWh)</w:t>
            </w:r>
          </w:p>
        </w:tc>
        <w:tc>
          <w:tcPr>
            <w:tcW w:w="1720" w:type="dxa"/>
            <w:vAlign w:val="bottom"/>
          </w:tcPr>
          <w:p>
            <w:pPr>
              <w:jc w:val="right"/>
              <w:ind w:right="819"/>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619"/>
              <w:spacing w:after="0"/>
              <w:rPr>
                <w:sz w:val="20"/>
                <w:szCs w:val="20"/>
                <w:color w:val="auto"/>
              </w:rPr>
            </w:pPr>
            <w:r>
              <w:rPr>
                <w:rFonts w:ascii="Arial" w:cs="Arial" w:eastAsia="Arial" w:hAnsi="Arial"/>
                <w:sz w:val="16"/>
                <w:szCs w:val="16"/>
                <w:color w:val="auto"/>
              </w:rPr>
              <w:t>2017</w:t>
            </w:r>
          </w:p>
        </w:tc>
        <w:tc>
          <w:tcPr>
            <w:tcW w:w="1520" w:type="dxa"/>
            <w:vAlign w:val="bottom"/>
          </w:tcPr>
          <w:p>
            <w:pPr>
              <w:jc w:val="right"/>
              <w:ind w:right="819"/>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419"/>
              <w:spacing w:after="0"/>
              <w:rPr>
                <w:sz w:val="20"/>
                <w:szCs w:val="20"/>
                <w:color w:val="auto"/>
              </w:rPr>
            </w:pPr>
            <w:r>
              <w:rPr>
                <w:rFonts w:ascii="Arial" w:cs="Arial" w:eastAsia="Arial" w:hAnsi="Arial"/>
                <w:sz w:val="16"/>
                <w:szCs w:val="16"/>
                <w:color w:val="auto"/>
              </w:rPr>
              <w:t>2017</w:t>
            </w:r>
          </w:p>
        </w:tc>
      </w:tr>
      <w:tr>
        <w:trPr>
          <w:trHeight w:val="33"/>
        </w:trPr>
        <w:tc>
          <w:tcPr>
            <w:tcW w:w="57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ind w:left="40"/>
              <w:spacing w:after="0"/>
              <w:rPr>
                <w:sz w:val="20"/>
                <w:szCs w:val="20"/>
                <w:color w:val="auto"/>
              </w:rPr>
            </w:pPr>
            <w:r>
              <w:rPr>
                <w:rFonts w:ascii="Arial" w:cs="Arial" w:eastAsia="Arial" w:hAnsi="Arial"/>
                <w:sz w:val="16"/>
                <w:szCs w:val="16"/>
                <w:color w:val="auto"/>
              </w:rPr>
              <w:t>Generated:</w:t>
            </w:r>
          </w:p>
        </w:tc>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South Dakota Electric</w:t>
            </w:r>
          </w:p>
        </w:tc>
        <w:tc>
          <w:tcPr>
            <w:tcW w:w="17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411,839</w:t>
            </w:r>
          </w:p>
        </w:tc>
        <w:tc>
          <w:tcPr>
            <w:tcW w:w="114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300,564</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824,033</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698,899</w:t>
            </w:r>
          </w:p>
        </w:tc>
      </w:tr>
      <w:tr>
        <w:trPr>
          <w:trHeight w:val="224"/>
        </w:trPr>
        <w:tc>
          <w:tcPr>
            <w:tcW w:w="5760" w:type="dxa"/>
            <w:vAlign w:val="bottom"/>
          </w:tcPr>
          <w:p>
            <w:pPr>
              <w:ind w:left="280"/>
              <w:spacing w:after="0"/>
              <w:rPr>
                <w:sz w:val="20"/>
                <w:szCs w:val="20"/>
                <w:color w:val="auto"/>
              </w:rPr>
            </w:pPr>
            <w:r>
              <w:rPr>
                <w:rFonts w:ascii="Arial" w:cs="Arial" w:eastAsia="Arial" w:hAnsi="Arial"/>
                <w:sz w:val="16"/>
                <w:szCs w:val="16"/>
                <w:color w:val="auto"/>
              </w:rPr>
              <w:t>Wyoming Electric</w:t>
            </w:r>
          </w:p>
        </w:tc>
        <w:tc>
          <w:tcPr>
            <w:tcW w:w="1720" w:type="dxa"/>
            <w:vAlign w:val="bottom"/>
          </w:tcPr>
          <w:p>
            <w:pPr>
              <w:jc w:val="right"/>
              <w:ind w:right="419"/>
              <w:spacing w:after="0"/>
              <w:rPr>
                <w:sz w:val="20"/>
                <w:szCs w:val="20"/>
                <w:color w:val="auto"/>
              </w:rPr>
            </w:pPr>
            <w:r>
              <w:rPr>
                <w:rFonts w:ascii="Arial" w:cs="Arial" w:eastAsia="Arial" w:hAnsi="Arial"/>
                <w:sz w:val="16"/>
                <w:szCs w:val="16"/>
                <w:color w:val="auto"/>
              </w:rPr>
              <w:t>197,772</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184,017</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404,434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374,389</w:t>
            </w:r>
          </w:p>
        </w:tc>
      </w:tr>
      <w:tr>
        <w:trPr>
          <w:trHeight w:val="33"/>
        </w:trPr>
        <w:tc>
          <w:tcPr>
            <w:tcW w:w="5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Colorado Electric</w:t>
            </w:r>
          </w:p>
        </w:tc>
        <w:tc>
          <w:tcPr>
            <w:tcW w:w="17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132,927</w:t>
            </w:r>
          </w:p>
        </w:tc>
        <w:tc>
          <w:tcPr>
            <w:tcW w:w="114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103,868</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224,975</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186,313</w:t>
            </w:r>
          </w:p>
        </w:tc>
      </w:tr>
      <w:tr>
        <w:trPr>
          <w:trHeight w:val="217"/>
        </w:trPr>
        <w:tc>
          <w:tcPr>
            <w:tcW w:w="5760" w:type="dxa"/>
            <w:vAlign w:val="bottom"/>
          </w:tcPr>
          <w:p>
            <w:pPr>
              <w:ind w:left="500"/>
              <w:spacing w:after="0"/>
              <w:rPr>
                <w:sz w:val="20"/>
                <w:szCs w:val="20"/>
                <w:color w:val="auto"/>
              </w:rPr>
            </w:pPr>
            <w:r>
              <w:rPr>
                <w:rFonts w:ascii="Arial" w:cs="Arial" w:eastAsia="Arial" w:hAnsi="Arial"/>
                <w:sz w:val="16"/>
                <w:szCs w:val="16"/>
                <w:color w:val="auto"/>
              </w:rPr>
              <w:t>Total Generated</w:t>
            </w:r>
          </w:p>
        </w:tc>
        <w:tc>
          <w:tcPr>
            <w:tcW w:w="17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742,538</w:t>
            </w:r>
          </w:p>
        </w:tc>
        <w:tc>
          <w:tcPr>
            <w:tcW w:w="11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588,449</w:t>
            </w:r>
          </w:p>
        </w:tc>
        <w:tc>
          <w:tcPr>
            <w:tcW w:w="15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1,453,442</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1,259,601</w:t>
            </w:r>
          </w:p>
        </w:tc>
      </w:tr>
      <w:tr>
        <w:trPr>
          <w:trHeight w:val="33"/>
        </w:trPr>
        <w:tc>
          <w:tcPr>
            <w:tcW w:w="5760" w:type="dxa"/>
            <w:vAlign w:val="bottom"/>
            <w:tcBorders>
              <w:bottom w:val="single" w:sz="8" w:color="CEFFE7"/>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Purchased:</w:t>
            </w:r>
          </w:p>
        </w:tc>
        <w:tc>
          <w:tcPr>
            <w:tcW w:w="17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r>
      <w:tr>
        <w:trPr>
          <w:trHeight w:val="224"/>
        </w:trPr>
        <w:tc>
          <w:tcPr>
            <w:tcW w:w="5760" w:type="dxa"/>
            <w:vAlign w:val="bottom"/>
          </w:tcPr>
          <w:p>
            <w:pPr>
              <w:ind w:left="280"/>
              <w:spacing w:after="0"/>
              <w:rPr>
                <w:sz w:val="20"/>
                <w:szCs w:val="20"/>
                <w:color w:val="auto"/>
              </w:rPr>
            </w:pPr>
            <w:r>
              <w:rPr>
                <w:rFonts w:ascii="Arial" w:cs="Arial" w:eastAsia="Arial" w:hAnsi="Arial"/>
                <w:sz w:val="16"/>
                <w:szCs w:val="16"/>
                <w:color w:val="auto"/>
              </w:rPr>
              <w:t>South Dakota Electric</w:t>
            </w:r>
          </w:p>
        </w:tc>
        <w:tc>
          <w:tcPr>
            <w:tcW w:w="1720" w:type="dxa"/>
            <w:vAlign w:val="bottom"/>
          </w:tcPr>
          <w:p>
            <w:pPr>
              <w:jc w:val="right"/>
              <w:ind w:right="419"/>
              <w:spacing w:after="0"/>
              <w:rPr>
                <w:sz w:val="20"/>
                <w:szCs w:val="20"/>
                <w:color w:val="auto"/>
              </w:rPr>
            </w:pPr>
            <w:r>
              <w:rPr>
                <w:rFonts w:ascii="Arial" w:cs="Arial" w:eastAsia="Arial" w:hAnsi="Arial"/>
                <w:sz w:val="16"/>
                <w:szCs w:val="16"/>
                <w:color w:val="auto"/>
              </w:rPr>
              <w:t>426,104</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418,314</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842,087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865,811</w:t>
            </w:r>
          </w:p>
        </w:tc>
      </w:tr>
      <w:tr>
        <w:trPr>
          <w:trHeight w:val="33"/>
        </w:trPr>
        <w:tc>
          <w:tcPr>
            <w:tcW w:w="5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Wyoming Electric</w:t>
            </w:r>
          </w:p>
        </w:tc>
        <w:tc>
          <w:tcPr>
            <w:tcW w:w="17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244,224</w:t>
            </w:r>
          </w:p>
        </w:tc>
        <w:tc>
          <w:tcPr>
            <w:tcW w:w="114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239,140</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500,424</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488,675</w:t>
            </w:r>
          </w:p>
        </w:tc>
      </w:tr>
      <w:tr>
        <w:trPr>
          <w:trHeight w:val="224"/>
        </w:trPr>
        <w:tc>
          <w:tcPr>
            <w:tcW w:w="5760" w:type="dxa"/>
            <w:vAlign w:val="bottom"/>
          </w:tcPr>
          <w:p>
            <w:pPr>
              <w:ind w:left="280"/>
              <w:spacing w:after="0"/>
              <w:rPr>
                <w:sz w:val="20"/>
                <w:szCs w:val="20"/>
                <w:color w:val="auto"/>
              </w:rPr>
            </w:pPr>
            <w:r>
              <w:rPr>
                <w:rFonts w:ascii="Arial" w:cs="Arial" w:eastAsia="Arial" w:hAnsi="Arial"/>
                <w:sz w:val="16"/>
                <w:szCs w:val="16"/>
                <w:color w:val="auto"/>
              </w:rPr>
              <w:t>Colorado Electric</w:t>
            </w:r>
          </w:p>
        </w:tc>
        <w:tc>
          <w:tcPr>
            <w:tcW w:w="1720" w:type="dxa"/>
            <w:vAlign w:val="bottom"/>
          </w:tcPr>
          <w:p>
            <w:pPr>
              <w:jc w:val="right"/>
              <w:ind w:right="419"/>
              <w:spacing w:after="0"/>
              <w:rPr>
                <w:sz w:val="20"/>
                <w:szCs w:val="20"/>
                <w:color w:val="auto"/>
              </w:rPr>
            </w:pPr>
            <w:r>
              <w:rPr>
                <w:rFonts w:ascii="Arial" w:cs="Arial" w:eastAsia="Arial" w:hAnsi="Arial"/>
                <w:sz w:val="16"/>
                <w:szCs w:val="16"/>
                <w:color w:val="auto"/>
              </w:rPr>
              <w:t>409,601</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394,614</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804,553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797,041</w:t>
            </w:r>
          </w:p>
        </w:tc>
      </w:tr>
      <w:tr>
        <w:trPr>
          <w:trHeight w:val="33"/>
        </w:trPr>
        <w:tc>
          <w:tcPr>
            <w:tcW w:w="5760" w:type="dxa"/>
            <w:vAlign w:val="bottom"/>
            <w:tcBorders>
              <w:bottom w:val="single" w:sz="8" w:color="CEFFE7"/>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76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6"/>
                <w:szCs w:val="16"/>
                <w:color w:val="auto"/>
              </w:rPr>
              <w:t>Total Purchased</w:t>
            </w:r>
          </w:p>
        </w:tc>
        <w:tc>
          <w:tcPr>
            <w:tcW w:w="17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1,079,929</w:t>
            </w:r>
          </w:p>
        </w:tc>
        <w:tc>
          <w:tcPr>
            <w:tcW w:w="114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1,052,068</w:t>
            </w:r>
          </w:p>
        </w:tc>
        <w:tc>
          <w:tcPr>
            <w:tcW w:w="15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2,147,064</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2,151,527</w:t>
            </w:r>
          </w:p>
        </w:tc>
      </w:tr>
      <w:tr>
        <w:trPr>
          <w:trHeight w:val="223"/>
        </w:trPr>
        <w:tc>
          <w:tcPr>
            <w:tcW w:w="576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50"/>
        </w:trPr>
        <w:tc>
          <w:tcPr>
            <w:tcW w:w="57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Generated and Purchased</w:t>
            </w:r>
          </w:p>
        </w:tc>
        <w:tc>
          <w:tcPr>
            <w:tcW w:w="172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1,822,467</w:t>
            </w:r>
          </w:p>
        </w:tc>
        <w:tc>
          <w:tcPr>
            <w:tcW w:w="114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1,640,517</w:t>
            </w:r>
          </w:p>
        </w:tc>
        <w:tc>
          <w:tcPr>
            <w:tcW w:w="1520" w:type="dxa"/>
            <w:vAlign w:val="bottom"/>
            <w:tcBorders>
              <w:bottom w:val="single" w:sz="8" w:color="auto"/>
            </w:tcBorders>
            <w:shd w:val="clear" w:color="auto" w:fill="CEFFE7"/>
          </w:tcPr>
          <w:p>
            <w:pPr>
              <w:jc w:val="right"/>
              <w:ind w:right="419"/>
              <w:spacing w:after="0"/>
              <w:rPr>
                <w:sz w:val="20"/>
                <w:szCs w:val="20"/>
                <w:color w:val="auto"/>
              </w:rPr>
            </w:pPr>
            <w:r>
              <w:rPr>
                <w:rFonts w:ascii="Arial" w:cs="Arial" w:eastAsia="Arial" w:hAnsi="Arial"/>
                <w:sz w:val="16"/>
                <w:szCs w:val="16"/>
                <w:color w:val="auto"/>
              </w:rPr>
              <w:t>3,600,506</w:t>
            </w:r>
          </w:p>
        </w:tc>
        <w:tc>
          <w:tcPr>
            <w:tcW w:w="9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3,411,128</w:t>
            </w:r>
          </w:p>
        </w:tc>
      </w:tr>
      <w:tr>
        <w:trPr>
          <w:trHeight w:val="20"/>
        </w:trPr>
        <w:tc>
          <w:tcPr>
            <w:tcW w:w="57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712"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712" w:right="2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20" w:type="dxa"/>
            <w:vAlign w:val="bottom"/>
          </w:tcPr>
          <w:p>
            <w:pPr>
              <w:jc w:val="center"/>
              <w:ind w:right="199"/>
              <w:spacing w:after="0"/>
              <w:rPr>
                <w:sz w:val="20"/>
                <w:szCs w:val="20"/>
                <w:color w:val="auto"/>
              </w:rPr>
            </w:pPr>
            <w:r>
              <w:rPr>
                <w:rFonts w:ascii="Arial" w:cs="Arial" w:eastAsia="Arial" w:hAnsi="Arial"/>
                <w:sz w:val="16"/>
                <w:szCs w:val="16"/>
                <w:color w:val="auto"/>
                <w:w w:val="90"/>
              </w:rPr>
              <w:t>Three Months Ended June 30,</w:t>
            </w:r>
          </w:p>
        </w:tc>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6"/>
                <w:szCs w:val="16"/>
                <w:color w:val="auto"/>
              </w:rPr>
              <w:t>Degree Days</w:t>
            </w:r>
          </w:p>
        </w:tc>
        <w:tc>
          <w:tcPr>
            <w:tcW w:w="480" w:type="dxa"/>
            <w:vAlign w:val="bottom"/>
          </w:tcPr>
          <w:p>
            <w:pPr>
              <w:spacing w:after="0"/>
              <w:rPr>
                <w:sz w:val="23"/>
                <w:szCs w:val="23"/>
                <w:color w:val="auto"/>
              </w:rPr>
            </w:pPr>
          </w:p>
        </w:tc>
        <w:tc>
          <w:tcPr>
            <w:tcW w:w="1940" w:type="dxa"/>
            <w:vAlign w:val="bottom"/>
          </w:tcPr>
          <w:p>
            <w:pPr>
              <w:jc w:val="center"/>
              <w:ind w:left="99"/>
              <w:spacing w:after="0"/>
              <w:rPr>
                <w:sz w:val="20"/>
                <w:szCs w:val="20"/>
                <w:color w:val="auto"/>
              </w:rPr>
            </w:pPr>
            <w:r>
              <w:rPr>
                <w:rFonts w:ascii="Arial" w:cs="Arial" w:eastAsia="Arial" w:hAnsi="Arial"/>
                <w:sz w:val="16"/>
                <w:szCs w:val="16"/>
                <w:color w:val="auto"/>
                <w:w w:val="89"/>
              </w:rPr>
              <w:t>2018</w:t>
            </w:r>
          </w:p>
        </w:tc>
        <w:tc>
          <w:tcPr>
            <w:tcW w:w="2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80" w:type="dxa"/>
            <w:vAlign w:val="bottom"/>
          </w:tcPr>
          <w:p>
            <w:pPr>
              <w:jc w:val="right"/>
              <w:ind w:right="1539"/>
              <w:spacing w:after="0"/>
              <w:rPr>
                <w:sz w:val="20"/>
                <w:szCs w:val="20"/>
                <w:color w:val="auto"/>
              </w:rPr>
            </w:pPr>
            <w:r>
              <w:rPr>
                <w:rFonts w:ascii="Arial" w:cs="Arial" w:eastAsia="Arial" w:hAnsi="Arial"/>
                <w:sz w:val="16"/>
                <w:szCs w:val="16"/>
                <w:color w:val="auto"/>
                <w:w w:val="95"/>
              </w:rPr>
              <w:t>2017</w:t>
            </w:r>
          </w:p>
        </w:tc>
      </w:tr>
      <w:tr>
        <w:trPr>
          <w:trHeight w:val="33"/>
        </w:trPr>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jc w:val="center"/>
              <w:ind w:left="99"/>
              <w:spacing w:after="0"/>
              <w:rPr>
                <w:sz w:val="20"/>
                <w:szCs w:val="20"/>
                <w:color w:val="auto"/>
              </w:rPr>
            </w:pPr>
            <w:r>
              <w:rPr>
                <w:rFonts w:ascii="Arial" w:cs="Arial" w:eastAsia="Arial" w:hAnsi="Arial"/>
                <w:sz w:val="16"/>
                <w:szCs w:val="16"/>
                <w:color w:val="auto"/>
                <w:w w:val="92"/>
              </w:rPr>
              <w:t>Variance from</w:t>
            </w:r>
          </w:p>
        </w:tc>
        <w:tc>
          <w:tcPr>
            <w:tcW w:w="2220" w:type="dxa"/>
            <w:vAlign w:val="bottom"/>
          </w:tcPr>
          <w:p>
            <w:pPr>
              <w:jc w:val="center"/>
              <w:ind w:right="239"/>
              <w:spacing w:after="0"/>
              <w:rPr>
                <w:sz w:val="20"/>
                <w:szCs w:val="20"/>
                <w:color w:val="auto"/>
              </w:rPr>
            </w:pPr>
            <w:r>
              <w:rPr>
                <w:rFonts w:ascii="Arial" w:cs="Arial" w:eastAsia="Arial" w:hAnsi="Arial"/>
                <w:sz w:val="16"/>
                <w:szCs w:val="16"/>
                <w:color w:val="auto"/>
                <w:w w:val="93"/>
              </w:rPr>
              <w:t>Actual Variance to Prior</w:t>
            </w:r>
          </w:p>
        </w:tc>
        <w:tc>
          <w:tcPr>
            <w:tcW w:w="1280" w:type="dxa"/>
            <w:vAlign w:val="bottom"/>
          </w:tcPr>
          <w:p>
            <w:pPr>
              <w:spacing w:after="0"/>
              <w:rPr>
                <w:sz w:val="18"/>
                <w:szCs w:val="18"/>
                <w:color w:val="auto"/>
              </w:rPr>
            </w:pPr>
          </w:p>
        </w:tc>
        <w:tc>
          <w:tcPr>
            <w:tcW w:w="1980" w:type="dxa"/>
            <w:vAlign w:val="bottom"/>
          </w:tcPr>
          <w:p>
            <w:pPr>
              <w:jc w:val="center"/>
              <w:ind w:left="99"/>
              <w:spacing w:after="0"/>
              <w:rPr>
                <w:sz w:val="20"/>
                <w:szCs w:val="20"/>
                <w:color w:val="auto"/>
              </w:rPr>
            </w:pPr>
            <w:r>
              <w:rPr>
                <w:rFonts w:ascii="Arial" w:cs="Arial" w:eastAsia="Arial" w:hAnsi="Arial"/>
                <w:sz w:val="16"/>
                <w:szCs w:val="16"/>
                <w:color w:val="auto"/>
                <w:w w:val="92"/>
              </w:rPr>
              <w:t>Variance from</w:t>
            </w:r>
          </w:p>
        </w:tc>
      </w:tr>
      <w:tr>
        <w:trPr>
          <w:trHeight w:val="20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ind w:left="600"/>
              <w:spacing w:after="0"/>
              <w:rPr>
                <w:sz w:val="20"/>
                <w:szCs w:val="20"/>
                <w:color w:val="auto"/>
              </w:rPr>
            </w:pPr>
            <w:r>
              <w:rPr>
                <w:rFonts w:ascii="Arial" w:cs="Arial" w:eastAsia="Arial" w:hAnsi="Arial"/>
                <w:sz w:val="16"/>
                <w:szCs w:val="16"/>
                <w:color w:val="auto"/>
              </w:rPr>
              <w:t>Actual</w:t>
            </w:r>
          </w:p>
        </w:tc>
        <w:tc>
          <w:tcPr>
            <w:tcW w:w="480" w:type="dxa"/>
            <w:vAlign w:val="bottom"/>
          </w:tcPr>
          <w:p>
            <w:pPr>
              <w:spacing w:after="0"/>
              <w:rPr>
                <w:sz w:val="17"/>
                <w:szCs w:val="17"/>
                <w:color w:val="auto"/>
              </w:rPr>
            </w:pPr>
          </w:p>
        </w:tc>
        <w:tc>
          <w:tcPr>
            <w:tcW w:w="1940" w:type="dxa"/>
            <w:vAlign w:val="bottom"/>
          </w:tcPr>
          <w:p>
            <w:pPr>
              <w:jc w:val="center"/>
              <w:ind w:left="79"/>
              <w:spacing w:after="0"/>
              <w:rPr>
                <w:sz w:val="20"/>
                <w:szCs w:val="20"/>
                <w:color w:val="auto"/>
              </w:rPr>
            </w:pPr>
            <w:r>
              <w:rPr>
                <w:rFonts w:ascii="Arial" w:cs="Arial" w:eastAsia="Arial" w:hAnsi="Arial"/>
                <w:sz w:val="16"/>
                <w:szCs w:val="16"/>
                <w:color w:val="auto"/>
                <w:w w:val="90"/>
              </w:rPr>
              <w:t>30-Year Average</w:t>
            </w:r>
          </w:p>
        </w:tc>
        <w:tc>
          <w:tcPr>
            <w:tcW w:w="2220" w:type="dxa"/>
            <w:vAlign w:val="bottom"/>
          </w:tcPr>
          <w:p>
            <w:pPr>
              <w:jc w:val="center"/>
              <w:ind w:right="239"/>
              <w:spacing w:after="0"/>
              <w:rPr>
                <w:sz w:val="20"/>
                <w:szCs w:val="20"/>
                <w:color w:val="auto"/>
              </w:rPr>
            </w:pPr>
            <w:r>
              <w:rPr>
                <w:rFonts w:ascii="Arial" w:cs="Arial" w:eastAsia="Arial" w:hAnsi="Arial"/>
                <w:sz w:val="16"/>
                <w:szCs w:val="16"/>
                <w:color w:val="auto"/>
                <w:w w:val="88"/>
              </w:rPr>
              <w:t>Year</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Actual</w:t>
            </w:r>
          </w:p>
        </w:tc>
        <w:tc>
          <w:tcPr>
            <w:tcW w:w="1980" w:type="dxa"/>
            <w:vAlign w:val="bottom"/>
          </w:tcPr>
          <w:p>
            <w:pPr>
              <w:jc w:val="center"/>
              <w:ind w:left="79"/>
              <w:spacing w:after="0"/>
              <w:rPr>
                <w:sz w:val="20"/>
                <w:szCs w:val="20"/>
                <w:color w:val="auto"/>
              </w:rPr>
            </w:pPr>
            <w:r>
              <w:rPr>
                <w:rFonts w:ascii="Arial" w:cs="Arial" w:eastAsia="Arial" w:hAnsi="Arial"/>
                <w:sz w:val="16"/>
                <w:szCs w:val="16"/>
                <w:color w:val="auto"/>
                <w:w w:val="90"/>
              </w:rPr>
              <w:t>30-Year Average</w:t>
            </w:r>
          </w:p>
        </w:tc>
      </w:tr>
      <w:tr>
        <w:trPr>
          <w:trHeight w:val="33"/>
        </w:trPr>
        <w:tc>
          <w:tcPr>
            <w:tcW w:w="20" w:type="dxa"/>
            <w:vAlign w:val="bottom"/>
            <w:tcBorders>
              <w:bottom w:val="single" w:sz="8" w:color="CEFFE7"/>
            </w:tcBorders>
          </w:tcPr>
          <w:p>
            <w:pPr>
              <w:spacing w:after="0"/>
              <w:rPr>
                <w:sz w:val="2"/>
                <w:szCs w:val="2"/>
                <w:color w:val="auto"/>
              </w:rPr>
            </w:pPr>
          </w:p>
        </w:tc>
        <w:tc>
          <w:tcPr>
            <w:tcW w:w="234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EFFE7"/>
            </w:tcBorders>
            <w:shd w:val="clear" w:color="auto" w:fill="CEFFE7"/>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Heating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1,037</w:t>
            </w:r>
          </w:p>
        </w:tc>
        <w:tc>
          <w:tcPr>
            <w:tcW w:w="1940" w:type="dxa"/>
            <w:vAlign w:val="bottom"/>
          </w:tcPr>
          <w:p>
            <w:pPr>
              <w:jc w:val="right"/>
              <w:spacing w:after="0"/>
              <w:rPr>
                <w:sz w:val="20"/>
                <w:szCs w:val="20"/>
                <w:color w:val="auto"/>
              </w:rPr>
            </w:pPr>
            <w:r>
              <w:rPr>
                <w:rFonts w:ascii="Arial" w:cs="Arial" w:eastAsia="Arial" w:hAnsi="Arial"/>
                <w:sz w:val="16"/>
                <w:szCs w:val="16"/>
                <w:color w:val="auto"/>
              </w:rPr>
              <w:t>1 %</w:t>
            </w:r>
          </w:p>
        </w:tc>
        <w:tc>
          <w:tcPr>
            <w:tcW w:w="2220" w:type="dxa"/>
            <w:vAlign w:val="bottom"/>
          </w:tcPr>
          <w:p>
            <w:pPr>
              <w:jc w:val="center"/>
              <w:ind w:right="239"/>
              <w:spacing w:after="0"/>
              <w:rPr>
                <w:sz w:val="20"/>
                <w:szCs w:val="20"/>
                <w:color w:val="auto"/>
              </w:rPr>
            </w:pPr>
            <w:r>
              <w:rPr>
                <w:rFonts w:ascii="Arial" w:cs="Arial" w:eastAsia="Arial" w:hAnsi="Arial"/>
                <w:sz w:val="16"/>
                <w:szCs w:val="16"/>
                <w:color w:val="auto"/>
                <w:w w:val="93"/>
              </w:rPr>
              <w:t>14%</w:t>
            </w:r>
          </w:p>
        </w:tc>
        <w:tc>
          <w:tcPr>
            <w:tcW w:w="1280" w:type="dxa"/>
            <w:vAlign w:val="bottom"/>
          </w:tcPr>
          <w:p>
            <w:pPr>
              <w:jc w:val="right"/>
              <w:spacing w:after="0"/>
              <w:rPr>
                <w:sz w:val="20"/>
                <w:szCs w:val="20"/>
                <w:color w:val="auto"/>
              </w:rPr>
            </w:pPr>
            <w:r>
              <w:rPr>
                <w:rFonts w:ascii="Arial" w:cs="Arial" w:eastAsia="Arial" w:hAnsi="Arial"/>
                <w:sz w:val="16"/>
                <w:szCs w:val="16"/>
                <w:color w:val="auto"/>
              </w:rPr>
              <w:t>910</w:t>
            </w:r>
          </w:p>
        </w:tc>
        <w:tc>
          <w:tcPr>
            <w:tcW w:w="19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9"/>
              </w:rPr>
              <w:t>1,053</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w:t>
            </w:r>
          </w:p>
        </w:tc>
        <w:tc>
          <w:tcPr>
            <w:tcW w:w="2220" w:type="dxa"/>
            <w:vAlign w:val="bottom"/>
            <w:tcBorders>
              <w:bottom w:val="single" w:sz="8" w:color="CEFFE7"/>
            </w:tcBorders>
            <w:shd w:val="clear" w:color="auto" w:fill="CEFFE7"/>
          </w:tcPr>
          <w:p>
            <w:pPr>
              <w:jc w:val="center"/>
              <w:ind w:right="239"/>
              <w:spacing w:after="0"/>
              <w:rPr>
                <w:sz w:val="20"/>
                <w:szCs w:val="20"/>
                <w:color w:val="auto"/>
              </w:rPr>
            </w:pPr>
            <w:r>
              <w:rPr>
                <w:rFonts w:ascii="Arial" w:cs="Arial" w:eastAsia="Arial" w:hAnsi="Arial"/>
                <w:sz w:val="16"/>
                <w:szCs w:val="16"/>
                <w:color w:val="auto"/>
                <w:w w:val="98"/>
              </w:rPr>
              <w:t>(10)%</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1,164</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Colorado Electric</w:t>
            </w:r>
          </w:p>
        </w:tc>
        <w:tc>
          <w:tcPr>
            <w:tcW w:w="480" w:type="dxa"/>
            <w:vAlign w:val="bottom"/>
          </w:tcPr>
          <w:p>
            <w:pPr>
              <w:jc w:val="right"/>
              <w:spacing w:after="0"/>
              <w:rPr>
                <w:sz w:val="20"/>
                <w:szCs w:val="20"/>
                <w:color w:val="auto"/>
              </w:rPr>
            </w:pPr>
            <w:r>
              <w:rPr>
                <w:rFonts w:ascii="Arial" w:cs="Arial" w:eastAsia="Arial" w:hAnsi="Arial"/>
                <w:sz w:val="16"/>
                <w:szCs w:val="16"/>
                <w:color w:val="auto"/>
              </w:rPr>
              <w:t>460</w:t>
            </w:r>
          </w:p>
        </w:tc>
        <w:tc>
          <w:tcPr>
            <w:tcW w:w="1940" w:type="dxa"/>
            <w:vAlign w:val="bottom"/>
          </w:tcPr>
          <w:p>
            <w:pPr>
              <w:jc w:val="right"/>
              <w:spacing w:after="0"/>
              <w:rPr>
                <w:sz w:val="20"/>
                <w:szCs w:val="20"/>
                <w:color w:val="auto"/>
              </w:rPr>
            </w:pPr>
            <w:r>
              <w:rPr>
                <w:rFonts w:ascii="Arial" w:cs="Arial" w:eastAsia="Arial" w:hAnsi="Arial"/>
                <w:sz w:val="16"/>
                <w:szCs w:val="16"/>
                <w:color w:val="auto"/>
              </w:rPr>
              <w:t>(27)%</w:t>
            </w:r>
          </w:p>
        </w:tc>
        <w:tc>
          <w:tcPr>
            <w:tcW w:w="2220" w:type="dxa"/>
            <w:vAlign w:val="bottom"/>
          </w:tcPr>
          <w:p>
            <w:pPr>
              <w:jc w:val="center"/>
              <w:ind w:right="239"/>
              <w:spacing w:after="0"/>
              <w:rPr>
                <w:sz w:val="20"/>
                <w:szCs w:val="20"/>
                <w:color w:val="auto"/>
              </w:rPr>
            </w:pPr>
            <w:r>
              <w:rPr>
                <w:rFonts w:ascii="Arial" w:cs="Arial" w:eastAsia="Arial" w:hAnsi="Arial"/>
                <w:sz w:val="16"/>
                <w:szCs w:val="16"/>
                <w:color w:val="auto"/>
                <w:w w:val="98"/>
              </w:rPr>
              <w:t>(19)%</w:t>
            </w:r>
          </w:p>
        </w:tc>
        <w:tc>
          <w:tcPr>
            <w:tcW w:w="1280" w:type="dxa"/>
            <w:vAlign w:val="bottom"/>
          </w:tcPr>
          <w:p>
            <w:pPr>
              <w:jc w:val="right"/>
              <w:spacing w:after="0"/>
              <w:rPr>
                <w:sz w:val="20"/>
                <w:szCs w:val="20"/>
                <w:color w:val="auto"/>
              </w:rPr>
            </w:pPr>
            <w:r>
              <w:rPr>
                <w:rFonts w:ascii="Arial" w:cs="Arial" w:eastAsia="Arial" w:hAnsi="Arial"/>
                <w:sz w:val="16"/>
                <w:szCs w:val="16"/>
                <w:color w:val="auto"/>
              </w:rPr>
              <w:t>567</w:t>
            </w:r>
          </w:p>
        </w:tc>
        <w:tc>
          <w:tcPr>
            <w:tcW w:w="1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20" w:type="dxa"/>
            <w:vAlign w:val="bottom"/>
            <w:shd w:val="clear" w:color="auto" w:fill="CEFFE7"/>
          </w:tcPr>
          <w:p>
            <w:pPr>
              <w:spacing w:after="0"/>
              <w:rPr>
                <w:sz w:val="23"/>
                <w:szCs w:val="23"/>
                <w:color w:val="auto"/>
              </w:rPr>
            </w:pPr>
          </w:p>
        </w:tc>
        <w:tc>
          <w:tcPr>
            <w:tcW w:w="3480" w:type="dxa"/>
            <w:vAlign w:val="bottom"/>
            <w:gridSpan w:val="3"/>
            <w:shd w:val="clear" w:color="auto" w:fill="CEFFE7"/>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777</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w:t>
            </w:r>
          </w:p>
        </w:tc>
        <w:tc>
          <w:tcPr>
            <w:tcW w:w="222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rPr>
              <w:t>(3)%</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804</w:t>
            </w:r>
          </w:p>
        </w:tc>
        <w:tc>
          <w:tcPr>
            <w:tcW w:w="1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r>
      <w:tr>
        <w:trPr>
          <w:trHeight w:val="32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Cooling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6"/>
                <w:szCs w:val="16"/>
                <w:color w:val="auto"/>
              </w:rPr>
              <w:t>132</w:t>
            </w:r>
          </w:p>
        </w:tc>
        <w:tc>
          <w:tcPr>
            <w:tcW w:w="1940" w:type="dxa"/>
            <w:vAlign w:val="bottom"/>
          </w:tcPr>
          <w:p>
            <w:pPr>
              <w:jc w:val="right"/>
              <w:spacing w:after="0"/>
              <w:rPr>
                <w:sz w:val="20"/>
                <w:szCs w:val="20"/>
                <w:color w:val="auto"/>
              </w:rPr>
            </w:pPr>
            <w:r>
              <w:rPr>
                <w:rFonts w:ascii="Arial" w:cs="Arial" w:eastAsia="Arial" w:hAnsi="Arial"/>
                <w:sz w:val="16"/>
                <w:szCs w:val="16"/>
                <w:color w:val="auto"/>
              </w:rPr>
              <w:t>33 %</w:t>
            </w:r>
          </w:p>
        </w:tc>
        <w:tc>
          <w:tcPr>
            <w:tcW w:w="2220" w:type="dxa"/>
            <w:vAlign w:val="bottom"/>
          </w:tcPr>
          <w:p>
            <w:pPr>
              <w:jc w:val="center"/>
              <w:ind w:right="239"/>
              <w:spacing w:after="0"/>
              <w:rPr>
                <w:sz w:val="20"/>
                <w:szCs w:val="20"/>
                <w:color w:val="auto"/>
              </w:rPr>
            </w:pPr>
            <w:r>
              <w:rPr>
                <w:rFonts w:ascii="Arial" w:cs="Arial" w:eastAsia="Arial" w:hAnsi="Arial"/>
                <w:sz w:val="16"/>
                <w:szCs w:val="16"/>
                <w:color w:val="auto"/>
                <w:w w:val="93"/>
              </w:rPr>
              <w:t>16%</w:t>
            </w:r>
          </w:p>
        </w:tc>
        <w:tc>
          <w:tcPr>
            <w:tcW w:w="1280" w:type="dxa"/>
            <w:vAlign w:val="bottom"/>
          </w:tcPr>
          <w:p>
            <w:pPr>
              <w:jc w:val="right"/>
              <w:spacing w:after="0"/>
              <w:rPr>
                <w:sz w:val="20"/>
                <w:szCs w:val="20"/>
                <w:color w:val="auto"/>
              </w:rPr>
            </w:pPr>
            <w:r>
              <w:rPr>
                <w:rFonts w:ascii="Arial" w:cs="Arial" w:eastAsia="Arial" w:hAnsi="Arial"/>
                <w:sz w:val="16"/>
                <w:szCs w:val="16"/>
                <w:color w:val="auto"/>
              </w:rPr>
              <w:t>114</w:t>
            </w:r>
          </w:p>
        </w:tc>
        <w:tc>
          <w:tcPr>
            <w:tcW w:w="19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104 %</w:t>
            </w:r>
          </w:p>
        </w:tc>
        <w:tc>
          <w:tcPr>
            <w:tcW w:w="2220" w:type="dxa"/>
            <w:vAlign w:val="bottom"/>
            <w:tcBorders>
              <w:bottom w:val="single" w:sz="8" w:color="CEFFE7"/>
            </w:tcBorders>
            <w:shd w:val="clear" w:color="auto" w:fill="CEFFE7"/>
          </w:tcPr>
          <w:p>
            <w:pPr>
              <w:jc w:val="center"/>
              <w:ind w:right="239"/>
              <w:spacing w:after="0"/>
              <w:rPr>
                <w:sz w:val="20"/>
                <w:szCs w:val="20"/>
                <w:color w:val="auto"/>
              </w:rPr>
            </w:pPr>
            <w:r>
              <w:rPr>
                <w:rFonts w:ascii="Arial" w:cs="Arial" w:eastAsia="Arial" w:hAnsi="Arial"/>
                <w:sz w:val="16"/>
                <w:szCs w:val="16"/>
                <w:color w:val="auto"/>
                <w:w w:val="92"/>
              </w:rPr>
              <w:t>149%</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Colorado Electric</w:t>
            </w:r>
          </w:p>
        </w:tc>
        <w:tc>
          <w:tcPr>
            <w:tcW w:w="480" w:type="dxa"/>
            <w:vAlign w:val="bottom"/>
          </w:tcPr>
          <w:p>
            <w:pPr>
              <w:jc w:val="right"/>
              <w:spacing w:after="0"/>
              <w:rPr>
                <w:sz w:val="20"/>
                <w:szCs w:val="20"/>
                <w:color w:val="auto"/>
              </w:rPr>
            </w:pPr>
            <w:r>
              <w:rPr>
                <w:rFonts w:ascii="Arial" w:cs="Arial" w:eastAsia="Arial" w:hAnsi="Arial"/>
                <w:sz w:val="16"/>
                <w:szCs w:val="16"/>
                <w:color w:val="auto"/>
              </w:rPr>
              <w:t>494</w:t>
            </w:r>
          </w:p>
        </w:tc>
        <w:tc>
          <w:tcPr>
            <w:tcW w:w="1940" w:type="dxa"/>
            <w:vAlign w:val="bottom"/>
          </w:tcPr>
          <w:p>
            <w:pPr>
              <w:jc w:val="right"/>
              <w:spacing w:after="0"/>
              <w:rPr>
                <w:sz w:val="20"/>
                <w:szCs w:val="20"/>
                <w:color w:val="auto"/>
              </w:rPr>
            </w:pPr>
            <w:r>
              <w:rPr>
                <w:rFonts w:ascii="Arial" w:cs="Arial" w:eastAsia="Arial" w:hAnsi="Arial"/>
                <w:sz w:val="16"/>
                <w:szCs w:val="16"/>
                <w:color w:val="auto"/>
              </w:rPr>
              <w:t>136 %</w:t>
            </w:r>
          </w:p>
        </w:tc>
        <w:tc>
          <w:tcPr>
            <w:tcW w:w="2220" w:type="dxa"/>
            <w:vAlign w:val="bottom"/>
          </w:tcPr>
          <w:p>
            <w:pPr>
              <w:jc w:val="center"/>
              <w:ind w:right="239"/>
              <w:spacing w:after="0"/>
              <w:rPr>
                <w:sz w:val="20"/>
                <w:szCs w:val="20"/>
                <w:color w:val="auto"/>
              </w:rPr>
            </w:pPr>
            <w:r>
              <w:rPr>
                <w:rFonts w:ascii="Arial" w:cs="Arial" w:eastAsia="Arial" w:hAnsi="Arial"/>
                <w:sz w:val="16"/>
                <w:szCs w:val="16"/>
                <w:color w:val="auto"/>
                <w:w w:val="92"/>
              </w:rPr>
              <w:t>103%</w:t>
            </w:r>
          </w:p>
        </w:tc>
        <w:tc>
          <w:tcPr>
            <w:tcW w:w="1280" w:type="dxa"/>
            <w:vAlign w:val="bottom"/>
          </w:tcPr>
          <w:p>
            <w:pPr>
              <w:jc w:val="right"/>
              <w:spacing w:after="0"/>
              <w:rPr>
                <w:sz w:val="20"/>
                <w:szCs w:val="20"/>
                <w:color w:val="auto"/>
              </w:rPr>
            </w:pPr>
            <w:r>
              <w:rPr>
                <w:rFonts w:ascii="Arial" w:cs="Arial" w:eastAsia="Arial" w:hAnsi="Arial"/>
                <w:sz w:val="16"/>
                <w:szCs w:val="16"/>
                <w:color w:val="auto"/>
              </w:rPr>
              <w:t>243</w:t>
            </w:r>
          </w:p>
        </w:tc>
        <w:tc>
          <w:tcPr>
            <w:tcW w:w="198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20" w:type="dxa"/>
            <w:vAlign w:val="bottom"/>
            <w:shd w:val="clear" w:color="auto" w:fill="CEFFE7"/>
          </w:tcPr>
          <w:p>
            <w:pPr>
              <w:spacing w:after="0"/>
              <w:rPr>
                <w:sz w:val="23"/>
                <w:szCs w:val="23"/>
                <w:color w:val="auto"/>
              </w:rPr>
            </w:pPr>
          </w:p>
        </w:tc>
        <w:tc>
          <w:tcPr>
            <w:tcW w:w="3480" w:type="dxa"/>
            <w:vAlign w:val="bottom"/>
            <w:gridSpan w:val="3"/>
            <w:shd w:val="clear" w:color="auto" w:fill="CEFFE7"/>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292</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109 %</w:t>
            </w:r>
          </w:p>
        </w:tc>
        <w:tc>
          <w:tcPr>
            <w:tcW w:w="2220" w:type="dxa"/>
            <w:vAlign w:val="bottom"/>
            <w:shd w:val="clear" w:color="auto" w:fill="CEFFE7"/>
          </w:tcPr>
          <w:p>
            <w:pPr>
              <w:jc w:val="center"/>
              <w:ind w:right="239"/>
              <w:spacing w:after="0"/>
              <w:rPr>
                <w:sz w:val="20"/>
                <w:szCs w:val="20"/>
                <w:color w:val="auto"/>
              </w:rPr>
            </w:pPr>
            <w:r>
              <w:rPr>
                <w:rFonts w:ascii="Arial" w:cs="Arial" w:eastAsia="Arial" w:hAnsi="Arial"/>
                <w:sz w:val="16"/>
                <w:szCs w:val="16"/>
                <w:color w:val="auto"/>
                <w:w w:val="93"/>
              </w:rPr>
              <w:t>85%</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w:t>
            </w:r>
          </w:p>
        </w:tc>
        <w:tc>
          <w:tcPr>
            <w:tcW w:w="1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14 %</w:t>
            </w:r>
          </w:p>
        </w:tc>
      </w:tr>
      <w:tr>
        <w:trPr>
          <w:trHeight w:val="179"/>
        </w:trPr>
        <w:tc>
          <w:tcPr>
            <w:tcW w:w="2360" w:type="dxa"/>
            <w:vAlign w:val="bottom"/>
            <w:gridSpan w:val="2"/>
          </w:tcPr>
          <w:p>
            <w:pPr>
              <w:spacing w:after="0" w:line="179" w:lineRule="exact"/>
              <w:rPr>
                <w:sz w:val="20"/>
                <w:szCs w:val="20"/>
                <w:color w:val="auto"/>
              </w:rPr>
            </w:pPr>
            <w:r>
              <w:rPr>
                <w:rFonts w:ascii="Arial" w:cs="Arial" w:eastAsia="Arial" w:hAnsi="Arial"/>
                <w:sz w:val="16"/>
                <w:szCs w:val="16"/>
                <w:color w:val="auto"/>
              </w:rPr>
              <w:t>__________</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06"/>
        </w:trPr>
        <w:tc>
          <w:tcPr>
            <w:tcW w:w="8140" w:type="dxa"/>
            <w:vAlign w:val="bottom"/>
            <w:gridSpan w:val="7"/>
          </w:tcPr>
          <w:p>
            <w:pPr>
              <w:spacing w:after="0"/>
              <w:rPr>
                <w:sz w:val="20"/>
                <w:szCs w:val="20"/>
                <w:color w:val="auto"/>
              </w:rPr>
            </w:pPr>
            <w:r>
              <w:rPr>
                <w:rFonts w:ascii="Arial" w:cs="Arial" w:eastAsia="Arial" w:hAnsi="Arial"/>
                <w:sz w:val="16"/>
                <w:szCs w:val="16"/>
                <w:color w:val="auto"/>
              </w:rPr>
              <w:t>(a)  Combined actuals are calculated based on the weighted average number of total customers by state.</w:t>
            </w:r>
          </w:p>
        </w:tc>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86"/>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jc w:val="center"/>
              <w:ind w:right="179"/>
              <w:spacing w:after="0"/>
              <w:rPr>
                <w:sz w:val="20"/>
                <w:szCs w:val="20"/>
                <w:color w:val="auto"/>
              </w:rPr>
            </w:pPr>
            <w:r>
              <w:rPr>
                <w:rFonts w:ascii="Arial" w:cs="Arial" w:eastAsia="Arial" w:hAnsi="Arial"/>
                <w:sz w:val="16"/>
                <w:szCs w:val="16"/>
                <w:color w:val="auto"/>
                <w:w w:val="91"/>
              </w:rPr>
              <w:t>Six Months Ended June 30,</w:t>
            </w: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6"/>
                <w:szCs w:val="16"/>
                <w:color w:val="auto"/>
              </w:rPr>
              <w:t>Degree Days</w:t>
            </w:r>
          </w:p>
        </w:tc>
        <w:tc>
          <w:tcPr>
            <w:tcW w:w="480" w:type="dxa"/>
            <w:vAlign w:val="bottom"/>
          </w:tcPr>
          <w:p>
            <w:pPr>
              <w:spacing w:after="0"/>
              <w:rPr>
                <w:sz w:val="23"/>
                <w:szCs w:val="23"/>
                <w:color w:val="auto"/>
              </w:rPr>
            </w:pPr>
          </w:p>
        </w:tc>
        <w:tc>
          <w:tcPr>
            <w:tcW w:w="1940" w:type="dxa"/>
            <w:vAlign w:val="bottom"/>
          </w:tcPr>
          <w:p>
            <w:pPr>
              <w:jc w:val="right"/>
              <w:ind w:right="1519"/>
              <w:spacing w:after="0"/>
              <w:rPr>
                <w:sz w:val="20"/>
                <w:szCs w:val="20"/>
                <w:color w:val="auto"/>
              </w:rPr>
            </w:pPr>
            <w:r>
              <w:rPr>
                <w:rFonts w:ascii="Arial" w:cs="Arial" w:eastAsia="Arial" w:hAnsi="Arial"/>
                <w:sz w:val="16"/>
                <w:szCs w:val="16"/>
                <w:color w:val="auto"/>
                <w:w w:val="89"/>
              </w:rPr>
              <w:t>2018</w:t>
            </w:r>
          </w:p>
        </w:tc>
        <w:tc>
          <w:tcPr>
            <w:tcW w:w="2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80" w:type="dxa"/>
            <w:vAlign w:val="bottom"/>
          </w:tcPr>
          <w:p>
            <w:pPr>
              <w:jc w:val="right"/>
              <w:ind w:right="1519"/>
              <w:spacing w:after="0"/>
              <w:rPr>
                <w:sz w:val="20"/>
                <w:szCs w:val="20"/>
                <w:color w:val="auto"/>
              </w:rPr>
            </w:pPr>
            <w:r>
              <w:rPr>
                <w:rFonts w:ascii="Arial" w:cs="Arial" w:eastAsia="Arial" w:hAnsi="Arial"/>
                <w:sz w:val="16"/>
                <w:szCs w:val="16"/>
                <w:color w:val="auto"/>
              </w:rPr>
              <w:t>2017</w:t>
            </w:r>
          </w:p>
        </w:tc>
      </w:tr>
      <w:tr>
        <w:trPr>
          <w:trHeight w:val="33"/>
        </w:trPr>
        <w:tc>
          <w:tcPr>
            <w:tcW w:w="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jc w:val="center"/>
              <w:ind w:left="99"/>
              <w:spacing w:after="0"/>
              <w:rPr>
                <w:sz w:val="20"/>
                <w:szCs w:val="20"/>
                <w:color w:val="auto"/>
              </w:rPr>
            </w:pPr>
            <w:r>
              <w:rPr>
                <w:rFonts w:ascii="Arial" w:cs="Arial" w:eastAsia="Arial" w:hAnsi="Arial"/>
                <w:sz w:val="16"/>
                <w:szCs w:val="16"/>
                <w:color w:val="auto"/>
                <w:w w:val="92"/>
              </w:rPr>
              <w:t>Variance from</w:t>
            </w:r>
          </w:p>
        </w:tc>
        <w:tc>
          <w:tcPr>
            <w:tcW w:w="2220" w:type="dxa"/>
            <w:vAlign w:val="bottom"/>
          </w:tcPr>
          <w:p>
            <w:pPr>
              <w:jc w:val="center"/>
              <w:ind w:right="219"/>
              <w:spacing w:after="0"/>
              <w:rPr>
                <w:sz w:val="20"/>
                <w:szCs w:val="20"/>
                <w:color w:val="auto"/>
              </w:rPr>
            </w:pPr>
            <w:r>
              <w:rPr>
                <w:rFonts w:ascii="Arial" w:cs="Arial" w:eastAsia="Arial" w:hAnsi="Arial"/>
                <w:sz w:val="16"/>
                <w:szCs w:val="16"/>
                <w:color w:val="auto"/>
                <w:w w:val="92"/>
              </w:rPr>
              <w:t>Actual Variance to Prior</w:t>
            </w:r>
          </w:p>
        </w:tc>
        <w:tc>
          <w:tcPr>
            <w:tcW w:w="1280" w:type="dxa"/>
            <w:vAlign w:val="bottom"/>
          </w:tcPr>
          <w:p>
            <w:pPr>
              <w:spacing w:after="0"/>
              <w:rPr>
                <w:sz w:val="18"/>
                <w:szCs w:val="18"/>
                <w:color w:val="auto"/>
              </w:rPr>
            </w:pPr>
          </w:p>
        </w:tc>
        <w:tc>
          <w:tcPr>
            <w:tcW w:w="1980" w:type="dxa"/>
            <w:vAlign w:val="bottom"/>
          </w:tcPr>
          <w:p>
            <w:pPr>
              <w:jc w:val="center"/>
              <w:ind w:left="99"/>
              <w:spacing w:after="0"/>
              <w:rPr>
                <w:sz w:val="20"/>
                <w:szCs w:val="20"/>
                <w:color w:val="auto"/>
              </w:rPr>
            </w:pPr>
            <w:r>
              <w:rPr>
                <w:rFonts w:ascii="Arial" w:cs="Arial" w:eastAsia="Arial" w:hAnsi="Arial"/>
                <w:sz w:val="16"/>
                <w:szCs w:val="16"/>
                <w:color w:val="auto"/>
                <w:w w:val="92"/>
              </w:rPr>
              <w:t>Variance from</w:t>
            </w:r>
          </w:p>
        </w:tc>
      </w:tr>
      <w:tr>
        <w:trPr>
          <w:trHeight w:val="20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ind w:left="620"/>
              <w:spacing w:after="0"/>
              <w:rPr>
                <w:sz w:val="20"/>
                <w:szCs w:val="20"/>
                <w:color w:val="auto"/>
              </w:rPr>
            </w:pPr>
            <w:r>
              <w:rPr>
                <w:rFonts w:ascii="Arial" w:cs="Arial" w:eastAsia="Arial" w:hAnsi="Arial"/>
                <w:sz w:val="16"/>
                <w:szCs w:val="16"/>
                <w:color w:val="auto"/>
              </w:rPr>
              <w:t>Actual</w:t>
            </w:r>
          </w:p>
        </w:tc>
        <w:tc>
          <w:tcPr>
            <w:tcW w:w="480" w:type="dxa"/>
            <w:vAlign w:val="bottom"/>
          </w:tcPr>
          <w:p>
            <w:pPr>
              <w:spacing w:after="0"/>
              <w:rPr>
                <w:sz w:val="17"/>
                <w:szCs w:val="17"/>
                <w:color w:val="auto"/>
              </w:rPr>
            </w:pPr>
          </w:p>
        </w:tc>
        <w:tc>
          <w:tcPr>
            <w:tcW w:w="1940" w:type="dxa"/>
            <w:vAlign w:val="bottom"/>
          </w:tcPr>
          <w:p>
            <w:pPr>
              <w:jc w:val="center"/>
              <w:ind w:left="119"/>
              <w:spacing w:after="0"/>
              <w:rPr>
                <w:sz w:val="20"/>
                <w:szCs w:val="20"/>
                <w:color w:val="auto"/>
              </w:rPr>
            </w:pPr>
            <w:r>
              <w:rPr>
                <w:rFonts w:ascii="Arial" w:cs="Arial" w:eastAsia="Arial" w:hAnsi="Arial"/>
                <w:sz w:val="16"/>
                <w:szCs w:val="16"/>
                <w:color w:val="auto"/>
                <w:w w:val="90"/>
              </w:rPr>
              <w:t>30-Year Average</w:t>
            </w:r>
          </w:p>
        </w:tc>
        <w:tc>
          <w:tcPr>
            <w:tcW w:w="2220" w:type="dxa"/>
            <w:vAlign w:val="bottom"/>
          </w:tcPr>
          <w:p>
            <w:pPr>
              <w:jc w:val="center"/>
              <w:ind w:right="199"/>
              <w:spacing w:after="0"/>
              <w:rPr>
                <w:sz w:val="20"/>
                <w:szCs w:val="20"/>
                <w:color w:val="auto"/>
              </w:rPr>
            </w:pPr>
            <w:r>
              <w:rPr>
                <w:rFonts w:ascii="Arial" w:cs="Arial" w:eastAsia="Arial" w:hAnsi="Arial"/>
                <w:sz w:val="16"/>
                <w:szCs w:val="16"/>
                <w:color w:val="auto"/>
                <w:w w:val="88"/>
              </w:rPr>
              <w:t>Year</w:t>
            </w:r>
          </w:p>
        </w:tc>
        <w:tc>
          <w:tcPr>
            <w:tcW w:w="1280" w:type="dxa"/>
            <w:vAlign w:val="bottom"/>
          </w:tcPr>
          <w:p>
            <w:pPr>
              <w:jc w:val="right"/>
              <w:ind w:right="459"/>
              <w:spacing w:after="0"/>
              <w:rPr>
                <w:sz w:val="20"/>
                <w:szCs w:val="20"/>
                <w:color w:val="auto"/>
              </w:rPr>
            </w:pPr>
            <w:r>
              <w:rPr>
                <w:rFonts w:ascii="Arial" w:cs="Arial" w:eastAsia="Arial" w:hAnsi="Arial"/>
                <w:sz w:val="16"/>
                <w:szCs w:val="16"/>
                <w:color w:val="auto"/>
              </w:rPr>
              <w:t>Actual</w:t>
            </w:r>
          </w:p>
        </w:tc>
        <w:tc>
          <w:tcPr>
            <w:tcW w:w="1980" w:type="dxa"/>
            <w:vAlign w:val="bottom"/>
          </w:tcPr>
          <w:p>
            <w:pPr>
              <w:jc w:val="center"/>
              <w:ind w:left="119"/>
              <w:spacing w:after="0"/>
              <w:rPr>
                <w:sz w:val="20"/>
                <w:szCs w:val="20"/>
                <w:color w:val="auto"/>
              </w:rPr>
            </w:pPr>
            <w:r>
              <w:rPr>
                <w:rFonts w:ascii="Arial" w:cs="Arial" w:eastAsia="Arial" w:hAnsi="Arial"/>
                <w:sz w:val="16"/>
                <w:szCs w:val="16"/>
                <w:color w:val="auto"/>
                <w:w w:val="90"/>
              </w:rPr>
              <w:t>30-Year Average</w:t>
            </w:r>
          </w:p>
        </w:tc>
      </w:tr>
      <w:tr>
        <w:trPr>
          <w:trHeight w:val="33"/>
        </w:trPr>
        <w:tc>
          <w:tcPr>
            <w:tcW w:w="20" w:type="dxa"/>
            <w:vAlign w:val="bottom"/>
          </w:tcPr>
          <w:p>
            <w:pPr>
              <w:spacing w:after="0"/>
              <w:rPr>
                <w:sz w:val="2"/>
                <w:szCs w:val="2"/>
                <w:color w:val="auto"/>
              </w:rPr>
            </w:pPr>
          </w:p>
        </w:tc>
        <w:tc>
          <w:tcPr>
            <w:tcW w:w="2360" w:type="dxa"/>
            <w:vAlign w:val="bottom"/>
            <w:tcBorders>
              <w:bottom w:val="single" w:sz="8" w:color="CEFFE7"/>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Heating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6"/>
                <w:szCs w:val="16"/>
                <w:color w:val="auto"/>
              </w:rPr>
              <w:t>4,736</w:t>
            </w:r>
          </w:p>
        </w:tc>
        <w:tc>
          <w:tcPr>
            <w:tcW w:w="1940" w:type="dxa"/>
            <w:vAlign w:val="bottom"/>
          </w:tcPr>
          <w:p>
            <w:pPr>
              <w:jc w:val="right"/>
              <w:spacing w:after="0"/>
              <w:rPr>
                <w:sz w:val="20"/>
                <w:szCs w:val="20"/>
                <w:color w:val="auto"/>
              </w:rPr>
            </w:pPr>
            <w:r>
              <w:rPr>
                <w:rFonts w:ascii="Arial" w:cs="Arial" w:eastAsia="Arial" w:hAnsi="Arial"/>
                <w:sz w:val="16"/>
                <w:szCs w:val="16"/>
                <w:color w:val="auto"/>
              </w:rPr>
              <w:t>12 %</w:t>
            </w:r>
          </w:p>
        </w:tc>
        <w:tc>
          <w:tcPr>
            <w:tcW w:w="2220" w:type="dxa"/>
            <w:vAlign w:val="bottom"/>
          </w:tcPr>
          <w:p>
            <w:pPr>
              <w:jc w:val="center"/>
              <w:ind w:right="199"/>
              <w:spacing w:after="0"/>
              <w:rPr>
                <w:sz w:val="20"/>
                <w:szCs w:val="20"/>
                <w:color w:val="auto"/>
              </w:rPr>
            </w:pPr>
            <w:r>
              <w:rPr>
                <w:rFonts w:ascii="Arial" w:cs="Arial" w:eastAsia="Arial" w:hAnsi="Arial"/>
                <w:sz w:val="16"/>
                <w:szCs w:val="16"/>
                <w:color w:val="auto"/>
                <w:w w:val="93"/>
              </w:rPr>
              <w:t>17%</w:t>
            </w:r>
          </w:p>
        </w:tc>
        <w:tc>
          <w:tcPr>
            <w:tcW w:w="1280" w:type="dxa"/>
            <w:vAlign w:val="bottom"/>
          </w:tcPr>
          <w:p>
            <w:pPr>
              <w:jc w:val="right"/>
              <w:spacing w:after="0"/>
              <w:rPr>
                <w:sz w:val="20"/>
                <w:szCs w:val="20"/>
                <w:color w:val="auto"/>
              </w:rPr>
            </w:pPr>
            <w:r>
              <w:rPr>
                <w:rFonts w:ascii="Arial" w:cs="Arial" w:eastAsia="Arial" w:hAnsi="Arial"/>
                <w:sz w:val="16"/>
                <w:szCs w:val="16"/>
                <w:color w:val="auto"/>
              </w:rPr>
              <w:t>4,040</w:t>
            </w:r>
          </w:p>
        </w:tc>
        <w:tc>
          <w:tcPr>
            <w:tcW w:w="1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4,037</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220" w:type="dxa"/>
            <w:vAlign w:val="bottom"/>
            <w:tcBorders>
              <w:bottom w:val="single" w:sz="8" w:color="CEFFE7"/>
            </w:tcBorders>
            <w:shd w:val="clear" w:color="auto" w:fill="CEFFE7"/>
          </w:tcPr>
          <w:p>
            <w:pPr>
              <w:jc w:val="center"/>
              <w:ind w:right="199"/>
              <w:spacing w:after="0"/>
              <w:rPr>
                <w:sz w:val="20"/>
                <w:szCs w:val="20"/>
                <w:color w:val="auto"/>
              </w:rPr>
            </w:pPr>
            <w:r>
              <w:rPr>
                <w:rFonts w:ascii="Arial" w:cs="Arial" w:eastAsia="Arial" w:hAnsi="Arial"/>
                <w:sz w:val="16"/>
                <w:szCs w:val="16"/>
                <w:color w:val="auto"/>
                <w:w w:val="94"/>
              </w:rPr>
              <w:t>4%</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3,894</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Colorado Electric</w:t>
            </w:r>
          </w:p>
        </w:tc>
        <w:tc>
          <w:tcPr>
            <w:tcW w:w="480" w:type="dxa"/>
            <w:vAlign w:val="bottom"/>
          </w:tcPr>
          <w:p>
            <w:pPr>
              <w:jc w:val="right"/>
              <w:spacing w:after="0"/>
              <w:rPr>
                <w:sz w:val="20"/>
                <w:szCs w:val="20"/>
                <w:color w:val="auto"/>
              </w:rPr>
            </w:pPr>
            <w:r>
              <w:rPr>
                <w:rFonts w:ascii="Arial" w:cs="Arial" w:eastAsia="Arial" w:hAnsi="Arial"/>
                <w:sz w:val="16"/>
                <w:szCs w:val="16"/>
                <w:color w:val="auto"/>
              </w:rPr>
              <w:t>2,866</w:t>
            </w:r>
          </w:p>
        </w:tc>
        <w:tc>
          <w:tcPr>
            <w:tcW w:w="1940" w:type="dxa"/>
            <w:vAlign w:val="bottom"/>
          </w:tcPr>
          <w:p>
            <w:pPr>
              <w:jc w:val="right"/>
              <w:spacing w:after="0"/>
              <w:rPr>
                <w:sz w:val="20"/>
                <w:szCs w:val="20"/>
                <w:color w:val="auto"/>
              </w:rPr>
            </w:pPr>
            <w:r>
              <w:rPr>
                <w:rFonts w:ascii="Arial" w:cs="Arial" w:eastAsia="Arial" w:hAnsi="Arial"/>
                <w:sz w:val="16"/>
                <w:szCs w:val="16"/>
                <w:color w:val="auto"/>
              </w:rPr>
              <w:t>12 %</w:t>
            </w:r>
          </w:p>
        </w:tc>
        <w:tc>
          <w:tcPr>
            <w:tcW w:w="2220" w:type="dxa"/>
            <w:vAlign w:val="bottom"/>
          </w:tcPr>
          <w:p>
            <w:pPr>
              <w:jc w:val="center"/>
              <w:ind w:right="199"/>
              <w:spacing w:after="0"/>
              <w:rPr>
                <w:sz w:val="20"/>
                <w:szCs w:val="20"/>
                <w:color w:val="auto"/>
              </w:rPr>
            </w:pPr>
            <w:r>
              <w:rPr>
                <w:rFonts w:ascii="Arial" w:cs="Arial" w:eastAsia="Arial" w:hAnsi="Arial"/>
                <w:sz w:val="16"/>
                <w:szCs w:val="16"/>
                <w:color w:val="auto"/>
                <w:w w:val="94"/>
              </w:rPr>
              <w:t>7%</w:t>
            </w:r>
          </w:p>
        </w:tc>
        <w:tc>
          <w:tcPr>
            <w:tcW w:w="1280" w:type="dxa"/>
            <w:vAlign w:val="bottom"/>
          </w:tcPr>
          <w:p>
            <w:pPr>
              <w:jc w:val="right"/>
              <w:spacing w:after="0"/>
              <w:rPr>
                <w:sz w:val="20"/>
                <w:szCs w:val="20"/>
                <w:color w:val="auto"/>
              </w:rPr>
            </w:pPr>
            <w:r>
              <w:rPr>
                <w:rFonts w:ascii="Arial" w:cs="Arial" w:eastAsia="Arial" w:hAnsi="Arial"/>
                <w:sz w:val="16"/>
                <w:szCs w:val="16"/>
                <w:color w:val="auto"/>
              </w:rPr>
              <w:t>2,686</w:t>
            </w:r>
          </w:p>
        </w:tc>
        <w:tc>
          <w:tcPr>
            <w:tcW w:w="19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80" w:type="dxa"/>
            <w:vAlign w:val="bottom"/>
            <w:gridSpan w:val="3"/>
            <w:shd w:val="clear" w:color="auto" w:fill="CEFFE7"/>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3,741</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7 %</w:t>
            </w:r>
          </w:p>
        </w:tc>
        <w:tc>
          <w:tcPr>
            <w:tcW w:w="2220" w:type="dxa"/>
            <w:vAlign w:val="bottom"/>
            <w:shd w:val="clear" w:color="auto" w:fill="CEFFE7"/>
          </w:tcPr>
          <w:p>
            <w:pPr>
              <w:jc w:val="center"/>
              <w:ind w:right="199"/>
              <w:spacing w:after="0"/>
              <w:rPr>
                <w:sz w:val="20"/>
                <w:szCs w:val="20"/>
                <w:color w:val="auto"/>
              </w:rPr>
            </w:pPr>
            <w:r>
              <w:rPr>
                <w:rFonts w:ascii="Arial" w:cs="Arial" w:eastAsia="Arial" w:hAnsi="Arial"/>
                <w:sz w:val="16"/>
                <w:szCs w:val="16"/>
                <w:color w:val="auto"/>
                <w:w w:val="93"/>
              </w:rPr>
              <w:t>10%</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3,391</w:t>
            </w:r>
          </w:p>
        </w:tc>
        <w:tc>
          <w:tcPr>
            <w:tcW w:w="1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w:t>
            </w:r>
          </w:p>
        </w:tc>
      </w:tr>
      <w:tr>
        <w:trPr>
          <w:trHeight w:val="324"/>
        </w:trPr>
        <w:tc>
          <w:tcPr>
            <w:tcW w:w="2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Cooling Degree Days:</w:t>
            </w:r>
          </w:p>
        </w:tc>
        <w:tc>
          <w:tcPr>
            <w:tcW w:w="48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222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198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South Dakota Electric</w:t>
            </w:r>
          </w:p>
        </w:tc>
        <w:tc>
          <w:tcPr>
            <w:tcW w:w="480" w:type="dxa"/>
            <w:vAlign w:val="bottom"/>
          </w:tcPr>
          <w:p>
            <w:pPr>
              <w:jc w:val="right"/>
              <w:spacing w:after="0"/>
              <w:rPr>
                <w:sz w:val="20"/>
                <w:szCs w:val="20"/>
                <w:color w:val="auto"/>
              </w:rPr>
            </w:pPr>
            <w:r>
              <w:rPr>
                <w:rFonts w:ascii="Arial" w:cs="Arial" w:eastAsia="Arial" w:hAnsi="Arial"/>
                <w:sz w:val="16"/>
                <w:szCs w:val="16"/>
                <w:color w:val="auto"/>
              </w:rPr>
              <w:t>132</w:t>
            </w:r>
          </w:p>
        </w:tc>
        <w:tc>
          <w:tcPr>
            <w:tcW w:w="1940" w:type="dxa"/>
            <w:vAlign w:val="bottom"/>
          </w:tcPr>
          <w:p>
            <w:pPr>
              <w:jc w:val="right"/>
              <w:spacing w:after="0"/>
              <w:rPr>
                <w:sz w:val="20"/>
                <w:szCs w:val="20"/>
                <w:color w:val="auto"/>
              </w:rPr>
            </w:pPr>
            <w:r>
              <w:rPr>
                <w:rFonts w:ascii="Arial" w:cs="Arial" w:eastAsia="Arial" w:hAnsi="Arial"/>
                <w:sz w:val="16"/>
                <w:szCs w:val="16"/>
                <w:color w:val="auto"/>
              </w:rPr>
              <w:t>33 %</w:t>
            </w:r>
          </w:p>
        </w:tc>
        <w:tc>
          <w:tcPr>
            <w:tcW w:w="2220" w:type="dxa"/>
            <w:vAlign w:val="bottom"/>
          </w:tcPr>
          <w:p>
            <w:pPr>
              <w:jc w:val="center"/>
              <w:ind w:right="199"/>
              <w:spacing w:after="0"/>
              <w:rPr>
                <w:sz w:val="20"/>
                <w:szCs w:val="20"/>
                <w:color w:val="auto"/>
              </w:rPr>
            </w:pPr>
            <w:r>
              <w:rPr>
                <w:rFonts w:ascii="Arial" w:cs="Arial" w:eastAsia="Arial" w:hAnsi="Arial"/>
                <w:sz w:val="16"/>
                <w:szCs w:val="16"/>
                <w:color w:val="auto"/>
                <w:w w:val="93"/>
              </w:rPr>
              <w:t>16%</w:t>
            </w:r>
          </w:p>
        </w:tc>
        <w:tc>
          <w:tcPr>
            <w:tcW w:w="1280" w:type="dxa"/>
            <w:vAlign w:val="bottom"/>
          </w:tcPr>
          <w:p>
            <w:pPr>
              <w:jc w:val="right"/>
              <w:spacing w:after="0"/>
              <w:rPr>
                <w:sz w:val="20"/>
                <w:szCs w:val="20"/>
                <w:color w:val="auto"/>
              </w:rPr>
            </w:pPr>
            <w:r>
              <w:rPr>
                <w:rFonts w:ascii="Arial" w:cs="Arial" w:eastAsia="Arial" w:hAnsi="Arial"/>
                <w:sz w:val="16"/>
                <w:szCs w:val="16"/>
                <w:color w:val="auto"/>
              </w:rPr>
              <w:t>114</w:t>
            </w:r>
          </w:p>
        </w:tc>
        <w:tc>
          <w:tcPr>
            <w:tcW w:w="19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4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104 %</w:t>
            </w:r>
          </w:p>
        </w:tc>
        <w:tc>
          <w:tcPr>
            <w:tcW w:w="2220" w:type="dxa"/>
            <w:vAlign w:val="bottom"/>
            <w:tcBorders>
              <w:bottom w:val="single" w:sz="8" w:color="CEFFE7"/>
            </w:tcBorders>
            <w:shd w:val="clear" w:color="auto" w:fill="CEFFE7"/>
          </w:tcPr>
          <w:p>
            <w:pPr>
              <w:jc w:val="center"/>
              <w:ind w:right="199"/>
              <w:spacing w:after="0"/>
              <w:rPr>
                <w:sz w:val="20"/>
                <w:szCs w:val="20"/>
                <w:color w:val="auto"/>
              </w:rPr>
            </w:pPr>
            <w:r>
              <w:rPr>
                <w:rFonts w:ascii="Arial" w:cs="Arial" w:eastAsia="Arial" w:hAnsi="Arial"/>
                <w:sz w:val="16"/>
                <w:szCs w:val="16"/>
                <w:color w:val="auto"/>
                <w:w w:val="92"/>
              </w:rPr>
              <w:t>149%</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w:t>
            </w:r>
          </w:p>
        </w:tc>
        <w:tc>
          <w:tcPr>
            <w:tcW w:w="1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6"/>
                <w:szCs w:val="16"/>
                <w:color w:val="auto"/>
              </w:rPr>
              <w:t>Colorado Electric</w:t>
            </w:r>
          </w:p>
        </w:tc>
        <w:tc>
          <w:tcPr>
            <w:tcW w:w="480" w:type="dxa"/>
            <w:vAlign w:val="bottom"/>
          </w:tcPr>
          <w:p>
            <w:pPr>
              <w:jc w:val="right"/>
              <w:spacing w:after="0"/>
              <w:rPr>
                <w:sz w:val="20"/>
                <w:szCs w:val="20"/>
                <w:color w:val="auto"/>
              </w:rPr>
            </w:pPr>
            <w:r>
              <w:rPr>
                <w:rFonts w:ascii="Arial" w:cs="Arial" w:eastAsia="Arial" w:hAnsi="Arial"/>
                <w:sz w:val="16"/>
                <w:szCs w:val="16"/>
                <w:color w:val="auto"/>
              </w:rPr>
              <w:t>494</w:t>
            </w:r>
          </w:p>
        </w:tc>
        <w:tc>
          <w:tcPr>
            <w:tcW w:w="1940" w:type="dxa"/>
            <w:vAlign w:val="bottom"/>
          </w:tcPr>
          <w:p>
            <w:pPr>
              <w:jc w:val="right"/>
              <w:spacing w:after="0"/>
              <w:rPr>
                <w:sz w:val="20"/>
                <w:szCs w:val="20"/>
                <w:color w:val="auto"/>
              </w:rPr>
            </w:pPr>
            <w:r>
              <w:rPr>
                <w:rFonts w:ascii="Arial" w:cs="Arial" w:eastAsia="Arial" w:hAnsi="Arial"/>
                <w:sz w:val="16"/>
                <w:szCs w:val="16"/>
                <w:color w:val="auto"/>
              </w:rPr>
              <w:t>136 %</w:t>
            </w:r>
          </w:p>
        </w:tc>
        <w:tc>
          <w:tcPr>
            <w:tcW w:w="2220" w:type="dxa"/>
            <w:vAlign w:val="bottom"/>
          </w:tcPr>
          <w:p>
            <w:pPr>
              <w:jc w:val="center"/>
              <w:ind w:right="199"/>
              <w:spacing w:after="0"/>
              <w:rPr>
                <w:sz w:val="20"/>
                <w:szCs w:val="20"/>
                <w:color w:val="auto"/>
              </w:rPr>
            </w:pPr>
            <w:r>
              <w:rPr>
                <w:rFonts w:ascii="Arial" w:cs="Arial" w:eastAsia="Arial" w:hAnsi="Arial"/>
                <w:sz w:val="16"/>
                <w:szCs w:val="16"/>
                <w:color w:val="auto"/>
                <w:w w:val="92"/>
              </w:rPr>
              <w:t>103%</w:t>
            </w:r>
          </w:p>
        </w:tc>
        <w:tc>
          <w:tcPr>
            <w:tcW w:w="1280" w:type="dxa"/>
            <w:vAlign w:val="bottom"/>
          </w:tcPr>
          <w:p>
            <w:pPr>
              <w:jc w:val="right"/>
              <w:spacing w:after="0"/>
              <w:rPr>
                <w:sz w:val="20"/>
                <w:szCs w:val="20"/>
                <w:color w:val="auto"/>
              </w:rPr>
            </w:pPr>
            <w:r>
              <w:rPr>
                <w:rFonts w:ascii="Arial" w:cs="Arial" w:eastAsia="Arial" w:hAnsi="Arial"/>
                <w:sz w:val="16"/>
                <w:szCs w:val="16"/>
                <w:color w:val="auto"/>
              </w:rPr>
              <w:t>243</w:t>
            </w:r>
          </w:p>
        </w:tc>
        <w:tc>
          <w:tcPr>
            <w:tcW w:w="198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33"/>
        </w:trPr>
        <w:tc>
          <w:tcPr>
            <w:tcW w:w="2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80" w:type="dxa"/>
            <w:vAlign w:val="bottom"/>
            <w:gridSpan w:val="3"/>
            <w:shd w:val="clear" w:color="auto" w:fill="CEFFE7"/>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292</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109 %</w:t>
            </w:r>
          </w:p>
        </w:tc>
        <w:tc>
          <w:tcPr>
            <w:tcW w:w="2220" w:type="dxa"/>
            <w:vAlign w:val="bottom"/>
            <w:shd w:val="clear" w:color="auto" w:fill="CEFFE7"/>
          </w:tcPr>
          <w:p>
            <w:pPr>
              <w:jc w:val="center"/>
              <w:ind w:right="199"/>
              <w:spacing w:after="0"/>
              <w:rPr>
                <w:sz w:val="20"/>
                <w:szCs w:val="20"/>
                <w:color w:val="auto"/>
              </w:rPr>
            </w:pPr>
            <w:r>
              <w:rPr>
                <w:rFonts w:ascii="Arial" w:cs="Arial" w:eastAsia="Arial" w:hAnsi="Arial"/>
                <w:sz w:val="16"/>
                <w:szCs w:val="16"/>
                <w:color w:val="auto"/>
                <w:w w:val="93"/>
              </w:rPr>
              <w:t>85%</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w:t>
            </w:r>
          </w:p>
        </w:tc>
        <w:tc>
          <w:tcPr>
            <w:tcW w:w="1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14 %</w:t>
            </w: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Combined actuals are calculated based on the weighted average number of total customers by state.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Electric Utilities Power Plant Availability</w:t>
            </w:r>
          </w:p>
        </w:tc>
        <w:tc>
          <w:tcPr>
            <w:tcW w:w="3800" w:type="dxa"/>
            <w:vAlign w:val="bottom"/>
            <w:gridSpan w:val="2"/>
          </w:tcPr>
          <w:p>
            <w:pPr>
              <w:jc w:val="right"/>
              <w:ind w:right="879"/>
              <w:spacing w:after="0"/>
              <w:rPr>
                <w:sz w:val="20"/>
                <w:szCs w:val="20"/>
                <w:color w:val="auto"/>
              </w:rPr>
            </w:pPr>
            <w:r>
              <w:rPr>
                <w:rFonts w:ascii="Arial" w:cs="Arial" w:eastAsia="Arial" w:hAnsi="Arial"/>
                <w:sz w:val="16"/>
                <w:szCs w:val="16"/>
                <w:color w:val="auto"/>
              </w:rPr>
              <w:t>Three Months Ended June 30,</w:t>
            </w:r>
          </w:p>
        </w:tc>
        <w:tc>
          <w:tcPr>
            <w:tcW w:w="3600" w:type="dxa"/>
            <w:vAlign w:val="bottom"/>
            <w:gridSpan w:val="2"/>
          </w:tcPr>
          <w:p>
            <w:pPr>
              <w:jc w:val="right"/>
              <w:ind w:right="879"/>
              <w:spacing w:after="0"/>
              <w:rPr>
                <w:sz w:val="20"/>
                <w:szCs w:val="20"/>
                <w:color w:val="auto"/>
              </w:rPr>
            </w:pPr>
            <w:r>
              <w:rPr>
                <w:rFonts w:ascii="Arial" w:cs="Arial" w:eastAsia="Arial" w:hAnsi="Arial"/>
                <w:sz w:val="16"/>
                <w:szCs w:val="16"/>
                <w:color w:val="auto"/>
              </w:rPr>
              <w:t>Six Months Ended June 30,</w:t>
            </w:r>
          </w:p>
        </w:tc>
      </w:tr>
      <w:tr>
        <w:trPr>
          <w:trHeight w:val="33"/>
        </w:trPr>
        <w:tc>
          <w:tcPr>
            <w:tcW w:w="40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40" w:type="dxa"/>
            <w:vAlign w:val="bottom"/>
          </w:tcPr>
          <w:p>
            <w:pPr>
              <w:jc w:val="right"/>
              <w:ind w:right="859"/>
              <w:spacing w:after="0"/>
              <w:rPr>
                <w:sz w:val="20"/>
                <w:szCs w:val="20"/>
                <w:color w:val="auto"/>
              </w:rPr>
            </w:pPr>
            <w:r>
              <w:rPr>
                <w:rFonts w:ascii="Arial" w:cs="Arial" w:eastAsia="Arial" w:hAnsi="Arial"/>
                <w:sz w:val="16"/>
                <w:szCs w:val="16"/>
                <w:color w:val="auto"/>
              </w:rPr>
              <w:t>2018</w:t>
            </w:r>
          </w:p>
        </w:tc>
        <w:tc>
          <w:tcPr>
            <w:tcW w:w="1760" w:type="dxa"/>
            <w:vAlign w:val="bottom"/>
          </w:tcPr>
          <w:p>
            <w:pPr>
              <w:jc w:val="right"/>
              <w:ind w:right="779"/>
              <w:spacing w:after="0"/>
              <w:rPr>
                <w:sz w:val="20"/>
                <w:szCs w:val="20"/>
                <w:color w:val="auto"/>
              </w:rPr>
            </w:pPr>
            <w:r>
              <w:rPr>
                <w:rFonts w:ascii="Arial" w:cs="Arial" w:eastAsia="Arial" w:hAnsi="Arial"/>
                <w:sz w:val="16"/>
                <w:szCs w:val="16"/>
                <w:color w:val="auto"/>
              </w:rPr>
              <w:t>2017</w:t>
            </w:r>
          </w:p>
        </w:tc>
        <w:tc>
          <w:tcPr>
            <w:tcW w:w="1860" w:type="dxa"/>
            <w:vAlign w:val="bottom"/>
          </w:tcPr>
          <w:p>
            <w:pPr>
              <w:jc w:val="right"/>
              <w:ind w:right="959"/>
              <w:spacing w:after="0"/>
              <w:rPr>
                <w:sz w:val="20"/>
                <w:szCs w:val="20"/>
                <w:color w:val="auto"/>
              </w:rPr>
            </w:pPr>
            <w:r>
              <w:rPr>
                <w:rFonts w:ascii="Arial" w:cs="Arial" w:eastAsia="Arial" w:hAnsi="Arial"/>
                <w:sz w:val="16"/>
                <w:szCs w:val="16"/>
                <w:color w:val="auto"/>
              </w:rPr>
              <w:t>2018</w:t>
            </w:r>
          </w:p>
        </w:tc>
        <w:tc>
          <w:tcPr>
            <w:tcW w:w="1740" w:type="dxa"/>
            <w:vAlign w:val="bottom"/>
          </w:tcPr>
          <w:p>
            <w:pPr>
              <w:jc w:val="right"/>
              <w:ind w:right="859"/>
              <w:spacing w:after="0"/>
              <w:rPr>
                <w:sz w:val="20"/>
                <w:szCs w:val="20"/>
                <w:color w:val="auto"/>
              </w:rPr>
            </w:pPr>
            <w:r>
              <w:rPr>
                <w:rFonts w:ascii="Arial" w:cs="Arial" w:eastAsia="Arial" w:hAnsi="Arial"/>
                <w:sz w:val="16"/>
                <w:szCs w:val="16"/>
                <w:color w:val="auto"/>
              </w:rPr>
              <w:t>2017</w:t>
            </w:r>
          </w:p>
        </w:tc>
      </w:tr>
      <w:tr>
        <w:trPr>
          <w:trHeight w:val="33"/>
        </w:trPr>
        <w:tc>
          <w:tcPr>
            <w:tcW w:w="4000" w:type="dxa"/>
            <w:vAlign w:val="bottom"/>
            <w:tcBorders>
              <w:bottom w:val="single" w:sz="8" w:color="CEFFE7"/>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Coal-fired plants </w:t>
            </w:r>
            <w:r>
              <w:rPr>
                <w:rFonts w:ascii="Arial" w:cs="Arial" w:eastAsia="Arial" w:hAnsi="Arial"/>
                <w:sz w:val="21"/>
                <w:szCs w:val="21"/>
                <w:color w:val="auto"/>
                <w:vertAlign w:val="superscript"/>
              </w:rPr>
              <w:t>(a)</w:t>
            </w:r>
          </w:p>
        </w:tc>
        <w:tc>
          <w:tcPr>
            <w:tcW w:w="2040" w:type="dxa"/>
            <w:vAlign w:val="bottom"/>
            <w:shd w:val="clear" w:color="auto" w:fill="CEFFE7"/>
          </w:tcPr>
          <w:p>
            <w:pPr>
              <w:jc w:val="right"/>
              <w:ind w:right="479"/>
              <w:spacing w:after="0"/>
              <w:rPr>
                <w:sz w:val="20"/>
                <w:szCs w:val="20"/>
                <w:color w:val="auto"/>
              </w:rPr>
            </w:pPr>
            <w:r>
              <w:rPr>
                <w:rFonts w:ascii="Arial" w:cs="Arial" w:eastAsia="Arial" w:hAnsi="Arial"/>
                <w:sz w:val="16"/>
                <w:szCs w:val="16"/>
                <w:color w:val="auto"/>
              </w:rPr>
              <w:t>91.2%</w:t>
            </w:r>
          </w:p>
        </w:tc>
        <w:tc>
          <w:tcPr>
            <w:tcW w:w="1760" w:type="dxa"/>
            <w:vAlign w:val="bottom"/>
            <w:shd w:val="clear" w:color="auto" w:fill="CEFFE7"/>
          </w:tcPr>
          <w:p>
            <w:pPr>
              <w:jc w:val="right"/>
              <w:ind w:right="399"/>
              <w:spacing w:after="0"/>
              <w:rPr>
                <w:sz w:val="20"/>
                <w:szCs w:val="20"/>
                <w:color w:val="auto"/>
              </w:rPr>
            </w:pPr>
            <w:r>
              <w:rPr>
                <w:rFonts w:ascii="Arial" w:cs="Arial" w:eastAsia="Arial" w:hAnsi="Arial"/>
                <w:sz w:val="16"/>
                <w:szCs w:val="16"/>
                <w:color w:val="auto"/>
              </w:rPr>
              <w:t>74.8%</w:t>
            </w:r>
          </w:p>
        </w:tc>
        <w:tc>
          <w:tcPr>
            <w:tcW w:w="1860" w:type="dxa"/>
            <w:vAlign w:val="bottom"/>
            <w:shd w:val="clear" w:color="auto" w:fill="CEFFE7"/>
          </w:tcPr>
          <w:p>
            <w:pPr>
              <w:jc w:val="right"/>
              <w:ind w:right="399"/>
              <w:spacing w:after="0"/>
              <w:rPr>
                <w:sz w:val="20"/>
                <w:szCs w:val="20"/>
                <w:color w:val="auto"/>
              </w:rPr>
            </w:pPr>
            <w:r>
              <w:rPr>
                <w:rFonts w:ascii="Arial" w:cs="Arial" w:eastAsia="Arial" w:hAnsi="Arial"/>
                <w:sz w:val="16"/>
                <w:szCs w:val="16"/>
                <w:color w:val="auto"/>
              </w:rPr>
              <w:t>93.1%</w:t>
            </w:r>
          </w:p>
        </w:tc>
        <w:tc>
          <w:tcPr>
            <w:tcW w:w="174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83.0%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Natural gas-fired plants and Other plants</w:t>
            </w:r>
          </w:p>
        </w:tc>
        <w:tc>
          <w:tcPr>
            <w:tcW w:w="2040" w:type="dxa"/>
            <w:vAlign w:val="bottom"/>
          </w:tcPr>
          <w:p>
            <w:pPr>
              <w:jc w:val="right"/>
              <w:ind w:right="479"/>
              <w:spacing w:after="0"/>
              <w:rPr>
                <w:sz w:val="20"/>
                <w:szCs w:val="20"/>
                <w:color w:val="auto"/>
              </w:rPr>
            </w:pPr>
            <w:r>
              <w:rPr>
                <w:rFonts w:ascii="Arial" w:cs="Arial" w:eastAsia="Arial" w:hAnsi="Arial"/>
                <w:sz w:val="16"/>
                <w:szCs w:val="16"/>
                <w:color w:val="auto"/>
              </w:rPr>
              <w:t>98.1%</w:t>
            </w:r>
          </w:p>
        </w:tc>
        <w:tc>
          <w:tcPr>
            <w:tcW w:w="1760" w:type="dxa"/>
            <w:vAlign w:val="bottom"/>
          </w:tcPr>
          <w:p>
            <w:pPr>
              <w:jc w:val="right"/>
              <w:ind w:right="399"/>
              <w:spacing w:after="0"/>
              <w:rPr>
                <w:sz w:val="20"/>
                <w:szCs w:val="20"/>
                <w:color w:val="auto"/>
              </w:rPr>
            </w:pPr>
            <w:r>
              <w:rPr>
                <w:rFonts w:ascii="Arial" w:cs="Arial" w:eastAsia="Arial" w:hAnsi="Arial"/>
                <w:sz w:val="16"/>
                <w:szCs w:val="16"/>
                <w:color w:val="auto"/>
              </w:rPr>
              <w:t>94.5%</w:t>
            </w:r>
          </w:p>
        </w:tc>
        <w:tc>
          <w:tcPr>
            <w:tcW w:w="1860" w:type="dxa"/>
            <w:vAlign w:val="bottom"/>
          </w:tcPr>
          <w:p>
            <w:pPr>
              <w:jc w:val="right"/>
              <w:ind w:right="399"/>
              <w:spacing w:after="0"/>
              <w:rPr>
                <w:sz w:val="20"/>
                <w:szCs w:val="20"/>
                <w:color w:val="auto"/>
              </w:rPr>
            </w:pPr>
            <w:r>
              <w:rPr>
                <w:rFonts w:ascii="Arial" w:cs="Arial" w:eastAsia="Arial" w:hAnsi="Arial"/>
                <w:sz w:val="16"/>
                <w:szCs w:val="16"/>
                <w:color w:val="auto"/>
              </w:rPr>
              <w:t>97.2%</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96.5%</w:t>
            </w:r>
          </w:p>
        </w:tc>
      </w:tr>
      <w:tr>
        <w:trPr>
          <w:trHeight w:val="33"/>
        </w:trPr>
        <w:tc>
          <w:tcPr>
            <w:tcW w:w="4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Wind</w:t>
            </w:r>
          </w:p>
        </w:tc>
        <w:tc>
          <w:tcPr>
            <w:tcW w:w="2040" w:type="dxa"/>
            <w:vAlign w:val="bottom"/>
            <w:tcBorders>
              <w:bottom w:val="single" w:sz="8" w:color="CEFFE7"/>
            </w:tcBorders>
            <w:shd w:val="clear" w:color="auto" w:fill="CEFFE7"/>
          </w:tcPr>
          <w:p>
            <w:pPr>
              <w:jc w:val="right"/>
              <w:ind w:right="479"/>
              <w:spacing w:after="0"/>
              <w:rPr>
                <w:sz w:val="20"/>
                <w:szCs w:val="20"/>
                <w:color w:val="auto"/>
              </w:rPr>
            </w:pPr>
            <w:r>
              <w:rPr>
                <w:rFonts w:ascii="Arial" w:cs="Arial" w:eastAsia="Arial" w:hAnsi="Arial"/>
                <w:sz w:val="16"/>
                <w:szCs w:val="16"/>
                <w:color w:val="auto"/>
              </w:rPr>
              <w:t>96.7%</w:t>
            </w:r>
          </w:p>
        </w:tc>
        <w:tc>
          <w:tcPr>
            <w:tcW w:w="176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93.4%</w:t>
            </w:r>
          </w:p>
        </w:tc>
        <w:tc>
          <w:tcPr>
            <w:tcW w:w="1860" w:type="dxa"/>
            <w:vAlign w:val="bottom"/>
            <w:tcBorders>
              <w:bottom w:val="single" w:sz="8" w:color="CEFFE7"/>
            </w:tcBorders>
            <w:shd w:val="clear" w:color="auto" w:fill="CEFFE7"/>
          </w:tcPr>
          <w:p>
            <w:pPr>
              <w:jc w:val="right"/>
              <w:ind w:right="399"/>
              <w:spacing w:after="0"/>
              <w:rPr>
                <w:sz w:val="20"/>
                <w:szCs w:val="20"/>
                <w:color w:val="auto"/>
              </w:rPr>
            </w:pPr>
            <w:r>
              <w:rPr>
                <w:rFonts w:ascii="Arial" w:cs="Arial" w:eastAsia="Arial" w:hAnsi="Arial"/>
                <w:sz w:val="16"/>
                <w:szCs w:val="16"/>
                <w:color w:val="auto"/>
              </w:rPr>
              <w:t>96.9%</w:t>
            </w:r>
          </w:p>
        </w:tc>
        <w:tc>
          <w:tcPr>
            <w:tcW w:w="174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92.4%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Total availability</w:t>
            </w:r>
          </w:p>
        </w:tc>
        <w:tc>
          <w:tcPr>
            <w:tcW w:w="2040" w:type="dxa"/>
            <w:vAlign w:val="bottom"/>
          </w:tcPr>
          <w:p>
            <w:pPr>
              <w:jc w:val="right"/>
              <w:ind w:right="479"/>
              <w:spacing w:after="0"/>
              <w:rPr>
                <w:sz w:val="20"/>
                <w:szCs w:val="20"/>
                <w:color w:val="auto"/>
              </w:rPr>
            </w:pPr>
            <w:r>
              <w:rPr>
                <w:rFonts w:ascii="Arial" w:cs="Arial" w:eastAsia="Arial" w:hAnsi="Arial"/>
                <w:sz w:val="16"/>
                <w:szCs w:val="16"/>
                <w:color w:val="auto"/>
              </w:rPr>
              <w:t>95.8%</w:t>
            </w:r>
          </w:p>
        </w:tc>
        <w:tc>
          <w:tcPr>
            <w:tcW w:w="1760" w:type="dxa"/>
            <w:vAlign w:val="bottom"/>
          </w:tcPr>
          <w:p>
            <w:pPr>
              <w:jc w:val="right"/>
              <w:ind w:right="399"/>
              <w:spacing w:after="0"/>
              <w:rPr>
                <w:sz w:val="20"/>
                <w:szCs w:val="20"/>
                <w:color w:val="auto"/>
              </w:rPr>
            </w:pPr>
            <w:r>
              <w:rPr>
                <w:rFonts w:ascii="Arial" w:cs="Arial" w:eastAsia="Arial" w:hAnsi="Arial"/>
                <w:sz w:val="16"/>
                <w:szCs w:val="16"/>
                <w:color w:val="auto"/>
              </w:rPr>
              <w:t>88.0%</w:t>
            </w:r>
          </w:p>
        </w:tc>
        <w:tc>
          <w:tcPr>
            <w:tcW w:w="1860" w:type="dxa"/>
            <w:vAlign w:val="bottom"/>
          </w:tcPr>
          <w:p>
            <w:pPr>
              <w:jc w:val="right"/>
              <w:ind w:right="399"/>
              <w:spacing w:after="0"/>
              <w:rPr>
                <w:sz w:val="20"/>
                <w:szCs w:val="20"/>
                <w:color w:val="auto"/>
              </w:rPr>
            </w:pPr>
            <w:r>
              <w:rPr>
                <w:rFonts w:ascii="Arial" w:cs="Arial" w:eastAsia="Arial" w:hAnsi="Arial"/>
                <w:sz w:val="16"/>
                <w:szCs w:val="16"/>
                <w:color w:val="auto"/>
              </w:rPr>
              <w:t>95.9%</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91.8%</w:t>
            </w:r>
          </w:p>
        </w:tc>
      </w:tr>
      <w:tr>
        <w:trPr>
          <w:trHeight w:val="33"/>
        </w:trPr>
        <w:tc>
          <w:tcPr>
            <w:tcW w:w="4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4000" w:type="dxa"/>
            <w:vAlign w:val="bottom"/>
            <w:shd w:val="clear" w:color="auto" w:fill="CEFFE7"/>
          </w:tcPr>
          <w:p>
            <w:pPr>
              <w:spacing w:after="0"/>
              <w:rPr>
                <w:sz w:val="19"/>
                <w:szCs w:val="19"/>
                <w:color w:val="auto"/>
              </w:rPr>
            </w:pPr>
          </w:p>
        </w:tc>
        <w:tc>
          <w:tcPr>
            <w:tcW w:w="2040" w:type="dxa"/>
            <w:vAlign w:val="bottom"/>
            <w:shd w:val="clear" w:color="auto" w:fill="CEFFE7"/>
          </w:tcPr>
          <w:p>
            <w:pPr>
              <w:spacing w:after="0"/>
              <w:rPr>
                <w:sz w:val="19"/>
                <w:szCs w:val="19"/>
                <w:color w:val="auto"/>
              </w:rPr>
            </w:pPr>
          </w:p>
        </w:tc>
        <w:tc>
          <w:tcPr>
            <w:tcW w:w="176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c>
          <w:tcPr>
            <w:tcW w:w="1740" w:type="dxa"/>
            <w:vAlign w:val="bottom"/>
            <w:shd w:val="clear" w:color="auto" w:fill="CEFFE7"/>
          </w:tcPr>
          <w:p>
            <w:pPr>
              <w:spacing w:after="0"/>
              <w:rPr>
                <w:sz w:val="19"/>
                <w:szCs w:val="19"/>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Wind capacity factor</w:t>
            </w:r>
          </w:p>
        </w:tc>
        <w:tc>
          <w:tcPr>
            <w:tcW w:w="2040" w:type="dxa"/>
            <w:vAlign w:val="bottom"/>
          </w:tcPr>
          <w:p>
            <w:pPr>
              <w:jc w:val="right"/>
              <w:ind w:right="479"/>
              <w:spacing w:after="0"/>
              <w:rPr>
                <w:sz w:val="20"/>
                <w:szCs w:val="20"/>
                <w:color w:val="auto"/>
              </w:rPr>
            </w:pPr>
            <w:r>
              <w:rPr>
                <w:rFonts w:ascii="Arial" w:cs="Arial" w:eastAsia="Arial" w:hAnsi="Arial"/>
                <w:sz w:val="16"/>
                <w:szCs w:val="16"/>
                <w:color w:val="auto"/>
              </w:rPr>
              <w:t>41.7%</w:t>
            </w:r>
          </w:p>
        </w:tc>
        <w:tc>
          <w:tcPr>
            <w:tcW w:w="1760" w:type="dxa"/>
            <w:vAlign w:val="bottom"/>
          </w:tcPr>
          <w:p>
            <w:pPr>
              <w:jc w:val="right"/>
              <w:ind w:right="399"/>
              <w:spacing w:after="0"/>
              <w:rPr>
                <w:sz w:val="20"/>
                <w:szCs w:val="20"/>
                <w:color w:val="auto"/>
              </w:rPr>
            </w:pPr>
            <w:r>
              <w:rPr>
                <w:rFonts w:ascii="Arial" w:cs="Arial" w:eastAsia="Arial" w:hAnsi="Arial"/>
                <w:sz w:val="16"/>
                <w:szCs w:val="16"/>
                <w:color w:val="auto"/>
              </w:rPr>
              <w:t>35.8%</w:t>
            </w:r>
          </w:p>
        </w:tc>
        <w:tc>
          <w:tcPr>
            <w:tcW w:w="1860" w:type="dxa"/>
            <w:vAlign w:val="bottom"/>
          </w:tcPr>
          <w:p>
            <w:pPr>
              <w:jc w:val="right"/>
              <w:ind w:right="399"/>
              <w:spacing w:after="0"/>
              <w:rPr>
                <w:sz w:val="20"/>
                <w:szCs w:val="20"/>
                <w:color w:val="auto"/>
              </w:rPr>
            </w:pPr>
            <w:r>
              <w:rPr>
                <w:rFonts w:ascii="Arial" w:cs="Arial" w:eastAsia="Arial" w:hAnsi="Arial"/>
                <w:sz w:val="16"/>
                <w:szCs w:val="16"/>
                <w:color w:val="auto"/>
              </w:rPr>
              <w:t>46.1%</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39.7%</w:t>
            </w:r>
          </w:p>
        </w:tc>
      </w:tr>
      <w:tr>
        <w:trPr>
          <w:trHeight w:val="226"/>
        </w:trPr>
        <w:tc>
          <w:tcPr>
            <w:tcW w:w="4000" w:type="dxa"/>
            <w:vAlign w:val="bottom"/>
          </w:tcPr>
          <w:p>
            <w:pPr>
              <w:spacing w:after="0"/>
              <w:rPr>
                <w:sz w:val="20"/>
                <w:szCs w:val="20"/>
                <w:color w:val="auto"/>
              </w:rPr>
            </w:pPr>
            <w:r>
              <w:rPr>
                <w:rFonts w:ascii="Arial" w:cs="Arial" w:eastAsia="Arial" w:hAnsi="Arial"/>
                <w:sz w:val="16"/>
                <w:szCs w:val="16"/>
                <w:color w:val="auto"/>
              </w:rPr>
              <w:t>__________</w:t>
            </w:r>
          </w:p>
        </w:tc>
        <w:tc>
          <w:tcPr>
            <w:tcW w:w="20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2017 included planned outages at Neil Simpson II, Wygen II and Wygen III.</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64"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Gas Utilities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4"/>
                <w:szCs w:val="24"/>
                <w:color w:val="auto"/>
              </w:rPr>
            </w:pPr>
          </w:p>
        </w:tc>
        <w:tc>
          <w:tcPr>
            <w:tcW w:w="3480" w:type="dxa"/>
            <w:vAlign w:val="bottom"/>
            <w:gridSpan w:val="5"/>
          </w:tcPr>
          <w:p>
            <w:pPr>
              <w:jc w:val="right"/>
              <w:ind w:right="7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6"/>
                <w:szCs w:val="16"/>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3"/>
          </w:tcPr>
          <w:p>
            <w:pPr>
              <w:jc w:val="right"/>
              <w:ind w:right="63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161,212</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146,839</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14,373</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531,480</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479,535</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51,945</w:t>
            </w:r>
          </w:p>
        </w:tc>
        <w:tc>
          <w:tcPr>
            <w:tcW w:w="0" w:type="dxa"/>
            <w:vAlign w:val="bottom"/>
          </w:tcPr>
          <w:p>
            <w:pPr>
              <w:spacing w:after="0"/>
              <w:rPr>
                <w:sz w:val="1"/>
                <w:szCs w:val="1"/>
                <w:color w:val="auto"/>
              </w:rPr>
            </w:pPr>
          </w:p>
        </w:tc>
      </w:tr>
      <w:tr>
        <w:trPr>
          <w:trHeight w:val="270"/>
        </w:trPr>
        <w:tc>
          <w:tcPr>
            <w:tcW w:w="3880" w:type="dxa"/>
            <w:vAlign w:val="bottom"/>
            <w:tcBorders>
              <w:bottom w:val="single" w:sz="8" w:color="CEFFE7"/>
            </w:tcBorders>
            <w:gridSpan w:val="2"/>
          </w:tcPr>
          <w:p>
            <w:pPr>
              <w:ind w:left="180"/>
              <w:spacing w:after="0" w:line="270" w:lineRule="exact"/>
              <w:rPr>
                <w:sz w:val="20"/>
                <w:szCs w:val="20"/>
                <w:color w:val="auto"/>
              </w:rPr>
            </w:pPr>
            <w:r>
              <w:rPr>
                <w:rFonts w:ascii="Arial" w:cs="Arial" w:eastAsia="Arial" w:hAnsi="Arial"/>
                <w:sz w:val="18"/>
                <w:szCs w:val="18"/>
                <w:color w:val="auto"/>
              </w:rPr>
              <w:t xml:space="preserve">Other — non-regulated services </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19,608</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43,484</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51,822</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177,620</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166,447</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11,173</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574,964</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531,357</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43,607</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62,453</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52,332</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10,121</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267,537</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222,034</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45,503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 non-regulated services </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5,601</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10,018</w:t>
            </w:r>
          </w:p>
        </w:tc>
        <w:tc>
          <w:tcPr>
            <w:tcW w:w="24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(4,417)</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10,202</w:t>
            </w:r>
          </w:p>
        </w:tc>
        <w:tc>
          <w:tcPr>
            <w:tcW w:w="30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21,698</w:t>
            </w:r>
          </w:p>
        </w:tc>
        <w:tc>
          <w:tcPr>
            <w:tcW w:w="240" w:type="dxa"/>
            <w:vAlign w:val="bottom"/>
            <w:tcBorders>
              <w:bottom w:val="single" w:sz="8" w:color="auto"/>
            </w:tcBorders>
            <w:shd w:val="clear" w:color="auto" w:fill="CEFFE7"/>
          </w:tcPr>
          <w:p>
            <w:pPr>
              <w:spacing w:after="0"/>
              <w:rPr>
                <w:sz w:val="23"/>
                <w:szCs w:val="23"/>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37"/>
        </w:trPr>
        <w:tc>
          <w:tcPr>
            <w:tcW w:w="388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68,054</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62,350</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5,704</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277,739</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243,732</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34,007</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EFFE7"/>
            </w:tcBorders>
            <w:gridSpan w:val="2"/>
          </w:tcPr>
          <w:p>
            <w:pPr>
              <w:ind w:left="40"/>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109,566</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104,097</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5,469</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297,225</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287,625</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71,667</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64,956</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6,711</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142,573</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135,715</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21,414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20,924</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490</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42,724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41,721</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7"/>
        </w:trPr>
        <w:tc>
          <w:tcPr>
            <w:tcW w:w="38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93,081</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85,880</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7,201</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185,297</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177,436</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16,485</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18,217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(1,732)</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111,928</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110,189</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CEFFE7"/>
          </w:tcPr>
          <w:p>
            <w:pPr>
              <w:spacing w:after="0"/>
              <w:rPr>
                <w:sz w:val="24"/>
                <w:szCs w:val="24"/>
                <w:color w:val="auto"/>
              </w:rPr>
            </w:pPr>
          </w:p>
        </w:tc>
        <w:tc>
          <w:tcPr>
            <w:tcW w:w="2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(19,257)</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(19,610)</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(39,023)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(39,392)</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34,315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(24,904)</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59,219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(889)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106,459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45,845</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29"/>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920" w:type="dxa"/>
            <w:vAlign w:val="bottom"/>
            <w:tcBorders>
              <w:bottom w:val="single" w:sz="8" w:color="CEFFE7"/>
            </w:tcBorders>
          </w:tcPr>
          <w:p>
            <w:pPr>
              <w:spacing w:after="0"/>
              <w:rPr>
                <w:sz w:val="2"/>
                <w:szCs w:val="2"/>
                <w:color w:val="auto"/>
              </w:rPr>
            </w:pPr>
          </w:p>
        </w:tc>
        <w:tc>
          <w:tcPr>
            <w:tcW w:w="29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(889)</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106,459</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45,738</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60,721</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4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three and six months ended June 30, 2018 include certain BHES trading activities which are reported on a net basis. These trading activities are presented on a gross basis in the prior year. This change in presentation had no impact on gross margin.</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Non-GAAP measure</w:t>
      </w:r>
    </w:p>
    <w:p>
      <w:pPr>
        <w:spacing w:after="0" w:line="16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Results of Operations for the Gas Utilities for the Three Months Ended June 30, 2018 Compared to the Three Months Ended June 30, 2017: </w:t>
      </w:r>
      <w:r>
        <w:rPr>
          <w:rFonts w:ascii="Arial" w:cs="Arial" w:eastAsia="Arial" w:hAnsi="Arial"/>
          <w:sz w:val="17"/>
          <w:szCs w:val="17"/>
          <w:color w:val="auto"/>
        </w:rPr>
        <w:t>Net</w:t>
      </w:r>
      <w:r>
        <w:rPr>
          <w:rFonts w:ascii="Arial" w:cs="Arial" w:eastAsia="Arial" w:hAnsi="Arial"/>
          <w:sz w:val="17"/>
          <w:szCs w:val="17"/>
          <w:b w:val="1"/>
          <w:bCs w:val="1"/>
          <w:color w:val="auto"/>
        </w:rPr>
        <w:t xml:space="preserve"> </w:t>
      </w:r>
      <w:r>
        <w:rPr>
          <w:rFonts w:ascii="Arial" w:cs="Arial" w:eastAsia="Arial" w:hAnsi="Arial"/>
          <w:sz w:val="17"/>
          <w:szCs w:val="17"/>
          <w:color w:val="auto"/>
        </w:rPr>
        <w:t>(loss) from continuing operations available for common stock for the Gas Utilities was $(1.2) million for the three months ended June 30, 2018, compared to Net loss from continuing operations available for common stock of $(0.3) million for the three months ended June 30, 2017, as a result of:</w:t>
      </w:r>
    </w:p>
    <w:p>
      <w:pPr>
        <w:spacing w:after="0" w:line="1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benefited from a $2.8 million increase driven by higher natural gas volumes sold and a $0.9 million weather impact from colder spring temperatures as our service territories experienced colder weather in the current period compared to the same period in the prior year. Heating degree days were 1 percent below normal in the current year compared to 9 percent below normal for the same period in the prior year. Compared to the prior year, mark-to-market gains on non-utility natural gas commodity contracts increased $1.6 million, customer growth added $1.0 million in additional margin and rider revenues increased by $1.3 million primarily from our capital integrity recovery riders. These increases compared to the prior year are partially offset by a $2.2 million current year reserve to revenue to reflect the reduction of the lower federal income tax rate from the TCJA on our existing utility rate tariffs.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83" w:right="239" w:bottom="1440" w:gutter="0" w:footer="0" w:header="0"/>
        </w:sectPr>
      </w:pPr>
    </w:p>
    <w:bookmarkStart w:id="50" w:name="page51"/>
    <w:bookmarkEnd w:id="50"/>
    <w:p>
      <w:pPr>
        <w:ind w:right="20"/>
        <w:spacing w:after="0" w:line="264"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higher employee costs of approximately $3.3 million driven primarily by labor, benefits and increased corporate allocations. Other increases compared to the prior year were from bad debt expense, which increased approximately $1.5 million driven by the current year increase in revenues, an increase in net facility costs of $1.3 million and higher property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due to a higher asset base driven by previous year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decreased from the prior year due primarily to the presentation change of non-service pension costs to Other income (expense) in the current year, previously reported in Operations and maintenance.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xml:space="preserve"> increased from the prior year due to greater flow through benefits and lower state taxes, partially offset by the lower tax rate as a result of the reduction of the federal corporate income tax rate from 35% to 21% from the TCJA, effective January 1, 2018.</w:t>
      </w:r>
    </w:p>
    <w:p>
      <w:pPr>
        <w:spacing w:after="0" w:line="383"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 xml:space="preserve">Results of Operations for the Gas Utilities for the Six Months Ended June 30, 2018 Compared to the Six Months Ended June 30, 2017: </w:t>
      </w:r>
      <w:r>
        <w:rPr>
          <w:rFonts w:ascii="Arial" w:cs="Arial" w:eastAsia="Arial" w:hAnsi="Arial"/>
          <w:sz w:val="16"/>
          <w:szCs w:val="16"/>
          <w:color w:val="auto"/>
        </w:rPr>
        <w:t>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from continuing operations available for common stock for the Gas Utilities was $106 million for the six months ended June 30, 2018, compared to Net income from continuing operations available for common stock of $46 million for the six months ended June 30, 2017, as a result of:</w:t>
      </w:r>
    </w:p>
    <w:p>
      <w:pPr>
        <w:spacing w:after="0" w:line="1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increased primarily due to a $10 million weather impact from colder winter temperatures as our service territories experienced colder weather in the current period compared to the same period in the prior year. Heating degree days were 1 percent higher than normal in the current year compared to 12 percent below normal for the same period in the prior year. An increase in natural gas volumes sold added $2.3 million, customer growth added $2.8 million in additional margin over the prior year, rider revenues increased by $3.1 million primarily from our capital integrity recovery riders and mark-to-market gains on non-utility natural gas commodity contracts increased $2.5 million. These increases over the prior year are partially offset by a $11 million current year reserve to revenue to reflect the reduction of the lower federal income tax rate from the TCJA on our existing rate tariffs.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higher employee costs of approximately $3.6 million driven by labor, benefits and increased corporate allocations, higher bad debt expense of approximately $2.1 million driven by the current year increase in revenues and a net increase in facility costs of $2.8 million. These increases are partially offset by lower outside service expenses of approximately $1.8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due to a higher asset base driven by previous year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Other income (expense), net</w:t>
      </w:r>
      <w:r>
        <w:rPr>
          <w:rFonts w:ascii="Arial" w:cs="Arial" w:eastAsia="Arial" w:hAnsi="Arial"/>
          <w:sz w:val="18"/>
          <w:szCs w:val="18"/>
          <w:color w:val="auto"/>
        </w:rPr>
        <w:t xml:space="preserve"> decreased from the prior year due to the presentation change of non-service pension costs to Other income (expense) in the current year, previously reported in Operations and maintenance.</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u w:val="single" w:color="auto"/>
          <w:color w:val="auto"/>
        </w:rPr>
        <w:t>Income tax benefit (expense)</w:t>
      </w:r>
      <w:r>
        <w:rPr>
          <w:rFonts w:ascii="Arial" w:cs="Arial" w:eastAsia="Arial" w:hAnsi="Arial"/>
          <w:sz w:val="17"/>
          <w:szCs w:val="17"/>
          <w:color w:val="auto"/>
        </w:rPr>
        <w:t>: The 2018 tax benefit is due to legal restructuring to enable jurisdictional simplification that resulted in the recognition of a deferred tax benefit of approximately $49 million associated with amortizable goodwill for tax purposes. The current year effective tax rate also reflects the reduction of the federal corporate income tax rate from 35% to 21% from the TCJA, effective January 1, 2018.</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Operating Statistics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auto"/>
                <w:w w:val="89"/>
              </w:rPr>
              <w:t>Gas Revenue (in thousands)</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color w:val="auto"/>
                <w:w w:val="89"/>
              </w:rPr>
              <w:t xml:space="preserve">Gross Margin </w:t>
            </w:r>
            <w:r>
              <w:rPr>
                <w:rFonts w:ascii="Arial" w:cs="Arial" w:eastAsia="Arial" w:hAnsi="Arial"/>
                <w:sz w:val="21"/>
                <w:szCs w:val="21"/>
                <w:color w:val="auto"/>
                <w:w w:val="89"/>
                <w:vertAlign w:val="superscript"/>
              </w:rPr>
              <w:t>(a)</w:t>
            </w:r>
            <w:r>
              <w:rPr>
                <w:rFonts w:ascii="Arial" w:cs="Arial" w:eastAsia="Arial" w:hAnsi="Arial"/>
                <w:sz w:val="16"/>
                <w:szCs w:val="16"/>
                <w:color w:val="auto"/>
                <w:w w:val="89"/>
              </w:rPr>
              <w:t xml:space="preserve"> (in thousands)</w:t>
            </w: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39"/>
              <w:spacing w:after="0"/>
              <w:rPr>
                <w:sz w:val="20"/>
                <w:szCs w:val="20"/>
                <w:color w:val="auto"/>
              </w:rPr>
            </w:pPr>
            <w:r>
              <w:rPr>
                <w:rFonts w:ascii="Arial" w:cs="Arial" w:eastAsia="Arial" w:hAnsi="Arial"/>
                <w:sz w:val="16"/>
                <w:szCs w:val="16"/>
                <w:color w:val="auto"/>
                <w:w w:val="90"/>
              </w:rPr>
              <w:t>Three Months Ended</w:t>
            </w:r>
          </w:p>
        </w:tc>
        <w:tc>
          <w:tcPr>
            <w:tcW w:w="240" w:type="dxa"/>
            <w:vAlign w:val="bottom"/>
          </w:tcPr>
          <w:p>
            <w:pPr>
              <w:spacing w:after="0"/>
              <w:rPr>
                <w:sz w:val="18"/>
                <w:szCs w:val="18"/>
                <w:color w:val="auto"/>
              </w:rPr>
            </w:pPr>
          </w:p>
        </w:tc>
        <w:tc>
          <w:tcPr>
            <w:tcW w:w="1740" w:type="dxa"/>
            <w:vAlign w:val="bottom"/>
            <w:gridSpan w:val="4"/>
          </w:tcPr>
          <w:p>
            <w:pPr>
              <w:ind w:left="140"/>
              <w:spacing w:after="0"/>
              <w:rPr>
                <w:sz w:val="20"/>
                <w:szCs w:val="20"/>
                <w:color w:val="auto"/>
              </w:rPr>
            </w:pPr>
            <w:r>
              <w:rPr>
                <w:rFonts w:ascii="Arial" w:cs="Arial" w:eastAsia="Arial" w:hAnsi="Arial"/>
                <w:sz w:val="16"/>
                <w:szCs w:val="16"/>
                <w:color w:val="auto"/>
              </w:rPr>
              <w:t>Six Months Ended</w:t>
            </w:r>
          </w:p>
        </w:tc>
        <w:tc>
          <w:tcPr>
            <w:tcW w:w="240" w:type="dxa"/>
            <w:vAlign w:val="bottom"/>
          </w:tcPr>
          <w:p>
            <w:pPr>
              <w:spacing w:after="0"/>
              <w:rPr>
                <w:sz w:val="18"/>
                <w:szCs w:val="18"/>
                <w:color w:val="auto"/>
              </w:rPr>
            </w:pPr>
          </w:p>
        </w:tc>
        <w:tc>
          <w:tcPr>
            <w:tcW w:w="1760" w:type="dxa"/>
            <w:vAlign w:val="bottom"/>
            <w:gridSpan w:val="3"/>
          </w:tcPr>
          <w:p>
            <w:pPr>
              <w:ind w:left="12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8"/>
                <w:szCs w:val="18"/>
                <w:color w:val="auto"/>
              </w:rPr>
            </w:pPr>
          </w:p>
        </w:tc>
        <w:tc>
          <w:tcPr>
            <w:tcW w:w="1800" w:type="dxa"/>
            <w:vAlign w:val="bottom"/>
            <w:gridSpan w:val="3"/>
          </w:tcPr>
          <w:p>
            <w:pPr>
              <w:jc w:val="right"/>
              <w:ind w:right="31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left="419"/>
              <w:spacing w:after="0"/>
              <w:rPr>
                <w:sz w:val="20"/>
                <w:szCs w:val="20"/>
                <w:color w:val="auto"/>
              </w:rPr>
            </w:pPr>
            <w:r>
              <w:rPr>
                <w:rFonts w:ascii="Arial" w:cs="Arial" w:eastAsia="Arial" w:hAnsi="Arial"/>
                <w:sz w:val="16"/>
                <w:szCs w:val="16"/>
                <w:color w:val="auto"/>
                <w:w w:val="87"/>
              </w:rPr>
              <w:t>June 30,</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520"/>
              <w:spacing w:after="0"/>
              <w:rPr>
                <w:sz w:val="20"/>
                <w:szCs w:val="20"/>
                <w:color w:val="auto"/>
              </w:rPr>
            </w:pPr>
            <w:r>
              <w:rPr>
                <w:rFonts w:ascii="Arial" w:cs="Arial" w:eastAsia="Arial" w:hAnsi="Arial"/>
                <w:sz w:val="16"/>
                <w:szCs w:val="16"/>
                <w:color w:val="auto"/>
                <w:w w:val="91"/>
              </w:rPr>
              <w:t>June 30,</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340" w:type="dxa"/>
            <w:vAlign w:val="bottom"/>
          </w:tcPr>
          <w:p>
            <w:pPr>
              <w:spacing w:after="0"/>
              <w:rPr>
                <w:sz w:val="23"/>
                <w:szCs w:val="23"/>
                <w:color w:val="auto"/>
              </w:rPr>
            </w:pPr>
          </w:p>
        </w:tc>
        <w:tc>
          <w:tcPr>
            <w:tcW w:w="600" w:type="dxa"/>
            <w:vAlign w:val="bottom"/>
          </w:tcPr>
          <w:p>
            <w:pPr>
              <w:jc w:val="right"/>
              <w:ind w:right="179"/>
              <w:spacing w:after="0"/>
              <w:rPr>
                <w:sz w:val="20"/>
                <w:szCs w:val="20"/>
                <w:color w:val="auto"/>
              </w:rPr>
            </w:pPr>
            <w:r>
              <w:rPr>
                <w:rFonts w:ascii="Arial" w:cs="Arial" w:eastAsia="Arial" w:hAnsi="Arial"/>
                <w:sz w:val="16"/>
                <w:szCs w:val="16"/>
                <w:color w:val="auto"/>
                <w:w w:val="89"/>
              </w:rPr>
              <w:t>2017</w:t>
            </w:r>
          </w:p>
        </w:tc>
        <w:tc>
          <w:tcPr>
            <w:tcW w:w="24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w w:val="95"/>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23"/>
                <w:szCs w:val="23"/>
                <w:color w:val="auto"/>
              </w:rPr>
            </w:pPr>
          </w:p>
        </w:tc>
        <w:tc>
          <w:tcPr>
            <w:tcW w:w="660" w:type="dxa"/>
            <w:vAlign w:val="bottom"/>
          </w:tcPr>
          <w:p>
            <w:pPr>
              <w:jc w:val="right"/>
              <w:ind w:right="239"/>
              <w:spacing w:after="0"/>
              <w:rPr>
                <w:sz w:val="20"/>
                <w:szCs w:val="20"/>
                <w:color w:val="auto"/>
              </w:rPr>
            </w:pPr>
            <w:r>
              <w:rPr>
                <w:rFonts w:ascii="Arial" w:cs="Arial" w:eastAsia="Arial" w:hAnsi="Arial"/>
                <w:sz w:val="16"/>
                <w:szCs w:val="16"/>
                <w:color w:val="auto"/>
                <w:w w:val="89"/>
              </w:rPr>
              <w:t>2017</w:t>
            </w:r>
          </w:p>
        </w:tc>
        <w:tc>
          <w:tcPr>
            <w:tcW w:w="260" w:type="dxa"/>
            <w:vAlign w:val="bottom"/>
          </w:tcPr>
          <w:p>
            <w:pPr>
              <w:spacing w:after="0"/>
              <w:rPr>
                <w:sz w:val="23"/>
                <w:szCs w:val="23"/>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3"/>
                <w:szCs w:val="23"/>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w w:val="95"/>
              </w:rPr>
              <w:t>2017</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91,000</w:t>
            </w:r>
          </w:p>
        </w:tc>
        <w:tc>
          <w:tcPr>
            <w:tcW w:w="34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81,251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325,751</w:t>
            </w:r>
          </w:p>
        </w:tc>
        <w:tc>
          <w:tcPr>
            <w:tcW w:w="2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286,603</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52,697</w:t>
            </w:r>
          </w:p>
        </w:tc>
        <w:tc>
          <w:tcPr>
            <w:tcW w:w="36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49,193</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149,474</w:t>
            </w:r>
          </w:p>
        </w:tc>
        <w:tc>
          <w:tcPr>
            <w:tcW w:w="3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140,244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34,031</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31,054</w:t>
            </w:r>
          </w:p>
        </w:tc>
        <w:tc>
          <w:tcPr>
            <w:tcW w:w="2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129,036</w:t>
            </w: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112,790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14,807</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14,035</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47,010</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43,834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6,565</w:t>
            </w:r>
          </w:p>
        </w:tc>
        <w:tc>
          <w:tcPr>
            <w:tcW w:w="3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4,281</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12,547</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9,227</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1,639</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1,026</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3,313</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3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4,264</w:t>
            </w:r>
          </w:p>
        </w:tc>
        <w:tc>
          <w:tcPr>
            <w:tcW w:w="100" w:type="dxa"/>
            <w:vAlign w:val="bottom"/>
            <w:tcBorders>
              <w:bottom w:val="single" w:sz="8" w:color="CEFFE7"/>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w:t>
            </w: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Distribution</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131,851</w:t>
            </w:r>
          </w:p>
        </w:tc>
        <w:tc>
          <w:tcPr>
            <w:tcW w:w="3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6"/>
              </w:rPr>
              <w:t>118,462</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460,058</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412,884</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69,398</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66,130</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192,521</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190,850</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Transportation and Transmission</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29,361</w:t>
            </w:r>
          </w:p>
        </w:tc>
        <w:tc>
          <w:tcPr>
            <w:tcW w:w="3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28,377</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71,422</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66,651</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29,361</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28,377</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71,422</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66,651</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Regulated</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161,212</w:t>
            </w:r>
          </w:p>
        </w:tc>
        <w:tc>
          <w:tcPr>
            <w:tcW w:w="3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6"/>
              </w:rPr>
              <w:t>146,839</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531,480</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479,535</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98,759</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94,507</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263,943</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257,501</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Non-regulated Services</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16,408</w:t>
            </w:r>
          </w:p>
        </w:tc>
        <w:tc>
          <w:tcPr>
            <w:tcW w:w="3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19,608</w:t>
            </w: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43,484</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51,822</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10,807</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9,590</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33,282</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30,124</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Gas Revenue &amp; Gross Margin</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177,620</w:t>
            </w:r>
          </w:p>
        </w:tc>
        <w:tc>
          <w:tcPr>
            <w:tcW w:w="34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6"/>
              </w:rPr>
              <w:t>166,447</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574,964</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531,357</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109,566</w:t>
            </w:r>
          </w:p>
        </w:tc>
        <w:tc>
          <w:tcPr>
            <w:tcW w:w="36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6"/>
              </w:rPr>
              <w:t>104,097</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297,225</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287,625</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Non-GAAP measure</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Includes </w:t>
      </w:r>
      <w:r>
        <w:rPr>
          <w:rFonts w:ascii="Arial" w:cs="Arial" w:eastAsia="Arial" w:hAnsi="Arial"/>
          <w:sz w:val="16"/>
          <w:szCs w:val="16"/>
          <w:color w:val="auto"/>
        </w:rPr>
        <w:t>current year reserve to revenue to reflect the reduction of the lower federal income tax rate from the TCJA on our existing rate tariffs.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w w:val="90"/>
              </w:rPr>
              <w:t>Revenue (in thousands)</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color w:val="auto"/>
                <w:w w:val="89"/>
              </w:rPr>
              <w:t xml:space="preserve">Gross Margin </w:t>
            </w:r>
            <w:r>
              <w:rPr>
                <w:rFonts w:ascii="Arial" w:cs="Arial" w:eastAsia="Arial" w:hAnsi="Arial"/>
                <w:sz w:val="21"/>
                <w:szCs w:val="21"/>
                <w:color w:val="auto"/>
                <w:w w:val="89"/>
                <w:vertAlign w:val="superscript"/>
              </w:rPr>
              <w:t>(a)</w:t>
            </w:r>
            <w:r>
              <w:rPr>
                <w:rFonts w:ascii="Arial" w:cs="Arial" w:eastAsia="Arial" w:hAnsi="Arial"/>
                <w:sz w:val="16"/>
                <w:szCs w:val="16"/>
                <w:color w:val="auto"/>
                <w:w w:val="89"/>
              </w:rPr>
              <w:t xml:space="preserve"> (in thousands)</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119"/>
              <w:spacing w:after="0"/>
              <w:rPr>
                <w:sz w:val="20"/>
                <w:szCs w:val="20"/>
                <w:color w:val="auto"/>
              </w:rPr>
            </w:pPr>
            <w:r>
              <w:rPr>
                <w:rFonts w:ascii="Arial" w:cs="Arial" w:eastAsia="Arial" w:hAnsi="Arial"/>
                <w:sz w:val="16"/>
                <w:szCs w:val="16"/>
                <w:color w:val="auto"/>
                <w:w w:val="95"/>
              </w:rPr>
              <w:t>Three Months Ended</w:t>
            </w:r>
          </w:p>
        </w:tc>
        <w:tc>
          <w:tcPr>
            <w:tcW w:w="240" w:type="dxa"/>
            <w:vAlign w:val="bottom"/>
          </w:tcPr>
          <w:p>
            <w:pPr>
              <w:spacing w:after="0"/>
              <w:rPr>
                <w:sz w:val="18"/>
                <w:szCs w:val="18"/>
                <w:color w:val="auto"/>
              </w:rPr>
            </w:pPr>
          </w:p>
        </w:tc>
        <w:tc>
          <w:tcPr>
            <w:tcW w:w="1740" w:type="dxa"/>
            <w:vAlign w:val="bottom"/>
            <w:gridSpan w:val="4"/>
          </w:tcPr>
          <w:p>
            <w:pPr>
              <w:ind w:left="140"/>
              <w:spacing w:after="0"/>
              <w:rPr>
                <w:sz w:val="20"/>
                <w:szCs w:val="20"/>
                <w:color w:val="auto"/>
              </w:rPr>
            </w:pPr>
            <w:r>
              <w:rPr>
                <w:rFonts w:ascii="Arial" w:cs="Arial" w:eastAsia="Arial" w:hAnsi="Arial"/>
                <w:sz w:val="16"/>
                <w:szCs w:val="16"/>
                <w:color w:val="auto"/>
              </w:rPr>
              <w:t>Six Months Ended</w:t>
            </w:r>
          </w:p>
        </w:tc>
        <w:tc>
          <w:tcPr>
            <w:tcW w:w="240" w:type="dxa"/>
            <w:vAlign w:val="bottom"/>
          </w:tcPr>
          <w:p>
            <w:pPr>
              <w:spacing w:after="0"/>
              <w:rPr>
                <w:sz w:val="18"/>
                <w:szCs w:val="18"/>
                <w:color w:val="auto"/>
              </w:rPr>
            </w:pPr>
          </w:p>
        </w:tc>
        <w:tc>
          <w:tcPr>
            <w:tcW w:w="1760" w:type="dxa"/>
            <w:vAlign w:val="bottom"/>
            <w:gridSpan w:val="3"/>
          </w:tcPr>
          <w:p>
            <w:pPr>
              <w:ind w:left="12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8"/>
                <w:szCs w:val="18"/>
                <w:color w:val="auto"/>
              </w:rPr>
            </w:pPr>
          </w:p>
        </w:tc>
        <w:tc>
          <w:tcPr>
            <w:tcW w:w="1800" w:type="dxa"/>
            <w:vAlign w:val="bottom"/>
            <w:gridSpan w:val="3"/>
          </w:tcPr>
          <w:p>
            <w:pPr>
              <w:jc w:val="right"/>
              <w:ind w:right="31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519"/>
              <w:spacing w:after="0"/>
              <w:rPr>
                <w:sz w:val="20"/>
                <w:szCs w:val="20"/>
                <w:color w:val="auto"/>
              </w:rPr>
            </w:pPr>
            <w:r>
              <w:rPr>
                <w:rFonts w:ascii="Arial" w:cs="Arial" w:eastAsia="Arial" w:hAnsi="Arial"/>
                <w:sz w:val="16"/>
                <w:szCs w:val="16"/>
                <w:color w:val="auto"/>
              </w:rPr>
              <w:t>June 30,</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520"/>
              <w:spacing w:after="0"/>
              <w:rPr>
                <w:sz w:val="20"/>
                <w:szCs w:val="20"/>
                <w:color w:val="auto"/>
              </w:rPr>
            </w:pPr>
            <w:r>
              <w:rPr>
                <w:rFonts w:ascii="Arial" w:cs="Arial" w:eastAsia="Arial" w:hAnsi="Arial"/>
                <w:sz w:val="16"/>
                <w:szCs w:val="16"/>
                <w:color w:val="auto"/>
                <w:w w:val="91"/>
              </w:rPr>
              <w:t>June 30,</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June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23"/>
                <w:szCs w:val="23"/>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3"/>
                <w:szCs w:val="23"/>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w w:val="95"/>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23"/>
                <w:szCs w:val="23"/>
                <w:color w:val="auto"/>
              </w:rPr>
            </w:pPr>
          </w:p>
        </w:tc>
        <w:tc>
          <w:tcPr>
            <w:tcW w:w="660" w:type="dxa"/>
            <w:vAlign w:val="bottom"/>
          </w:tcPr>
          <w:p>
            <w:pPr>
              <w:jc w:val="right"/>
              <w:ind w:right="239"/>
              <w:spacing w:after="0"/>
              <w:rPr>
                <w:sz w:val="20"/>
                <w:szCs w:val="20"/>
                <w:color w:val="auto"/>
              </w:rPr>
            </w:pPr>
            <w:r>
              <w:rPr>
                <w:rFonts w:ascii="Arial" w:cs="Arial" w:eastAsia="Arial" w:hAnsi="Arial"/>
                <w:sz w:val="16"/>
                <w:szCs w:val="16"/>
                <w:color w:val="auto"/>
                <w:w w:val="89"/>
              </w:rPr>
              <w:t>2017</w:t>
            </w:r>
          </w:p>
        </w:tc>
        <w:tc>
          <w:tcPr>
            <w:tcW w:w="260" w:type="dxa"/>
            <w:vAlign w:val="bottom"/>
          </w:tcPr>
          <w:p>
            <w:pPr>
              <w:spacing w:after="0"/>
              <w:rPr>
                <w:sz w:val="23"/>
                <w:szCs w:val="23"/>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3"/>
                <w:szCs w:val="23"/>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w w:val="95"/>
              </w:rPr>
              <w:t>2017</w:t>
            </w:r>
          </w:p>
        </w:tc>
        <w:tc>
          <w:tcPr>
            <w:tcW w:w="0" w:type="dxa"/>
            <w:vAlign w:val="bottom"/>
          </w:tcPr>
          <w:p>
            <w:pPr>
              <w:spacing w:after="0"/>
              <w:rPr>
                <w:sz w:val="1"/>
                <w:szCs w:val="1"/>
                <w:color w:val="auto"/>
              </w:rPr>
            </w:pPr>
          </w:p>
        </w:tc>
      </w:tr>
      <w:tr>
        <w:trPr>
          <w:trHeight w:val="33"/>
        </w:trPr>
        <w:tc>
          <w:tcPr>
            <w:tcW w:w="3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Arkansas</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27,095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24,145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97,483</w:t>
            </w:r>
          </w:p>
        </w:tc>
        <w:tc>
          <w:tcPr>
            <w:tcW w:w="3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85,243</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16,471</w:t>
            </w:r>
          </w:p>
        </w:tc>
        <w:tc>
          <w:tcPr>
            <w:tcW w:w="36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15,568</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52,388</w:t>
            </w:r>
          </w:p>
        </w:tc>
        <w:tc>
          <w:tcPr>
            <w:tcW w:w="3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52,877</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Colorado</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32,138</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31,665</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103,536</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98,844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18,562</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18,810</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51,707</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53,173</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Nebraska</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48,993</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45,396</w:t>
            </w:r>
          </w:p>
        </w:tc>
        <w:tc>
          <w:tcPr>
            <w:tcW w:w="24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155,754</w:t>
            </w:r>
          </w:p>
        </w:tc>
        <w:tc>
          <w:tcPr>
            <w:tcW w:w="32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143,711</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32,801</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29,376</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86,661</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79,128</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Iowa</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27,102</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23,462</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94,986</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80,910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14,648</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14,262</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37,074</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35,714</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Kansas</w:t>
            </w:r>
          </w:p>
        </w:tc>
        <w:tc>
          <w:tcPr>
            <w:tcW w:w="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21,002</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18,326</w:t>
            </w:r>
          </w:p>
        </w:tc>
        <w:tc>
          <w:tcPr>
            <w:tcW w:w="24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63,383</w:t>
            </w:r>
          </w:p>
        </w:tc>
        <w:tc>
          <w:tcPr>
            <w:tcW w:w="32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57,275</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11,870</w:t>
            </w:r>
          </w:p>
        </w:tc>
        <w:tc>
          <w:tcPr>
            <w:tcW w:w="36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11,140</w:t>
            </w:r>
          </w:p>
        </w:tc>
        <w:tc>
          <w:tcPr>
            <w:tcW w:w="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29,767</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28,603</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Wyoming</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21,290</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23,453</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59,822</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65,374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15,214</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14,941</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39,628</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38,130</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Gas Revenue &amp; Gross Margin</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177,620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166,447</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574,964</w:t>
            </w:r>
          </w:p>
        </w:tc>
        <w:tc>
          <w:tcPr>
            <w:tcW w:w="32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531,357</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109,566</w:t>
            </w:r>
          </w:p>
        </w:tc>
        <w:tc>
          <w:tcPr>
            <w:tcW w:w="36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6"/>
              </w:rPr>
              <w:t>104,097</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297,225</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287,625</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Non-GAAP measure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900" w:type="dxa"/>
            <w:vAlign w:val="bottom"/>
            <w:gridSpan w:val="2"/>
          </w:tcPr>
          <w:p>
            <w:pPr>
              <w:jc w:val="right"/>
              <w:ind w:right="759"/>
              <w:spacing w:after="0"/>
              <w:rPr>
                <w:sz w:val="20"/>
                <w:szCs w:val="20"/>
                <w:color w:val="auto"/>
              </w:rPr>
            </w:pPr>
            <w:r>
              <w:rPr>
                <w:rFonts w:ascii="Arial" w:cs="Arial" w:eastAsia="Arial" w:hAnsi="Arial"/>
                <w:sz w:val="16"/>
                <w:szCs w:val="16"/>
                <w:color w:val="auto"/>
              </w:rPr>
              <w:t>Three Months Ended</w:t>
            </w:r>
          </w:p>
        </w:tc>
        <w:tc>
          <w:tcPr>
            <w:tcW w:w="2560" w:type="dxa"/>
            <w:vAlign w:val="bottom"/>
            <w:gridSpan w:val="2"/>
          </w:tcPr>
          <w:p>
            <w:pPr>
              <w:jc w:val="right"/>
              <w:ind w:right="659"/>
              <w:spacing w:after="0"/>
              <w:rPr>
                <w:sz w:val="20"/>
                <w:szCs w:val="20"/>
                <w:color w:val="auto"/>
              </w:rPr>
            </w:pPr>
            <w:r>
              <w:rPr>
                <w:rFonts w:ascii="Arial" w:cs="Arial" w:eastAsia="Arial" w:hAnsi="Arial"/>
                <w:sz w:val="16"/>
                <w:szCs w:val="16"/>
                <w:color w:val="auto"/>
              </w:rPr>
              <w:t>Six Months Ended</w:t>
            </w:r>
          </w:p>
        </w:tc>
      </w:tr>
      <w:tr>
        <w:trPr>
          <w:trHeight w:val="206"/>
        </w:trPr>
        <w:tc>
          <w:tcPr>
            <w:tcW w:w="5960" w:type="dxa"/>
            <w:vAlign w:val="bottom"/>
          </w:tcPr>
          <w:p>
            <w:pPr>
              <w:spacing w:after="0"/>
              <w:rPr>
                <w:sz w:val="17"/>
                <w:szCs w:val="17"/>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June 30,</w:t>
            </w:r>
          </w:p>
        </w:tc>
        <w:tc>
          <w:tcPr>
            <w:tcW w:w="1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June 30,</w:t>
            </w:r>
          </w:p>
        </w:tc>
        <w:tc>
          <w:tcPr>
            <w:tcW w:w="1000" w:type="dxa"/>
            <w:vAlign w:val="bottom"/>
          </w:tcPr>
          <w:p>
            <w:pPr>
              <w:spacing w:after="0"/>
              <w:rPr>
                <w:sz w:val="17"/>
                <w:szCs w:val="17"/>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Gas Utilities Quantities Sold &amp; Transported (Dth)</w:t>
            </w:r>
          </w:p>
        </w:tc>
        <w:tc>
          <w:tcPr>
            <w:tcW w:w="1780" w:type="dxa"/>
            <w:vAlign w:val="bottom"/>
          </w:tcPr>
          <w:p>
            <w:pPr>
              <w:jc w:val="right"/>
              <w:ind w:right="859"/>
              <w:spacing w:after="0"/>
              <w:rPr>
                <w:sz w:val="20"/>
                <w:szCs w:val="20"/>
                <w:color w:val="auto"/>
              </w:rPr>
            </w:pPr>
            <w:r>
              <w:rPr>
                <w:rFonts w:ascii="Arial" w:cs="Arial" w:eastAsia="Arial" w:hAnsi="Arial"/>
                <w:sz w:val="16"/>
                <w:szCs w:val="16"/>
                <w:color w:val="auto"/>
              </w:rPr>
              <w:t>2018</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2017</w:t>
            </w:r>
          </w:p>
        </w:tc>
        <w:tc>
          <w:tcPr>
            <w:tcW w:w="1560" w:type="dxa"/>
            <w:vAlign w:val="bottom"/>
          </w:tcPr>
          <w:p>
            <w:pPr>
              <w:jc w:val="right"/>
              <w:ind w:right="799"/>
              <w:spacing w:after="0"/>
              <w:rPr>
                <w:sz w:val="20"/>
                <w:szCs w:val="20"/>
                <w:color w:val="auto"/>
              </w:rPr>
            </w:pPr>
            <w:r>
              <w:rPr>
                <w:rFonts w:ascii="Arial" w:cs="Arial" w:eastAsia="Arial" w:hAnsi="Arial"/>
                <w:sz w:val="16"/>
                <w:szCs w:val="16"/>
                <w:color w:val="auto"/>
              </w:rPr>
              <w:t>2018</w:t>
            </w: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2017</w:t>
            </w:r>
          </w:p>
        </w:tc>
      </w:tr>
      <w:tr>
        <w:trPr>
          <w:trHeight w:val="33"/>
        </w:trPr>
        <w:tc>
          <w:tcPr>
            <w:tcW w:w="59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8,837,588</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7,101,336</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38,933,825</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32,369,470</w:t>
            </w:r>
          </w:p>
        </w:tc>
      </w:tr>
      <w:tr>
        <w:trPr>
          <w:trHeight w:val="33"/>
        </w:trPr>
        <w:tc>
          <w:tcPr>
            <w:tcW w:w="5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178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4,615,571</w:t>
            </w:r>
          </w:p>
        </w:tc>
        <w:tc>
          <w:tcPr>
            <w:tcW w:w="11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3,960,957</w:t>
            </w:r>
          </w:p>
        </w:tc>
        <w:tc>
          <w:tcPr>
            <w:tcW w:w="1560" w:type="dxa"/>
            <w:vAlign w:val="bottom"/>
            <w:tcBorders>
              <w:bottom w:val="single" w:sz="8" w:color="CEFFE7"/>
            </w:tcBorders>
            <w:shd w:val="clear" w:color="auto" w:fill="CEFFE7"/>
          </w:tcPr>
          <w:p>
            <w:pPr>
              <w:jc w:val="right"/>
              <w:ind w:right="379"/>
              <w:spacing w:after="0"/>
              <w:rPr>
                <w:sz w:val="20"/>
                <w:szCs w:val="20"/>
                <w:color w:val="auto"/>
              </w:rPr>
            </w:pPr>
            <w:r>
              <w:rPr>
                <w:rFonts w:ascii="Arial" w:cs="Arial" w:eastAsia="Arial" w:hAnsi="Arial"/>
                <w:sz w:val="16"/>
                <w:szCs w:val="16"/>
                <w:color w:val="auto"/>
              </w:rPr>
              <w:t>18,564,692</w:t>
            </w:r>
          </w:p>
        </w:tc>
        <w:tc>
          <w:tcPr>
            <w:tcW w:w="10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15,665,271</w:t>
            </w: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1,747,702</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1,041,032</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2,931,319</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1,967,919</w:t>
            </w:r>
          </w:p>
        </w:tc>
      </w:tr>
      <w:tr>
        <w:trPr>
          <w:trHeight w:val="33"/>
        </w:trPr>
        <w:tc>
          <w:tcPr>
            <w:tcW w:w="596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Distribution Quantities Sold</w:t>
            </w:r>
          </w:p>
        </w:tc>
        <w:tc>
          <w:tcPr>
            <w:tcW w:w="178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15,200,861</w:t>
            </w:r>
          </w:p>
        </w:tc>
        <w:tc>
          <w:tcPr>
            <w:tcW w:w="11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12,103,325</w:t>
            </w:r>
          </w:p>
        </w:tc>
        <w:tc>
          <w:tcPr>
            <w:tcW w:w="1560" w:type="dxa"/>
            <w:vAlign w:val="bottom"/>
            <w:tcBorders>
              <w:bottom w:val="single" w:sz="8" w:color="CEFFE7"/>
            </w:tcBorders>
            <w:shd w:val="clear" w:color="auto" w:fill="CEFFE7"/>
          </w:tcPr>
          <w:p>
            <w:pPr>
              <w:jc w:val="right"/>
              <w:ind w:right="379"/>
              <w:spacing w:after="0"/>
              <w:rPr>
                <w:sz w:val="20"/>
                <w:szCs w:val="20"/>
                <w:color w:val="auto"/>
              </w:rPr>
            </w:pPr>
            <w:r>
              <w:rPr>
                <w:rFonts w:ascii="Arial" w:cs="Arial" w:eastAsia="Arial" w:hAnsi="Arial"/>
                <w:sz w:val="16"/>
                <w:szCs w:val="16"/>
                <w:color w:val="auto"/>
              </w:rPr>
              <w:t>60,429,836</w:t>
            </w:r>
          </w:p>
        </w:tc>
        <w:tc>
          <w:tcPr>
            <w:tcW w:w="10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50,002,660</w:t>
            </w:r>
          </w:p>
        </w:tc>
      </w:tr>
      <w:tr>
        <w:trPr>
          <w:trHeight w:val="223"/>
        </w:trPr>
        <w:tc>
          <w:tcPr>
            <w:tcW w:w="596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Transportation and Transmission</w:t>
            </w:r>
          </w:p>
        </w:tc>
        <w:tc>
          <w:tcPr>
            <w:tcW w:w="178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32,846,279</w:t>
            </w:r>
          </w:p>
        </w:tc>
        <w:tc>
          <w:tcPr>
            <w:tcW w:w="11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30,924,304</w:t>
            </w:r>
          </w:p>
        </w:tc>
        <w:tc>
          <w:tcPr>
            <w:tcW w:w="1560" w:type="dxa"/>
            <w:vAlign w:val="bottom"/>
            <w:tcBorders>
              <w:bottom w:val="single" w:sz="8" w:color="CEFFE7"/>
            </w:tcBorders>
            <w:shd w:val="clear" w:color="auto" w:fill="CEFFE7"/>
          </w:tcPr>
          <w:p>
            <w:pPr>
              <w:jc w:val="right"/>
              <w:ind w:right="379"/>
              <w:spacing w:after="0"/>
              <w:rPr>
                <w:sz w:val="20"/>
                <w:szCs w:val="20"/>
                <w:color w:val="auto"/>
              </w:rPr>
            </w:pPr>
            <w:r>
              <w:rPr>
                <w:rFonts w:ascii="Arial" w:cs="Arial" w:eastAsia="Arial" w:hAnsi="Arial"/>
                <w:sz w:val="16"/>
                <w:szCs w:val="16"/>
                <w:color w:val="auto"/>
              </w:rPr>
              <w:t>77,579,754</w:t>
            </w:r>
          </w:p>
        </w:tc>
        <w:tc>
          <w:tcPr>
            <w:tcW w:w="10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71,737,178</w:t>
            </w:r>
          </w:p>
        </w:tc>
      </w:tr>
      <w:tr>
        <w:trPr>
          <w:trHeight w:val="230"/>
        </w:trPr>
        <w:tc>
          <w:tcPr>
            <w:tcW w:w="5960" w:type="dxa"/>
            <w:vAlign w:val="bottom"/>
            <w:tcBorders>
              <w:bottom w:val="single" w:sz="8" w:color="CEFFE7"/>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44"/>
        </w:trPr>
        <w:tc>
          <w:tcPr>
            <w:tcW w:w="59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Total Quantities Sold &amp; Transported</w:t>
            </w:r>
          </w:p>
        </w:tc>
        <w:tc>
          <w:tcPr>
            <w:tcW w:w="178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48,047,140</w:t>
            </w:r>
          </w:p>
        </w:tc>
        <w:tc>
          <w:tcPr>
            <w:tcW w:w="112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43,027,629</w:t>
            </w:r>
          </w:p>
        </w:tc>
        <w:tc>
          <w:tcPr>
            <w:tcW w:w="1560" w:type="dxa"/>
            <w:vAlign w:val="bottom"/>
            <w:tcBorders>
              <w:bottom w:val="single" w:sz="8" w:color="auto"/>
            </w:tcBorders>
            <w:shd w:val="clear" w:color="auto" w:fill="CEFFE7"/>
          </w:tcPr>
          <w:p>
            <w:pPr>
              <w:jc w:val="right"/>
              <w:ind w:right="379"/>
              <w:spacing w:after="0"/>
              <w:rPr>
                <w:sz w:val="20"/>
                <w:szCs w:val="20"/>
                <w:color w:val="auto"/>
              </w:rPr>
            </w:pPr>
            <w:r>
              <w:rPr>
                <w:rFonts w:ascii="Arial" w:cs="Arial" w:eastAsia="Arial" w:hAnsi="Arial"/>
                <w:sz w:val="16"/>
                <w:szCs w:val="16"/>
                <w:color w:val="auto"/>
              </w:rPr>
              <w:t>138,009,590</w:t>
            </w:r>
          </w:p>
        </w:tc>
        <w:tc>
          <w:tcPr>
            <w:tcW w:w="10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121,739,838</w:t>
            </w:r>
          </w:p>
        </w:tc>
      </w:tr>
      <w:tr>
        <w:trPr>
          <w:trHeight w:val="20"/>
        </w:trPr>
        <w:tc>
          <w:tcPr>
            <w:tcW w:w="59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71"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900" w:type="dxa"/>
            <w:vAlign w:val="bottom"/>
            <w:gridSpan w:val="2"/>
          </w:tcPr>
          <w:p>
            <w:pPr>
              <w:jc w:val="right"/>
              <w:ind w:right="759"/>
              <w:spacing w:after="0"/>
              <w:rPr>
                <w:sz w:val="20"/>
                <w:szCs w:val="20"/>
                <w:color w:val="auto"/>
              </w:rPr>
            </w:pPr>
            <w:r>
              <w:rPr>
                <w:rFonts w:ascii="Arial" w:cs="Arial" w:eastAsia="Arial" w:hAnsi="Arial"/>
                <w:sz w:val="16"/>
                <w:szCs w:val="16"/>
                <w:color w:val="auto"/>
              </w:rPr>
              <w:t>Three Months Ended</w:t>
            </w:r>
          </w:p>
        </w:tc>
        <w:tc>
          <w:tcPr>
            <w:tcW w:w="2560" w:type="dxa"/>
            <w:vAlign w:val="bottom"/>
            <w:gridSpan w:val="2"/>
          </w:tcPr>
          <w:p>
            <w:pPr>
              <w:jc w:val="right"/>
              <w:ind w:right="659"/>
              <w:spacing w:after="0"/>
              <w:rPr>
                <w:sz w:val="20"/>
                <w:szCs w:val="20"/>
                <w:color w:val="auto"/>
              </w:rPr>
            </w:pPr>
            <w:r>
              <w:rPr>
                <w:rFonts w:ascii="Arial" w:cs="Arial" w:eastAsia="Arial" w:hAnsi="Arial"/>
                <w:sz w:val="16"/>
                <w:szCs w:val="16"/>
                <w:color w:val="auto"/>
              </w:rPr>
              <w:t>Six Months Ended</w:t>
            </w:r>
          </w:p>
        </w:tc>
      </w:tr>
      <w:tr>
        <w:trPr>
          <w:trHeight w:val="206"/>
        </w:trPr>
        <w:tc>
          <w:tcPr>
            <w:tcW w:w="5960" w:type="dxa"/>
            <w:vAlign w:val="bottom"/>
          </w:tcPr>
          <w:p>
            <w:pPr>
              <w:spacing w:after="0"/>
              <w:rPr>
                <w:sz w:val="17"/>
                <w:szCs w:val="17"/>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June 30,</w:t>
            </w:r>
          </w:p>
        </w:tc>
        <w:tc>
          <w:tcPr>
            <w:tcW w:w="1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June 30,</w:t>
            </w:r>
          </w:p>
        </w:tc>
        <w:tc>
          <w:tcPr>
            <w:tcW w:w="1000" w:type="dxa"/>
            <w:vAlign w:val="bottom"/>
          </w:tcPr>
          <w:p>
            <w:pPr>
              <w:spacing w:after="0"/>
              <w:rPr>
                <w:sz w:val="17"/>
                <w:szCs w:val="17"/>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Gas Utilities Quantities Sold &amp; Transported (Dth)</w:t>
            </w:r>
          </w:p>
        </w:tc>
        <w:tc>
          <w:tcPr>
            <w:tcW w:w="1780" w:type="dxa"/>
            <w:vAlign w:val="bottom"/>
          </w:tcPr>
          <w:p>
            <w:pPr>
              <w:jc w:val="right"/>
              <w:ind w:right="859"/>
              <w:spacing w:after="0"/>
              <w:rPr>
                <w:sz w:val="20"/>
                <w:szCs w:val="20"/>
                <w:color w:val="auto"/>
              </w:rPr>
            </w:pPr>
            <w:r>
              <w:rPr>
                <w:rFonts w:ascii="Arial" w:cs="Arial" w:eastAsia="Arial" w:hAnsi="Arial"/>
                <w:sz w:val="16"/>
                <w:szCs w:val="16"/>
                <w:color w:val="auto"/>
              </w:rPr>
              <w:t>2018</w:t>
            </w:r>
          </w:p>
        </w:tc>
        <w:tc>
          <w:tcPr>
            <w:tcW w:w="1120" w:type="dxa"/>
            <w:vAlign w:val="bottom"/>
          </w:tcPr>
          <w:p>
            <w:pPr>
              <w:jc w:val="right"/>
              <w:ind w:right="599"/>
              <w:spacing w:after="0"/>
              <w:rPr>
                <w:sz w:val="20"/>
                <w:szCs w:val="20"/>
                <w:color w:val="auto"/>
              </w:rPr>
            </w:pPr>
            <w:r>
              <w:rPr>
                <w:rFonts w:ascii="Arial" w:cs="Arial" w:eastAsia="Arial" w:hAnsi="Arial"/>
                <w:sz w:val="16"/>
                <w:szCs w:val="16"/>
                <w:color w:val="auto"/>
              </w:rPr>
              <w:t>2017</w:t>
            </w:r>
          </w:p>
        </w:tc>
        <w:tc>
          <w:tcPr>
            <w:tcW w:w="1560" w:type="dxa"/>
            <w:vAlign w:val="bottom"/>
          </w:tcPr>
          <w:p>
            <w:pPr>
              <w:jc w:val="right"/>
              <w:ind w:right="799"/>
              <w:spacing w:after="0"/>
              <w:rPr>
                <w:sz w:val="20"/>
                <w:szCs w:val="20"/>
                <w:color w:val="auto"/>
              </w:rPr>
            </w:pPr>
            <w:r>
              <w:rPr>
                <w:rFonts w:ascii="Arial" w:cs="Arial" w:eastAsia="Arial" w:hAnsi="Arial"/>
                <w:sz w:val="16"/>
                <w:szCs w:val="16"/>
                <w:color w:val="auto"/>
              </w:rPr>
              <w:t>2018</w:t>
            </w: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2017</w:t>
            </w:r>
          </w:p>
        </w:tc>
      </w:tr>
      <w:tr>
        <w:trPr>
          <w:trHeight w:val="33"/>
        </w:trPr>
        <w:tc>
          <w:tcPr>
            <w:tcW w:w="59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Arkansas</w:t>
            </w: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5,282,607</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5,069,939</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17,161,233</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14,282,024</w:t>
            </w:r>
          </w:p>
        </w:tc>
      </w:tr>
      <w:tr>
        <w:trPr>
          <w:trHeight w:val="33"/>
        </w:trPr>
        <w:tc>
          <w:tcPr>
            <w:tcW w:w="5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Colorado</w:t>
            </w:r>
          </w:p>
        </w:tc>
        <w:tc>
          <w:tcPr>
            <w:tcW w:w="178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4,705,454</w:t>
            </w:r>
          </w:p>
        </w:tc>
        <w:tc>
          <w:tcPr>
            <w:tcW w:w="11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5,057,411</w:t>
            </w:r>
          </w:p>
        </w:tc>
        <w:tc>
          <w:tcPr>
            <w:tcW w:w="1560" w:type="dxa"/>
            <w:vAlign w:val="bottom"/>
            <w:tcBorders>
              <w:bottom w:val="single" w:sz="8" w:color="CEFFE7"/>
            </w:tcBorders>
            <w:shd w:val="clear" w:color="auto" w:fill="CEFFE7"/>
          </w:tcPr>
          <w:p>
            <w:pPr>
              <w:jc w:val="right"/>
              <w:ind w:right="379"/>
              <w:spacing w:after="0"/>
              <w:rPr>
                <w:sz w:val="20"/>
                <w:szCs w:val="20"/>
                <w:color w:val="auto"/>
              </w:rPr>
            </w:pPr>
            <w:r>
              <w:rPr>
                <w:rFonts w:ascii="Arial" w:cs="Arial" w:eastAsia="Arial" w:hAnsi="Arial"/>
                <w:sz w:val="16"/>
                <w:szCs w:val="16"/>
                <w:color w:val="auto"/>
              </w:rPr>
              <w:t>16,408,805</w:t>
            </w:r>
          </w:p>
        </w:tc>
        <w:tc>
          <w:tcPr>
            <w:tcW w:w="10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16,045,055</w:t>
            </w: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Nebraska</w:t>
            </w: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16,405,326</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13,908,566</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44,392,550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38,181,355</w:t>
            </w:r>
          </w:p>
        </w:tc>
      </w:tr>
      <w:tr>
        <w:trPr>
          <w:trHeight w:val="33"/>
        </w:trPr>
        <w:tc>
          <w:tcPr>
            <w:tcW w:w="5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Iowa</w:t>
            </w:r>
          </w:p>
        </w:tc>
        <w:tc>
          <w:tcPr>
            <w:tcW w:w="178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7,429,328</w:t>
            </w:r>
          </w:p>
        </w:tc>
        <w:tc>
          <w:tcPr>
            <w:tcW w:w="11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6,631,758</w:t>
            </w:r>
          </w:p>
        </w:tc>
        <w:tc>
          <w:tcPr>
            <w:tcW w:w="1560" w:type="dxa"/>
            <w:vAlign w:val="bottom"/>
            <w:tcBorders>
              <w:bottom w:val="single" w:sz="8" w:color="CEFFE7"/>
            </w:tcBorders>
            <w:shd w:val="clear" w:color="auto" w:fill="CEFFE7"/>
          </w:tcPr>
          <w:p>
            <w:pPr>
              <w:jc w:val="right"/>
              <w:ind w:right="379"/>
              <w:spacing w:after="0"/>
              <w:rPr>
                <w:sz w:val="20"/>
                <w:szCs w:val="20"/>
                <w:color w:val="auto"/>
              </w:rPr>
            </w:pPr>
            <w:r>
              <w:rPr>
                <w:rFonts w:ascii="Arial" w:cs="Arial" w:eastAsia="Arial" w:hAnsi="Arial"/>
                <w:sz w:val="16"/>
                <w:szCs w:val="16"/>
                <w:color w:val="auto"/>
              </w:rPr>
              <w:t>22,932,317</w:t>
            </w:r>
          </w:p>
        </w:tc>
        <w:tc>
          <w:tcPr>
            <w:tcW w:w="10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20,126,770</w:t>
            </w: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Kansas</w:t>
            </w: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6,929,756</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5,196,050</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17,227,084</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13,705,368</w:t>
            </w:r>
          </w:p>
        </w:tc>
      </w:tr>
      <w:tr>
        <w:trPr>
          <w:trHeight w:val="33"/>
        </w:trPr>
        <w:tc>
          <w:tcPr>
            <w:tcW w:w="5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Wyoming</w:t>
            </w:r>
          </w:p>
        </w:tc>
        <w:tc>
          <w:tcPr>
            <w:tcW w:w="1780" w:type="dxa"/>
            <w:vAlign w:val="bottom"/>
            <w:tcBorders>
              <w:bottom w:val="single" w:sz="8" w:color="CEFFE7"/>
            </w:tcBorders>
            <w:shd w:val="clear" w:color="auto" w:fill="CEFFE7"/>
          </w:tcPr>
          <w:p>
            <w:pPr>
              <w:jc w:val="right"/>
              <w:ind w:right="459"/>
              <w:spacing w:after="0"/>
              <w:rPr>
                <w:sz w:val="20"/>
                <w:szCs w:val="20"/>
                <w:color w:val="auto"/>
              </w:rPr>
            </w:pPr>
            <w:r>
              <w:rPr>
                <w:rFonts w:ascii="Arial" w:cs="Arial" w:eastAsia="Arial" w:hAnsi="Arial"/>
                <w:sz w:val="16"/>
                <w:szCs w:val="16"/>
                <w:color w:val="auto"/>
              </w:rPr>
              <w:t>7,294,669</w:t>
            </w:r>
          </w:p>
        </w:tc>
        <w:tc>
          <w:tcPr>
            <w:tcW w:w="11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7,163,905</w:t>
            </w:r>
          </w:p>
        </w:tc>
        <w:tc>
          <w:tcPr>
            <w:tcW w:w="1560" w:type="dxa"/>
            <w:vAlign w:val="bottom"/>
            <w:tcBorders>
              <w:bottom w:val="single" w:sz="8" w:color="CEFFE7"/>
            </w:tcBorders>
            <w:shd w:val="clear" w:color="auto" w:fill="CEFFE7"/>
          </w:tcPr>
          <w:p>
            <w:pPr>
              <w:jc w:val="right"/>
              <w:ind w:right="379"/>
              <w:spacing w:after="0"/>
              <w:rPr>
                <w:sz w:val="20"/>
                <w:szCs w:val="20"/>
                <w:color w:val="auto"/>
              </w:rPr>
            </w:pPr>
            <w:r>
              <w:rPr>
                <w:rFonts w:ascii="Arial" w:cs="Arial" w:eastAsia="Arial" w:hAnsi="Arial"/>
                <w:sz w:val="16"/>
                <w:szCs w:val="16"/>
                <w:color w:val="auto"/>
              </w:rPr>
              <w:t>19,887,601</w:t>
            </w:r>
          </w:p>
        </w:tc>
        <w:tc>
          <w:tcPr>
            <w:tcW w:w="10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19,399,266</w:t>
            </w:r>
          </w:p>
        </w:tc>
      </w:tr>
      <w:tr>
        <w:trPr>
          <w:trHeight w:val="244"/>
        </w:trPr>
        <w:tc>
          <w:tcPr>
            <w:tcW w:w="5960" w:type="dxa"/>
            <w:vAlign w:val="bottom"/>
          </w:tcPr>
          <w:p>
            <w:pPr>
              <w:ind w:left="280"/>
              <w:spacing w:after="0"/>
              <w:rPr>
                <w:sz w:val="20"/>
                <w:szCs w:val="20"/>
                <w:color w:val="auto"/>
              </w:rPr>
            </w:pPr>
            <w:r>
              <w:rPr>
                <w:rFonts w:ascii="Arial" w:cs="Arial" w:eastAsia="Arial" w:hAnsi="Arial"/>
                <w:sz w:val="16"/>
                <w:szCs w:val="16"/>
                <w:color w:val="auto"/>
              </w:rPr>
              <w:t>Total Quantities Sold &amp; Transported</w:t>
            </w:r>
          </w:p>
        </w:tc>
        <w:tc>
          <w:tcPr>
            <w:tcW w:w="17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48,047,140</w:t>
            </w:r>
          </w:p>
        </w:tc>
        <w:tc>
          <w:tcPr>
            <w:tcW w:w="11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43,027,629</w:t>
            </w:r>
          </w:p>
        </w:tc>
        <w:tc>
          <w:tcPr>
            <w:tcW w:w="1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138,009,590</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121,739,838</w:t>
            </w:r>
          </w:p>
        </w:tc>
      </w:tr>
      <w:tr>
        <w:trPr>
          <w:trHeight w:val="20"/>
        </w:trPr>
        <w:tc>
          <w:tcPr>
            <w:tcW w:w="59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6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Three Months Ended June 30,</w:t>
            </w:r>
          </w:p>
        </w:tc>
        <w:tc>
          <w:tcPr>
            <w:tcW w:w="1620" w:type="dxa"/>
            <w:vAlign w:val="bottom"/>
          </w:tcPr>
          <w:p>
            <w:pPr>
              <w:spacing w:after="0"/>
              <w:rPr>
                <w:sz w:val="20"/>
                <w:szCs w:val="20"/>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10"/>
              <w:spacing w:after="0"/>
              <w:rPr>
                <w:sz w:val="20"/>
                <w:szCs w:val="20"/>
                <w:color w:val="auto"/>
              </w:rPr>
            </w:pPr>
            <w:r>
              <w:rPr>
                <w:rFonts w:ascii="Arial" w:cs="Arial" w:eastAsia="Arial" w:hAnsi="Arial"/>
                <w:sz w:val="18"/>
                <w:szCs w:val="18"/>
                <w:color w:val="auto"/>
              </w:rPr>
              <w:t>2018</w:t>
            </w:r>
          </w:p>
        </w:tc>
        <w:tc>
          <w:tcPr>
            <w:tcW w:w="1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20" w:type="dxa"/>
            <w:vAlign w:val="bottom"/>
          </w:tcPr>
          <w:p>
            <w:pPr>
              <w:jc w:val="right"/>
              <w:ind w:right="1090"/>
              <w:spacing w:after="0"/>
              <w:rPr>
                <w:sz w:val="20"/>
                <w:szCs w:val="20"/>
                <w:color w:val="auto"/>
              </w:rPr>
            </w:pPr>
            <w:r>
              <w:rPr>
                <w:rFonts w:ascii="Arial" w:cs="Arial" w:eastAsia="Arial" w:hAnsi="Arial"/>
                <w:sz w:val="18"/>
                <w:szCs w:val="18"/>
                <w:color w:val="auto"/>
              </w:rPr>
              <w:t>2017</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87"/>
              </w:rPr>
              <w:t>Variance</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0"/>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3"/>
              </w:rPr>
              <w:t>from 30-Year</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0"/>
              </w:rPr>
              <w:t>Actual Variance</w:t>
            </w:r>
          </w:p>
        </w:tc>
        <w:tc>
          <w:tcPr>
            <w:tcW w:w="860" w:type="dxa"/>
            <w:vAlign w:val="bottom"/>
          </w:tcPr>
          <w:p>
            <w:pPr>
              <w:spacing w:after="0"/>
              <w:rPr>
                <w:sz w:val="18"/>
                <w:szCs w:val="18"/>
                <w:color w:val="auto"/>
              </w:rPr>
            </w:pP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1"/>
              </w:rPr>
              <w:t>from 30-Year</w:t>
            </w: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2360" w:type="dxa"/>
            <w:vAlign w:val="bottom"/>
          </w:tcPr>
          <w:p>
            <w:pPr>
              <w:jc w:val="right"/>
              <w:ind w:right="110"/>
              <w:spacing w:after="0"/>
              <w:rPr>
                <w:sz w:val="20"/>
                <w:szCs w:val="20"/>
                <w:color w:val="auto"/>
              </w:rPr>
            </w:pPr>
            <w:r>
              <w:rPr>
                <w:rFonts w:ascii="Arial" w:cs="Arial" w:eastAsia="Arial" w:hAnsi="Arial"/>
                <w:sz w:val="18"/>
                <w:szCs w:val="18"/>
                <w:color w:val="auto"/>
              </w:rPr>
              <w:t>Actual</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86"/>
              </w:rPr>
              <w:t>Average</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2"/>
              </w:rPr>
              <w:t>to Prior Year</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Actual</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89"/>
              </w:rPr>
              <w:t>Average</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6"/>
              </w:rPr>
              <w:t>400</w:t>
            </w:r>
          </w:p>
        </w:tc>
        <w:tc>
          <w:tcPr>
            <w:tcW w:w="1680" w:type="dxa"/>
            <w:vAlign w:val="bottom"/>
            <w:shd w:val="clear" w:color="auto" w:fill="CEFFE7"/>
          </w:tcPr>
          <w:p>
            <w:pPr>
              <w:jc w:val="center"/>
              <w:ind w:left="210"/>
              <w:spacing w:after="0"/>
              <w:rPr>
                <w:sz w:val="20"/>
                <w:szCs w:val="20"/>
                <w:color w:val="auto"/>
              </w:rPr>
            </w:pPr>
            <w:r>
              <w:rPr>
                <w:rFonts w:ascii="Arial" w:cs="Arial" w:eastAsia="Arial" w:hAnsi="Arial"/>
                <w:sz w:val="18"/>
                <w:szCs w:val="18"/>
                <w:color w:val="auto"/>
                <w:w w:val="94"/>
              </w:rPr>
              <w:t>21%</w:t>
            </w:r>
          </w:p>
        </w:tc>
        <w:tc>
          <w:tcPr>
            <w:tcW w:w="172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4"/>
              </w:rPr>
              <w:t>65%</w:t>
            </w:r>
          </w:p>
        </w:tc>
        <w:tc>
          <w:tcPr>
            <w:tcW w:w="8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242</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1"/>
              </w:rPr>
              <w:t>(27)%</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360" w:type="dxa"/>
            <w:vAlign w:val="bottom"/>
          </w:tcPr>
          <w:p>
            <w:pPr>
              <w:jc w:val="center"/>
              <w:ind w:left="1370"/>
              <w:spacing w:after="0"/>
              <w:rPr>
                <w:sz w:val="20"/>
                <w:szCs w:val="20"/>
                <w:color w:val="auto"/>
              </w:rPr>
            </w:pPr>
            <w:r>
              <w:rPr>
                <w:rFonts w:ascii="Arial" w:cs="Arial" w:eastAsia="Arial" w:hAnsi="Arial"/>
                <w:sz w:val="18"/>
                <w:szCs w:val="18"/>
                <w:color w:val="auto"/>
                <w:w w:val="86"/>
              </w:rPr>
              <w:t>735</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5"/>
              </w:rPr>
              <w:t>(23)%</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5"/>
              </w:rPr>
              <w:t>(17)%</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889</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4"/>
              </w:rPr>
              <w:t>(7)%</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36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86"/>
              </w:rPr>
              <w:t>708</w:t>
            </w:r>
          </w:p>
        </w:tc>
        <w:tc>
          <w:tcPr>
            <w:tcW w:w="1680" w:type="dxa"/>
            <w:vAlign w:val="bottom"/>
            <w:tcBorders>
              <w:bottom w:val="single" w:sz="8" w:color="CEFFE7"/>
            </w:tcBorders>
            <w:shd w:val="clear" w:color="auto" w:fill="CEFFE7"/>
          </w:tcPr>
          <w:p>
            <w:pPr>
              <w:jc w:val="center"/>
              <w:ind w:left="210"/>
              <w:spacing w:after="0"/>
              <w:rPr>
                <w:sz w:val="20"/>
                <w:szCs w:val="20"/>
                <w:color w:val="auto"/>
              </w:rPr>
            </w:pPr>
            <w:r>
              <w:rPr>
                <w:rFonts w:ascii="Arial" w:cs="Arial" w:eastAsia="Arial" w:hAnsi="Arial"/>
                <w:sz w:val="18"/>
                <w:szCs w:val="18"/>
                <w:color w:val="auto"/>
                <w:w w:val="94"/>
              </w:rPr>
              <w:t>12%</w:t>
            </w:r>
          </w:p>
        </w:tc>
        <w:tc>
          <w:tcPr>
            <w:tcW w:w="1720" w:type="dxa"/>
            <w:vAlign w:val="bottom"/>
            <w:tcBorders>
              <w:bottom w:val="single" w:sz="8" w:color="CEFFE7"/>
            </w:tcBorders>
            <w:shd w:val="clear" w:color="auto" w:fill="CEFFE7"/>
          </w:tcPr>
          <w:p>
            <w:pPr>
              <w:jc w:val="center"/>
              <w:ind w:right="130"/>
              <w:spacing w:after="0"/>
              <w:rPr>
                <w:sz w:val="20"/>
                <w:szCs w:val="20"/>
                <w:color w:val="auto"/>
              </w:rPr>
            </w:pPr>
            <w:r>
              <w:rPr>
                <w:rFonts w:ascii="Arial" w:cs="Arial" w:eastAsia="Arial" w:hAnsi="Arial"/>
                <w:sz w:val="18"/>
                <w:szCs w:val="18"/>
                <w:color w:val="auto"/>
                <w:w w:val="94"/>
              </w:rPr>
              <w:t>25%</w:t>
            </w:r>
          </w:p>
        </w:tc>
        <w:tc>
          <w:tcPr>
            <w:tcW w:w="8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6"/>
              </w:rPr>
              <w:t>567</w:t>
            </w:r>
          </w:p>
        </w:tc>
        <w:tc>
          <w:tcPr>
            <w:tcW w:w="1620" w:type="dxa"/>
            <w:vAlign w:val="bottom"/>
            <w:tcBorders>
              <w:bottom w:val="single" w:sz="8" w:color="CEFFE7"/>
            </w:tcBorders>
            <w:shd w:val="clear" w:color="auto" w:fill="CEFFE7"/>
          </w:tcPr>
          <w:p>
            <w:pPr>
              <w:jc w:val="center"/>
              <w:ind w:left="170"/>
              <w:spacing w:after="0"/>
              <w:rPr>
                <w:sz w:val="20"/>
                <w:szCs w:val="20"/>
                <w:color w:val="auto"/>
              </w:rPr>
            </w:pPr>
            <w:r>
              <w:rPr>
                <w:rFonts w:ascii="Arial" w:cs="Arial" w:eastAsia="Arial" w:hAnsi="Arial"/>
                <w:sz w:val="18"/>
                <w:szCs w:val="18"/>
                <w:color w:val="auto"/>
                <w:w w:val="91"/>
              </w:rPr>
              <w:t>(11)%</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Iowa</w:t>
            </w:r>
          </w:p>
        </w:tc>
        <w:tc>
          <w:tcPr>
            <w:tcW w:w="2360" w:type="dxa"/>
            <w:vAlign w:val="bottom"/>
          </w:tcPr>
          <w:p>
            <w:pPr>
              <w:jc w:val="center"/>
              <w:ind w:left="1370"/>
              <w:spacing w:after="0"/>
              <w:rPr>
                <w:sz w:val="20"/>
                <w:szCs w:val="20"/>
                <w:color w:val="auto"/>
              </w:rPr>
            </w:pPr>
            <w:r>
              <w:rPr>
                <w:rFonts w:ascii="Arial" w:cs="Arial" w:eastAsia="Arial" w:hAnsi="Arial"/>
                <w:sz w:val="18"/>
                <w:szCs w:val="18"/>
                <w:color w:val="auto"/>
                <w:w w:val="86"/>
              </w:rPr>
              <w:t>801</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4"/>
              </w:rPr>
              <w:t>17%</w:t>
            </w:r>
          </w:p>
        </w:tc>
        <w:tc>
          <w:tcPr>
            <w:tcW w:w="1720" w:type="dxa"/>
            <w:vAlign w:val="bottom"/>
          </w:tcPr>
          <w:p>
            <w:pPr>
              <w:jc w:val="center"/>
              <w:ind w:right="130"/>
              <w:spacing w:after="0"/>
              <w:rPr>
                <w:sz w:val="20"/>
                <w:szCs w:val="20"/>
                <w:color w:val="auto"/>
              </w:rPr>
            </w:pPr>
            <w:r>
              <w:rPr>
                <w:rFonts w:ascii="Arial" w:cs="Arial" w:eastAsia="Arial" w:hAnsi="Arial"/>
                <w:sz w:val="18"/>
                <w:szCs w:val="18"/>
                <w:color w:val="auto"/>
                <w:w w:val="94"/>
              </w:rPr>
              <w:t>29%</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619</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1"/>
              </w:rPr>
              <w:t>(10)%</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6"/>
              </w:rPr>
              <w:t>508</w:t>
            </w:r>
          </w:p>
        </w:tc>
        <w:tc>
          <w:tcPr>
            <w:tcW w:w="1680" w:type="dxa"/>
            <w:vAlign w:val="bottom"/>
            <w:shd w:val="clear" w:color="auto" w:fill="CEFFE7"/>
          </w:tcPr>
          <w:p>
            <w:pPr>
              <w:jc w:val="center"/>
              <w:ind w:left="210"/>
              <w:spacing w:after="0"/>
              <w:rPr>
                <w:sz w:val="20"/>
                <w:szCs w:val="20"/>
                <w:color w:val="auto"/>
              </w:rPr>
            </w:pPr>
            <w:r>
              <w:rPr>
                <w:rFonts w:ascii="Arial" w:cs="Arial" w:eastAsia="Arial" w:hAnsi="Arial"/>
                <w:sz w:val="18"/>
                <w:szCs w:val="18"/>
                <w:color w:val="auto"/>
                <w:w w:val="94"/>
              </w:rPr>
              <w:t>14%</w:t>
            </w:r>
          </w:p>
        </w:tc>
        <w:tc>
          <w:tcPr>
            <w:tcW w:w="172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4"/>
              </w:rPr>
              <w:t>14%</w:t>
            </w:r>
          </w:p>
        </w:tc>
        <w:tc>
          <w:tcPr>
            <w:tcW w:w="8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445</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3"/>
              </w:rPr>
              <w:t>—%</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Wyoming</w:t>
            </w:r>
          </w:p>
        </w:tc>
        <w:tc>
          <w:tcPr>
            <w:tcW w:w="2360" w:type="dxa"/>
            <w:vAlign w:val="bottom"/>
          </w:tcPr>
          <w:p>
            <w:pPr>
              <w:jc w:val="center"/>
              <w:ind w:left="1390"/>
              <w:spacing w:after="0"/>
              <w:rPr>
                <w:sz w:val="20"/>
                <w:szCs w:val="20"/>
                <w:color w:val="auto"/>
              </w:rPr>
            </w:pPr>
            <w:r>
              <w:rPr>
                <w:rFonts w:ascii="Arial" w:cs="Arial" w:eastAsia="Arial" w:hAnsi="Arial"/>
                <w:sz w:val="18"/>
                <w:szCs w:val="18"/>
                <w:color w:val="auto"/>
                <w:w w:val="88"/>
              </w:rPr>
              <w:t>1,072</w:t>
            </w:r>
          </w:p>
        </w:tc>
        <w:tc>
          <w:tcPr>
            <w:tcW w:w="1680" w:type="dxa"/>
            <w:vAlign w:val="bottom"/>
          </w:tcPr>
          <w:p>
            <w:pPr>
              <w:jc w:val="center"/>
              <w:ind w:left="210"/>
              <w:spacing w:after="0"/>
              <w:rPr>
                <w:sz w:val="20"/>
                <w:szCs w:val="20"/>
                <w:color w:val="auto"/>
              </w:rPr>
            </w:pPr>
            <w:r>
              <w:rPr>
                <w:rFonts w:ascii="Arial" w:cs="Arial" w:eastAsia="Arial" w:hAnsi="Arial"/>
                <w:sz w:val="18"/>
                <w:szCs w:val="18"/>
                <w:color w:val="auto"/>
                <w:w w:val="95"/>
              </w:rPr>
              <w:t>(12)%</w:t>
            </w: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94"/>
              </w:rPr>
              <w:t>(9)%</w:t>
            </w: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8"/>
              </w:rPr>
              <w:t>1,177</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4"/>
              </w:rPr>
              <w:t>(4)%</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236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6"/>
              </w:rPr>
              <w:t>740</w:t>
            </w:r>
          </w:p>
        </w:tc>
        <w:tc>
          <w:tcPr>
            <w:tcW w:w="168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94"/>
              </w:rPr>
              <w:t>(1)%</w:t>
            </w:r>
          </w:p>
        </w:tc>
        <w:tc>
          <w:tcPr>
            <w:tcW w:w="1720" w:type="dxa"/>
            <w:vAlign w:val="bottom"/>
            <w:shd w:val="clear" w:color="auto" w:fill="CEFFE7"/>
          </w:tcPr>
          <w:p>
            <w:pPr>
              <w:jc w:val="center"/>
              <w:ind w:right="150"/>
              <w:spacing w:after="0"/>
              <w:rPr>
                <w:sz w:val="20"/>
                <w:szCs w:val="20"/>
                <w:color w:val="auto"/>
              </w:rPr>
            </w:pPr>
            <w:r>
              <w:rPr>
                <w:rFonts w:ascii="Arial" w:cs="Arial" w:eastAsia="Arial" w:hAnsi="Arial"/>
                <w:sz w:val="18"/>
                <w:szCs w:val="18"/>
                <w:color w:val="auto"/>
                <w:w w:val="92"/>
              </w:rPr>
              <w:t>8%</w:t>
            </w:r>
          </w:p>
        </w:tc>
        <w:tc>
          <w:tcPr>
            <w:tcW w:w="8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6"/>
              </w:rPr>
              <w:t>686</w:t>
            </w:r>
          </w:p>
        </w:tc>
        <w:tc>
          <w:tcPr>
            <w:tcW w:w="162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94"/>
              </w:rPr>
              <w:t>(9)%</w:t>
            </w:r>
          </w:p>
        </w:tc>
      </w:tr>
      <w:tr>
        <w:trPr>
          <w:trHeight w:val="500"/>
        </w:trPr>
        <w:tc>
          <w:tcPr>
            <w:tcW w:w="3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Six Months Ended June 30,</w:t>
            </w: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360" w:type="dxa"/>
            <w:vAlign w:val="bottom"/>
          </w:tcPr>
          <w:p>
            <w:pPr>
              <w:spacing w:after="0"/>
              <w:rPr>
                <w:sz w:val="23"/>
                <w:szCs w:val="23"/>
                <w:color w:val="auto"/>
              </w:rPr>
            </w:pPr>
          </w:p>
        </w:tc>
        <w:tc>
          <w:tcPr>
            <w:tcW w:w="1680" w:type="dxa"/>
            <w:vAlign w:val="bottom"/>
          </w:tcPr>
          <w:p>
            <w:pPr>
              <w:jc w:val="right"/>
              <w:ind w:right="1170"/>
              <w:spacing w:after="0"/>
              <w:rPr>
                <w:sz w:val="20"/>
                <w:szCs w:val="20"/>
                <w:color w:val="auto"/>
              </w:rPr>
            </w:pPr>
            <w:r>
              <w:rPr>
                <w:rFonts w:ascii="Arial" w:cs="Arial" w:eastAsia="Arial" w:hAnsi="Arial"/>
                <w:sz w:val="18"/>
                <w:szCs w:val="18"/>
                <w:color w:val="auto"/>
                <w:w w:val="99"/>
              </w:rPr>
              <w:t>2018</w:t>
            </w:r>
          </w:p>
        </w:tc>
        <w:tc>
          <w:tcPr>
            <w:tcW w:w="17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20" w:type="dxa"/>
            <w:vAlign w:val="bottom"/>
          </w:tcPr>
          <w:p>
            <w:pPr>
              <w:jc w:val="right"/>
              <w:ind w:right="1130"/>
              <w:spacing w:after="0"/>
              <w:rPr>
                <w:sz w:val="20"/>
                <w:szCs w:val="20"/>
                <w:color w:val="auto"/>
              </w:rPr>
            </w:pPr>
            <w:r>
              <w:rPr>
                <w:rFonts w:ascii="Arial" w:cs="Arial" w:eastAsia="Arial" w:hAnsi="Arial"/>
                <w:sz w:val="18"/>
                <w:szCs w:val="18"/>
                <w:color w:val="auto"/>
                <w:w w:val="94"/>
              </w:rPr>
              <w:t>2017</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87"/>
              </w:rPr>
              <w:t>Variance</w:t>
            </w: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0"/>
              </w:rPr>
              <w:t>Variance</w:t>
            </w:r>
          </w:p>
        </w:tc>
      </w:tr>
      <w:tr>
        <w:trPr>
          <w:trHeight w:val="216"/>
        </w:trPr>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3"/>
              </w:rPr>
              <w:t>from 30-Year</w:t>
            </w:r>
          </w:p>
        </w:tc>
        <w:tc>
          <w:tcPr>
            <w:tcW w:w="1720" w:type="dxa"/>
            <w:vAlign w:val="bottom"/>
          </w:tcPr>
          <w:p>
            <w:pPr>
              <w:jc w:val="center"/>
              <w:ind w:right="290"/>
              <w:spacing w:after="0"/>
              <w:rPr>
                <w:sz w:val="20"/>
                <w:szCs w:val="20"/>
                <w:color w:val="auto"/>
              </w:rPr>
            </w:pPr>
            <w:r>
              <w:rPr>
                <w:rFonts w:ascii="Arial" w:cs="Arial" w:eastAsia="Arial" w:hAnsi="Arial"/>
                <w:sz w:val="18"/>
                <w:szCs w:val="18"/>
                <w:color w:val="auto"/>
                <w:w w:val="90"/>
              </w:rPr>
              <w:t>Actual Variance</w:t>
            </w:r>
          </w:p>
        </w:tc>
        <w:tc>
          <w:tcPr>
            <w:tcW w:w="860" w:type="dxa"/>
            <w:vAlign w:val="bottom"/>
          </w:tcPr>
          <w:p>
            <w:pPr>
              <w:spacing w:after="0"/>
              <w:rPr>
                <w:sz w:val="18"/>
                <w:szCs w:val="18"/>
                <w:color w:val="auto"/>
              </w:rPr>
            </w:pP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from 30-Year</w:t>
            </w: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2360" w:type="dxa"/>
            <w:vAlign w:val="bottom"/>
          </w:tcPr>
          <w:p>
            <w:pPr>
              <w:jc w:val="right"/>
              <w:ind w:right="230"/>
              <w:spacing w:after="0"/>
              <w:rPr>
                <w:sz w:val="20"/>
                <w:szCs w:val="20"/>
                <w:color w:val="auto"/>
              </w:rPr>
            </w:pPr>
            <w:r>
              <w:rPr>
                <w:rFonts w:ascii="Arial" w:cs="Arial" w:eastAsia="Arial" w:hAnsi="Arial"/>
                <w:sz w:val="18"/>
                <w:szCs w:val="18"/>
                <w:color w:val="auto"/>
              </w:rPr>
              <w:t>Actual</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86"/>
              </w:rPr>
              <w:t>Average</w:t>
            </w:r>
          </w:p>
        </w:tc>
        <w:tc>
          <w:tcPr>
            <w:tcW w:w="1720" w:type="dxa"/>
            <w:vAlign w:val="bottom"/>
          </w:tcPr>
          <w:p>
            <w:pPr>
              <w:jc w:val="center"/>
              <w:ind w:right="310"/>
              <w:spacing w:after="0"/>
              <w:rPr>
                <w:sz w:val="20"/>
                <w:szCs w:val="20"/>
                <w:color w:val="auto"/>
              </w:rPr>
            </w:pPr>
            <w:r>
              <w:rPr>
                <w:rFonts w:ascii="Arial" w:cs="Arial" w:eastAsia="Arial" w:hAnsi="Arial"/>
                <w:sz w:val="18"/>
                <w:szCs w:val="18"/>
                <w:color w:val="auto"/>
                <w:w w:val="91"/>
              </w:rPr>
              <w:t>to Prior Year</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w w:val="99"/>
              </w:rPr>
              <w:t>Actual</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89"/>
              </w:rPr>
              <w:t>Average</w:t>
            </w:r>
          </w:p>
        </w:tc>
      </w:tr>
      <w:tr>
        <w:trPr>
          <w:trHeight w:val="27"/>
        </w:trPr>
        <w:tc>
          <w:tcPr>
            <w:tcW w:w="3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18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2,448</w:t>
            </w:r>
          </w:p>
        </w:tc>
        <w:tc>
          <w:tcPr>
            <w:tcW w:w="16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1 %</w:t>
            </w:r>
          </w:p>
        </w:tc>
        <w:tc>
          <w:tcPr>
            <w:tcW w:w="1720" w:type="dxa"/>
            <w:vAlign w:val="bottom"/>
            <w:shd w:val="clear" w:color="auto" w:fill="CEFFE7"/>
          </w:tcPr>
          <w:p>
            <w:pPr>
              <w:jc w:val="center"/>
              <w:ind w:right="290"/>
              <w:spacing w:after="0"/>
              <w:rPr>
                <w:sz w:val="20"/>
                <w:szCs w:val="20"/>
                <w:color w:val="auto"/>
              </w:rPr>
            </w:pPr>
            <w:r>
              <w:rPr>
                <w:rFonts w:ascii="Arial" w:cs="Arial" w:eastAsia="Arial" w:hAnsi="Arial"/>
                <w:sz w:val="18"/>
                <w:szCs w:val="18"/>
                <w:color w:val="auto"/>
                <w:w w:val="94"/>
              </w:rPr>
              <w:t>35%</w:t>
            </w:r>
          </w:p>
        </w:tc>
        <w:tc>
          <w:tcPr>
            <w:tcW w:w="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1,811</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Colorado</w:t>
            </w:r>
          </w:p>
        </w:tc>
        <w:tc>
          <w:tcPr>
            <w:tcW w:w="2360" w:type="dxa"/>
            <w:vAlign w:val="bottom"/>
          </w:tcPr>
          <w:p>
            <w:pPr>
              <w:jc w:val="right"/>
              <w:spacing w:after="0"/>
              <w:rPr>
                <w:sz w:val="20"/>
                <w:szCs w:val="20"/>
                <w:color w:val="auto"/>
              </w:rPr>
            </w:pPr>
            <w:r>
              <w:rPr>
                <w:rFonts w:ascii="Arial" w:cs="Arial" w:eastAsia="Arial" w:hAnsi="Arial"/>
                <w:sz w:val="18"/>
                <w:szCs w:val="18"/>
                <w:color w:val="auto"/>
              </w:rPr>
              <w:t>3,439</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720" w:type="dxa"/>
            <w:vAlign w:val="bottom"/>
          </w:tcPr>
          <w:p>
            <w:pPr>
              <w:jc w:val="center"/>
              <w:ind w:right="310"/>
              <w:spacing w:after="0"/>
              <w:rPr>
                <w:sz w:val="20"/>
                <w:szCs w:val="20"/>
                <w:color w:val="auto"/>
              </w:rPr>
            </w:pPr>
            <w:r>
              <w:rPr>
                <w:rFonts w:ascii="Arial" w:cs="Arial" w:eastAsia="Arial" w:hAnsi="Arial"/>
                <w:sz w:val="18"/>
                <w:szCs w:val="18"/>
                <w:color w:val="auto"/>
                <w:w w:val="92"/>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3,354</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2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3,915</w:t>
            </w:r>
          </w:p>
        </w:tc>
        <w:tc>
          <w:tcPr>
            <w:tcW w:w="1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7 %</w:t>
            </w:r>
          </w:p>
        </w:tc>
        <w:tc>
          <w:tcPr>
            <w:tcW w:w="1720" w:type="dxa"/>
            <w:vAlign w:val="bottom"/>
            <w:tcBorders>
              <w:bottom w:val="single" w:sz="8" w:color="CEFFE7"/>
            </w:tcBorders>
            <w:shd w:val="clear" w:color="auto" w:fill="CEFFE7"/>
          </w:tcPr>
          <w:p>
            <w:pPr>
              <w:jc w:val="center"/>
              <w:ind w:right="290"/>
              <w:spacing w:after="0"/>
              <w:rPr>
                <w:sz w:val="20"/>
                <w:szCs w:val="20"/>
                <w:color w:val="auto"/>
              </w:rPr>
            </w:pPr>
            <w:r>
              <w:rPr>
                <w:rFonts w:ascii="Arial" w:cs="Arial" w:eastAsia="Arial" w:hAnsi="Arial"/>
                <w:sz w:val="18"/>
                <w:szCs w:val="18"/>
                <w:color w:val="auto"/>
                <w:w w:val="94"/>
              </w:rPr>
              <w:t>22%</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3,214</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Iowa</w:t>
            </w:r>
          </w:p>
        </w:tc>
        <w:tc>
          <w:tcPr>
            <w:tcW w:w="2360" w:type="dxa"/>
            <w:vAlign w:val="bottom"/>
          </w:tcPr>
          <w:p>
            <w:pPr>
              <w:jc w:val="right"/>
              <w:spacing w:after="0"/>
              <w:rPr>
                <w:sz w:val="20"/>
                <w:szCs w:val="20"/>
                <w:color w:val="auto"/>
              </w:rPr>
            </w:pPr>
            <w:r>
              <w:rPr>
                <w:rFonts w:ascii="Arial" w:cs="Arial" w:eastAsia="Arial" w:hAnsi="Arial"/>
                <w:sz w:val="18"/>
                <w:szCs w:val="18"/>
                <w:color w:val="auto"/>
              </w:rPr>
              <w:t>4,332</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7 %</w:t>
            </w:r>
          </w:p>
        </w:tc>
        <w:tc>
          <w:tcPr>
            <w:tcW w:w="1720" w:type="dxa"/>
            <w:vAlign w:val="bottom"/>
          </w:tcPr>
          <w:p>
            <w:pPr>
              <w:jc w:val="center"/>
              <w:ind w:right="290"/>
              <w:spacing w:after="0"/>
              <w:rPr>
                <w:sz w:val="20"/>
                <w:szCs w:val="20"/>
                <w:color w:val="auto"/>
              </w:rPr>
            </w:pPr>
            <w:r>
              <w:rPr>
                <w:rFonts w:ascii="Arial" w:cs="Arial" w:eastAsia="Arial" w:hAnsi="Arial"/>
                <w:sz w:val="18"/>
                <w:szCs w:val="18"/>
                <w:color w:val="auto"/>
                <w:w w:val="94"/>
              </w:rPr>
              <w:t>22%</w:t>
            </w:r>
          </w:p>
        </w:tc>
        <w:tc>
          <w:tcPr>
            <w:tcW w:w="860" w:type="dxa"/>
            <w:vAlign w:val="bottom"/>
          </w:tcPr>
          <w:p>
            <w:pPr>
              <w:jc w:val="right"/>
              <w:spacing w:after="0"/>
              <w:rPr>
                <w:sz w:val="20"/>
                <w:szCs w:val="20"/>
                <w:color w:val="auto"/>
              </w:rPr>
            </w:pPr>
            <w:r>
              <w:rPr>
                <w:rFonts w:ascii="Arial" w:cs="Arial" w:eastAsia="Arial" w:hAnsi="Arial"/>
                <w:sz w:val="18"/>
                <w:szCs w:val="18"/>
                <w:color w:val="auto"/>
              </w:rPr>
              <w:t>3,551</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2,978</w:t>
            </w:r>
          </w:p>
        </w:tc>
        <w:tc>
          <w:tcPr>
            <w:tcW w:w="16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2 %</w:t>
            </w:r>
          </w:p>
        </w:tc>
        <w:tc>
          <w:tcPr>
            <w:tcW w:w="1720" w:type="dxa"/>
            <w:vAlign w:val="bottom"/>
            <w:shd w:val="clear" w:color="auto" w:fill="CEFFE7"/>
          </w:tcPr>
          <w:p>
            <w:pPr>
              <w:jc w:val="center"/>
              <w:ind w:right="290"/>
              <w:spacing w:after="0"/>
              <w:rPr>
                <w:sz w:val="20"/>
                <w:szCs w:val="20"/>
                <w:color w:val="auto"/>
              </w:rPr>
            </w:pPr>
            <w:r>
              <w:rPr>
                <w:rFonts w:ascii="Arial" w:cs="Arial" w:eastAsia="Arial" w:hAnsi="Arial"/>
                <w:sz w:val="18"/>
                <w:szCs w:val="18"/>
                <w:color w:val="auto"/>
                <w:w w:val="94"/>
              </w:rPr>
              <w:t>17%</w:t>
            </w:r>
          </w:p>
        </w:tc>
        <w:tc>
          <w:tcPr>
            <w:tcW w:w="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2,547</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Wyoming</w:t>
            </w:r>
          </w:p>
        </w:tc>
        <w:tc>
          <w:tcPr>
            <w:tcW w:w="2360" w:type="dxa"/>
            <w:vAlign w:val="bottom"/>
          </w:tcPr>
          <w:p>
            <w:pPr>
              <w:jc w:val="right"/>
              <w:spacing w:after="0"/>
              <w:rPr>
                <w:sz w:val="20"/>
                <w:szCs w:val="20"/>
                <w:color w:val="auto"/>
              </w:rPr>
            </w:pPr>
            <w:r>
              <w:rPr>
                <w:rFonts w:ascii="Arial" w:cs="Arial" w:eastAsia="Arial" w:hAnsi="Arial"/>
                <w:sz w:val="18"/>
                <w:szCs w:val="18"/>
                <w:color w:val="auto"/>
              </w:rPr>
              <w:t>4,316</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720" w:type="dxa"/>
            <w:vAlign w:val="bottom"/>
          </w:tcPr>
          <w:p>
            <w:pPr>
              <w:jc w:val="center"/>
              <w:ind w:right="310"/>
              <w:spacing w:after="0"/>
              <w:rPr>
                <w:sz w:val="20"/>
                <w:szCs w:val="20"/>
                <w:color w:val="auto"/>
              </w:rPr>
            </w:pPr>
            <w:r>
              <w:rPr>
                <w:rFonts w:ascii="Arial" w:cs="Arial" w:eastAsia="Arial" w:hAnsi="Arial"/>
                <w:sz w:val="18"/>
                <w:szCs w:val="18"/>
                <w:color w:val="auto"/>
                <w:w w:val="92"/>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4,161</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1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2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3,899</w:t>
            </w:r>
          </w:p>
        </w:tc>
        <w:tc>
          <w:tcPr>
            <w:tcW w:w="16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1 %</w:t>
            </w:r>
          </w:p>
        </w:tc>
        <w:tc>
          <w:tcPr>
            <w:tcW w:w="1720" w:type="dxa"/>
            <w:vAlign w:val="bottom"/>
            <w:shd w:val="clear" w:color="auto" w:fill="CEFFE7"/>
          </w:tcPr>
          <w:p>
            <w:pPr>
              <w:jc w:val="center"/>
              <w:ind w:right="290"/>
              <w:spacing w:after="0"/>
              <w:rPr>
                <w:sz w:val="20"/>
                <w:szCs w:val="20"/>
                <w:color w:val="auto"/>
              </w:rPr>
            </w:pPr>
            <w:r>
              <w:rPr>
                <w:rFonts w:ascii="Arial" w:cs="Arial" w:eastAsia="Arial" w:hAnsi="Arial"/>
                <w:sz w:val="18"/>
                <w:szCs w:val="18"/>
                <w:color w:val="auto"/>
                <w:w w:val="94"/>
              </w:rPr>
              <w:t>15%</w:t>
            </w:r>
          </w:p>
        </w:tc>
        <w:tc>
          <w:tcPr>
            <w:tcW w:w="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3,404</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w:t>
            </w:r>
          </w:p>
        </w:tc>
      </w:tr>
      <w:tr>
        <w:trPr>
          <w:trHeight w:val="180"/>
        </w:trPr>
        <w:tc>
          <w:tcPr>
            <w:tcW w:w="3180" w:type="dxa"/>
            <w:vAlign w:val="bottom"/>
          </w:tcPr>
          <w:p>
            <w:pPr>
              <w:spacing w:after="0" w:line="180" w:lineRule="exact"/>
              <w:rPr>
                <w:sz w:val="20"/>
                <w:szCs w:val="20"/>
                <w:color w:val="auto"/>
              </w:rPr>
            </w:pPr>
            <w:r>
              <w:rPr>
                <w:rFonts w:ascii="Arial" w:cs="Arial" w:eastAsia="Arial" w:hAnsi="Arial"/>
                <w:sz w:val="18"/>
                <w:szCs w:val="18"/>
                <w:color w:val="auto"/>
              </w:rPr>
              <w:t>__________</w:t>
            </w:r>
          </w:p>
        </w:tc>
        <w:tc>
          <w:tcPr>
            <w:tcW w:w="2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ind w:left="340" w:right="300" w:hanging="332"/>
        <w:spacing w:after="0" w:line="263" w:lineRule="auto"/>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Arkansas has a weather normalization mechanism in effect during the months of November through April for customers with residential and business rate schedules. Kansas Gas has a weather normalization mechanism within its residential and business rate structure, which minimizes weather impact on gross margins. The weather normalization mechanism in Arkansas differs from that in Kansas in that it only uses one location to calculate the weather, compared to Kansas, which uses multiple locations. The weather normalization mechanism in Arkansas minimizes weather impact, but does not eliminate the impact.</w:t>
      </w:r>
    </w:p>
    <w:p>
      <w:pPr>
        <w:ind w:left="340" w:right="640" w:hanging="332"/>
        <w:spacing w:after="0" w:line="290" w:lineRule="auto"/>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ectPr>
          <w:pgSz w:w="11900" w:h="16838" w:orient="portrait"/>
          <w:cols w:equalWidth="0" w:num="1">
            <w:col w:w="11420"/>
          </w:cols>
          <w:pgMar w:left="240" w:top="7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751"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more information on recent regulatory activity and enacted regulatory provisions with respect to the states in which our Utilities operate, see Note 5 of the Notes to Condensed Consolidated Financial Statements of this Quarterly Report on Form 10-Q and Part I, Items 1 and 2 and Part II, Item 8 of our 2017 Annual Report on Form 10-K filed with the SEC.</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Power Generation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4"/>
                <w:szCs w:val="24"/>
                <w:color w:val="auto"/>
              </w:rPr>
            </w:pPr>
          </w:p>
        </w:tc>
        <w:tc>
          <w:tcPr>
            <w:tcW w:w="3440" w:type="dxa"/>
            <w:vAlign w:val="bottom"/>
            <w:gridSpan w:val="5"/>
          </w:tcPr>
          <w:p>
            <w:pPr>
              <w:jc w:val="right"/>
              <w:ind w:right="7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Revenue </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21,884</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21,795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44,987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45,362</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9,959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8,528</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1,431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18,086</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16,582</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tcPr>
          <w:p>
            <w:pPr>
              <w:ind w:left="2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1,633</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1,069</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3,235</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2,276</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operating expense</w:t>
            </w:r>
          </w:p>
        </w:tc>
        <w:tc>
          <w:tcPr>
            <w:tcW w:w="2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11,592</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9,597</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1,995</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21,321</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18,858</w:t>
            </w:r>
          </w:p>
        </w:tc>
        <w:tc>
          <w:tcPr>
            <w:tcW w:w="22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10,292</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12,198</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(1,906)</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23,666</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26,504</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(1,316)</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(612)</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(2,489)</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(3,033)</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1,699</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(4,055)</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(6,688)</w:t>
            </w:r>
          </w:p>
        </w:tc>
        <w:tc>
          <w:tcPr>
            <w:tcW w:w="2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7,595</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8,448</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(853)</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17,081</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18,494</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w w:val="99"/>
              </w:rPr>
              <w:t>Net income attributable to noncontrolling interest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(6,453)</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(6,632)</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Borders>
              <w:bottom w:val="single" w:sz="8" w:color="CEFFE7"/>
            </w:tcBorders>
          </w:tcPr>
          <w:p>
            <w:pPr>
              <w:spacing w:after="0"/>
              <w:rPr>
                <w:sz w:val="2"/>
                <w:szCs w:val="2"/>
                <w:color w:val="auto"/>
              </w:rPr>
            </w:pPr>
          </w:p>
        </w:tc>
        <w:tc>
          <w:tcPr>
            <w:tcW w:w="25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4,772</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5,332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10,628</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11,862</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Arial" w:cs="Arial" w:eastAsia="Arial" w:hAnsi="Arial"/>
                <w:sz w:val="16"/>
                <w:szCs w:val="16"/>
                <w:color w:val="auto"/>
              </w:rPr>
              <w:t>____________</w:t>
            </w:r>
          </w:p>
        </w:tc>
        <w:tc>
          <w:tcPr>
            <w:tcW w:w="25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340" w:type="dxa"/>
            <w:vAlign w:val="bottom"/>
            <w:gridSpan w:val="2"/>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40" w:hanging="332"/>
        <w:spacing w:after="0" w:line="25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generating facility located in Pueblo, Colorado is accounted for as a capital lease under GAAP; as such, revenue and depreciation expense are impacted by the accounting for this lease. Under the lease, the original cost of the facility is recorded at Colorado Electric and is being depreciated by Colorado Electric for segment reporting purposes.</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2016, Black Hills Electric Generation sold a 49.9%, noncontrolling interest in Colorado IPP. Black Hills Electric Generation continues to be the majority owner and operator of the facility, which is contracted to provide capacity and energy through 2031 to Colorado Electric. Net income available for common stock for the three months ended June 30, 2018 and June 30, 2017 was reduced by $2.8 million and $3.1 million, respectively, attributable to this noncontrolling interest.</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Results of Operations for Power Generation for the Three Months Ended June 30, 2018 Compared to the Three Months Ended June 30, 2017: </w:t>
      </w:r>
      <w:r>
        <w:rPr>
          <w:rFonts w:ascii="Arial" w:cs="Arial" w:eastAsia="Arial" w:hAnsi="Arial"/>
          <w:sz w:val="18"/>
          <w:szCs w:val="18"/>
          <w:color w:val="auto"/>
        </w:rPr>
        <w:t>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continuing operations available for common stock for the Power Generation segment was $4.8 million for the three months ended June 30, 2018, compared to Net income from continuing operations available for common stock of $5.3 million for the same period in 2017. Revenue was comparable to the same period in the prior year. Operating expenses increased from the same period in the prior year due to higher maintenance expenses primarily related to outage costs at Wygen I, turbine maintenance expenses at the generating facility in Pueblo and higher depreciation. Interest expense increased from the same period in the prior year due to higher interest rates. The variance in tax expense reflects the reduction in the federal tax rate from 35% to 21% from the TCJA, effective January 1, 2018.</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Results of Operations for Power Generation for the Six Months Ended June 30, 2018 Compared to the Six Months Ended June 30, 2017: </w:t>
      </w:r>
      <w:r>
        <w:rPr>
          <w:rFonts w:ascii="Arial" w:cs="Arial" w:eastAsia="Arial" w:hAnsi="Arial"/>
          <w:sz w:val="18"/>
          <w:szCs w:val="18"/>
          <w:color w:val="auto"/>
        </w:rPr>
        <w:t>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from continuing operations available for common stock for the Power Generation segment was $11 million for the six months ended June 30, 2018, compared to Net income from continuing operations available for common stock of $12 million for the same period in 2017. Revenue decreased in the current year as a result of lower Wygen I MWh sold due to current year outages. Operating expenses increased from the same period in the prior year due to higher maintenance expenses primarily related to outage costs at Wygen I and higher depreciation. Interest expense increased from the same period in the prior year due to higher interest rates. The variance in tax expense reflects the reduction in the federal tax rate from 35% to 21% from the TCJA, effective January 1, 2018, partially offset by $0.7 million of additional tax expense recorded on a valuation allowance due to changes in estimated future taxable income subsequent to the TCJA.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summarizes MWh for our Power Generation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780" w:type="dxa"/>
            <w:vAlign w:val="bottom"/>
            <w:gridSpan w:val="2"/>
          </w:tcPr>
          <w:p>
            <w:pPr>
              <w:jc w:val="right"/>
              <w:ind w:right="870"/>
              <w:spacing w:after="0"/>
              <w:rPr>
                <w:sz w:val="20"/>
                <w:szCs w:val="20"/>
                <w:color w:val="auto"/>
              </w:rPr>
            </w:pPr>
            <w:r>
              <w:rPr>
                <w:rFonts w:ascii="Arial" w:cs="Arial" w:eastAsia="Arial" w:hAnsi="Arial"/>
                <w:sz w:val="18"/>
                <w:szCs w:val="18"/>
                <w:color w:val="auto"/>
              </w:rPr>
              <w:t>Three Months Ended June 30,</w:t>
            </w:r>
          </w:p>
        </w:tc>
        <w:tc>
          <w:tcPr>
            <w:tcW w:w="3160" w:type="dxa"/>
            <w:vAlign w:val="bottom"/>
            <w:gridSpan w:val="2"/>
          </w:tcPr>
          <w:p>
            <w:pPr>
              <w:jc w:val="right"/>
              <w:ind w:right="5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2018</w:t>
            </w:r>
          </w:p>
        </w:tc>
        <w:tc>
          <w:tcPr>
            <w:tcW w:w="1780" w:type="dxa"/>
            <w:vAlign w:val="bottom"/>
          </w:tcPr>
          <w:p>
            <w:pPr>
              <w:jc w:val="right"/>
              <w:ind w:right="930"/>
              <w:spacing w:after="0"/>
              <w:rPr>
                <w:sz w:val="20"/>
                <w:szCs w:val="20"/>
                <w:color w:val="auto"/>
              </w:rPr>
            </w:pPr>
            <w:r>
              <w:rPr>
                <w:rFonts w:ascii="Arial" w:cs="Arial" w:eastAsia="Arial" w:hAnsi="Arial"/>
                <w:sz w:val="18"/>
                <w:szCs w:val="18"/>
                <w:color w:val="auto"/>
              </w:rPr>
              <w:t>2017</w:t>
            </w:r>
          </w:p>
        </w:tc>
        <w:tc>
          <w:tcPr>
            <w:tcW w:w="1740" w:type="dxa"/>
            <w:vAlign w:val="bottom"/>
          </w:tcPr>
          <w:p>
            <w:pPr>
              <w:jc w:val="right"/>
              <w:ind w:right="850"/>
              <w:spacing w:after="0"/>
              <w:rPr>
                <w:sz w:val="20"/>
                <w:szCs w:val="20"/>
                <w:color w:val="auto"/>
              </w:rPr>
            </w:pPr>
            <w:r>
              <w:rPr>
                <w:rFonts w:ascii="Arial" w:cs="Arial" w:eastAsia="Arial" w:hAnsi="Arial"/>
                <w:sz w:val="18"/>
                <w:szCs w:val="18"/>
                <w:color w:val="auto"/>
              </w:rPr>
              <w:t>2018</w:t>
            </w: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Quantities Sold, Generated and Purchased</w:t>
            </w:r>
          </w:p>
        </w:tc>
        <w:tc>
          <w:tcPr>
            <w:tcW w:w="2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5"/>
                <w:szCs w:val="25"/>
                <w:color w:val="auto"/>
                <w:vertAlign w:val="superscript"/>
              </w:rPr>
              <w:t>(a)</w:t>
            </w:r>
          </w:p>
        </w:tc>
        <w:tc>
          <w:tcPr>
            <w:tcW w:w="2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Sold</w:t>
            </w:r>
          </w:p>
        </w:tc>
        <w:tc>
          <w:tcPr>
            <w:tcW w:w="200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208,888</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214,059</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441,263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469,024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144,460</w:t>
            </w:r>
          </w:p>
        </w:tc>
        <w:tc>
          <w:tcPr>
            <w:tcW w:w="17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142,593</w:t>
            </w:r>
          </w:p>
        </w:tc>
        <w:tc>
          <w:tcPr>
            <w:tcW w:w="17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310,061</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312,969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4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Sold</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353,348</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356,652</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751,324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781,993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780" w:type="dxa"/>
            <w:vAlign w:val="bottom"/>
            <w:shd w:val="clear" w:color="auto" w:fill="CEFFE7"/>
          </w:tcPr>
          <w:p>
            <w:pPr>
              <w:spacing w:after="0"/>
              <w:rPr>
                <w:sz w:val="24"/>
                <w:szCs w:val="24"/>
                <w:color w:val="auto"/>
              </w:rPr>
            </w:pPr>
          </w:p>
        </w:tc>
        <w:tc>
          <w:tcPr>
            <w:tcW w:w="174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Generated</w:t>
            </w:r>
          </w:p>
        </w:tc>
        <w:tc>
          <w:tcPr>
            <w:tcW w:w="20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200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208,888</w:t>
            </w:r>
          </w:p>
        </w:tc>
        <w:tc>
          <w:tcPr>
            <w:tcW w:w="178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rPr>
              <w:t>214,059</w:t>
            </w:r>
          </w:p>
        </w:tc>
        <w:tc>
          <w:tcPr>
            <w:tcW w:w="174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441,263</w:t>
            </w:r>
          </w:p>
        </w:tc>
        <w:tc>
          <w:tcPr>
            <w:tcW w:w="14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469,024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128,819</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127,454</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262,848</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267,694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337,707</w:t>
            </w:r>
          </w:p>
        </w:tc>
        <w:tc>
          <w:tcPr>
            <w:tcW w:w="17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341,513</w:t>
            </w:r>
          </w:p>
        </w:tc>
        <w:tc>
          <w:tcPr>
            <w:tcW w:w="17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704,111</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736,718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Purchased</w:t>
            </w:r>
          </w:p>
        </w:tc>
        <w:tc>
          <w:tcPr>
            <w:tcW w:w="200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ind w:left="380"/>
              <w:spacing w:after="0"/>
              <w:rPr>
                <w:sz w:val="20"/>
                <w:szCs w:val="20"/>
                <w:color w:val="auto"/>
              </w:rPr>
            </w:pPr>
            <w:r>
              <w:rPr>
                <w:rFonts w:ascii="Arial" w:cs="Arial" w:eastAsia="Arial" w:hAnsi="Arial"/>
                <w:sz w:val="18"/>
                <w:szCs w:val="18"/>
                <w:color w:val="auto"/>
              </w:rPr>
              <w:t>Black Hills Colorado IPP</w:t>
            </w: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200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17,122</w:t>
            </w:r>
          </w:p>
        </w:tc>
        <w:tc>
          <w:tcPr>
            <w:tcW w:w="17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10,962</w:t>
            </w:r>
          </w:p>
        </w:tc>
        <w:tc>
          <w:tcPr>
            <w:tcW w:w="174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49,039</w:t>
            </w:r>
          </w:p>
        </w:tc>
        <w:tc>
          <w:tcPr>
            <w:tcW w:w="1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32,217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tcPr>
          <w:p>
            <w:pPr>
              <w:ind w:left="820"/>
              <w:spacing w:after="0"/>
              <w:rPr>
                <w:sz w:val="20"/>
                <w:szCs w:val="20"/>
                <w:color w:val="auto"/>
              </w:rPr>
            </w:pPr>
            <w:r>
              <w:rPr>
                <w:rFonts w:ascii="Arial" w:cs="Arial" w:eastAsia="Arial" w:hAnsi="Arial"/>
                <w:sz w:val="18"/>
                <w:szCs w:val="18"/>
                <w:color w:val="auto"/>
              </w:rPr>
              <w:t>Total Purchased</w:t>
            </w: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17,122</w:t>
            </w:r>
          </w:p>
        </w:tc>
        <w:tc>
          <w:tcPr>
            <w:tcW w:w="1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10,962</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49,039</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32,217</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3390"/>
              <w:spacing w:after="0"/>
              <w:rPr>
                <w:sz w:val="20"/>
                <w:szCs w:val="20"/>
                <w:color w:val="auto"/>
              </w:rPr>
            </w:pPr>
            <w:r>
              <w:rPr>
                <w:rFonts w:ascii="Arial" w:cs="Arial" w:eastAsia="Arial" w:hAnsi="Arial"/>
                <w:sz w:val="16"/>
                <w:szCs w:val="16"/>
                <w:color w:val="auto"/>
                <w:w w:val="89"/>
              </w:rPr>
              <w:t>____________</w:t>
            </w:r>
          </w:p>
        </w:tc>
        <w:tc>
          <w:tcPr>
            <w:tcW w:w="20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60" w:type="dxa"/>
            <w:vAlign w:val="bottom"/>
            <w:gridSpan w:val="2"/>
            <w:vMerge w:val="continue"/>
          </w:tcPr>
          <w:p>
            <w:pPr>
              <w:spacing w:after="0"/>
              <w:rPr>
                <w:sz w:val="13"/>
                <w:szCs w:val="13"/>
                <w:color w:val="auto"/>
              </w:rPr>
            </w:pPr>
          </w:p>
        </w:tc>
        <w:tc>
          <w:tcPr>
            <w:tcW w:w="20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Decrease from the prior year is a result of the impact of Colorado Electric’s wind generation replacing natural-gas generation.</w:t>
      </w:r>
    </w:p>
    <w:p>
      <w:pPr>
        <w:spacing w:after="0" w:line="5" w:lineRule="exact"/>
        <w:rPr>
          <w:rFonts w:ascii="Arial" w:cs="Arial" w:eastAsia="Arial" w:hAnsi="Arial"/>
          <w:sz w:val="16"/>
          <w:szCs w:val="16"/>
          <w:color w:val="auto"/>
        </w:rPr>
      </w:pPr>
    </w:p>
    <w:p>
      <w:pPr>
        <w:ind w:left="340" w:hanging="332"/>
        <w:spacing w:after="0" w:line="25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plants within the Power Generation segment: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2920" w:type="dxa"/>
            <w:vAlign w:val="bottom"/>
            <w:gridSpan w:val="2"/>
          </w:tcPr>
          <w:p>
            <w:pPr>
              <w:ind w:left="680"/>
              <w:spacing w:after="0"/>
              <w:rPr>
                <w:sz w:val="20"/>
                <w:szCs w:val="20"/>
                <w:color w:val="auto"/>
              </w:rPr>
            </w:pPr>
            <w:r>
              <w:rPr>
                <w:rFonts w:ascii="Arial" w:cs="Arial" w:eastAsia="Arial" w:hAnsi="Arial"/>
                <w:sz w:val="18"/>
                <w:szCs w:val="18"/>
                <w:color w:val="auto"/>
                <w:w w:val="91"/>
              </w:rPr>
              <w:t>Three Months Ended June 30,</w:t>
            </w:r>
          </w:p>
        </w:tc>
        <w:tc>
          <w:tcPr>
            <w:tcW w:w="960" w:type="dxa"/>
            <w:vAlign w:val="bottom"/>
          </w:tcPr>
          <w:p>
            <w:pPr>
              <w:spacing w:after="0"/>
              <w:rPr>
                <w:sz w:val="20"/>
                <w:szCs w:val="20"/>
                <w:color w:val="auto"/>
              </w:rPr>
            </w:pPr>
          </w:p>
        </w:tc>
        <w:tc>
          <w:tcPr>
            <w:tcW w:w="3200" w:type="dxa"/>
            <w:vAlign w:val="bottom"/>
            <w:gridSpan w:val="2"/>
          </w:tcPr>
          <w:p>
            <w:pPr>
              <w:jc w:val="right"/>
              <w:ind w:right="630"/>
              <w:spacing w:after="0"/>
              <w:rPr>
                <w:sz w:val="20"/>
                <w:szCs w:val="20"/>
                <w:color w:val="auto"/>
              </w:rPr>
            </w:pPr>
            <w:r>
              <w:rPr>
                <w:rFonts w:ascii="Arial" w:cs="Arial" w:eastAsia="Arial" w:hAnsi="Arial"/>
                <w:sz w:val="18"/>
                <w:szCs w:val="18"/>
                <w:color w:val="auto"/>
              </w:rPr>
              <w:t>Six Months Ended June 30,</w:t>
            </w:r>
          </w:p>
        </w:tc>
      </w:tr>
      <w:tr>
        <w:trPr>
          <w:trHeight w:val="270"/>
        </w:trPr>
        <w:tc>
          <w:tcPr>
            <w:tcW w:w="5460" w:type="dxa"/>
            <w:vAlign w:val="bottom"/>
            <w:gridSpan w:val="2"/>
          </w:tcPr>
          <w:p>
            <w:pPr>
              <w:ind w:left="5000"/>
              <w:spacing w:after="0"/>
              <w:rPr>
                <w:sz w:val="20"/>
                <w:szCs w:val="20"/>
                <w:color w:val="auto"/>
              </w:rPr>
            </w:pPr>
            <w:r>
              <w:rPr>
                <w:rFonts w:ascii="Arial" w:cs="Arial" w:eastAsia="Arial" w:hAnsi="Arial"/>
                <w:sz w:val="18"/>
                <w:szCs w:val="18"/>
                <w:color w:val="auto"/>
              </w:rPr>
              <w:t>2018</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23"/>
                <w:szCs w:val="23"/>
                <w:color w:val="auto"/>
              </w:rPr>
            </w:pPr>
          </w:p>
        </w:tc>
        <w:tc>
          <w:tcPr>
            <w:tcW w:w="1800" w:type="dxa"/>
            <w:vAlign w:val="bottom"/>
          </w:tcPr>
          <w:p>
            <w:pPr>
              <w:jc w:val="right"/>
              <w:ind w:right="930"/>
              <w:spacing w:after="0"/>
              <w:rPr>
                <w:sz w:val="20"/>
                <w:szCs w:val="20"/>
                <w:color w:val="auto"/>
              </w:rPr>
            </w:pPr>
            <w:r>
              <w:rPr>
                <w:rFonts w:ascii="Arial" w:cs="Arial" w:eastAsia="Arial" w:hAnsi="Arial"/>
                <w:sz w:val="18"/>
                <w:szCs w:val="18"/>
                <w:color w:val="auto"/>
              </w:rPr>
              <w:t>2018</w:t>
            </w: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4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Contracted power plant fleet availability:</w:t>
            </w: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Coal-fired plant</w:t>
            </w:r>
          </w:p>
        </w:tc>
        <w:tc>
          <w:tcPr>
            <w:tcW w:w="1760" w:type="dxa"/>
            <w:vAlign w:val="bottom"/>
            <w:tcBorders>
              <w:bottom w:val="single" w:sz="8" w:color="CEFFE7"/>
            </w:tcBorders>
            <w:shd w:val="clear" w:color="auto" w:fill="CEFFE7"/>
          </w:tcPr>
          <w:p>
            <w:pPr>
              <w:jc w:val="right"/>
              <w:ind w:right="1110"/>
              <w:spacing w:after="0"/>
              <w:rPr>
                <w:sz w:val="20"/>
                <w:szCs w:val="20"/>
                <w:color w:val="auto"/>
              </w:rPr>
            </w:pPr>
            <w:r>
              <w:rPr>
                <w:rFonts w:ascii="Arial" w:cs="Arial" w:eastAsia="Arial" w:hAnsi="Arial"/>
                <w:sz w:val="18"/>
                <w:szCs w:val="18"/>
                <w:color w:val="auto"/>
              </w:rPr>
              <w:t>89.1%</w:t>
            </w:r>
          </w:p>
        </w:tc>
        <w:tc>
          <w:tcPr>
            <w:tcW w:w="9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90.4%</w:t>
            </w:r>
          </w:p>
        </w:tc>
        <w:tc>
          <w:tcPr>
            <w:tcW w:w="18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91.9%</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95.2%</w:t>
            </w:r>
          </w:p>
        </w:tc>
      </w:tr>
      <w:tr>
        <w:trPr>
          <w:trHeight w:val="243"/>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Natural gas-fired plants</w:t>
            </w:r>
          </w:p>
        </w:tc>
        <w:tc>
          <w:tcPr>
            <w:tcW w:w="1760" w:type="dxa"/>
            <w:vAlign w:val="bottom"/>
          </w:tcPr>
          <w:p>
            <w:pPr>
              <w:jc w:val="right"/>
              <w:ind w:right="1110"/>
              <w:spacing w:after="0"/>
              <w:rPr>
                <w:sz w:val="20"/>
                <w:szCs w:val="20"/>
                <w:color w:val="auto"/>
              </w:rPr>
            </w:pPr>
            <w:r>
              <w:rPr>
                <w:rFonts w:ascii="Arial" w:cs="Arial" w:eastAsia="Arial" w:hAnsi="Arial"/>
                <w:sz w:val="18"/>
                <w:szCs w:val="18"/>
                <w:color w:val="auto"/>
              </w:rPr>
              <w:t>99.5%</w:t>
            </w: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99.1%</w:t>
            </w:r>
          </w:p>
        </w:tc>
        <w:tc>
          <w:tcPr>
            <w:tcW w:w="1800" w:type="dxa"/>
            <w:vAlign w:val="bottom"/>
          </w:tcPr>
          <w:p>
            <w:pPr>
              <w:jc w:val="right"/>
              <w:ind w:right="290"/>
              <w:spacing w:after="0"/>
              <w:rPr>
                <w:sz w:val="20"/>
                <w:szCs w:val="20"/>
                <w:color w:val="auto"/>
              </w:rPr>
            </w:pPr>
            <w:r>
              <w:rPr>
                <w:rFonts w:ascii="Arial" w:cs="Arial" w:eastAsia="Arial" w:hAnsi="Arial"/>
                <w:sz w:val="18"/>
                <w:szCs w:val="18"/>
                <w:color w:val="auto"/>
              </w:rPr>
              <w:t>99.5%</w:t>
            </w:r>
          </w:p>
        </w:tc>
        <w:tc>
          <w:tcPr>
            <w:tcW w:w="14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Total availability</w:t>
            </w:r>
          </w:p>
        </w:tc>
        <w:tc>
          <w:tcPr>
            <w:tcW w:w="1760" w:type="dxa"/>
            <w:vAlign w:val="bottom"/>
            <w:tcBorders>
              <w:bottom w:val="single" w:sz="8" w:color="CEFFE7"/>
            </w:tcBorders>
            <w:shd w:val="clear" w:color="auto" w:fill="CEFFE7"/>
          </w:tcPr>
          <w:p>
            <w:pPr>
              <w:jc w:val="right"/>
              <w:ind w:right="1110"/>
              <w:spacing w:after="0"/>
              <w:rPr>
                <w:sz w:val="20"/>
                <w:szCs w:val="20"/>
                <w:color w:val="auto"/>
              </w:rPr>
            </w:pPr>
            <w:r>
              <w:rPr>
                <w:rFonts w:ascii="Arial" w:cs="Arial" w:eastAsia="Arial" w:hAnsi="Arial"/>
                <w:sz w:val="18"/>
                <w:szCs w:val="18"/>
                <w:color w:val="auto"/>
              </w:rPr>
              <w:t>96.8%</w:t>
            </w:r>
          </w:p>
        </w:tc>
        <w:tc>
          <w:tcPr>
            <w:tcW w:w="96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96.9%</w:t>
            </w:r>
          </w:p>
        </w:tc>
        <w:tc>
          <w:tcPr>
            <w:tcW w:w="180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97.5%</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98.1%</w:t>
            </w:r>
          </w:p>
        </w:tc>
      </w:tr>
      <w:tr>
        <w:trPr>
          <w:trHeight w:val="675"/>
        </w:trPr>
        <w:tc>
          <w:tcPr>
            <w:tcW w:w="4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60" w:type="dxa"/>
            <w:vAlign w:val="bottom"/>
          </w:tcPr>
          <w:p>
            <w:pPr>
              <w:jc w:val="right"/>
              <w:ind w:right="1350"/>
              <w:spacing w:after="0"/>
              <w:rPr>
                <w:sz w:val="20"/>
                <w:szCs w:val="20"/>
                <w:color w:val="auto"/>
              </w:rPr>
            </w:pPr>
            <w:r>
              <w:rPr>
                <w:rFonts w:ascii="Arial" w:cs="Arial" w:eastAsia="Arial" w:hAnsi="Arial"/>
                <w:sz w:val="18"/>
                <w:szCs w:val="18"/>
                <w:color w:val="auto"/>
              </w:rPr>
              <w:t>55</w:t>
            </w: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Mining</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9"/>
        </w:trPr>
        <w:tc>
          <w:tcPr>
            <w:tcW w:w="52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4"/>
                <w:szCs w:val="24"/>
                <w:color w:val="auto"/>
              </w:rPr>
            </w:pPr>
          </w:p>
        </w:tc>
        <w:tc>
          <w:tcPr>
            <w:tcW w:w="3480" w:type="dxa"/>
            <w:vAlign w:val="bottom"/>
            <w:gridSpan w:val="5"/>
          </w:tcPr>
          <w:p>
            <w:pPr>
              <w:jc w:val="right"/>
              <w:ind w:right="790"/>
              <w:spacing w:after="0"/>
              <w:rPr>
                <w:sz w:val="20"/>
                <w:szCs w:val="20"/>
                <w:color w:val="auto"/>
              </w:rPr>
            </w:pPr>
            <w:r>
              <w:rPr>
                <w:rFonts w:ascii="Arial" w:cs="Arial" w:eastAsia="Arial" w:hAnsi="Arial"/>
                <w:sz w:val="18"/>
                <w:szCs w:val="18"/>
                <w:color w:val="auto"/>
              </w:rPr>
              <w:t>Six Months Ended June 30,</w:t>
            </w:r>
          </w:p>
        </w:tc>
      </w:tr>
      <w:tr>
        <w:trPr>
          <w:trHeight w:val="270"/>
        </w:trPr>
        <w:tc>
          <w:tcPr>
            <w:tcW w:w="5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8"/>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w w:val="98"/>
              </w:rPr>
              <w:t>Variance</w:t>
            </w:r>
          </w:p>
        </w:tc>
      </w:tr>
      <w:tr>
        <w:trPr>
          <w:trHeight w:val="27"/>
        </w:trPr>
        <w:tc>
          <w:tcPr>
            <w:tcW w:w="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3"/>
          </w:tcPr>
          <w:p>
            <w:pPr>
              <w:jc w:val="right"/>
              <w:ind w:right="63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16,899</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14,946</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1,953</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34,027</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31,492</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2,535</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11,124</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9,833</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22,046</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20,927</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3,885</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4,227</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520" w:type="dxa"/>
            <w:vAlign w:val="bottom"/>
            <w:tcBorders>
              <w:bottom w:val="single" w:sz="8" w:color="CEFFE7"/>
            </w:tcBorders>
          </w:tcPr>
          <w:p>
            <w:pPr>
              <w:spacing w:after="0"/>
              <w:rPr>
                <w:sz w:val="2"/>
                <w:szCs w:val="2"/>
                <w:color w:val="auto"/>
              </w:rPr>
            </w:pPr>
          </w:p>
        </w:tc>
        <w:tc>
          <w:tcPr>
            <w:tcW w:w="33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13,074</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11,895</w:t>
            </w:r>
          </w:p>
        </w:tc>
        <w:tc>
          <w:tcPr>
            <w:tcW w:w="24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1,179</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25,931</w:t>
            </w:r>
          </w:p>
        </w:tc>
        <w:tc>
          <w:tcPr>
            <w:tcW w:w="3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25,154</w:t>
            </w:r>
          </w:p>
        </w:tc>
        <w:tc>
          <w:tcPr>
            <w:tcW w:w="2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777</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3,825</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3,051</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8,096</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6,338</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1,758</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339</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(1,654)</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(1,745)</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w:t>
            </w:r>
          </w:p>
        </w:tc>
      </w:tr>
      <w:tr>
        <w:trPr>
          <w:trHeight w:val="318"/>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38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3,005</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2,681</w:t>
            </w:r>
          </w:p>
        </w:tc>
        <w:tc>
          <w:tcPr>
            <w:tcW w:w="2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324</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5,989</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5,571</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418</w:t>
            </w:r>
          </w:p>
        </w:tc>
      </w:tr>
      <w:tr>
        <w:trPr>
          <w:trHeight w:val="20"/>
        </w:trPr>
        <w:tc>
          <w:tcPr>
            <w:tcW w:w="5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Three Months Ended June 30,</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0" w:type="dxa"/>
            <w:vAlign w:val="bottom"/>
            <w:gridSpan w:val="3"/>
          </w:tcPr>
          <w:p>
            <w:pPr>
              <w:jc w:val="right"/>
              <w:ind w:right="610"/>
              <w:spacing w:after="0"/>
              <w:rPr>
                <w:sz w:val="20"/>
                <w:szCs w:val="20"/>
                <w:color w:val="auto"/>
              </w:rPr>
            </w:pPr>
            <w:r>
              <w:rPr>
                <w:rFonts w:ascii="Arial" w:cs="Arial" w:eastAsia="Arial" w:hAnsi="Arial"/>
                <w:sz w:val="18"/>
                <w:szCs w:val="18"/>
                <w:color w:val="auto"/>
              </w:rPr>
              <w:t>Six Months Ended June 30,</w:t>
            </w:r>
          </w:p>
        </w:tc>
      </w:tr>
      <w:tr>
        <w:trPr>
          <w:trHeight w:val="270"/>
        </w:trPr>
        <w:tc>
          <w:tcPr>
            <w:tcW w:w="4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11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963</w:t>
            </w:r>
          </w:p>
        </w:tc>
        <w:tc>
          <w:tcPr>
            <w:tcW w:w="118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927</w:t>
            </w:r>
          </w:p>
        </w:tc>
        <w:tc>
          <w:tcPr>
            <w:tcW w:w="5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2,041</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1,976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Cubic yards of overburden moved</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2,380</w:t>
            </w:r>
          </w:p>
        </w:tc>
        <w:tc>
          <w:tcPr>
            <w:tcW w:w="11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1,961</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4,402</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4,065</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4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Revenue per ton</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16.97</w:t>
            </w:r>
          </w:p>
        </w:tc>
        <w:tc>
          <w:tcPr>
            <w:tcW w:w="11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16.12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15.94</w:t>
            </w:r>
          </w:p>
        </w:tc>
      </w:tr>
    </w:tbl>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Results of Operations for Mining for the Three Months Ended June 30, 2018 Compared to the Three Months Ended June 30, 2017: </w:t>
      </w:r>
      <w:r>
        <w:rPr>
          <w:rFonts w:ascii="Arial" w:cs="Arial" w:eastAsia="Arial" w:hAnsi="Arial"/>
          <w:sz w:val="17"/>
          <w:szCs w:val="17"/>
          <w:color w:val="auto"/>
        </w:rPr>
        <w:t>Net income from</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operations available for common stock for the Mining segment was $3.0 million for the three months ended June 30, 2018, compared to Net income from continuing operations available for common stock of $2.7 million for the same period in 2017. Revenue increased due to a 4% increase in tons sold and a 5% increase in price per ton sold driven by contract price adjustments based on actual mining costs. Current year revenue is also reflective of lease and rental revenue, previously reported in Other income (expense), net. During the current period, approximately 51% of the mine’s production was sold under contracts that include price adjustments based on actual mining costs, including income taxes.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expenses increased primarily due to increased overburden removal and higher royalties and production taxes on increased revenues. Other income (expense), net decreased from the prior year due to the presentation change of lease and rental revenue to revenue in the current year, previously reported in other income (expense), net. The variance in tax expense to the prior year reflects the reduction in the federal corporate income tax rate from 35% to 21% from the TCJA, effective January 1, 2018.</w:t>
      </w:r>
    </w:p>
    <w:p>
      <w:pPr>
        <w:spacing w:after="0" w:line="1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Results of Operations for Mining for the Six Months Ended June 30, 2018 Compared to the Six Months Ended June 30, 2017: </w:t>
      </w:r>
      <w:r>
        <w:rPr>
          <w:rFonts w:ascii="Arial" w:cs="Arial" w:eastAsia="Arial" w:hAnsi="Arial"/>
          <w:sz w:val="18"/>
          <w:szCs w:val="18"/>
          <w:color w:val="auto"/>
        </w:rPr>
        <w:t>Net income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available for common stock for the Mining segment was $6.0 million for the six months ended June 30, 2018, compared to Net income from continuing operations available for common stock of $5.6 million for the same period in 2017. Revenue increased due to a 3% increase in tons sold and a 1% increase in price per ton sold. Current year revenue is also reflective of lease and rental revenue, previously reported in Other income (expense), net. During the current period, approximately 49% of the mine’s production was sold under contracts that include price adjustments based on actual mining costs, including income taxes.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67" w:right="239" w:bottom="1440" w:gutter="0" w:footer="0" w:header="0"/>
        </w:sectPr>
      </w:pPr>
    </w:p>
    <w:bookmarkStart w:id="56" w:name="page57"/>
    <w:bookmarkEnd w:id="56"/>
    <w:p>
      <w:pPr>
        <w:ind w:right="100"/>
        <w:spacing w:after="0" w:line="257" w:lineRule="auto"/>
        <w:rPr>
          <w:sz w:val="20"/>
          <w:szCs w:val="20"/>
          <w:color w:val="auto"/>
        </w:rPr>
      </w:pPr>
      <w:r>
        <w:rPr>
          <w:rFonts w:ascii="Arial" w:cs="Arial" w:eastAsia="Arial" w:hAnsi="Arial"/>
          <w:sz w:val="18"/>
          <w:szCs w:val="18"/>
          <w:color w:val="auto"/>
        </w:rPr>
        <w:t>Operating expenses increased primarily due to increased overburden removal and higher royalties and production taxes on increased revenues. Other income (expense), net decreased from the prior year due to the presentation change of lease and rental revenue to Revenue in the current year, previously reported in Other income (expense), net. The variance in tax expense to the prior year reflects the reduction in the federal corporate income tax rate from 35% to 21% from the TCJA, effective January 1, 2018, partially offset by $0.5 million of additional tax expense related to previous years' other comprehensive items pursuant to the TCJA.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0"/>
                <w:szCs w:val="20"/>
                <w:color w:val="auto"/>
              </w:rPr>
            </w:pPr>
          </w:p>
        </w:tc>
        <w:tc>
          <w:tcPr>
            <w:tcW w:w="3440" w:type="dxa"/>
            <w:vAlign w:val="bottom"/>
            <w:gridSpan w:val="5"/>
          </w:tcPr>
          <w:p>
            <w:pPr>
              <w:jc w:val="right"/>
              <w:ind w:right="7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3"/>
          </w:tcPr>
          <w:p>
            <w:pPr>
              <w:jc w:val="right"/>
              <w:ind w:right="65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Operating (loss) </w:t>
            </w:r>
            <w:r>
              <w:rPr>
                <w:rFonts w:ascii="Arial" w:cs="Arial" w:eastAsia="Arial" w:hAnsi="Arial"/>
                <w:sz w:val="25"/>
                <w:szCs w:val="25"/>
                <w:color w:val="auto"/>
                <w:vertAlign w:val="superscript"/>
              </w:rPr>
              <w:t>(a)</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(645)</w:t>
            </w:r>
          </w:p>
        </w:tc>
        <w:tc>
          <w:tcPr>
            <w:tcW w:w="3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1,778</w:t>
            </w:r>
          </w:p>
        </w:tc>
        <w:tc>
          <w:tcPr>
            <w:tcW w:w="30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(2,285)</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(5,782)</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240</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411</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(3,238)</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4,593</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88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jc w:val="right"/>
              <w:ind w:right="2830"/>
              <w:spacing w:after="0"/>
              <w:rPr>
                <w:sz w:val="20"/>
                <w:szCs w:val="20"/>
                <w:color w:val="auto"/>
              </w:rPr>
            </w:pPr>
            <w:r>
              <w:rPr>
                <w:rFonts w:ascii="Arial" w:cs="Arial" w:eastAsia="Arial" w:hAnsi="Arial"/>
                <w:sz w:val="16"/>
                <w:szCs w:val="16"/>
                <w:color w:val="auto"/>
                <w:w w:val="89"/>
              </w:rPr>
              <w:t>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certain general and administrative expenses and interest expenses that are not reported as discontinued operations.</w:t>
      </w:r>
    </w:p>
    <w:p>
      <w:pPr>
        <w:spacing w:after="0" w:line="199"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 xml:space="preserve">Results of Operations for Corporate and Other for the Three Months Ended June 30, 2018 Compared to the Three Months Ended June 30, 2017: </w:t>
      </w:r>
      <w:r>
        <w:rPr>
          <w:rFonts w:ascii="Arial" w:cs="Arial" w:eastAsia="Arial" w:hAnsi="Arial"/>
          <w:sz w:val="16"/>
          <w:szCs w:val="16"/>
          <w:color w:val="auto"/>
        </w:rPr>
        <w:t>Net loss from continuing operations available for common stock for Corporate and Other was $(4.2) million for the three months ended June 30, 2018, compared to Net income from continuing operations available for common stock of $(3.8) million for the three months ended June 30, 2017. The variance was driven by higher prior year operating costs previously allocated to BHEP which were not reclassified to discontinued operations. Income tax benefit (expense) increased in the current year due to higher state income tax expense impacting our quarterly adjustment to the projected annual effective tax rate.</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Results of Operations for Corporate and Other for the Six Months Ended June 30, 2018 Compared to the Six Months Ended June 30, 2017: </w:t>
      </w:r>
      <w:r>
        <w:rPr>
          <w:rFonts w:ascii="Arial" w:cs="Arial" w:eastAsia="Arial" w:hAnsi="Arial"/>
          <w:sz w:val="17"/>
          <w:szCs w:val="17"/>
          <w:color w:val="auto"/>
        </w:rPr>
        <w:t>Net loss</w:t>
      </w:r>
      <w:r>
        <w:rPr>
          <w:rFonts w:ascii="Arial" w:cs="Arial" w:eastAsia="Arial" w:hAnsi="Arial"/>
          <w:sz w:val="17"/>
          <w:szCs w:val="17"/>
          <w:b w:val="1"/>
          <w:bCs w:val="1"/>
          <w:color w:val="auto"/>
        </w:rPr>
        <w:t xml:space="preserve"> </w:t>
      </w:r>
      <w:r>
        <w:rPr>
          <w:rFonts w:ascii="Arial" w:cs="Arial" w:eastAsia="Arial" w:hAnsi="Arial"/>
          <w:sz w:val="17"/>
          <w:szCs w:val="17"/>
          <w:color w:val="auto"/>
        </w:rPr>
        <w:t>from continuing operations available for common stock for Corporate and Other was $(5.1) million for the six months ended June 30, 2018, compared to Net loss from continuing operations available for common stock of $(3.3) million for the six months ended June 30, 2017. The variance to the prior year was driven by higher prior year operating costs previously allocated to BHEP which were not reclassified to discontinued operations and transition and acquisition expenses which occurred in the prior year. The variance in Income tax benefit (expense) was primarily due to a prior year tax benefit of $1.4 million comprised primarily of benefits from a carryback claim for specified liability losses involving prior tax years, current year tax expense driven primarily by the adjustment to the projected annual effective tax rate compared to a tax benefit recorded in the prior year, and approximately $0.6 million of current year tax expense recorded pursuant to the TCJA.</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Discontinued Operations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82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gridSpan w:val="5"/>
          </w:tcPr>
          <w:p>
            <w:pPr>
              <w:jc w:val="right"/>
              <w:ind w:right="690"/>
              <w:spacing w:after="0"/>
              <w:rPr>
                <w:sz w:val="20"/>
                <w:szCs w:val="20"/>
                <w:color w:val="auto"/>
              </w:rPr>
            </w:pPr>
            <w:r>
              <w:rPr>
                <w:rFonts w:ascii="Arial" w:cs="Arial" w:eastAsia="Arial" w:hAnsi="Arial"/>
                <w:sz w:val="18"/>
                <w:szCs w:val="18"/>
                <w:color w:val="auto"/>
              </w:rPr>
              <w:t>Three Months Ended June 30,</w:t>
            </w:r>
          </w:p>
        </w:tc>
        <w:tc>
          <w:tcPr>
            <w:tcW w:w="300" w:type="dxa"/>
            <w:vAlign w:val="bottom"/>
          </w:tcPr>
          <w:p>
            <w:pPr>
              <w:spacing w:after="0"/>
              <w:rPr>
                <w:sz w:val="24"/>
                <w:szCs w:val="24"/>
                <w:color w:val="auto"/>
              </w:rPr>
            </w:pPr>
          </w:p>
        </w:tc>
        <w:tc>
          <w:tcPr>
            <w:tcW w:w="3480" w:type="dxa"/>
            <w:vAlign w:val="bottom"/>
            <w:gridSpan w:val="5"/>
          </w:tcPr>
          <w:p>
            <w:pPr>
              <w:jc w:val="right"/>
              <w:ind w:right="79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3"/>
                <w:szCs w:val="23"/>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8"/>
              </w:rPr>
              <w:t>Variance</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3"/>
                <w:szCs w:val="23"/>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w w:val="98"/>
              </w:rPr>
              <w:t>Variance</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3"/>
          </w:tcPr>
          <w:p>
            <w:pPr>
              <w:jc w:val="right"/>
              <w:ind w:right="63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1,284</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6,149</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(4,865)</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5,199</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12,624</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318"/>
        </w:trPr>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2,718</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5,491</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(2,773)</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8,407</w:t>
            </w: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12,696</w:t>
            </w:r>
          </w:p>
        </w:tc>
        <w:tc>
          <w:tcPr>
            <w:tcW w:w="2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Loss (gain) on sale of operating assets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2,240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1,838</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(1,838)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1,300</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3,783</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7"/>
        </w:trPr>
        <w:tc>
          <w:tcPr>
            <w:tcW w:w="388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4,709</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7,080</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11,910</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16,230</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CEFFE7"/>
            </w:tcBorders>
          </w:tcPr>
          <w:p>
            <w:pPr>
              <w:spacing w:after="0"/>
              <w:rPr>
                <w:sz w:val="2"/>
                <w:szCs w:val="2"/>
                <w:color w:val="auto"/>
              </w:rPr>
            </w:pPr>
          </w:p>
        </w:tc>
        <w:tc>
          <w:tcPr>
            <w:tcW w:w="20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820" w:type="dxa"/>
            <w:vAlign w:val="bottom"/>
            <w:shd w:val="clear" w:color="auto" w:fill="CEFFE7"/>
          </w:tcPr>
          <w:p>
            <w:pPr>
              <w:spacing w:after="0"/>
              <w:rPr>
                <w:sz w:val="24"/>
                <w:szCs w:val="24"/>
                <w:color w:val="auto"/>
              </w:rPr>
            </w:pPr>
          </w:p>
        </w:tc>
        <w:tc>
          <w:tcPr>
            <w:tcW w:w="20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(3,425)</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(2,494)</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(6,711)</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(3,606)</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7"/>
        </w:trPr>
        <w:tc>
          <w:tcPr>
            <w:tcW w:w="1820" w:type="dxa"/>
            <w:vAlign w:val="bottom"/>
            <w:tcBorders>
              <w:bottom w:val="single" w:sz="8" w:color="CEFFE7"/>
            </w:tcBorders>
          </w:tcPr>
          <w:p>
            <w:pPr>
              <w:spacing w:after="0"/>
              <w:rPr>
                <w:sz w:val="2"/>
                <w:szCs w:val="2"/>
                <w:color w:val="auto"/>
              </w:rPr>
            </w:pPr>
          </w:p>
        </w:tc>
        <w:tc>
          <w:tcPr>
            <w:tcW w:w="20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820" w:type="dxa"/>
            <w:vAlign w:val="bottom"/>
            <w:shd w:val="clear" w:color="auto" w:fill="CEFFE7"/>
          </w:tcPr>
          <w:p>
            <w:pPr>
              <w:spacing w:after="0"/>
              <w:rPr>
                <w:sz w:val="24"/>
                <w:szCs w:val="24"/>
                <w:color w:val="auto"/>
              </w:rPr>
            </w:pPr>
          </w:p>
        </w:tc>
        <w:tc>
          <w:tcPr>
            <w:tcW w:w="20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658</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1,822</w:t>
            </w: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1,283</w:t>
            </w:r>
          </w:p>
        </w:tc>
        <w:tc>
          <w:tcPr>
            <w:tcW w:w="2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EFFE7"/>
          </w:tcPr>
          <w:p>
            <w:pPr>
              <w:ind w:left="40"/>
              <w:spacing w:after="0"/>
              <w:rPr>
                <w:sz w:val="20"/>
                <w:szCs w:val="20"/>
                <w:color w:val="auto"/>
              </w:rPr>
            </w:pPr>
            <w:r>
              <w:rPr>
                <w:rFonts w:ascii="Arial" w:cs="Arial" w:eastAsia="Arial" w:hAnsi="Arial"/>
                <w:sz w:val="18"/>
                <w:szCs w:val="18"/>
                <w:color w:val="auto"/>
                <w:w w:val="98"/>
              </w:rPr>
              <w:t>(Loss) from discontinued operations available for</w:t>
            </w:r>
          </w:p>
        </w:tc>
        <w:tc>
          <w:tcPr>
            <w:tcW w:w="28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(2,427)</w:t>
            </w:r>
          </w:p>
        </w:tc>
        <w:tc>
          <w:tcPr>
            <w:tcW w:w="30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(616)</w:t>
            </w:r>
          </w:p>
        </w:tc>
        <w:tc>
          <w:tcPr>
            <w:tcW w:w="24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(1,811)</w:t>
            </w:r>
          </w:p>
        </w:tc>
        <w:tc>
          <w:tcPr>
            <w:tcW w:w="300" w:type="dxa"/>
            <w:vAlign w:val="bottom"/>
            <w:vMerge w:val="restart"/>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(4,770)</w:t>
            </w:r>
          </w:p>
        </w:tc>
        <w:tc>
          <w:tcPr>
            <w:tcW w:w="300" w:type="dxa"/>
            <w:vAlign w:val="bottom"/>
            <w:vMerge w:val="restart"/>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(2,185)</w:t>
            </w:r>
          </w:p>
        </w:tc>
        <w:tc>
          <w:tcPr>
            <w:tcW w:w="22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auto"/>
            </w:tcBorders>
            <w:vMerge w:val="continue"/>
            <w:shd w:val="clear" w:color="auto" w:fill="CEFFE7"/>
          </w:tcPr>
          <w:p>
            <w:pPr>
              <w:spacing w:after="0"/>
              <w:rPr>
                <w:sz w:val="20"/>
                <w:szCs w:val="20"/>
                <w:color w:val="auto"/>
              </w:rPr>
            </w:pPr>
          </w:p>
        </w:tc>
        <w:tc>
          <w:tcPr>
            <w:tcW w:w="960" w:type="dxa"/>
            <w:vAlign w:val="bottom"/>
            <w:tcBorders>
              <w:bottom w:val="single" w:sz="8" w:color="auto"/>
            </w:tcBorders>
            <w:vMerge w:val="continue"/>
            <w:shd w:val="clear" w:color="auto" w:fill="CEFFE7"/>
          </w:tcPr>
          <w:p>
            <w:pPr>
              <w:spacing w:after="0"/>
              <w:rPr>
                <w:sz w:val="20"/>
                <w:szCs w:val="20"/>
                <w:color w:val="auto"/>
              </w:rPr>
            </w:pPr>
          </w:p>
        </w:tc>
        <w:tc>
          <w:tcPr>
            <w:tcW w:w="300" w:type="dxa"/>
            <w:vAlign w:val="bottom"/>
            <w:tcBorders>
              <w:bottom w:val="single" w:sz="8" w:color="auto"/>
            </w:tcBorders>
            <w:vMerge w:val="continue"/>
            <w:shd w:val="clear" w:color="auto" w:fill="CEFFE7"/>
          </w:tcPr>
          <w:p>
            <w:pPr>
              <w:spacing w:after="0"/>
              <w:rPr>
                <w:sz w:val="20"/>
                <w:szCs w:val="20"/>
                <w:color w:val="auto"/>
              </w:rPr>
            </w:pPr>
          </w:p>
        </w:tc>
        <w:tc>
          <w:tcPr>
            <w:tcW w:w="960" w:type="dxa"/>
            <w:vAlign w:val="bottom"/>
            <w:tcBorders>
              <w:bottom w:val="single" w:sz="8" w:color="auto"/>
            </w:tcBorders>
            <w:vMerge w:val="continue"/>
            <w:shd w:val="clear" w:color="auto" w:fill="CEFFE7"/>
          </w:tcPr>
          <w:p>
            <w:pPr>
              <w:spacing w:after="0"/>
              <w:rPr>
                <w:sz w:val="20"/>
                <w:szCs w:val="20"/>
                <w:color w:val="auto"/>
              </w:rPr>
            </w:pPr>
          </w:p>
        </w:tc>
        <w:tc>
          <w:tcPr>
            <w:tcW w:w="240" w:type="dxa"/>
            <w:vAlign w:val="bottom"/>
            <w:tcBorders>
              <w:bottom w:val="single" w:sz="8" w:color="auto"/>
            </w:tcBorders>
            <w:vMerge w:val="continue"/>
            <w:shd w:val="clear" w:color="auto" w:fill="CEFFE7"/>
          </w:tcPr>
          <w:p>
            <w:pPr>
              <w:spacing w:after="0"/>
              <w:rPr>
                <w:sz w:val="20"/>
                <w:szCs w:val="20"/>
                <w:color w:val="auto"/>
              </w:rPr>
            </w:pPr>
          </w:p>
        </w:tc>
        <w:tc>
          <w:tcPr>
            <w:tcW w:w="1020" w:type="dxa"/>
            <w:vAlign w:val="bottom"/>
            <w:tcBorders>
              <w:bottom w:val="single" w:sz="8" w:color="auto"/>
            </w:tcBorders>
            <w:vMerge w:val="continue"/>
            <w:shd w:val="clear" w:color="auto" w:fill="CEFFE7"/>
          </w:tcPr>
          <w:p>
            <w:pPr>
              <w:spacing w:after="0"/>
              <w:rPr>
                <w:sz w:val="20"/>
                <w:szCs w:val="20"/>
                <w:color w:val="auto"/>
              </w:rPr>
            </w:pPr>
          </w:p>
        </w:tc>
        <w:tc>
          <w:tcPr>
            <w:tcW w:w="300" w:type="dxa"/>
            <w:vAlign w:val="bottom"/>
            <w:tcBorders>
              <w:bottom w:val="single" w:sz="8" w:color="auto"/>
            </w:tcBorders>
            <w:vMerge w:val="continue"/>
            <w:shd w:val="clear" w:color="auto" w:fill="CEFFE7"/>
          </w:tcPr>
          <w:p>
            <w:pPr>
              <w:spacing w:after="0"/>
              <w:rPr>
                <w:sz w:val="20"/>
                <w:szCs w:val="20"/>
                <w:color w:val="auto"/>
              </w:rPr>
            </w:pPr>
          </w:p>
        </w:tc>
        <w:tc>
          <w:tcPr>
            <w:tcW w:w="960" w:type="dxa"/>
            <w:vAlign w:val="bottom"/>
            <w:tcBorders>
              <w:bottom w:val="single" w:sz="8" w:color="auto"/>
            </w:tcBorders>
            <w:vMerge w:val="continue"/>
            <w:shd w:val="clear" w:color="auto" w:fill="CEFFE7"/>
          </w:tcPr>
          <w:p>
            <w:pPr>
              <w:spacing w:after="0"/>
              <w:rPr>
                <w:sz w:val="20"/>
                <w:szCs w:val="20"/>
                <w:color w:val="auto"/>
              </w:rPr>
            </w:pPr>
          </w:p>
        </w:tc>
        <w:tc>
          <w:tcPr>
            <w:tcW w:w="300" w:type="dxa"/>
            <w:vAlign w:val="bottom"/>
            <w:tcBorders>
              <w:bottom w:val="single" w:sz="8" w:color="auto"/>
            </w:tcBorders>
            <w:vMerge w:val="continue"/>
            <w:shd w:val="clear" w:color="auto" w:fill="CEFFE7"/>
          </w:tcPr>
          <w:p>
            <w:pPr>
              <w:spacing w:after="0"/>
              <w:rPr>
                <w:sz w:val="20"/>
                <w:szCs w:val="20"/>
                <w:color w:val="auto"/>
              </w:rPr>
            </w:pPr>
          </w:p>
        </w:tc>
        <w:tc>
          <w:tcPr>
            <w:tcW w:w="960" w:type="dxa"/>
            <w:vAlign w:val="bottom"/>
            <w:tcBorders>
              <w:bottom w:val="single" w:sz="8" w:color="auto"/>
            </w:tcBorders>
            <w:vMerge w:val="continue"/>
            <w:shd w:val="clear" w:color="auto" w:fill="CEFFE7"/>
          </w:tcPr>
          <w:p>
            <w:pPr>
              <w:spacing w:after="0"/>
              <w:rPr>
                <w:sz w:val="20"/>
                <w:szCs w:val="20"/>
                <w:color w:val="auto"/>
              </w:rPr>
            </w:pPr>
          </w:p>
        </w:tc>
        <w:tc>
          <w:tcPr>
            <w:tcW w:w="220" w:type="dxa"/>
            <w:vAlign w:val="bottom"/>
            <w:tcBorders>
              <w:bottom w:val="single" w:sz="8" w:color="auto"/>
            </w:tcBorders>
            <w:vMerge w:val="continue"/>
            <w:shd w:val="clear" w:color="auto" w:fill="CEFFE7"/>
          </w:tcPr>
          <w:p>
            <w:pPr>
              <w:spacing w:after="0"/>
              <w:rPr>
                <w:sz w:val="20"/>
                <w:szCs w:val="20"/>
                <w:color w:val="auto"/>
              </w:rPr>
            </w:pPr>
          </w:p>
        </w:tc>
        <w:tc>
          <w:tcPr>
            <w:tcW w:w="104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Results of Discontinued Operations for the Three Months Ended June 30, 2018 Compared to the Three Months Ended June 30, 2017: </w:t>
      </w:r>
      <w:r>
        <w:rPr>
          <w:rFonts w:ascii="Arial" w:cs="Arial" w:eastAsia="Arial" w:hAnsi="Arial"/>
          <w:sz w:val="17"/>
          <w:szCs w:val="17"/>
          <w:color w:val="auto"/>
        </w:rPr>
        <w:t>Net loss from</w:t>
      </w:r>
      <w:r>
        <w:rPr>
          <w:rFonts w:ascii="Arial" w:cs="Arial" w:eastAsia="Arial" w:hAnsi="Arial"/>
          <w:sz w:val="17"/>
          <w:szCs w:val="17"/>
          <w:b w:val="1"/>
          <w:bCs w:val="1"/>
          <w:color w:val="auto"/>
        </w:rPr>
        <w:t xml:space="preserve"> </w:t>
      </w:r>
      <w:r>
        <w:rPr>
          <w:rFonts w:ascii="Arial" w:cs="Arial" w:eastAsia="Arial" w:hAnsi="Arial"/>
          <w:sz w:val="17"/>
          <w:szCs w:val="17"/>
          <w:color w:val="auto"/>
        </w:rPr>
        <w:t>discontinued operations was $(2.4) million for the three months ended June 30, 2018, compared to Net loss from discontinued operations of $(0.6) million for the same period in 2017. The variance to the prior year is driven by lower revenues due to current year and prior year property sales and higher losses on sales of operating assets, partially offset by lower oil and gas operating expenses and lower employee costs. Depreciation and depletion expense in the prior year is reflective of full cost accounting, which continued through November 1, 2017.</w:t>
      </w:r>
    </w:p>
    <w:p>
      <w:pPr>
        <w:spacing w:after="0" w:line="1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Results of Discontinued Operations for the Six Months Ended June 30, 2018 Compared to the Six Months Ended June 30, 2017: </w:t>
      </w:r>
      <w:r>
        <w:rPr>
          <w:rFonts w:ascii="Arial" w:cs="Arial" w:eastAsia="Arial" w:hAnsi="Arial"/>
          <w:sz w:val="18"/>
          <w:szCs w:val="18"/>
          <w:color w:val="auto"/>
        </w:rPr>
        <w:t>Net loss from</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was $(4.8) million for the six months ended June 30, 2018, compared to Net loss from discontinued operations of $(2.2) million for the same period in 2017. The variance to the prior year is driven by lower revenues due to current year and prior year property sales and higher losses on sales of operating assets, partially offset by lower oil and gas operating expenses and lower employee costs. Current year depreciation expense is representative of the write-down of the remaining book value of accounting software. Depreciation and depletion expense in the prior year is reflective of full cost accounting, which continued through November 1,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our critical accounting estimates from those reported in our 2017 Annual Report on Form 10-K filed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critical accounting estimates, see Part II, Item 7 of our 2017 Annual Report on Form 10-K.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67"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Company requires significant cash to support and grow our business.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 As discussed in more detail below under income taxes, we expect an increase in working capital requirements as a result of complying with the TCJA and the impact of providing TCJA benefits to customers.</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debt maturities, anticipated dividends, and anticipated capital expenditures discussed in this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June 30, 2018, we had sufficient liquidity to cover collateral that could be required to be posted under these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TCJA legislation was signed into law on December 22, 2017. The new tax law required revaluation at December 31, 2017 of federal deferred tax assets and liabilities using the new lower corporate tax rate of 21%. As a result of the revaluation, deferred tax assets and liabilities were reduced by approximately $309 million. Of the $309 million, approximately $301 million is related to our regulated utilities and is reclassified to a regulatory liability. This regulatory liability will generally be amortized over the remaining life of the related assets as specifically prescribed in the TCJA.</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expect an increase in working capital requirements as a result of complying with the TCJA and the impact of providing TCJA benefits to customers. We estimate the lower tax rate will negatively impact the Company’s cash flows by approximately $35 million to $45 million annually for the next several years. Each of our utilities is working with their respective regulators to address the impact of tax reform and the appropriate benefit to customers. See Note 5 for more information on regulatory matters.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580"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June 30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Increase</w:t>
            </w: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28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w w:val="98"/>
              </w:rPr>
              <w:t>(Decrease)</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activities</w:t>
            </w:r>
          </w:p>
        </w:tc>
        <w:tc>
          <w:tcPr>
            <w:tcW w:w="28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310,701</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262,869</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47,832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(163,526)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(163,530)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Financing activities</w:t>
            </w:r>
          </w:p>
        </w:tc>
        <w:tc>
          <w:tcPr>
            <w:tcW w:w="280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(153,701)</w:t>
            </w:r>
          </w:p>
        </w:tc>
        <w:tc>
          <w:tcPr>
            <w:tcW w:w="3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(101,069)</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(52,632)</w:t>
            </w:r>
          </w:p>
        </w:tc>
      </w:tr>
      <w:tr>
        <w:trPr>
          <w:trHeight w:val="27"/>
        </w:trPr>
        <w:tc>
          <w:tcPr>
            <w:tcW w:w="4520" w:type="dxa"/>
            <w:vAlign w:val="bottom"/>
            <w:shd w:val="clear" w:color="auto" w:fill="CEFFE7"/>
          </w:tcPr>
          <w:p>
            <w:pPr>
              <w:spacing w:after="0"/>
              <w:rPr>
                <w:sz w:val="2"/>
                <w:szCs w:val="2"/>
                <w:color w:val="auto"/>
              </w:rPr>
            </w:pPr>
          </w:p>
        </w:tc>
        <w:tc>
          <w:tcPr>
            <w:tcW w:w="280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2018 Compared to Year-to-Date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operating activities was $311 million for the six months ended June 30, 2018, compared to net cash provided by operating activities of $263 million for the same period in 2017 for a variance of $48 million. The variance was primarily attributable to:</w:t>
      </w:r>
    </w:p>
    <w:p>
      <w:pPr>
        <w:spacing w:after="0" w:line="170" w:lineRule="exact"/>
        <w:rPr>
          <w:sz w:val="20"/>
          <w:szCs w:val="20"/>
          <w:color w:val="auto"/>
        </w:rPr>
      </w:pPr>
    </w:p>
    <w:p>
      <w:pPr>
        <w:ind w:left="660" w:right="4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$0.8 million lower for the six months ended June 30, 2018 compared to the same period in the prior year;</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cash inflows from changes in operating assets and liabilities were $47 million for the six months ended June 30, 2018, compared to net cash outflows of $6 million in the same period in the prior year. This $53 million variance was primarily due to:</w:t>
      </w:r>
    </w:p>
    <w:p>
      <w:pPr>
        <w:spacing w:after="0" w:line="170" w:lineRule="exact"/>
        <w:rPr>
          <w:rFonts w:ascii="Arial" w:cs="Arial" w:eastAsia="Arial" w:hAnsi="Arial"/>
          <w:sz w:val="18"/>
          <w:szCs w:val="18"/>
          <w:color w:val="auto"/>
        </w:rPr>
      </w:pPr>
    </w:p>
    <w:p>
      <w:pPr>
        <w:jc w:val="both"/>
        <w:ind w:left="1140" w:right="140" w:hanging="322"/>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Cash inflows decreased by approximately $33 million primarily as a result of increases in our accounts receivable and other operating assets driven by current year increase in revenues, partially offset by lower natural gas in storage for the six months ended June 30, 2018 compared to the same period in the prior year;</w:t>
      </w:r>
    </w:p>
    <w:p>
      <w:pPr>
        <w:spacing w:after="0" w:line="181"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Cash outflows decreased by approximately $21 million as a result of increases in accounts payable and accrued liabilities driven by changes in working capital requirements; and</w:t>
      </w:r>
    </w:p>
    <w:p>
      <w:pPr>
        <w:spacing w:after="0" w:line="170" w:lineRule="exact"/>
        <w:rPr>
          <w:rFonts w:ascii="Arial" w:cs="Arial" w:eastAsia="Arial" w:hAnsi="Arial"/>
          <w:sz w:val="18"/>
          <w:szCs w:val="18"/>
          <w:color w:val="auto"/>
        </w:rPr>
      </w:pPr>
    </w:p>
    <w:p>
      <w:pPr>
        <w:ind w:left="1140" w:right="320" w:hanging="322"/>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Cash inflows increased by approximately $67 million as a result of changes in our current regulatory assets and liabilities driven by differences in fuel cost adjustments and cash collected from customers on billings that do not reflect benefits of the TCJA compared to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used in investing activities was $164 million for the six months ended June 30, 2018, compared to net cash used in investing activities of $164 million for the same period in 2017. These were approximately the same due to:</w:t>
      </w:r>
    </w:p>
    <w:p>
      <w:pPr>
        <w:spacing w:after="0" w:line="170" w:lineRule="exact"/>
        <w:rPr>
          <w:sz w:val="20"/>
          <w:szCs w:val="20"/>
          <w:color w:val="auto"/>
        </w:rPr>
      </w:pPr>
    </w:p>
    <w:p>
      <w:pPr>
        <w:ind w:left="660" w:right="36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Capital expenditures of approximately $157 million for the six months ended June 30, 2018 compared to $154 million for the same period in the prior year. Higher current year expenditures at our gas utilities are offset by higher prior expenditures at our electric utilities which included completion of the second segment of the 144-mile long Teckla-Lange transmission line and construction of our Horizon Point facility.</w:t>
      </w:r>
    </w:p>
    <w:p>
      <w:pPr>
        <w:spacing w:after="0" w:line="146"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$24 million investment partially offset by a $27 million change in net cash provided by investing activities from discontinued operations primarily due to the sale of assets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cash used in financing activities for the six months ended June 30, 2018 was $154 million, compared to $101 million of net cash used in financing activities for the same period in 2017 for a variance of $53 million. This variance is primarily due to higher current year short-term debt repayments of $101 million, partially offset by a $50 million term loan payment in the prior year and higher current year dividend payments.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Dividends paid on our common stock totaled $51 million for the six months ended June 30, 2018, or $0.475 per share per quarter. On July 25, 2018, our board of directors declared a quarterly dividend of $0.475 per share payable September 1, 2018, equivalent to an annual dividend of $1.90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 and Short-Term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sources to meet day-to-day operating cash requirements are cash from operations, our CP Program and our corporate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See Note 9 for more information.</w:t>
      </w:r>
    </w:p>
    <w:p>
      <w:pPr>
        <w:spacing w:after="0" w:line="18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have a $750 million, unsecured CP Program that is backstopped by the Revolving Credit Facility. Amounts outstanding under the Revolving Credit Facility and the CP Program, either individually or in the aggregate, cannot exceed $750 million. See Note 9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1"/>
              </w:rPr>
              <w:t>CP Program Borrowings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89"/>
              </w:rPr>
              <w:t>Current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Revolver Borrowings at</w:t>
            </w:r>
          </w:p>
        </w:tc>
        <w:tc>
          <w:tcPr>
            <w:tcW w:w="340" w:type="dxa"/>
            <w:vAlign w:val="bottom"/>
          </w:tcPr>
          <w:p>
            <w:pPr>
              <w:spacing w:after="0"/>
              <w:rPr>
                <w:sz w:val="20"/>
                <w:szCs w:val="20"/>
                <w:color w:val="auto"/>
              </w:rPr>
            </w:pP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92"/>
              </w:rPr>
              <w:t>at</w:t>
            </w:r>
          </w:p>
        </w:tc>
        <w:tc>
          <w:tcPr>
            <w:tcW w:w="22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1"/>
              </w:rPr>
              <w:t>Letters of Credit at</w:t>
            </w:r>
          </w:p>
        </w:tc>
        <w:tc>
          <w:tcPr>
            <w:tcW w:w="20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150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4"/>
              </w:rPr>
              <w:t>Expiration</w:t>
            </w:r>
          </w:p>
        </w:tc>
        <w:tc>
          <w:tcPr>
            <w:tcW w:w="160" w:type="dxa"/>
            <w:vAlign w:val="bottom"/>
          </w:tcPr>
          <w:p>
            <w:pPr>
              <w:spacing w:after="0"/>
              <w:rPr>
                <w:sz w:val="23"/>
                <w:szCs w:val="23"/>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Capacity</w:t>
            </w:r>
          </w:p>
        </w:tc>
        <w:tc>
          <w:tcPr>
            <w:tcW w:w="320" w:type="dxa"/>
            <w:vAlign w:val="bottom"/>
          </w:tcPr>
          <w:p>
            <w:pPr>
              <w:spacing w:after="0"/>
              <w:rPr>
                <w:sz w:val="23"/>
                <w:szCs w:val="23"/>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87"/>
              </w:rPr>
              <w:t>June 30, 2018</w:t>
            </w:r>
          </w:p>
        </w:tc>
        <w:tc>
          <w:tcPr>
            <w:tcW w:w="340" w:type="dxa"/>
            <w:vAlign w:val="bottom"/>
          </w:tcPr>
          <w:p>
            <w:pPr>
              <w:spacing w:after="0"/>
              <w:rPr>
                <w:sz w:val="23"/>
                <w:szCs w:val="23"/>
                <w:color w:val="auto"/>
              </w:rPr>
            </w:pPr>
          </w:p>
        </w:tc>
        <w:tc>
          <w:tcPr>
            <w:tcW w:w="1620" w:type="dxa"/>
            <w:vAlign w:val="bottom"/>
          </w:tcPr>
          <w:p>
            <w:pPr>
              <w:jc w:val="center"/>
              <w:ind w:right="190"/>
              <w:spacing w:after="0"/>
              <w:rPr>
                <w:sz w:val="20"/>
                <w:szCs w:val="20"/>
                <w:color w:val="auto"/>
              </w:rPr>
            </w:pPr>
            <w:r>
              <w:rPr>
                <w:rFonts w:ascii="Arial" w:cs="Arial" w:eastAsia="Arial" w:hAnsi="Arial"/>
                <w:sz w:val="18"/>
                <w:szCs w:val="18"/>
                <w:color w:val="auto"/>
                <w:w w:val="89"/>
              </w:rPr>
              <w:t>June 30, 2018</w:t>
            </w:r>
          </w:p>
        </w:tc>
        <w:tc>
          <w:tcPr>
            <w:tcW w:w="220" w:type="dxa"/>
            <w:vAlign w:val="bottom"/>
          </w:tcPr>
          <w:p>
            <w:pPr>
              <w:spacing w:after="0"/>
              <w:rPr>
                <w:sz w:val="23"/>
                <w:szCs w:val="23"/>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87"/>
              </w:rPr>
              <w:t>June 30, 2018</w:t>
            </w:r>
          </w:p>
        </w:tc>
        <w:tc>
          <w:tcPr>
            <w:tcW w:w="200" w:type="dxa"/>
            <w:vAlign w:val="bottom"/>
          </w:tcPr>
          <w:p>
            <w:pPr>
              <w:spacing w:after="0"/>
              <w:rPr>
                <w:sz w:val="23"/>
                <w:szCs w:val="23"/>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color w:val="auto"/>
                <w:w w:val="87"/>
              </w:rPr>
              <w:t>June 30, 2018</w:t>
            </w:r>
          </w:p>
        </w:tc>
      </w:tr>
      <w:tr>
        <w:trPr>
          <w:trHeight w:val="27"/>
        </w:trPr>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1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w:t>
            </w:r>
          </w:p>
        </w:tc>
        <w:tc>
          <w:tcPr>
            <w:tcW w:w="12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60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62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r>
      <w:tr>
        <w:trPr>
          <w:trHeight w:val="230"/>
        </w:trPr>
        <w:tc>
          <w:tcPr>
            <w:tcW w:w="1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EFFE7"/>
          </w:tcPr>
          <w:p>
            <w:pPr>
              <w:jc w:val="center"/>
              <w:ind w:left="50"/>
              <w:spacing w:after="0"/>
              <w:rPr>
                <w:sz w:val="20"/>
                <w:szCs w:val="20"/>
                <w:color w:val="auto"/>
              </w:rPr>
            </w:pPr>
            <w:r>
              <w:rPr>
                <w:rFonts w:ascii="Arial" w:cs="Arial" w:eastAsia="Arial" w:hAnsi="Arial"/>
                <w:sz w:val="18"/>
                <w:szCs w:val="18"/>
                <w:color w:val="auto"/>
                <w:w w:val="91"/>
              </w:rPr>
              <w:t>July 30, 2023</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ind w:left="1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617</w:t>
            </w:r>
          </w:p>
        </w:tc>
      </w:tr>
      <w:tr>
        <w:trPr>
          <w:trHeight w:val="27"/>
        </w:trPr>
        <w:tc>
          <w:tcPr>
            <w:tcW w:w="1500" w:type="dxa"/>
            <w:vAlign w:val="bottom"/>
            <w:shd w:val="clear" w:color="auto" w:fill="CEFFE7"/>
          </w:tcPr>
          <w:p>
            <w:pPr>
              <w:spacing w:after="0"/>
              <w:rPr>
                <w:sz w:val="2"/>
                <w:szCs w:val="2"/>
                <w:color w:val="auto"/>
              </w:rPr>
            </w:pPr>
          </w:p>
        </w:tc>
        <w:tc>
          <w:tcPr>
            <w:tcW w:w="124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76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600" w:type="dxa"/>
            <w:vAlign w:val="bottom"/>
            <w:shd w:val="clear" w:color="auto" w:fill="CEFFE7"/>
          </w:tcPr>
          <w:p>
            <w:pPr>
              <w:spacing w:after="0"/>
              <w:rPr>
                <w:sz w:val="2"/>
                <w:szCs w:val="2"/>
                <w:color w:val="auto"/>
              </w:rPr>
            </w:pPr>
          </w:p>
        </w:tc>
        <w:tc>
          <w:tcPr>
            <w:tcW w:w="34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16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7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weighted average interest rate on CP Program borrowings at June 30, 2018 was 2.29%. Revolving Credit Facility and CP Program financing activity for the six months ended June 30, 2018 was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jc w:val="right"/>
              <w:ind w:right="30"/>
              <w:spacing w:after="0"/>
              <w:rPr>
                <w:sz w:val="20"/>
                <w:szCs w:val="20"/>
                <w:color w:val="auto"/>
              </w:rPr>
            </w:pPr>
            <w:r>
              <w:rPr>
                <w:rFonts w:ascii="Arial" w:cs="Arial" w:eastAsia="Arial" w:hAnsi="Arial"/>
                <w:sz w:val="18"/>
                <w:szCs w:val="18"/>
                <w:color w:val="auto"/>
                <w:w w:val="90"/>
              </w:rPr>
              <w:t>For the Six Months Ended June 30,</w:t>
            </w:r>
          </w:p>
        </w:tc>
      </w:tr>
      <w:tr>
        <w:trPr>
          <w:trHeight w:val="230"/>
        </w:trPr>
        <w:tc>
          <w:tcPr>
            <w:tcW w:w="7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80" w:type="dxa"/>
            <w:vAlign w:val="bottom"/>
          </w:tcPr>
          <w:p>
            <w:pPr>
              <w:jc w:val="right"/>
              <w:ind w:right="1130"/>
              <w:spacing w:after="0"/>
              <w:rPr>
                <w:sz w:val="20"/>
                <w:szCs w:val="20"/>
                <w:color w:val="auto"/>
              </w:rPr>
            </w:pPr>
            <w:r>
              <w:rPr>
                <w:rFonts w:ascii="Arial" w:cs="Arial" w:eastAsia="Arial" w:hAnsi="Arial"/>
                <w:sz w:val="18"/>
                <w:szCs w:val="18"/>
                <w:color w:val="auto"/>
              </w:rPr>
              <w:t>2018</w:t>
            </w:r>
          </w:p>
        </w:tc>
      </w:tr>
      <w:tr>
        <w:trPr>
          <w:trHeight w:val="27"/>
        </w:trPr>
        <w:tc>
          <w:tcPr>
            <w:tcW w:w="7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231</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Maximum amount outstanding - revolving credit facility (based on daily outstanding balances)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Average amount outstanding - commercial paper (based on daily outstanding balances)</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146</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Average amount outstanding - revolving credit facility (based on daily outstanding balances)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78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commercial paper</w:t>
            </w:r>
          </w:p>
        </w:tc>
        <w:tc>
          <w:tcPr>
            <w:tcW w:w="940" w:type="dxa"/>
            <w:vAlign w:val="bottom"/>
            <w:tcBorders>
              <w:bottom w:val="single" w:sz="8" w:color="CEFFE7"/>
            </w:tcBorders>
            <w:shd w:val="clear" w:color="auto" w:fill="CEFFE7"/>
          </w:tcPr>
          <w:p>
            <w:pPr>
              <w:spacing w:after="0"/>
              <w:rPr>
                <w:sz w:val="21"/>
                <w:szCs w:val="21"/>
                <w:color w:val="auto"/>
              </w:rPr>
            </w:pPr>
          </w:p>
        </w:tc>
        <w:tc>
          <w:tcPr>
            <w:tcW w:w="2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7800" w:type="dxa"/>
            <w:vAlign w:val="bottom"/>
          </w:tcPr>
          <w:p>
            <w:pPr>
              <w:ind w:left="120"/>
              <w:spacing w:after="0"/>
              <w:rPr>
                <w:sz w:val="20"/>
                <w:szCs w:val="20"/>
                <w:color w:val="auto"/>
              </w:rPr>
            </w:pPr>
            <w:r>
              <w:rPr>
                <w:rFonts w:ascii="Arial" w:cs="Arial" w:eastAsia="Arial" w:hAnsi="Arial"/>
                <w:sz w:val="18"/>
                <w:szCs w:val="18"/>
                <w:color w:val="auto"/>
              </w:rPr>
              <w:t>Weighted average interest rates - revolving credit facility</w:t>
            </w:r>
          </w:p>
        </w:tc>
        <w:tc>
          <w:tcPr>
            <w:tcW w:w="94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and certain guarantees issued but excludes the RSNs), by (ii) Capital, which is Consolidated Indebtedness plus Consolidated Net Worth (which excludes noncontrolling interests in subsidiaries and includes the aggregate outstanding amount of the RSNs or, with respect to the calculation as of September 30, 2018 only, the amount receivable by the Company in connection with the common stock settlement under the purchase contracts which are part of the Equity Units).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June 30,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1" w:name="page62"/>
    <w:bookmarkEnd w:id="61"/>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Financing activities for the six months ended June 30, 2018 consisted of short-term borrowings from our CP Program. On August 4, 2017, we renewed the ATM equity offering program which reset the size of the ATM equity offering program to an aggregate value of up to $300 million. We did not issue any shares of common stock under our ATM equity offering program for the six months ended June 30, 2018.</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July 30, 2018, we amended and restated our unsecured term loan due August 2019. This amended and restated term loan, with $300 million outstanding at June 30, 2018, will now mature July 30, 2020 and has substantially similar terms and covenants as the amended and restated Revolving Credit Facility. See Note 9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terms of the Equity Units require us to remarket the RSNs on behalf of the holders of the Equity Units in advance of November 1, 2018, the scheduled settlement of the purchase contracts included in the Equity Units. We intend to satisfy this requirement by conducting an optional remarketing of the RSNs. We will not directly receive the proceeds of the remarketing. Instead, the proceeds from the sale of the RSNs will be invested on behalf of the holders of our Equity Units in a portfolio of treasury securities, which will be pledged to secure (and may eventually be used to satisfy) the obligations of the holders of the Equity Units to purchase $299 million of our common stock on November 1, 2018 in settlement of the purchase contracts included in the Equity Units. We anticipate using the net proceeds from such settlement to pay down debt and for general corporate purposes.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optional remarketing of the RSNs, we also expect to undertake a series of transactions that may result in the exchange or modification of the RSNs, which would result in modification of the interest rate, maturity, covenants, seniority, and other terms, and may also include the issuance of additional senior unsecured notes of the same series as the RSNs as so modified. We anticipate using any net proceeds from the issuance of any such additional senior unsecured notes to pay down debt and for general corporate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utility holding company which owns several regulated utilities, we are subject to various regulations that could influence our liquidity. Our utilities in Arkansas, Colorado, Iowa, Kansas, Nebraska and Wyoming have regulatory agreements in which they cannot pay dividends if they have issued debt to third parties and the payment of a dividend would reduce their equity ratio to below 40% of their total capitalization; and neither Black Hills Utility Holdings nor its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 As a result of our holding company structure, our right as a common shareholder to receive assets of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As of June 30, 2018, the restricted net assets at our Electric Utilities and Gas Utilities were approximately $257 million.</w:t>
      </w:r>
    </w:p>
    <w:p>
      <w:pPr>
        <w:spacing w:after="0" w:line="14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credit facilities and other debt obligations contain restrictions on the payment of cash dividends upon a default or event of default. An event of default would be deemed to have occurred if we did not meet certain financial covenants. The only financial covenant under our Revolving Credit Facility and existing term loan is a Consolidated Indebtedness to Capitalization Ratio, which requires us to maintain a Consolidated Indebtedness to Capitalization Ratio not to exceed 0.65 to 1.00 at the end of any fiscal quarter. Our Consolidated Indebtedness to Capitalization Ratio is calculated by dividing (i) Consolidated Indebtedness (which includes letters of credit and certain guarantees issued but excludes the RSNs), by (ii) Capital, which is Consolidated Indebtedness plus Consolidated Net Worth (which excludes noncontrolling interests in subsidiaries and includes the aggregate outstanding amount of the RSNs or, with respect to the calculation as of September 30, 2018 only, the amount receivable by the Company in connection with the common stock settlement under the purchase contracts which are part of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01" w:right="239" w:bottom="1440" w:gutter="0" w:footer="0" w:header="0"/>
        </w:sectPr>
      </w:pPr>
    </w:p>
    <w:bookmarkStart w:id="62" w:name="page63"/>
    <w:bookmarkEnd w:id="62"/>
    <w:p>
      <w:pPr>
        <w:ind w:right="140"/>
        <w:spacing w:after="0" w:line="277" w:lineRule="auto"/>
        <w:rPr>
          <w:sz w:val="20"/>
          <w:szCs w:val="20"/>
          <w:color w:val="auto"/>
        </w:rPr>
      </w:pPr>
      <w:r>
        <w:rPr>
          <w:rFonts w:ascii="Arial" w:cs="Arial" w:eastAsia="Arial" w:hAnsi="Arial"/>
          <w:sz w:val="18"/>
          <w:szCs w:val="18"/>
          <w:color w:val="auto"/>
        </w:rPr>
        <w:t>Equity Units). Additionally, covenants within Cheyenne Light’s financing agreements require Cheyenne Light to maintain a debt to capitalization ratio of no more than 0.60 to 1.00. As of June 30, 2018, we were in compliance with these covenants.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other material changes in our financing transactions and short-term liquidity from those reported in Item 7 of our 2017 Annual Report on Form 10-K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our ability to maintain or expand our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the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w w:val="96"/>
              </w:rPr>
              <w:t>The following table represents the credit ratings and outlook and risk profile of BHC at June 30, 2018:</w:t>
            </w:r>
          </w:p>
        </w:tc>
        <w:tc>
          <w:tcPr>
            <w:tcW w:w="2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tcPr>
          <w:p>
            <w:pPr>
              <w:ind w:left="400"/>
              <w:spacing w:after="0"/>
              <w:rPr>
                <w:sz w:val="20"/>
                <w:szCs w:val="20"/>
                <w:color w:val="auto"/>
              </w:rPr>
            </w:pPr>
            <w:r>
              <w:rPr>
                <w:rFonts w:ascii="Arial" w:cs="Arial" w:eastAsia="Arial" w:hAnsi="Arial"/>
                <w:sz w:val="18"/>
                <w:szCs w:val="18"/>
                <w:b w:val="1"/>
                <w:bCs w:val="1"/>
                <w:color w:val="auto"/>
                <w:w w:val="97"/>
              </w:rPr>
              <w:t>Senior Unsecured Rating</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77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7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520" w:type="dxa"/>
            <w:vAlign w:val="bottom"/>
            <w:shd w:val="clear" w:color="auto" w:fill="CEFFE7"/>
          </w:tcPr>
          <w:p>
            <w:pPr>
              <w:ind w:left="118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50"/>
              <w:spacing w:after="0"/>
              <w:rPr>
                <w:sz w:val="20"/>
                <w:szCs w:val="20"/>
                <w:color w:val="auto"/>
              </w:rPr>
            </w:pPr>
            <w:r>
              <w:rPr>
                <w:rFonts w:ascii="Arial" w:cs="Arial" w:eastAsia="Arial" w:hAnsi="Arial"/>
                <w:sz w:val="18"/>
                <w:szCs w:val="18"/>
                <w:color w:val="auto"/>
                <w:w w:val="91"/>
              </w:rPr>
              <w:t>Positive</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520" w:type="dxa"/>
            <w:vAlign w:val="bottom"/>
          </w:tcPr>
          <w:p>
            <w:pPr>
              <w:ind w:left="1180"/>
              <w:spacing w:after="0"/>
              <w:rPr>
                <w:sz w:val="20"/>
                <w:szCs w:val="20"/>
                <w:color w:val="auto"/>
              </w:rPr>
            </w:pPr>
            <w:r>
              <w:rPr>
                <w:rFonts w:ascii="Arial" w:cs="Arial" w:eastAsia="Arial" w:hAnsi="Arial"/>
                <w:sz w:val="18"/>
                <w:szCs w:val="18"/>
                <w:color w:val="auto"/>
              </w:rPr>
              <w:t>Baa2</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77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520" w:type="dxa"/>
            <w:vAlign w:val="bottom"/>
            <w:shd w:val="clear" w:color="auto" w:fill="CEFFE7"/>
          </w:tcPr>
          <w:p>
            <w:pPr>
              <w:ind w:left="118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179"/>
        </w:trPr>
        <w:tc>
          <w:tcPr>
            <w:tcW w:w="778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(a)  On March 8, 2018, S&amp;P affirmed BBB rating and revised the outlook to Positive.</w:t>
            </w:r>
          </w:p>
        </w:tc>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(b)  On December 12, 2017, Moody’s affirmed our Baa2 rating and maintained a Stable outlook.</w:t>
            </w:r>
          </w:p>
        </w:tc>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7780" w:type="dxa"/>
            <w:vAlign w:val="bottom"/>
          </w:tcPr>
          <w:p>
            <w:pPr>
              <w:spacing w:after="0"/>
              <w:rPr>
                <w:sz w:val="20"/>
                <w:szCs w:val="20"/>
                <w:color w:val="auto"/>
              </w:rPr>
            </w:pPr>
            <w:r>
              <w:rPr>
                <w:rFonts w:ascii="Arial" w:cs="Arial" w:eastAsia="Arial" w:hAnsi="Arial"/>
                <w:sz w:val="16"/>
                <w:szCs w:val="16"/>
                <w:color w:val="auto"/>
              </w:rPr>
              <w:t>(c)  On October 4, 2017, Fitch affirmed BBB+ rating and maintained a Stable outlook.</w:t>
            </w: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98"/>
        </w:trPr>
        <w:tc>
          <w:tcPr>
            <w:tcW w:w="7780" w:type="dxa"/>
            <w:vAlign w:val="bottom"/>
          </w:tcPr>
          <w:p>
            <w:pPr>
              <w:spacing w:after="0"/>
              <w:rPr>
                <w:sz w:val="20"/>
                <w:szCs w:val="20"/>
                <w:color w:val="auto"/>
              </w:rPr>
            </w:pPr>
            <w:r>
              <w:rPr>
                <w:rFonts w:ascii="Arial" w:cs="Arial" w:eastAsia="Arial" w:hAnsi="Arial"/>
                <w:sz w:val="18"/>
                <w:szCs w:val="18"/>
                <w:color w:val="auto"/>
              </w:rPr>
              <w:t>The following table represents the credit ratings of South Dakota Electric at June 30, 2018:</w:t>
            </w: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7080" w:type="dxa"/>
            <w:vAlign w:val="bottom"/>
          </w:tcPr>
          <w:p>
            <w:pPr>
              <w:jc w:val="center"/>
              <w:ind w:left="495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434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S&amp;P</w:t>
            </w:r>
          </w:p>
        </w:tc>
        <w:tc>
          <w:tcPr>
            <w:tcW w:w="7080" w:type="dxa"/>
            <w:vAlign w:val="bottom"/>
            <w:tcBorders>
              <w:bottom w:val="single" w:sz="8" w:color="CEFFE7"/>
            </w:tcBorders>
            <w:shd w:val="clear" w:color="auto" w:fill="CEFFE7"/>
          </w:tcPr>
          <w:p>
            <w:pPr>
              <w:jc w:val="center"/>
              <w:ind w:left="4930"/>
              <w:spacing w:after="0"/>
              <w:rPr>
                <w:sz w:val="20"/>
                <w:szCs w:val="20"/>
                <w:color w:val="auto"/>
              </w:rPr>
            </w:pPr>
            <w:r>
              <w:rPr>
                <w:rFonts w:ascii="Arial" w:cs="Arial" w:eastAsia="Arial" w:hAnsi="Arial"/>
                <w:sz w:val="18"/>
                <w:szCs w:val="18"/>
                <w:color w:val="auto"/>
                <w:w w:val="99"/>
              </w:rPr>
              <w:t>A-</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Moody’s</w:t>
            </w:r>
          </w:p>
        </w:tc>
        <w:tc>
          <w:tcPr>
            <w:tcW w:w="7080" w:type="dxa"/>
            <w:vAlign w:val="bottom"/>
          </w:tcPr>
          <w:p>
            <w:pPr>
              <w:jc w:val="center"/>
              <w:ind w:left="4930"/>
              <w:spacing w:after="0"/>
              <w:rPr>
                <w:sz w:val="20"/>
                <w:szCs w:val="20"/>
                <w:color w:val="auto"/>
              </w:rPr>
            </w:pPr>
            <w:r>
              <w:rPr>
                <w:rFonts w:ascii="Arial" w:cs="Arial" w:eastAsia="Arial" w:hAnsi="Arial"/>
                <w:sz w:val="18"/>
                <w:szCs w:val="18"/>
                <w:color w:val="auto"/>
                <w:w w:val="99"/>
              </w:rPr>
              <w:t>A1</w:t>
            </w:r>
          </w:p>
        </w:tc>
      </w:tr>
      <w:tr>
        <w:trPr>
          <w:trHeight w:val="27"/>
        </w:trPr>
        <w:tc>
          <w:tcPr>
            <w:tcW w:w="434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70"/>
        </w:trPr>
        <w:tc>
          <w:tcPr>
            <w:tcW w:w="43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(a)</w:t>
            </w:r>
          </w:p>
        </w:tc>
        <w:tc>
          <w:tcPr>
            <w:tcW w:w="7080" w:type="dxa"/>
            <w:vAlign w:val="bottom"/>
            <w:shd w:val="clear" w:color="auto" w:fill="CEFFE7"/>
          </w:tcPr>
          <w:p>
            <w:pPr>
              <w:jc w:val="center"/>
              <w:ind w:left="4930"/>
              <w:spacing w:after="0"/>
              <w:rPr>
                <w:sz w:val="20"/>
                <w:szCs w:val="20"/>
                <w:color w:val="auto"/>
              </w:rPr>
            </w:pPr>
            <w:r>
              <w:rPr>
                <w:rFonts w:ascii="Arial" w:cs="Arial" w:eastAsia="Arial" w:hAnsi="Arial"/>
                <w:sz w:val="18"/>
                <w:szCs w:val="18"/>
                <w:color w:val="auto"/>
              </w:rPr>
              <w:t>A</w:t>
            </w:r>
          </w:p>
        </w:tc>
      </w:tr>
      <w:tr>
        <w:trPr>
          <w:trHeight w:val="179"/>
        </w:trPr>
        <w:tc>
          <w:tcPr>
            <w:tcW w:w="434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7080" w:type="dxa"/>
            <w:vAlign w:val="bottom"/>
          </w:tcPr>
          <w:p>
            <w:pPr>
              <w:spacing w:after="0"/>
              <w:rPr>
                <w:sz w:val="15"/>
                <w:szCs w:val="15"/>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6"/>
                <w:szCs w:val="16"/>
                <w:color w:val="auto"/>
              </w:rPr>
              <w:t>(a)  On July 19, 2018, Fitch affirmed A rating.</w:t>
            </w:r>
          </w:p>
        </w:tc>
        <w:tc>
          <w:tcPr>
            <w:tcW w:w="7080" w:type="dxa"/>
            <w:vAlign w:val="bottom"/>
          </w:tcPr>
          <w:p>
            <w:pPr>
              <w:spacing w:after="0"/>
              <w:rPr>
                <w:sz w:val="17"/>
                <w:szCs w:val="17"/>
                <w:color w:val="auto"/>
              </w:rPr>
            </w:pPr>
          </w:p>
        </w:tc>
      </w:tr>
      <w:tr>
        <w:trPr>
          <w:trHeight w:val="641"/>
        </w:trPr>
        <w:tc>
          <w:tcPr>
            <w:tcW w:w="4340" w:type="dxa"/>
            <w:vAlign w:val="bottom"/>
          </w:tcPr>
          <w:p>
            <w:pPr>
              <w:spacing w:after="0"/>
              <w:rPr>
                <w:sz w:val="24"/>
                <w:szCs w:val="24"/>
                <w:color w:val="auto"/>
              </w:rPr>
            </w:pPr>
          </w:p>
        </w:tc>
        <w:tc>
          <w:tcPr>
            <w:tcW w:w="7080" w:type="dxa"/>
            <w:vAlign w:val="bottom"/>
          </w:tcPr>
          <w:p>
            <w:pPr>
              <w:jc w:val="right"/>
              <w:ind w:right="553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Actual and forecasted capital requirements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1"/>
              </w:rPr>
              <w:t>Expenditures for the</w:t>
            </w:r>
          </w:p>
        </w:tc>
        <w:tc>
          <w:tcPr>
            <w:tcW w:w="300" w:type="dxa"/>
            <w:vAlign w:val="bottom"/>
          </w:tcPr>
          <w:p>
            <w:pPr>
              <w:spacing w:after="0"/>
              <w:rPr>
                <w:sz w:val="20"/>
                <w:szCs w:val="20"/>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3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Total</w:t>
            </w:r>
          </w:p>
        </w:tc>
        <w:tc>
          <w:tcPr>
            <w:tcW w:w="340" w:type="dxa"/>
            <w:vAlign w:val="bottom"/>
          </w:tcPr>
          <w:p>
            <w:pPr>
              <w:spacing w:after="0"/>
              <w:rPr>
                <w:sz w:val="20"/>
                <w:szCs w:val="20"/>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94"/>
              </w:rPr>
              <w:t>Total</w:t>
            </w:r>
          </w:p>
        </w:tc>
      </w:tr>
      <w:tr>
        <w:trPr>
          <w:trHeight w:val="256"/>
        </w:trPr>
        <w:tc>
          <w:tcPr>
            <w:tcW w:w="3780" w:type="dxa"/>
            <w:vAlign w:val="bottom"/>
          </w:tcPr>
          <w:p>
            <w:pPr>
              <w:spacing w:after="0"/>
              <w:rPr>
                <w:sz w:val="22"/>
                <w:szCs w:val="22"/>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89"/>
              </w:rPr>
              <w:t>Six Months Ended June 30,</w:t>
            </w:r>
          </w:p>
        </w:tc>
        <w:tc>
          <w:tcPr>
            <w:tcW w:w="300" w:type="dxa"/>
            <w:vAlign w:val="bottom"/>
          </w:tcPr>
          <w:p>
            <w:pPr>
              <w:spacing w:after="0"/>
              <w:rPr>
                <w:sz w:val="22"/>
                <w:szCs w:val="22"/>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88"/>
              </w:rPr>
              <w:t>2018 Planned</w:t>
            </w:r>
          </w:p>
        </w:tc>
        <w:tc>
          <w:tcPr>
            <w:tcW w:w="320" w:type="dxa"/>
            <w:vAlign w:val="bottom"/>
          </w:tcPr>
          <w:p>
            <w:pPr>
              <w:spacing w:after="0"/>
              <w:rPr>
                <w:sz w:val="22"/>
                <w:szCs w:val="22"/>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9"/>
              </w:rPr>
              <w:t>2019 Planned</w:t>
            </w:r>
          </w:p>
        </w:tc>
        <w:tc>
          <w:tcPr>
            <w:tcW w:w="340" w:type="dxa"/>
            <w:vAlign w:val="bottom"/>
          </w:tcPr>
          <w:p>
            <w:pPr>
              <w:spacing w:after="0"/>
              <w:rPr>
                <w:sz w:val="22"/>
                <w:szCs w:val="22"/>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8"/>
              </w:rPr>
              <w:t>2020 Planned</w:t>
            </w:r>
          </w:p>
        </w:tc>
      </w:tr>
      <w:tr>
        <w:trPr>
          <w:trHeight w:val="257"/>
        </w:trPr>
        <w:tc>
          <w:tcPr>
            <w:tcW w:w="378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190"/>
              <w:spacing w:after="0" w:line="257" w:lineRule="exact"/>
              <w:rPr>
                <w:sz w:val="20"/>
                <w:szCs w:val="20"/>
                <w:color w:val="auto"/>
              </w:rPr>
            </w:pPr>
            <w:r>
              <w:rPr>
                <w:rFonts w:ascii="Arial" w:cs="Arial" w:eastAsia="Arial" w:hAnsi="Arial"/>
                <w:sz w:val="18"/>
                <w:szCs w:val="18"/>
                <w:color w:val="auto"/>
                <w:w w:val="82"/>
              </w:rPr>
              <w:t xml:space="preserve">2018 </w:t>
            </w:r>
            <w:r>
              <w:rPr>
                <w:rFonts w:ascii="Arial" w:cs="Arial" w:eastAsia="Arial" w:hAnsi="Arial"/>
                <w:sz w:val="25"/>
                <w:szCs w:val="25"/>
                <w:color w:val="auto"/>
                <w:w w:val="82"/>
                <w:vertAlign w:val="superscript"/>
              </w:rPr>
              <w:t>(a)</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7"/>
              </w:rPr>
              <w:t xml:space="preserve">Expenditures </w:t>
            </w:r>
            <w:r>
              <w:rPr>
                <w:rFonts w:ascii="Arial" w:cs="Arial" w:eastAsia="Arial" w:hAnsi="Arial"/>
                <w:sz w:val="25"/>
                <w:szCs w:val="25"/>
                <w:color w:val="auto"/>
                <w:w w:val="87"/>
                <w:vertAlign w:val="superscript"/>
              </w:rPr>
              <w:t>(b)</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Expenditures</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Expenditures</w:t>
            </w:r>
          </w:p>
        </w:tc>
      </w:tr>
      <w:tr>
        <w:trPr>
          <w:trHeight w:val="244"/>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Electric Utilities</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55,729</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149,000</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193,000</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141,000</w:t>
            </w:r>
          </w:p>
        </w:tc>
      </w:tr>
      <w:tr>
        <w:trPr>
          <w:trHeight w:val="270"/>
        </w:trPr>
        <w:tc>
          <w:tcPr>
            <w:tcW w:w="378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(d)</w:t>
            </w:r>
          </w:p>
        </w:tc>
        <w:tc>
          <w:tcPr>
            <w:tcW w:w="240" w:type="dxa"/>
            <w:vAlign w:val="bottom"/>
          </w:tcPr>
          <w:p>
            <w:pPr>
              <w:spacing w:after="0"/>
              <w:rPr>
                <w:sz w:val="23"/>
                <w:szCs w:val="23"/>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98,691</w:t>
            </w:r>
          </w:p>
        </w:tc>
        <w:tc>
          <w:tcPr>
            <w:tcW w:w="3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268,000</w:t>
            </w:r>
          </w:p>
        </w:tc>
        <w:tc>
          <w:tcPr>
            <w:tcW w:w="32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328,000</w:t>
            </w:r>
          </w:p>
        </w:tc>
        <w:tc>
          <w:tcPr>
            <w:tcW w:w="3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245,000</w:t>
            </w:r>
          </w:p>
        </w:tc>
      </w:tr>
      <w:tr>
        <w:trPr>
          <w:trHeight w:val="270"/>
        </w:trPr>
        <w:tc>
          <w:tcPr>
            <w:tcW w:w="3780" w:type="dxa"/>
            <w:vAlign w:val="bottom"/>
            <w:shd w:val="clear" w:color="auto" w:fill="CEFFE7"/>
          </w:tcPr>
          <w:p>
            <w:pPr>
              <w:ind w:left="12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(c)</w:t>
            </w:r>
          </w:p>
        </w:tc>
        <w:tc>
          <w:tcPr>
            <w:tcW w:w="240" w:type="dxa"/>
            <w:vAlign w:val="bottom"/>
            <w:shd w:val="clear" w:color="auto" w:fill="CEFFE7"/>
          </w:tcPr>
          <w:p>
            <w:pPr>
              <w:spacing w:after="0"/>
              <w:rPr>
                <w:sz w:val="23"/>
                <w:szCs w:val="23"/>
                <w:color w:val="auto"/>
              </w:rPr>
            </w:pPr>
          </w:p>
        </w:tc>
        <w:tc>
          <w:tcPr>
            <w:tcW w:w="19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1,721</w:t>
            </w:r>
          </w:p>
        </w:tc>
        <w:tc>
          <w:tcPr>
            <w:tcW w:w="300" w:type="dxa"/>
            <w:vAlign w:val="bottom"/>
            <w:shd w:val="clear" w:color="auto" w:fill="CEFFE7"/>
          </w:tcPr>
          <w:p>
            <w:pPr>
              <w:spacing w:after="0"/>
              <w:rPr>
                <w:sz w:val="23"/>
                <w:szCs w:val="23"/>
                <w:color w:val="auto"/>
              </w:rPr>
            </w:pPr>
          </w:p>
        </w:tc>
        <w:tc>
          <w:tcPr>
            <w:tcW w:w="15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32,000</w:t>
            </w:r>
          </w:p>
        </w:tc>
        <w:tc>
          <w:tcPr>
            <w:tcW w:w="32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56,000</w:t>
            </w:r>
          </w:p>
        </w:tc>
        <w:tc>
          <w:tcPr>
            <w:tcW w:w="340" w:type="dxa"/>
            <w:vAlign w:val="bottom"/>
            <w:shd w:val="clear" w:color="auto" w:fill="CEFFE7"/>
          </w:tcPr>
          <w:p>
            <w:pPr>
              <w:spacing w:after="0"/>
              <w:rPr>
                <w:sz w:val="23"/>
                <w:szCs w:val="23"/>
                <w:color w:val="auto"/>
              </w:rPr>
            </w:pPr>
          </w:p>
        </w:tc>
        <w:tc>
          <w:tcPr>
            <w:tcW w:w="14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1"/>
                <w:szCs w:val="21"/>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6,210</w:t>
            </w:r>
          </w:p>
        </w:tc>
        <w:tc>
          <w:tcPr>
            <w:tcW w:w="3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19,000</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7,000</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CEFFE7"/>
            </w:tcBorders>
            <w:shd w:val="clear" w:color="auto" w:fill="CEFFE7"/>
          </w:tcPr>
          <w:p>
            <w:pPr>
              <w:spacing w:after="0"/>
              <w:rPr>
                <w:sz w:val="23"/>
                <w:szCs w:val="23"/>
                <w:color w:val="auto"/>
              </w:rPr>
            </w:pPr>
          </w:p>
        </w:tc>
        <w:tc>
          <w:tcPr>
            <w:tcW w:w="19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5,075</w:t>
            </w:r>
          </w:p>
        </w:tc>
        <w:tc>
          <w:tcPr>
            <w:tcW w:w="300" w:type="dxa"/>
            <w:vAlign w:val="bottom"/>
            <w:tcBorders>
              <w:bottom w:val="single" w:sz="8" w:color="CEFFE7"/>
            </w:tcBorders>
            <w:shd w:val="clear" w:color="auto" w:fill="CEFFE7"/>
          </w:tcPr>
          <w:p>
            <w:pPr>
              <w:spacing w:after="0"/>
              <w:rPr>
                <w:sz w:val="23"/>
                <w:szCs w:val="23"/>
                <w:color w:val="auto"/>
              </w:rPr>
            </w:pPr>
          </w:p>
        </w:tc>
        <w:tc>
          <w:tcPr>
            <w:tcW w:w="15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10,000</w:t>
            </w:r>
          </w:p>
        </w:tc>
        <w:tc>
          <w:tcPr>
            <w:tcW w:w="320" w:type="dxa"/>
            <w:vAlign w:val="bottom"/>
            <w:tcBorders>
              <w:bottom w:val="single" w:sz="8" w:color="CEFFE7"/>
            </w:tcBorders>
            <w:shd w:val="clear" w:color="auto" w:fill="CEFFE7"/>
          </w:tcPr>
          <w:p>
            <w:pPr>
              <w:spacing w:after="0"/>
              <w:rPr>
                <w:sz w:val="23"/>
                <w:szCs w:val="23"/>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13,000</w:t>
            </w:r>
          </w:p>
        </w:tc>
        <w:tc>
          <w:tcPr>
            <w:tcW w:w="340" w:type="dxa"/>
            <w:vAlign w:val="bottom"/>
            <w:tcBorders>
              <w:bottom w:val="single" w:sz="8" w:color="CEFFE7"/>
            </w:tcBorders>
            <w:shd w:val="clear" w:color="auto" w:fill="CEFFE7"/>
          </w:tcPr>
          <w:p>
            <w:pPr>
              <w:spacing w:after="0"/>
              <w:rPr>
                <w:sz w:val="23"/>
                <w:szCs w:val="23"/>
                <w:color w:val="auto"/>
              </w:rPr>
            </w:pPr>
          </w:p>
        </w:tc>
        <w:tc>
          <w:tcPr>
            <w:tcW w:w="1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8,000</w:t>
            </w:r>
          </w:p>
        </w:tc>
      </w:tr>
      <w:tr>
        <w:trPr>
          <w:trHeight w:val="237"/>
        </w:trPr>
        <w:tc>
          <w:tcPr>
            <w:tcW w:w="3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167,426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478,000</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597,000</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17145</wp:posOffset>
            </wp:positionV>
            <wp:extent cx="48539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34290</wp:posOffset>
            </wp:positionV>
            <wp:extent cx="48539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Expenditures for the six months ended June 30, 2018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actual capital expenditures for the six months ended June 30, 2018.</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Planned capital expenditures for 2018 and 2019 increased due to the Busch Ranch II wind project.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Planned capital expenditures for 2018 and 2019 increased due to the Natural Bridge Pipeline project.</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have been no significant changes in contractual obligations from those previously disclosed in Note 19 of our Notes to the Consolidated Financial Statements in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significant changes to guarantees from those previously disclosed in Note 20 of the Notes to the Consolidated Financial Statements in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than the pronouncements reported in our 2017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ind w:right="80"/>
        <w:spacing w:after="0" w:line="271" w:lineRule="auto"/>
        <w:rPr>
          <w:sz w:val="20"/>
          <w:szCs w:val="20"/>
          <w:color w:val="auto"/>
        </w:rPr>
      </w:pPr>
      <w:r>
        <w:rPr>
          <w:rFonts w:ascii="Arial" w:cs="Arial" w:eastAsia="Arial" w:hAnsi="Arial"/>
          <w:sz w:val="17"/>
          <w:szCs w:val="17"/>
          <w:color w:val="auto"/>
        </w:rPr>
        <w:t>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2017 Annual Report on Form 10-K including statements contained within Item 1A - Risk Factors of our 2017 Annual Report on Form 10-K, Part II, Item 1A of this Quarterly Report on Form 10-Q and other reports that we file with the SEC from time to time.</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Utilities</w:t>
      </w:r>
    </w:p>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utility customers are exposed to natural gas price volatility. Therefore, as allowed or required by state utility commissions, we have entered into commission-approved hedging programs utilizing natural gas futures, options and basis swaps to reduce our customers’ underlying exposure to these fluctuations. We also reduce the commodity price risk in the unregulated area of our business by using over-the-counter and exchange traded options and swaps with counterparties in anticipation of forecasted purchases and/or sales. The fair value of our utilities’ derivative contracts is summarized below (in thousands)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June 30, 2018</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color w:val="auto"/>
                <w:w w:val="96"/>
              </w:rPr>
              <w:t>December 31, 2017</w:t>
            </w:r>
          </w:p>
        </w:tc>
        <w:tc>
          <w:tcPr>
            <w:tcW w:w="40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June 30, 2017</w:t>
            </w:r>
          </w:p>
        </w:tc>
      </w:tr>
      <w:tr>
        <w:trPr>
          <w:trHeight w:val="27"/>
        </w:trPr>
        <w:tc>
          <w:tcPr>
            <w:tcW w:w="4700" w:type="dxa"/>
            <w:vAlign w:val="bottom"/>
            <w:tcBorders>
              <w:bottom w:val="single" w:sz="8" w:color="CEFFE7"/>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derivative (liabilities) assets</w:t>
            </w:r>
          </w:p>
        </w:tc>
        <w:tc>
          <w:tcPr>
            <w:tcW w:w="1600" w:type="dxa"/>
            <w:vAlign w:val="bottom"/>
            <w:tcBorders>
              <w:bottom w:val="single" w:sz="8" w:color="CEFFE7"/>
            </w:tcBorders>
            <w:shd w:val="clear" w:color="auto" w:fill="CEFFE7"/>
          </w:tcPr>
          <w:p>
            <w:pPr>
              <w:jc w:val="right"/>
              <w:ind w:right="13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1"/>
              </w:rPr>
              <w:t>(5,117)</w:t>
            </w:r>
          </w:p>
        </w:tc>
        <w:tc>
          <w:tcPr>
            <w:tcW w:w="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(6,644)</w:t>
            </w:r>
          </w:p>
        </w:tc>
        <w:tc>
          <w:tcPr>
            <w:tcW w:w="4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collateral offset in Derivatives</w:t>
            </w:r>
          </w:p>
        </w:tc>
        <w:tc>
          <w:tcPr>
            <w:tcW w:w="160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3,997</w:t>
            </w:r>
          </w:p>
        </w:tc>
        <w:tc>
          <w:tcPr>
            <w:tcW w:w="32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7,694</w:t>
            </w:r>
          </w:p>
        </w:tc>
        <w:tc>
          <w:tcPr>
            <w:tcW w:w="4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6,950</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collateral included in Other current assets</w:t>
            </w:r>
          </w:p>
        </w:tc>
        <w:tc>
          <w:tcPr>
            <w:tcW w:w="1600" w:type="dxa"/>
            <w:vAlign w:val="bottom"/>
            <w:tcBorders>
              <w:bottom w:val="single" w:sz="8" w:color="CEFFE7"/>
            </w:tcBorders>
            <w:shd w:val="clear" w:color="auto" w:fill="CEFFE7"/>
          </w:tcPr>
          <w:p>
            <w:pPr>
              <w:spacing w:after="0"/>
              <w:rPr>
                <w:sz w:val="23"/>
                <w:szCs w:val="23"/>
                <w:color w:val="auto"/>
              </w:rPr>
            </w:pPr>
          </w:p>
        </w:tc>
        <w:tc>
          <w:tcPr>
            <w:tcW w:w="6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1,913</w:t>
            </w:r>
          </w:p>
        </w:tc>
        <w:tc>
          <w:tcPr>
            <w:tcW w:w="320" w:type="dxa"/>
            <w:vAlign w:val="bottom"/>
            <w:tcBorders>
              <w:bottom w:val="single" w:sz="8" w:color="CEFFE7"/>
            </w:tcBorders>
            <w:shd w:val="clear" w:color="auto" w:fill="CEFFE7"/>
          </w:tcPr>
          <w:p>
            <w:pPr>
              <w:spacing w:after="0"/>
              <w:rPr>
                <w:sz w:val="23"/>
                <w:szCs w:val="23"/>
                <w:color w:val="auto"/>
              </w:rPr>
            </w:pPr>
          </w:p>
        </w:tc>
        <w:tc>
          <w:tcPr>
            <w:tcW w:w="19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562</w:t>
            </w:r>
          </w:p>
        </w:tc>
        <w:tc>
          <w:tcPr>
            <w:tcW w:w="40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2,339</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Net asset (liability) position</w:t>
            </w:r>
          </w:p>
        </w:tc>
        <w:tc>
          <w:tcPr>
            <w:tcW w:w="1600" w:type="dxa"/>
            <w:vAlign w:val="bottom"/>
            <w:tcBorders>
              <w:top w:val="single" w:sz="8" w:color="auto"/>
              <w:bottom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793</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1,612</w:t>
            </w: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2,214</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we have entered into floating-to-fixed interest rate swap agreements to reduce our exposure to interest rate fluctuations associated with our floating rate debt obligations and anticipated debt refinancings. At June 30, 2018, December 31, 2017 and June 30, 2017, we had no outstanding interest rate swap agreements.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of June 30, 2018. Based on their evaluation, they have concluded that our disclosure controls and procedures were effective at June 30, 2018.</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quarter ended June 30, 2018, there have been no changes in our internal control over financial reporting that have materially affected or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BLACK HILLS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19 in Item 8 of our 2017 Annual Report on Form 10-K and Note 17 in Item 1 of Part I of this Quarterly Report on Form 10-Q, which information from Note 17 is incorporated by reference into this item.</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to the risk factors previously disclosed in Item 1A of Part I in our 2017 Annual Report on Form 10-K filed with the SEC.</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the six months ended June 30, 2018.</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Mine Safety Disclosures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80"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3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47"/>
        </w:trPr>
        <w:tc>
          <w:tcPr>
            <w:tcW w:w="232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40" w:type="dxa"/>
            <w:vAlign w:val="bottom"/>
            <w:gridSpan w:val="24"/>
          </w:tcPr>
          <w:p>
            <w:pPr>
              <w:ind w:left="1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426"/>
        </w:trPr>
        <w:tc>
          <w:tcPr>
            <w:tcW w:w="98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1"/>
          </w:tcPr>
          <w:p>
            <w:pPr>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Restated Articles of Incorporation of the Registrant dated January 30, 2018 (filed as Exhibit 3 to the Registrant’s Form 8-K</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filed on February 5, 2018).</w:t>
              </w:r>
            </w:hyperlink>
          </w:p>
        </w:tc>
        <w:tc>
          <w:tcPr>
            <w:tcW w:w="6920" w:type="dxa"/>
            <w:vAlign w:val="bottom"/>
            <w:tcBorders>
              <w:top w:val="single" w:sz="8" w:color="0000FF"/>
            </w:tcBorders>
            <w:gridSpan w:val="18"/>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1"/>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Amended and Restated Bylaws of the Registrant dated April 24, 2017 (filed as Exhibit 3 to the Registrant’s Form 8-K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on April 28, 2017).</w:t>
              </w:r>
            </w:hyperlink>
          </w:p>
        </w:tc>
        <w:tc>
          <w:tcPr>
            <w:tcW w:w="240" w:type="dxa"/>
            <w:vAlign w:val="bottom"/>
            <w:gridSpan w:val="8"/>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700" w:type="dxa"/>
            <w:vAlign w:val="bottom"/>
            <w:tcBorders>
              <w:bottom w:val="single" w:sz="8" w:color="0000FF"/>
            </w:tcBorders>
            <w:gridSpan w:val="20"/>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Indenture dated as of May 21, 2003 between the Registrant and Wells Fargo Bank, National Association (as successor to</w:t>
              </w:r>
            </w:hyperlink>
          </w:p>
        </w:tc>
        <w:tc>
          <w:tcPr>
            <w:tcW w:w="40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LaSalle Bank National Association), as Trustee (filed as Exhibit 4.1 to the Registrant’s Form 10-Q for the quarterly period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ended June 30, 2003).</w:t>
              </w:r>
            </w:hyperlink>
          </w:p>
        </w:tc>
        <w:tc>
          <w:tcPr>
            <w:tcW w:w="300" w:type="dxa"/>
            <w:vAlign w:val="bottom"/>
            <w:gridSpan w:val="9"/>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First Supplemental Indenture dated as of May 21, 2003 (filed as Exhibit 4.2 to the Registrant’s Form 10-Q for the quarterly</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period ended June 30, 2003).</w:t>
              </w:r>
            </w:hyperlink>
          </w:p>
        </w:tc>
        <w:tc>
          <w:tcPr>
            <w:tcW w:w="240" w:type="dxa"/>
            <w:vAlign w:val="bottom"/>
            <w:gridSpan w:val="8"/>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Second Supplemental Indenture dated as of May 14, 2009 (filed as Exhibit 4 to the Registrant’s Form 8-K filed on May 14,</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4">
              <w:r>
                <w:rPr>
                  <w:rFonts w:ascii="Arial" w:cs="Arial" w:eastAsia="Arial" w:hAnsi="Arial"/>
                  <w:sz w:val="18"/>
                  <w:szCs w:val="18"/>
                  <w:color w:val="0000FF"/>
                  <w:w w:val="86"/>
                </w:rPr>
                <w:t>2009).</w:t>
              </w:r>
            </w:hyperlink>
          </w:p>
        </w:tc>
        <w:tc>
          <w:tcPr>
            <w:tcW w:w="2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Third Supplemental Indenture dated as of July 16, 2010 (filed as Exhibit 4 to Registrant’s Form 8-K filed on July 15, 2010).</w:t>
              </w:r>
            </w:hyperlink>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920" w:type="dxa"/>
            <w:vAlign w:val="bottom"/>
            <w:tcBorders>
              <w:top w:val="single" w:sz="8" w:color="0000FF"/>
            </w:tcBorders>
            <w:gridSpan w:val="26"/>
          </w:tcPr>
          <w:p>
            <w:pPr>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Fourth Supplemental Indenture dated as of November 19, 2013 (filed as Exhibit 4 to the Registrant’s Form 8-K filed on</w:t>
              </w:r>
            </w:hyperlink>
          </w:p>
        </w:tc>
        <w:tc>
          <w:tcPr>
            <w:tcW w:w="180" w:type="dxa"/>
            <w:vAlign w:val="bottom"/>
            <w:gridSpan w:val="5"/>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November 18, 2013).</w:t>
              </w:r>
            </w:hyperlink>
          </w:p>
        </w:tc>
        <w:tc>
          <w:tcPr>
            <w:tcW w:w="7020" w:type="dxa"/>
            <w:vAlign w:val="bottom"/>
            <w:tcBorders>
              <w:top w:val="single" w:sz="8" w:color="0000FF"/>
            </w:tcBorders>
            <w:gridSpan w:val="13"/>
          </w:tcPr>
          <w:p>
            <w:pPr>
              <w:spacing w:after="0"/>
              <w:rPr>
                <w:sz w:val="17"/>
                <w:szCs w:val="17"/>
                <w:color w:val="auto"/>
              </w:rPr>
            </w:pPr>
          </w:p>
        </w:tc>
        <w:tc>
          <w:tcPr>
            <w:tcW w:w="500" w:type="dxa"/>
            <w:vAlign w:val="bottom"/>
            <w:gridSpan w:val="14"/>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Fifth Supplemental Indenture dated as of January 13, 2016 (filed as Exhibit 4.1 to the Registrant’s Form 8-K filed on January</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13, 2016).</w:t>
              </w:r>
            </w:hyperlink>
          </w:p>
        </w:tc>
        <w:tc>
          <w:tcPr>
            <w:tcW w:w="6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Sixth Supplemental Indenture dated as of August 19, 2016 (filed as Exhibit 4.1 to the Registrant’s Form 8-K filed on August</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8">
              <w:r>
                <w:rPr>
                  <w:rFonts w:ascii="Arial" w:cs="Arial" w:eastAsia="Arial" w:hAnsi="Arial"/>
                  <w:sz w:val="18"/>
                  <w:szCs w:val="18"/>
                  <w:color w:val="0000FF"/>
                  <w:w w:val="88"/>
                </w:rPr>
                <w:t>19, 2016).</w:t>
              </w:r>
            </w:hyperlink>
          </w:p>
        </w:tc>
        <w:tc>
          <w:tcPr>
            <w:tcW w:w="6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09"/>
        </w:trPr>
        <w:tc>
          <w:tcPr>
            <w:tcW w:w="98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60" w:type="dxa"/>
            <w:vAlign w:val="bottom"/>
            <w:tcBorders>
              <w:bottom w:val="single" w:sz="8" w:color="0000FF"/>
            </w:tcBorders>
            <w:gridSpan w:val="28"/>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Restated and Amended Indenture of Mortgage and Deed of Trust of Black Hills Corporation (now called Black Hills Power,</w:t>
              </w:r>
            </w:hyperlink>
          </w:p>
        </w:tc>
        <w:tc>
          <w:tcPr>
            <w:tcW w:w="14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38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Inc.) dated as of September 1, 1999 (filed as Exhibit 4.19 to the Registrant’s Post-Effective Amendment No. 1 to the</w:t>
              </w:r>
            </w:hyperlink>
          </w:p>
        </w:tc>
        <w:tc>
          <w:tcPr>
            <w:tcW w:w="720" w:type="dxa"/>
            <w:vAlign w:val="bottom"/>
            <w:gridSpan w:val="1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Registrant’s Registration Statement on Form S-3 (No. 333-150669)).</w:t>
              </w:r>
            </w:hyperlink>
          </w:p>
        </w:tc>
        <w:tc>
          <w:tcPr>
            <w:tcW w:w="4140" w:type="dxa"/>
            <w:vAlign w:val="bottom"/>
            <w:gridSpan w:val="23"/>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60" w:type="dxa"/>
            <w:vAlign w:val="bottom"/>
            <w:tcBorders>
              <w:bottom w:val="single" w:sz="8" w:color="0000FF"/>
            </w:tcBorders>
            <w:gridSpan w:val="18"/>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First Supplemental Indenture, dated as of August 13, 2002, between Black Hills Power, Inc. and The Bank of New York</w:t>
              </w:r>
            </w:hyperlink>
          </w:p>
        </w:tc>
        <w:tc>
          <w:tcPr>
            <w:tcW w:w="440" w:type="dxa"/>
            <w:vAlign w:val="bottom"/>
            <w:gridSpan w:val="13"/>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Mellon (as successor to JPMorgan Chase Bank), as Trustee (filed as Exhibit 4.20 to the Registrant’s Post-Effective</w:t>
              </w:r>
            </w:hyperlink>
          </w:p>
        </w:tc>
        <w:tc>
          <w:tcPr>
            <w:tcW w:w="84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Amendment No. 1 to the Registrant’s Registration Statement on Form S</w:t>
              </w:r>
              <w:r>
                <w:rPr>
                  <w:rFonts w:ascii="MS PGothic" w:cs="MS PGothic" w:eastAsia="MS PGothic" w:hAnsi="MS PGothic"/>
                  <w:sz w:val="18"/>
                  <w:szCs w:val="18"/>
                  <w:color w:val="0000FF"/>
                </w:rPr>
                <w:t>‑</w:t>
              </w:r>
              <w:r>
                <w:rPr>
                  <w:rFonts w:ascii="Arial" w:cs="Arial" w:eastAsia="Arial" w:hAnsi="Arial"/>
                  <w:sz w:val="18"/>
                  <w:szCs w:val="18"/>
                  <w:color w:val="0000FF"/>
                </w:rPr>
                <w:t>3 (No. 333</w:t>
              </w:r>
              <w:r>
                <w:rPr>
                  <w:rFonts w:ascii="MS PGothic" w:cs="MS PGothic" w:eastAsia="MS PGothic" w:hAnsi="MS PGothic"/>
                  <w:sz w:val="18"/>
                  <w:szCs w:val="18"/>
                  <w:color w:val="0000FF"/>
                </w:rPr>
                <w:t>‑</w:t>
              </w:r>
              <w:r>
                <w:rPr>
                  <w:rFonts w:ascii="Arial" w:cs="Arial" w:eastAsia="Arial" w:hAnsi="Arial"/>
                  <w:sz w:val="18"/>
                  <w:szCs w:val="18"/>
                  <w:color w:val="0000FF"/>
                </w:rPr>
                <w:t>150669)).</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Second Supplemental Indenture, dated as of October 27, 2009, between Black Hills Power, Inc. and The Bank of New York</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Mellon (filed as Exhibit 4.21 to the Registrant’s Post-Effective Amendment No. 2 to the Registrant’s Registration Statement</w:t>
              </w:r>
            </w:hyperlink>
          </w:p>
        </w:tc>
        <w:tc>
          <w:tcPr>
            <w:tcW w:w="16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on Form S-3 (No. 333-150669)).</w:t>
              </w:r>
            </w:hyperlink>
          </w:p>
        </w:tc>
        <w:tc>
          <w:tcPr>
            <w:tcW w:w="6740" w:type="dxa"/>
            <w:vAlign w:val="bottom"/>
            <w:gridSpan w:val="24"/>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00" w:type="dxa"/>
            <w:vAlign w:val="bottom"/>
            <w:tcBorders>
              <w:bottom w:val="single" w:sz="8" w:color="0000FF"/>
            </w:tcBorders>
            <w:gridSpan w:val="20"/>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Third Supplemental Indenture, dated as of October 1, 2014, between Black Hills Power, Inc. and The Bank of New York</w:t>
              </w:r>
            </w:hyperlink>
          </w:p>
        </w:tc>
        <w:tc>
          <w:tcPr>
            <w:tcW w:w="400" w:type="dxa"/>
            <w:vAlign w:val="bottom"/>
            <w:gridSpan w:val="11"/>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2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Mellon (filed as Exhibit 10.1 to the Registrant’s Form 8-K filed on October 2, 2014).</w:t>
              </w:r>
            </w:hyperlink>
          </w:p>
        </w:tc>
        <w:tc>
          <w:tcPr>
            <w:tcW w:w="2980" w:type="dxa"/>
            <w:vAlign w:val="bottom"/>
            <w:gridSpan w:val="21"/>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31"/>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Restated Indenture of Mortgage, Deed of Trust, Security Agreement and Financing Statement, amended and restated as of</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20" w:type="dxa"/>
            <w:vAlign w:val="bottom"/>
            <w:gridSpan w:val="9"/>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November 20, 2007, between Cheyenne Light, Fuel and Power Company and Wells Fargo Bank, National Association (filed</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as Exhibit 10.2 to the Registrant’s Form 8-K filed on October 2, 2014).</w:t>
              </w:r>
            </w:hyperlink>
          </w:p>
        </w:tc>
        <w:tc>
          <w:tcPr>
            <w:tcW w:w="3840" w:type="dxa"/>
            <w:vAlign w:val="bottom"/>
            <w:tcBorders>
              <w:top w:val="single" w:sz="8" w:color="0000FF"/>
            </w:tcBorders>
            <w:gridSpan w:val="19"/>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980" w:type="dxa"/>
            <w:vAlign w:val="bottom"/>
            <w:tcBorders>
              <w:bottom w:val="single" w:sz="8" w:color="0000FF"/>
            </w:tcBorders>
            <w:gridSpan w:val="29"/>
          </w:tcPr>
          <w:p>
            <w:pPr>
              <w:spacing w:after="0"/>
              <w:rPr>
                <w:rFonts w:ascii="Arial" w:cs="Arial" w:eastAsia="Arial" w:hAnsi="Arial"/>
                <w:sz w:val="18"/>
                <w:szCs w:val="18"/>
                <w:color w:val="0000FF"/>
                <w:w w:val="89"/>
              </w:rPr>
            </w:pPr>
            <w:hyperlink r:id="rId44">
              <w:r>
                <w:rPr>
                  <w:rFonts w:ascii="Arial" w:cs="Arial" w:eastAsia="Arial" w:hAnsi="Arial"/>
                  <w:sz w:val="18"/>
                  <w:szCs w:val="18"/>
                  <w:color w:val="0000FF"/>
                  <w:w w:val="89"/>
                </w:rPr>
                <w:t>First Supplemental Indenture, dated as of September 3, 2009, between Cheyenne Light, Fuel and Power Company and Wells</w:t>
              </w:r>
            </w:hyperlink>
          </w:p>
        </w:tc>
        <w:tc>
          <w:tcPr>
            <w:tcW w:w="120" w:type="dxa"/>
            <w:vAlign w:val="bottom"/>
            <w:gridSpan w:val="2"/>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Fargo Bank, National Association (filed as Exhibit 10.3 to the Registrant’s Form 8-K filed on October 2, 2014).</w:t>
              </w:r>
            </w:hyperlink>
          </w:p>
        </w:tc>
        <w:tc>
          <w:tcPr>
            <w:tcW w:w="1040" w:type="dxa"/>
            <w:vAlign w:val="bottom"/>
            <w:gridSpan w:val="17"/>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100" w:type="dxa"/>
            <w:vAlign w:val="bottom"/>
            <w:gridSpan w:val="31"/>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Second Supplemental Indenture, dated as of October 1, 2014, between Cheyenne Light, Fuel and Power Company and Wells</w:t>
              </w:r>
            </w:hyperlink>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Fargo Bank, National Association (filed as Exhibit 10.4 to the Registrant’s Form 8-K filed on October 2, 2014).</w:t>
              </w:r>
            </w:hyperlink>
          </w:p>
        </w:tc>
        <w:tc>
          <w:tcPr>
            <w:tcW w:w="940" w:type="dxa"/>
            <w:vAlign w:val="bottom"/>
            <w:tcBorders>
              <w:top w:val="single" w:sz="8" w:color="0000FF"/>
            </w:tcBorders>
            <w:gridSpan w:val="16"/>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480"/>
        </w:trPr>
        <w:tc>
          <w:tcPr>
            <w:tcW w:w="98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80" w:type="dxa"/>
            <w:vAlign w:val="bottom"/>
            <w:tcBorders>
              <w:bottom w:val="single" w:sz="8" w:color="0000FF"/>
            </w:tcBorders>
            <w:gridSpan w:val="19"/>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Junior Subordinated Indenture dated as of November 23, 2015 between Black Hills Corporation and U.S. Bank National</w:t>
              </w:r>
            </w:hyperlink>
          </w:p>
        </w:tc>
        <w:tc>
          <w:tcPr>
            <w:tcW w:w="42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00" w:type="dxa"/>
            <w:vAlign w:val="bottom"/>
            <w:gridSpan w:val="31"/>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Association, as trustee (filed as Exhibit 4.1 to the Registrant’s Form 8-K filed on November 23, 2015).</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left="2320" w:right="500"/>
        <w:spacing w:after="0" w:line="277"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First Supplemental Indenture dated as of November 23, 2015 (filed as Exhibit 4.2 to the Registrant’s Form 8-K filed on</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November 23, 2015).</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8" w:right="239" w:bottom="1440" w:gutter="0" w:footer="0" w:header="0"/>
        </w:sectPr>
      </w:pPr>
    </w:p>
    <w:bookmarkStart w:id="67" w:name="page68"/>
    <w:bookmarkEnd w:id="67"/>
    <w:tbl>
      <w:tblPr>
        <w:tblLayout w:type="fixed"/>
        <w:tblInd w:w="4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Arial" w:cs="Arial" w:eastAsia="Arial" w:hAnsi="Arial"/>
                <w:sz w:val="18"/>
                <w:szCs w:val="18"/>
                <w:color w:val="auto"/>
              </w:rPr>
              <w:t>Exhibit 4.5*</w:t>
            </w:r>
          </w:p>
        </w:tc>
        <w:tc>
          <w:tcPr>
            <w:tcW w:w="8820" w:type="dxa"/>
            <w:vAlign w:val="bottom"/>
            <w:tcBorders>
              <w:bottom w:val="single" w:sz="8" w:color="0000FF"/>
            </w:tcBorders>
            <w:gridSpan w:val="6"/>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Purchase Contract and Pledge Agreement dated as of November 23, 2015 between Black Hills Corporation and U.S. Bank</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90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National Association, as purchase contract agent, collateral agent, custodial agent and securities intermediary (filed as Exhibit</w:t>
              </w:r>
            </w:hyperlink>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9060" w:type="dxa"/>
            <w:vAlign w:val="bottom"/>
            <w:gridSpan w:val="9"/>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4.</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the Registrant’s Form 8-K filed on November 23, 2015).</w:t>
              </w:r>
            </w:hyperlink>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280" w:type="dxa"/>
            <w:vAlign w:val="bottom"/>
          </w:tcPr>
          <w:p>
            <w:pPr>
              <w:spacing w:after="0"/>
              <w:rPr>
                <w:sz w:val="20"/>
                <w:szCs w:val="20"/>
                <w:color w:val="auto"/>
              </w:rPr>
            </w:pPr>
            <w:r>
              <w:rPr>
                <w:rFonts w:ascii="Arial" w:cs="Arial" w:eastAsia="Arial" w:hAnsi="Arial"/>
                <w:sz w:val="18"/>
                <w:szCs w:val="18"/>
                <w:color w:val="auto"/>
              </w:rPr>
              <w:t>Exhibit 4.6*</w:t>
            </w:r>
          </w:p>
        </w:tc>
        <w:tc>
          <w:tcPr>
            <w:tcW w:w="9060" w:type="dxa"/>
            <w:vAlign w:val="bottom"/>
            <w:gridSpan w:val="9"/>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 xml:space="preserve">Form of Stock Certificate for Common Stock, Par Value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 Per Share (filed as Exhibit 4.2 to the Registrant’s Form 10-K</w:t>
              </w:r>
            </w:hyperlink>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7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for 2000).</w:t>
              </w:r>
            </w:hyperlink>
          </w:p>
        </w:tc>
        <w:tc>
          <w:tcPr>
            <w:tcW w:w="8200" w:type="dxa"/>
            <w:vAlign w:val="bottom"/>
            <w:tcBorders>
              <w:top w:val="single" w:sz="8" w:color="0000FF"/>
            </w:tcBorders>
            <w:gridSpan w:val="6"/>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280" w:type="dxa"/>
            <w:vAlign w:val="bottom"/>
          </w:tcPr>
          <w:p>
            <w:pPr>
              <w:spacing w:after="0"/>
              <w:rPr>
                <w:sz w:val="20"/>
                <w:szCs w:val="20"/>
                <w:color w:val="auto"/>
              </w:rPr>
            </w:pPr>
            <w:r>
              <w:rPr>
                <w:rFonts w:ascii="Arial" w:cs="Arial" w:eastAsia="Arial" w:hAnsi="Arial"/>
                <w:sz w:val="18"/>
                <w:szCs w:val="18"/>
                <w:color w:val="auto"/>
              </w:rPr>
              <w:t>Exhibit 10.1</w:t>
            </w:r>
          </w:p>
        </w:tc>
        <w:tc>
          <w:tcPr>
            <w:tcW w:w="9060" w:type="dxa"/>
            <w:vAlign w:val="bottom"/>
            <w:gridSpan w:val="9"/>
            <w:vMerge w:val="restart"/>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Third Amended and Restated Credit Agreement dated as of July 30, 2018, among Black Hills Corporation, as Borrower, the</w:t>
              </w:r>
            </w:hyperlink>
          </w:p>
        </w:tc>
        <w:tc>
          <w:tcPr>
            <w:tcW w:w="0" w:type="dxa"/>
            <w:vAlign w:val="bottom"/>
          </w:tcPr>
          <w:p>
            <w:pPr>
              <w:spacing w:after="0"/>
              <w:rPr>
                <w:sz w:val="1"/>
                <w:szCs w:val="1"/>
                <w:color w:val="auto"/>
              </w:rPr>
            </w:pPr>
          </w:p>
        </w:tc>
      </w:tr>
      <w:tr>
        <w:trPr>
          <w:trHeight w:val="41"/>
        </w:trPr>
        <w:tc>
          <w:tcPr>
            <w:tcW w:w="2280" w:type="dxa"/>
            <w:vAlign w:val="bottom"/>
          </w:tcPr>
          <w:p>
            <w:pPr>
              <w:spacing w:after="0"/>
              <w:rPr>
                <w:sz w:val="3"/>
                <w:szCs w:val="3"/>
                <w:color w:val="auto"/>
              </w:rPr>
            </w:pPr>
          </w:p>
        </w:tc>
        <w:tc>
          <w:tcPr>
            <w:tcW w:w="90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9060" w:type="dxa"/>
            <w:vAlign w:val="bottom"/>
            <w:gridSpan w:val="9"/>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financial institutions party thereto, as Banks, and U.S. Bank, National Association, as Administrative Agent (filed as Exhibit</w:t>
              </w:r>
            </w:hyperlink>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Form 8-K filed on July 31, 2018).</w:t>
              </w:r>
            </w:hyperlink>
          </w:p>
        </w:tc>
        <w:tc>
          <w:tcPr>
            <w:tcW w:w="4800" w:type="dxa"/>
            <w:vAlign w:val="bottom"/>
            <w:tcBorders>
              <w:top w:val="single" w:sz="8" w:color="0000FF"/>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280" w:type="dxa"/>
            <w:vAlign w:val="bottom"/>
          </w:tcPr>
          <w:p>
            <w:pPr>
              <w:spacing w:after="0"/>
              <w:rPr>
                <w:sz w:val="20"/>
                <w:szCs w:val="20"/>
                <w:color w:val="auto"/>
              </w:rPr>
            </w:pPr>
            <w:r>
              <w:rPr>
                <w:rFonts w:ascii="Arial" w:cs="Arial" w:eastAsia="Arial" w:hAnsi="Arial"/>
                <w:sz w:val="18"/>
                <w:szCs w:val="18"/>
                <w:color w:val="auto"/>
              </w:rPr>
              <w:t>Exhibit 10.2</w:t>
            </w:r>
          </w:p>
        </w:tc>
        <w:tc>
          <w:tcPr>
            <w:tcW w:w="9060" w:type="dxa"/>
            <w:vAlign w:val="bottom"/>
            <w:gridSpan w:val="9"/>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Amended and Restated Credit Agreement dated as of July 30, 2018, among Black Hills Corporation, as Borrower, the</w:t>
              </w:r>
            </w:hyperlink>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90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financial institutions party thereto, as Banks, and JPMorgan Chase Bank, N.A., as Administrative Agent (filed as Exhibit 10.2</w:t>
              </w:r>
            </w:hyperlink>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38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to the Registrant’s Form 8-K filed on July 31, 2018).</w:t>
              </w:r>
            </w:hyperlink>
          </w:p>
        </w:tc>
        <w:tc>
          <w:tcPr>
            <w:tcW w:w="5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ind w:left="40"/>
              <w:spacing w:after="0"/>
              <w:rPr>
                <w:sz w:val="20"/>
                <w:szCs w:val="20"/>
                <w:color w:val="auto"/>
              </w:rPr>
            </w:pPr>
            <w:r>
              <w:rPr>
                <w:rFonts w:ascii="Arial" w:cs="Arial" w:eastAsia="Arial" w:hAnsi="Arial"/>
                <w:sz w:val="18"/>
                <w:szCs w:val="18"/>
                <w:color w:val="auto"/>
              </w:rPr>
              <w:t>Exhibit 12</w:t>
            </w:r>
          </w:p>
        </w:tc>
        <w:tc>
          <w:tcPr>
            <w:tcW w:w="37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Computation of Ratio of Earnings to Fixed Charges</w:t>
              </w:r>
            </w:hyperlink>
          </w:p>
        </w:tc>
        <w:tc>
          <w:tcPr>
            <w:tcW w:w="4960" w:type="dxa"/>
            <w:vAlign w:val="bottom"/>
            <w:gridSpan w:val="6"/>
          </w:tcPr>
          <w:p>
            <w:pPr>
              <w:spacing w:after="0"/>
              <w:rPr>
                <w:sz w:val="18"/>
                <w:szCs w:val="18"/>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86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Certification of Chief Executive Officer pursuant to Rule 13a - 14(a) of the Securities Exchange Act of 1934, as adopted</w:t>
              </w:r>
            </w:hyperlink>
          </w:p>
        </w:tc>
      </w:tr>
      <w:tr>
        <w:trPr>
          <w:trHeight w:val="196"/>
        </w:trPr>
        <w:tc>
          <w:tcPr>
            <w:tcW w:w="2320" w:type="dxa"/>
            <w:vAlign w:val="bottom"/>
          </w:tcPr>
          <w:p>
            <w:pPr>
              <w:spacing w:after="0"/>
              <w:rPr>
                <w:sz w:val="17"/>
                <w:szCs w:val="17"/>
                <w:color w:val="auto"/>
              </w:rPr>
            </w:pPr>
          </w:p>
        </w:tc>
        <w:tc>
          <w:tcPr>
            <w:tcW w:w="44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pursuant to Section 302 of the Sarbanes - Oxley Act of 2002.</w:t>
              </w:r>
            </w:hyperlink>
          </w:p>
        </w:tc>
        <w:tc>
          <w:tcPr>
            <w:tcW w:w="4280" w:type="dxa"/>
            <w:vAlign w:val="bottom"/>
            <w:gridSpan w:val="4"/>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8680" w:type="dxa"/>
            <w:vAlign w:val="bottom"/>
            <w:gridSpan w:val="8"/>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Certification of Chief Financial Officer pursuant to Rule 13a - 14(a) of the Securities Exchange Act of 1934, as adopted</w:t>
              </w:r>
            </w:hyperlink>
          </w:p>
        </w:tc>
      </w:tr>
      <w:tr>
        <w:trPr>
          <w:trHeight w:val="196"/>
        </w:trPr>
        <w:tc>
          <w:tcPr>
            <w:tcW w:w="23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pursuant to Section 302 of the Sarbanes - Oxley Act of 2002.</w:t>
              </w:r>
            </w:hyperlink>
          </w:p>
        </w:tc>
        <w:tc>
          <w:tcPr>
            <w:tcW w:w="422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85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74">
              <w:r>
                <w:rPr>
                  <w:rFonts w:ascii="Arial" w:cs="Arial" w:eastAsia="Arial" w:hAnsi="Arial"/>
                  <w:sz w:val="18"/>
                  <w:szCs w:val="18"/>
                  <w:color w:val="0000FF"/>
                  <w:w w:val="91"/>
                </w:rPr>
                <w:t>Certification of Chief Executive Officer pursuant to 18 U.S.C. Section 1350, as adopted pursuant to Section 906 of the</w:t>
              </w:r>
            </w:hyperlink>
          </w:p>
        </w:tc>
        <w:tc>
          <w:tcPr>
            <w:tcW w:w="140" w:type="dxa"/>
            <w:vAlign w:val="bottom"/>
            <w:gridSpan w:val="2"/>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8680" w:type="dxa"/>
            <w:vAlign w:val="bottom"/>
            <w:gridSpan w:val="8"/>
          </w:tcPr>
          <w:p>
            <w:pPr>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Sarbanes - Oxley Act of 2002.</w:t>
              </w:r>
            </w:hyperlink>
          </w:p>
        </w:tc>
      </w:tr>
      <w:tr>
        <w:trPr>
          <w:trHeight w:val="20"/>
        </w:trPr>
        <w:tc>
          <w:tcPr>
            <w:tcW w:w="23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8680" w:type="dxa"/>
            <w:vAlign w:val="bottom"/>
            <w:gridSpan w:val="8"/>
          </w:tcPr>
          <w:p>
            <w:pPr>
              <w:spacing w:after="0"/>
              <w:rPr>
                <w:rFonts w:ascii="Arial" w:cs="Arial" w:eastAsia="Arial" w:hAnsi="Arial"/>
                <w:sz w:val="18"/>
                <w:szCs w:val="18"/>
                <w:color w:val="0000FF"/>
                <w:w w:val="93"/>
              </w:rPr>
            </w:pPr>
            <w:hyperlink w:anchor="page75">
              <w:r>
                <w:rPr>
                  <w:rFonts w:ascii="Arial" w:cs="Arial" w:eastAsia="Arial" w:hAnsi="Arial"/>
                  <w:sz w:val="18"/>
                  <w:szCs w:val="18"/>
                  <w:color w:val="0000FF"/>
                  <w:w w:val="93"/>
                </w:rPr>
                <w:t>Certification of Chief Financial Officer pursuant to 18 U.S.C. Section 1350, as adopted pursuant to Section 906 of the</w:t>
              </w:r>
            </w:hyperlink>
          </w:p>
        </w:tc>
      </w:tr>
      <w:tr>
        <w:trPr>
          <w:trHeight w:val="196"/>
        </w:trPr>
        <w:tc>
          <w:tcPr>
            <w:tcW w:w="2320" w:type="dxa"/>
            <w:vAlign w:val="bottom"/>
          </w:tcPr>
          <w:p>
            <w:pPr>
              <w:spacing w:after="0"/>
              <w:rPr>
                <w:sz w:val="17"/>
                <w:szCs w:val="17"/>
                <w:color w:val="auto"/>
              </w:rPr>
            </w:pPr>
          </w:p>
        </w:tc>
        <w:tc>
          <w:tcPr>
            <w:tcW w:w="84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75">
              <w:r>
                <w:rPr>
                  <w:rFonts w:ascii="Arial" w:cs="Arial" w:eastAsia="Arial" w:hAnsi="Arial"/>
                  <w:sz w:val="18"/>
                  <w:szCs w:val="18"/>
                  <w:color w:val="0000FF"/>
                </w:rPr>
                <w:t>Sarbanes - Oxley Act of 2002.</w:t>
              </w:r>
            </w:hyperlink>
          </w:p>
        </w:tc>
        <w:tc>
          <w:tcPr>
            <w:tcW w:w="200" w:type="dxa"/>
            <w:vAlign w:val="bottom"/>
            <w:gridSpan w:val="3"/>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8680" w:type="dxa"/>
            <w:vAlign w:val="bottom"/>
            <w:gridSpan w:val="8"/>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Mine Safety and Health Administration Safety Data.</w:t>
              </w:r>
            </w:hyperlink>
          </w:p>
        </w:tc>
      </w:tr>
      <w:tr>
        <w:trPr>
          <w:trHeight w:val="520"/>
        </w:trPr>
        <w:tc>
          <w:tcPr>
            <w:tcW w:w="232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37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Financial Statements for XBRL Format.</w:t>
            </w:r>
          </w:p>
        </w:tc>
        <w:tc>
          <w:tcPr>
            <w:tcW w:w="4900" w:type="dxa"/>
            <w:vAlign w:val="bottom"/>
            <w:gridSpan w:val="5"/>
          </w:tcPr>
          <w:p>
            <w:pPr>
              <w:spacing w:after="0"/>
              <w:rPr>
                <w:sz w:val="24"/>
                <w:szCs w:val="24"/>
                <w:color w:val="auto"/>
              </w:rPr>
            </w:pP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__________</w:t>
            </w:r>
          </w:p>
        </w:tc>
        <w:tc>
          <w:tcPr>
            <w:tcW w:w="2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Previously filed as part of the filing indicated and incorporated by reference herein.</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68</w:t>
      </w:r>
    </w:p>
    <w:p>
      <w:pPr>
        <w:sectPr>
          <w:pgSz w:w="11900" w:h="16838" w:orient="portrait"/>
          <w:cols w:equalWidth="0" w:num="1">
            <w:col w:w="11380"/>
          </w:cols>
          <w:pgMar w:left="240" w:top="513" w:right="279" w:bottom="1440" w:gutter="0" w:footer="0" w:header="0"/>
        </w:sectPr>
      </w:pPr>
    </w:p>
    <w:bookmarkStart w:id="68" w:name="page69"/>
    <w:bookmarkEnd w:id="68"/>
    <w:p>
      <w:pPr>
        <w:jc w:val="center"/>
        <w:ind w:right="-4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R. Emery, Chairman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7,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240" w:top="584" w:right="6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459"/>
        </w:trPr>
        <w:tc>
          <w:tcPr>
            <w:tcW w:w="4360" w:type="dxa"/>
            <w:vAlign w:val="bottom"/>
          </w:tcPr>
          <w:p>
            <w:pPr>
              <w:spacing w:after="0"/>
              <w:rPr>
                <w:sz w:val="24"/>
                <w:szCs w:val="24"/>
                <w:color w:val="auto"/>
              </w:rPr>
            </w:pPr>
          </w:p>
        </w:tc>
        <w:tc>
          <w:tcPr>
            <w:tcW w:w="3120" w:type="dxa"/>
            <w:vAlign w:val="bottom"/>
            <w:gridSpan w:val="9"/>
          </w:tcPr>
          <w:p>
            <w:pPr>
              <w:ind w:left="40"/>
              <w:spacing w:after="0"/>
              <w:rPr>
                <w:sz w:val="20"/>
                <w:szCs w:val="20"/>
                <w:color w:val="auto"/>
              </w:rPr>
            </w:pPr>
            <w:r>
              <w:rPr>
                <w:rFonts w:ascii="Arial" w:cs="Arial" w:eastAsia="Arial" w:hAnsi="Arial"/>
                <w:sz w:val="18"/>
                <w:szCs w:val="18"/>
                <w:b w:val="1"/>
                <w:bCs w:val="1"/>
                <w:color w:val="auto"/>
              </w:rPr>
              <w:t>BLACK HILLS CORPORATION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80" w:type="dxa"/>
            <w:vAlign w:val="bottom"/>
            <w:gridSpan w:val="13"/>
          </w:tcPr>
          <w:p>
            <w:pPr>
              <w:ind w:left="3160"/>
              <w:spacing w:after="0"/>
              <w:rPr>
                <w:sz w:val="20"/>
                <w:szCs w:val="20"/>
                <w:color w:val="auto"/>
              </w:rPr>
            </w:pPr>
            <w:r>
              <w:rPr>
                <w:rFonts w:ascii="Arial" w:cs="Arial" w:eastAsia="Arial" w:hAnsi="Arial"/>
                <w:sz w:val="18"/>
                <w:szCs w:val="18"/>
                <w:color w:val="auto"/>
                <w:w w:val="99"/>
              </w:rPr>
              <w:t>COMPUTATION OF RATIO OF EARNINGS TO FIXED CHARGES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6"/>
          </w:tcPr>
          <w:p>
            <w:pPr>
              <w:jc w:val="right"/>
              <w:spacing w:after="0"/>
              <w:rPr>
                <w:sz w:val="20"/>
                <w:szCs w:val="20"/>
                <w:color w:val="auto"/>
              </w:rPr>
            </w:pPr>
            <w:r>
              <w:rPr>
                <w:rFonts w:ascii="Arial" w:cs="Arial" w:eastAsia="Arial" w:hAnsi="Arial"/>
                <w:sz w:val="18"/>
                <w:szCs w:val="18"/>
                <w:color w:val="auto"/>
              </w:rPr>
              <w:t>(In thousands of dollars)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5"/>
          </w:tcPr>
          <w:p>
            <w:pPr>
              <w:ind w:left="16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760" w:type="dxa"/>
            <w:vAlign w:val="bottom"/>
            <w:gridSpan w:val="7"/>
          </w:tcPr>
          <w:p>
            <w:pPr>
              <w:jc w:val="right"/>
              <w:ind w:right="430"/>
              <w:spacing w:after="0"/>
              <w:rPr>
                <w:sz w:val="20"/>
                <w:szCs w:val="20"/>
                <w:color w:val="auto"/>
              </w:rPr>
            </w:pPr>
            <w:r>
              <w:rPr>
                <w:rFonts w:ascii="Arial" w:cs="Arial" w:eastAsia="Arial" w:hAnsi="Arial"/>
                <w:sz w:val="18"/>
                <w:szCs w:val="18"/>
                <w:color w:val="auto"/>
              </w:rPr>
              <w:t>Year Ended December 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40"/>
              <w:spacing w:after="0"/>
              <w:rPr>
                <w:sz w:val="20"/>
                <w:szCs w:val="20"/>
                <w:color w:val="auto"/>
              </w:rPr>
            </w:pPr>
            <w:r>
              <w:rPr>
                <w:rFonts w:ascii="Arial" w:cs="Arial" w:eastAsia="Arial" w:hAnsi="Arial"/>
                <w:sz w:val="18"/>
                <w:szCs w:val="18"/>
                <w:color w:val="auto"/>
              </w:rPr>
              <w:t>Earnings:</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EFFE7"/>
          </w:tcPr>
          <w:p>
            <w:pPr>
              <w:ind w:left="180"/>
              <w:spacing w:after="0"/>
              <w:rPr>
                <w:sz w:val="20"/>
                <w:szCs w:val="20"/>
                <w:color w:val="auto"/>
              </w:rPr>
            </w:pPr>
            <w:r>
              <w:rPr>
                <w:rFonts w:ascii="Arial" w:cs="Arial" w:eastAsia="Arial" w:hAnsi="Arial"/>
                <w:sz w:val="18"/>
                <w:szCs w:val="18"/>
                <w:color w:val="auto"/>
                <w:w w:val="91"/>
              </w:rPr>
              <w:t>Income of consolidated group from continuing operations</w:t>
            </w:r>
          </w:p>
        </w:tc>
        <w:tc>
          <w:tcPr>
            <w:tcW w:w="180" w:type="dxa"/>
            <w:vAlign w:val="bottom"/>
            <w:vMerge w:val="restart"/>
            <w:shd w:val="clear" w:color="auto" w:fill="CEFFE7"/>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w w:val="95"/>
              </w:rPr>
              <w:t>166,144</w:t>
            </w:r>
          </w:p>
        </w:tc>
        <w:tc>
          <w:tcPr>
            <w:tcW w:w="120" w:type="dxa"/>
            <w:vAlign w:val="bottom"/>
            <w:shd w:val="clear" w:color="auto" w:fill="CEFFE7"/>
          </w:tcPr>
          <w:p>
            <w:pPr>
              <w:spacing w:after="0"/>
              <w:rPr>
                <w:sz w:val="19"/>
                <w:szCs w:val="19"/>
                <w:color w:val="auto"/>
              </w:rPr>
            </w:pPr>
          </w:p>
        </w:tc>
        <w:tc>
          <w:tcPr>
            <w:tcW w:w="24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w w:val="86"/>
              </w:rPr>
              <w:t>107,642</w:t>
            </w:r>
          </w:p>
        </w:tc>
        <w:tc>
          <w:tcPr>
            <w:tcW w:w="100" w:type="dxa"/>
            <w:vAlign w:val="bottom"/>
            <w:shd w:val="clear" w:color="auto" w:fill="CEFFE7"/>
          </w:tcPr>
          <w:p>
            <w:pPr>
              <w:spacing w:after="0"/>
              <w:rPr>
                <w:sz w:val="19"/>
                <w:szCs w:val="19"/>
                <w:color w:val="auto"/>
              </w:rPr>
            </w:pP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w w:val="92"/>
              </w:rPr>
              <w:t>208,375</w:t>
            </w:r>
          </w:p>
        </w:tc>
        <w:tc>
          <w:tcPr>
            <w:tcW w:w="120" w:type="dxa"/>
            <w:vAlign w:val="bottom"/>
            <w:shd w:val="clear" w:color="auto" w:fill="CEFFE7"/>
          </w:tcPr>
          <w:p>
            <w:pPr>
              <w:spacing w:after="0"/>
              <w:rPr>
                <w:sz w:val="19"/>
                <w:szCs w:val="19"/>
                <w:color w:val="auto"/>
              </w:rPr>
            </w:pP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w w:val="95"/>
              </w:rPr>
              <w:t>146,793</w:t>
            </w:r>
          </w:p>
        </w:tc>
        <w:tc>
          <w:tcPr>
            <w:tcW w:w="100" w:type="dxa"/>
            <w:vAlign w:val="bottom"/>
            <w:shd w:val="clear" w:color="auto" w:fill="CEFFE7"/>
          </w:tcPr>
          <w:p>
            <w:pPr>
              <w:spacing w:after="0"/>
              <w:rPr>
                <w:sz w:val="19"/>
                <w:szCs w:val="19"/>
                <w:color w:val="auto"/>
              </w:rPr>
            </w:pPr>
          </w:p>
        </w:tc>
        <w:tc>
          <w:tcPr>
            <w:tcW w:w="1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w w:val="92"/>
              </w:rPr>
              <w:t>141,548</w:t>
            </w:r>
          </w:p>
        </w:tc>
        <w:tc>
          <w:tcPr>
            <w:tcW w:w="100" w:type="dxa"/>
            <w:vAlign w:val="bottom"/>
            <w:shd w:val="clear" w:color="auto" w:fill="CEFFE7"/>
          </w:tcPr>
          <w:p>
            <w:pPr>
              <w:spacing w:after="0"/>
              <w:rPr>
                <w:sz w:val="19"/>
                <w:szCs w:val="19"/>
                <w:color w:val="auto"/>
              </w:rPr>
            </w:pP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w w:val="95"/>
              </w:rPr>
              <w:t>132,462</w:t>
            </w:r>
          </w:p>
        </w:tc>
        <w:tc>
          <w:tcPr>
            <w:tcW w:w="280" w:type="dxa"/>
            <w:vAlign w:val="bottom"/>
            <w:gridSpan w:val="2"/>
            <w:vMerge w:val="restart"/>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w w:val="95"/>
              </w:rPr>
              <w:t>113,311</w:t>
            </w:r>
          </w:p>
        </w:tc>
        <w:tc>
          <w:tcPr>
            <w:tcW w:w="0" w:type="dxa"/>
            <w:vAlign w:val="bottom"/>
          </w:tcPr>
          <w:p>
            <w:pPr>
              <w:spacing w:after="0"/>
              <w:rPr>
                <w:sz w:val="1"/>
                <w:szCs w:val="1"/>
                <w:color w:val="auto"/>
              </w:rPr>
            </w:pPr>
          </w:p>
        </w:tc>
      </w:tr>
      <w:tr>
        <w:trPr>
          <w:trHeight w:val="1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3"/>
                <w:szCs w:val="13"/>
                <w:color w:val="auto"/>
              </w:rPr>
              <w:t>(a)</w:t>
            </w:r>
          </w:p>
        </w:tc>
        <w:tc>
          <w:tcPr>
            <w:tcW w:w="180" w:type="dxa"/>
            <w:vAlign w:val="bottom"/>
            <w:tcBorders>
              <w:bottom w:val="single" w:sz="8" w:color="CEFFE7"/>
            </w:tcBorders>
            <w:vMerge w:val="continue"/>
            <w:shd w:val="clear" w:color="auto" w:fill="CEFFE7"/>
          </w:tcPr>
          <w:p>
            <w:pPr>
              <w:spacing w:after="0"/>
              <w:rPr>
                <w:sz w:val="14"/>
                <w:szCs w:val="14"/>
                <w:color w:val="auto"/>
              </w:rPr>
            </w:pPr>
          </w:p>
        </w:tc>
        <w:tc>
          <w:tcPr>
            <w:tcW w:w="760" w:type="dxa"/>
            <w:vAlign w:val="bottom"/>
            <w:tcBorders>
              <w:bottom w:val="single" w:sz="8" w:color="CEFFE7"/>
            </w:tcBorders>
            <w:vMerge w:val="continue"/>
            <w:shd w:val="clear" w:color="auto" w:fill="CEFFE7"/>
          </w:tcPr>
          <w:p>
            <w:pPr>
              <w:spacing w:after="0"/>
              <w:rPr>
                <w:sz w:val="14"/>
                <w:szCs w:val="14"/>
                <w:color w:val="auto"/>
              </w:rPr>
            </w:pPr>
          </w:p>
        </w:tc>
        <w:tc>
          <w:tcPr>
            <w:tcW w:w="120" w:type="dxa"/>
            <w:vAlign w:val="bottom"/>
            <w:tcBorders>
              <w:bottom w:val="single" w:sz="8" w:color="CEFFE7"/>
            </w:tcBorders>
            <w:shd w:val="clear" w:color="auto" w:fill="CEFFE7"/>
          </w:tcPr>
          <w:p>
            <w:pPr>
              <w:spacing w:after="0"/>
              <w:rPr>
                <w:sz w:val="14"/>
                <w:szCs w:val="14"/>
                <w:color w:val="auto"/>
              </w:rPr>
            </w:pPr>
          </w:p>
        </w:tc>
        <w:tc>
          <w:tcPr>
            <w:tcW w:w="240" w:type="dxa"/>
            <w:vAlign w:val="bottom"/>
            <w:tcBorders>
              <w:bottom w:val="single" w:sz="8" w:color="CEFFE7"/>
            </w:tcBorders>
            <w:vMerge w:val="continue"/>
            <w:shd w:val="clear" w:color="auto" w:fill="CEFFE7"/>
          </w:tcPr>
          <w:p>
            <w:pPr>
              <w:spacing w:after="0"/>
              <w:rPr>
                <w:sz w:val="14"/>
                <w:szCs w:val="14"/>
                <w:color w:val="auto"/>
              </w:rPr>
            </w:pPr>
          </w:p>
        </w:tc>
        <w:tc>
          <w:tcPr>
            <w:tcW w:w="700" w:type="dxa"/>
            <w:vAlign w:val="bottom"/>
            <w:tcBorders>
              <w:bottom w:val="single" w:sz="8" w:color="CEFFE7"/>
            </w:tcBorders>
            <w:vMerge w:val="continue"/>
            <w:shd w:val="clear" w:color="auto" w:fill="CEFFE7"/>
          </w:tcPr>
          <w:p>
            <w:pPr>
              <w:spacing w:after="0"/>
              <w:rPr>
                <w:sz w:val="14"/>
                <w:szCs w:val="14"/>
                <w:color w:val="auto"/>
              </w:rPr>
            </w:pPr>
          </w:p>
        </w:tc>
        <w:tc>
          <w:tcPr>
            <w:tcW w:w="100" w:type="dxa"/>
            <w:vAlign w:val="bottom"/>
            <w:tcBorders>
              <w:bottom w:val="single" w:sz="8" w:color="CEFFE7"/>
            </w:tcBorders>
            <w:shd w:val="clear" w:color="auto" w:fill="CEFFE7"/>
          </w:tcPr>
          <w:p>
            <w:pPr>
              <w:spacing w:after="0"/>
              <w:rPr>
                <w:sz w:val="14"/>
                <w:szCs w:val="14"/>
                <w:color w:val="auto"/>
              </w:rPr>
            </w:pPr>
          </w:p>
        </w:tc>
        <w:tc>
          <w:tcPr>
            <w:tcW w:w="180" w:type="dxa"/>
            <w:vAlign w:val="bottom"/>
            <w:tcBorders>
              <w:bottom w:val="single" w:sz="8" w:color="CEFFE7"/>
            </w:tcBorders>
            <w:vMerge w:val="continue"/>
            <w:shd w:val="clear" w:color="auto" w:fill="CEFFE7"/>
          </w:tcPr>
          <w:p>
            <w:pPr>
              <w:spacing w:after="0"/>
              <w:rPr>
                <w:sz w:val="14"/>
                <w:szCs w:val="14"/>
                <w:color w:val="auto"/>
              </w:rPr>
            </w:pPr>
          </w:p>
        </w:tc>
        <w:tc>
          <w:tcPr>
            <w:tcW w:w="720" w:type="dxa"/>
            <w:vAlign w:val="bottom"/>
            <w:tcBorders>
              <w:bottom w:val="single" w:sz="8" w:color="CEFFE7"/>
            </w:tcBorders>
            <w:vMerge w:val="continue"/>
            <w:shd w:val="clear" w:color="auto" w:fill="CEFFE7"/>
          </w:tcPr>
          <w:p>
            <w:pPr>
              <w:spacing w:after="0"/>
              <w:rPr>
                <w:sz w:val="14"/>
                <w:szCs w:val="14"/>
                <w:color w:val="auto"/>
              </w:rPr>
            </w:pPr>
          </w:p>
        </w:tc>
        <w:tc>
          <w:tcPr>
            <w:tcW w:w="120" w:type="dxa"/>
            <w:vAlign w:val="bottom"/>
            <w:tcBorders>
              <w:bottom w:val="single" w:sz="8" w:color="CEFFE7"/>
            </w:tcBorders>
            <w:shd w:val="clear" w:color="auto" w:fill="CEFFE7"/>
          </w:tcPr>
          <w:p>
            <w:pPr>
              <w:spacing w:after="0"/>
              <w:rPr>
                <w:sz w:val="14"/>
                <w:szCs w:val="14"/>
                <w:color w:val="auto"/>
              </w:rPr>
            </w:pPr>
          </w:p>
        </w:tc>
        <w:tc>
          <w:tcPr>
            <w:tcW w:w="160" w:type="dxa"/>
            <w:vAlign w:val="bottom"/>
            <w:tcBorders>
              <w:bottom w:val="single" w:sz="8" w:color="CEFFE7"/>
            </w:tcBorders>
            <w:vMerge w:val="continue"/>
            <w:shd w:val="clear" w:color="auto" w:fill="CEFFE7"/>
          </w:tcPr>
          <w:p>
            <w:pPr>
              <w:spacing w:after="0"/>
              <w:rPr>
                <w:sz w:val="14"/>
                <w:szCs w:val="14"/>
                <w:color w:val="auto"/>
              </w:rPr>
            </w:pPr>
          </w:p>
        </w:tc>
        <w:tc>
          <w:tcPr>
            <w:tcW w:w="740" w:type="dxa"/>
            <w:vAlign w:val="bottom"/>
            <w:tcBorders>
              <w:bottom w:val="single" w:sz="8" w:color="CEFFE7"/>
            </w:tcBorders>
            <w:vMerge w:val="continue"/>
            <w:shd w:val="clear" w:color="auto" w:fill="CEFFE7"/>
          </w:tcPr>
          <w:p>
            <w:pPr>
              <w:spacing w:after="0"/>
              <w:rPr>
                <w:sz w:val="14"/>
                <w:szCs w:val="14"/>
                <w:color w:val="auto"/>
              </w:rPr>
            </w:pPr>
          </w:p>
        </w:tc>
        <w:tc>
          <w:tcPr>
            <w:tcW w:w="100" w:type="dxa"/>
            <w:vAlign w:val="bottom"/>
            <w:tcBorders>
              <w:bottom w:val="single" w:sz="8" w:color="CEFFE7"/>
            </w:tcBorders>
            <w:shd w:val="clear" w:color="auto" w:fill="CEFFE7"/>
          </w:tcPr>
          <w:p>
            <w:pPr>
              <w:spacing w:after="0"/>
              <w:rPr>
                <w:sz w:val="14"/>
                <w:szCs w:val="14"/>
                <w:color w:val="auto"/>
              </w:rPr>
            </w:pPr>
          </w:p>
        </w:tc>
        <w:tc>
          <w:tcPr>
            <w:tcW w:w="180" w:type="dxa"/>
            <w:vAlign w:val="bottom"/>
            <w:tcBorders>
              <w:bottom w:val="single" w:sz="8" w:color="CEFFE7"/>
            </w:tcBorders>
            <w:vMerge w:val="continue"/>
            <w:shd w:val="clear" w:color="auto" w:fill="CEFFE7"/>
          </w:tcPr>
          <w:p>
            <w:pPr>
              <w:spacing w:after="0"/>
              <w:rPr>
                <w:sz w:val="14"/>
                <w:szCs w:val="14"/>
                <w:color w:val="auto"/>
              </w:rPr>
            </w:pPr>
          </w:p>
        </w:tc>
        <w:tc>
          <w:tcPr>
            <w:tcW w:w="740" w:type="dxa"/>
            <w:vAlign w:val="bottom"/>
            <w:tcBorders>
              <w:bottom w:val="single" w:sz="8" w:color="CEFFE7"/>
            </w:tcBorders>
            <w:vMerge w:val="continue"/>
            <w:shd w:val="clear" w:color="auto" w:fill="CEFFE7"/>
          </w:tcPr>
          <w:p>
            <w:pPr>
              <w:spacing w:after="0"/>
              <w:rPr>
                <w:sz w:val="14"/>
                <w:szCs w:val="14"/>
                <w:color w:val="auto"/>
              </w:rPr>
            </w:pPr>
          </w:p>
        </w:tc>
        <w:tc>
          <w:tcPr>
            <w:tcW w:w="100" w:type="dxa"/>
            <w:vAlign w:val="bottom"/>
            <w:tcBorders>
              <w:bottom w:val="single" w:sz="8" w:color="CEFFE7"/>
            </w:tcBorders>
            <w:shd w:val="clear" w:color="auto" w:fill="CEFFE7"/>
          </w:tcPr>
          <w:p>
            <w:pPr>
              <w:spacing w:after="0"/>
              <w:rPr>
                <w:sz w:val="14"/>
                <w:szCs w:val="14"/>
                <w:color w:val="auto"/>
              </w:rPr>
            </w:pPr>
          </w:p>
        </w:tc>
        <w:tc>
          <w:tcPr>
            <w:tcW w:w="160" w:type="dxa"/>
            <w:vAlign w:val="bottom"/>
            <w:tcBorders>
              <w:bottom w:val="single" w:sz="8" w:color="CEFFE7"/>
            </w:tcBorders>
            <w:vMerge w:val="continue"/>
            <w:shd w:val="clear" w:color="auto" w:fill="CEFFE7"/>
          </w:tcPr>
          <w:p>
            <w:pPr>
              <w:spacing w:after="0"/>
              <w:rPr>
                <w:sz w:val="14"/>
                <w:szCs w:val="14"/>
                <w:color w:val="auto"/>
              </w:rPr>
            </w:pPr>
          </w:p>
        </w:tc>
        <w:tc>
          <w:tcPr>
            <w:tcW w:w="740" w:type="dxa"/>
            <w:vAlign w:val="bottom"/>
            <w:tcBorders>
              <w:bottom w:val="single" w:sz="8" w:color="CEFFE7"/>
            </w:tcBorders>
            <w:vMerge w:val="continue"/>
            <w:shd w:val="clear" w:color="auto" w:fill="CEFFE7"/>
          </w:tcPr>
          <w:p>
            <w:pPr>
              <w:spacing w:after="0"/>
              <w:rPr>
                <w:sz w:val="14"/>
                <w:szCs w:val="14"/>
                <w:color w:val="auto"/>
              </w:rPr>
            </w:pPr>
          </w:p>
        </w:tc>
        <w:tc>
          <w:tcPr>
            <w:tcW w:w="280" w:type="dxa"/>
            <w:vAlign w:val="bottom"/>
            <w:tcBorders>
              <w:bottom w:val="single" w:sz="8" w:color="CEFFE7"/>
            </w:tcBorders>
            <w:gridSpan w:val="2"/>
            <w:vMerge w:val="continue"/>
            <w:shd w:val="clear" w:color="auto" w:fill="CEFFE7"/>
          </w:tcPr>
          <w:p>
            <w:pPr>
              <w:spacing w:after="0"/>
              <w:rPr>
                <w:sz w:val="14"/>
                <w:szCs w:val="14"/>
                <w:color w:val="auto"/>
              </w:rPr>
            </w:pPr>
          </w:p>
        </w:tc>
        <w:tc>
          <w:tcPr>
            <w:tcW w:w="740" w:type="dxa"/>
            <w:vAlign w:val="bottom"/>
            <w:tcBorders>
              <w:bottom w:val="single" w:sz="8" w:color="CEFFE7"/>
            </w:tcBorders>
            <w:vMerge w:val="continue"/>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(19,261)</w:t>
            </w:r>
          </w:p>
        </w:tc>
        <w:tc>
          <w:tcPr>
            <w:tcW w:w="1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45,040</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73,367</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59,101</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78,657</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67,336</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61,225</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loss from equity investee</w:t>
            </w:r>
          </w:p>
        </w:tc>
        <w:tc>
          <w:tcPr>
            <w:tcW w:w="18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gridSpan w:val="2"/>
            <w:shd w:val="clear" w:color="auto" w:fill="CEFFE7"/>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Dividends received from unconsolidated affiliates</w:t>
            </w:r>
          </w:p>
        </w:tc>
        <w:tc>
          <w:tcPr>
            <w:tcW w:w="18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gridSpan w:val="2"/>
            <w:shd w:val="clear" w:color="auto" w:fill="CEFFE7"/>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71,685</w:t>
            </w:r>
          </w:p>
        </w:tc>
        <w:tc>
          <w:tcPr>
            <w:tcW w:w="1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71,162</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2"/>
              </w:rPr>
              <w:t>143,232</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141,787</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87,820</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74,425</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5"/>
              </w:rPr>
              <w:t>116,312</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(6,453)</w:t>
            </w:r>
          </w:p>
        </w:tc>
        <w:tc>
          <w:tcPr>
            <w:tcW w:w="1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(14,242)</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(9,661)</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capitalized</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60" w:type="dxa"/>
            <w:vAlign w:val="bottom"/>
            <w:tcBorders>
              <w:bottom w:val="single" w:sz="8" w:color="CEFFE7"/>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EFFE7"/>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EFFE7"/>
          </w:tcPr>
          <w:p>
            <w:pPr>
              <w:ind w:left="380"/>
              <w:spacing w:after="0"/>
              <w:rPr>
                <w:sz w:val="20"/>
                <w:szCs w:val="20"/>
                <w:color w:val="auto"/>
              </w:rPr>
            </w:pPr>
            <w:r>
              <w:rPr>
                <w:rFonts w:ascii="Arial" w:cs="Arial" w:eastAsia="Arial" w:hAnsi="Arial"/>
                <w:sz w:val="18"/>
                <w:szCs w:val="18"/>
                <w:color w:val="auto"/>
              </w:rPr>
              <w:t>Total earnings</w:t>
            </w:r>
          </w:p>
        </w:tc>
        <w:tc>
          <w:tcPr>
            <w:tcW w:w="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5"/>
              </w:rPr>
              <w:t>212,038</w:t>
            </w:r>
          </w:p>
        </w:tc>
        <w:tc>
          <w:tcPr>
            <w:tcW w:w="120" w:type="dxa"/>
            <w:vAlign w:val="bottom"/>
            <w:shd w:val="clear" w:color="auto" w:fill="CEFFE7"/>
          </w:tcPr>
          <w:p>
            <w:pPr>
              <w:spacing w:after="0"/>
              <w:rPr>
                <w:sz w:val="22"/>
                <w:szCs w:val="22"/>
                <w:color w:val="auto"/>
              </w:rPr>
            </w:pP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86"/>
              </w:rPr>
              <w:t>216,972</w:t>
            </w:r>
          </w:p>
        </w:tc>
        <w:tc>
          <w:tcPr>
            <w:tcW w:w="10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2"/>
              </w:rPr>
              <w:t>410,509</w:t>
            </w:r>
          </w:p>
        </w:tc>
        <w:tc>
          <w:tcPr>
            <w:tcW w:w="120" w:type="dxa"/>
            <w:vAlign w:val="bottom"/>
            <w:shd w:val="clear" w:color="auto" w:fill="CEFFE7"/>
          </w:tcPr>
          <w:p>
            <w:pPr>
              <w:spacing w:after="0"/>
              <w:rPr>
                <w:sz w:val="22"/>
                <w:szCs w:val="22"/>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5"/>
              </w:rPr>
              <w:t>337,664</w:t>
            </w:r>
          </w:p>
        </w:tc>
        <w:tc>
          <w:tcPr>
            <w:tcW w:w="10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2"/>
              </w:rPr>
              <w:t>307,699</w:t>
            </w:r>
          </w:p>
        </w:tc>
        <w:tc>
          <w:tcPr>
            <w:tcW w:w="100" w:type="dxa"/>
            <w:vAlign w:val="bottom"/>
            <w:shd w:val="clear" w:color="auto" w:fill="CEFFE7"/>
          </w:tcPr>
          <w:p>
            <w:pPr>
              <w:spacing w:after="0"/>
              <w:rPr>
                <w:sz w:val="22"/>
                <w:szCs w:val="22"/>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5"/>
              </w:rPr>
              <w:t>274,223</w:t>
            </w:r>
          </w:p>
        </w:tc>
        <w:tc>
          <w:tcPr>
            <w:tcW w:w="280" w:type="dxa"/>
            <w:vAlign w:val="bottom"/>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5"/>
              </w:rPr>
              <w:t>290,848</w:t>
            </w:r>
          </w:p>
        </w:tc>
        <w:tc>
          <w:tcPr>
            <w:tcW w:w="0" w:type="dxa"/>
            <w:vAlign w:val="bottom"/>
          </w:tcPr>
          <w:p>
            <w:pPr>
              <w:spacing w:after="0"/>
              <w:rPr>
                <w:sz w:val="1"/>
                <w:szCs w:val="1"/>
                <w:color w:val="auto"/>
              </w:rPr>
            </w:pPr>
          </w:p>
        </w:tc>
      </w:tr>
      <w:tr>
        <w:trPr>
          <w:trHeight w:val="20"/>
        </w:trPr>
        <w:tc>
          <w:tcPr>
            <w:tcW w:w="436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expense of consolidated group</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70,803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69,997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140,533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139,091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85,900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72,858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114,675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76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70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3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76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70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7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Portion of rental charges deemed to be interest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EFFE7"/>
          </w:tcPr>
          <w:p>
            <w:pPr>
              <w:ind w:left="380"/>
              <w:spacing w:after="0"/>
              <w:rPr>
                <w:sz w:val="20"/>
                <w:szCs w:val="20"/>
                <w:color w:val="auto"/>
              </w:rPr>
            </w:pPr>
            <w:r>
              <w:rPr>
                <w:rFonts w:ascii="Arial" w:cs="Arial" w:eastAsia="Arial" w:hAnsi="Arial"/>
                <w:sz w:val="18"/>
                <w:szCs w:val="18"/>
                <w:color w:val="auto"/>
              </w:rPr>
              <w:t>Total fixed charges</w:t>
            </w:r>
          </w:p>
        </w:tc>
        <w:tc>
          <w:tcPr>
            <w:tcW w:w="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71,685</w:t>
            </w:r>
          </w:p>
        </w:tc>
        <w:tc>
          <w:tcPr>
            <w:tcW w:w="120" w:type="dxa"/>
            <w:vAlign w:val="bottom"/>
            <w:shd w:val="clear" w:color="auto" w:fill="CEFFE7"/>
          </w:tcPr>
          <w:p>
            <w:pPr>
              <w:spacing w:after="0"/>
              <w:rPr>
                <w:sz w:val="22"/>
                <w:szCs w:val="22"/>
                <w:color w:val="auto"/>
              </w:rPr>
            </w:pP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71,162</w:t>
            </w:r>
          </w:p>
        </w:tc>
        <w:tc>
          <w:tcPr>
            <w:tcW w:w="10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2"/>
              </w:rPr>
              <w:t>143,232</w:t>
            </w:r>
          </w:p>
        </w:tc>
        <w:tc>
          <w:tcPr>
            <w:tcW w:w="120" w:type="dxa"/>
            <w:vAlign w:val="bottom"/>
            <w:shd w:val="clear" w:color="auto" w:fill="CEFFE7"/>
          </w:tcPr>
          <w:p>
            <w:pPr>
              <w:spacing w:after="0"/>
              <w:rPr>
                <w:sz w:val="22"/>
                <w:szCs w:val="22"/>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5"/>
              </w:rPr>
              <w:t>141,787</w:t>
            </w:r>
          </w:p>
        </w:tc>
        <w:tc>
          <w:tcPr>
            <w:tcW w:w="100" w:type="dxa"/>
            <w:vAlign w:val="bottom"/>
            <w:shd w:val="clear" w:color="auto" w:fill="CEFFE7"/>
          </w:tcPr>
          <w:p>
            <w:pPr>
              <w:spacing w:after="0"/>
              <w:rPr>
                <w:sz w:val="22"/>
                <w:szCs w:val="22"/>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87,820</w:t>
            </w:r>
          </w:p>
        </w:tc>
        <w:tc>
          <w:tcPr>
            <w:tcW w:w="100" w:type="dxa"/>
            <w:vAlign w:val="bottom"/>
            <w:shd w:val="clear" w:color="auto" w:fill="CEFFE7"/>
          </w:tcPr>
          <w:p>
            <w:pPr>
              <w:spacing w:after="0"/>
              <w:rPr>
                <w:sz w:val="22"/>
                <w:szCs w:val="22"/>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74,425</w:t>
            </w:r>
          </w:p>
        </w:tc>
        <w:tc>
          <w:tcPr>
            <w:tcW w:w="280" w:type="dxa"/>
            <w:vAlign w:val="bottom"/>
            <w:gridSpan w:val="2"/>
            <w:shd w:val="clear" w:color="auto" w:fill="CEFFE7"/>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5"/>
              </w:rPr>
              <w:t>116,312</w:t>
            </w:r>
          </w:p>
        </w:tc>
        <w:tc>
          <w:tcPr>
            <w:tcW w:w="0" w:type="dxa"/>
            <w:vAlign w:val="bottom"/>
          </w:tcPr>
          <w:p>
            <w:pPr>
              <w:spacing w:after="0"/>
              <w:rPr>
                <w:sz w:val="1"/>
                <w:szCs w:val="1"/>
                <w:color w:val="auto"/>
              </w:rPr>
            </w:pPr>
          </w:p>
        </w:tc>
      </w:tr>
      <w:tr>
        <w:trPr>
          <w:trHeight w:val="20"/>
        </w:trPr>
        <w:tc>
          <w:tcPr>
            <w:tcW w:w="436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Borders>
              <w:bottom w:val="single" w:sz="8" w:color="auto"/>
            </w:tcBorders>
            <w:shd w:val="clear" w:color="auto" w:fill="CEFFE7"/>
          </w:tcPr>
          <w:p>
            <w:pPr>
              <w:spacing w:after="0"/>
              <w:rPr>
                <w:sz w:val="22"/>
                <w:szCs w:val="22"/>
                <w:color w:val="auto"/>
              </w:rPr>
            </w:pPr>
          </w:p>
        </w:tc>
        <w:tc>
          <w:tcPr>
            <w:tcW w:w="7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spacing w:after="0"/>
              <w:rPr>
                <w:sz w:val="22"/>
                <w:szCs w:val="22"/>
                <w:color w:val="auto"/>
              </w:rPr>
            </w:pPr>
          </w:p>
        </w:tc>
        <w:tc>
          <w:tcPr>
            <w:tcW w:w="7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spacing w:after="0"/>
              <w:rPr>
                <w:sz w:val="22"/>
                <w:szCs w:val="22"/>
                <w:color w:val="auto"/>
              </w:rPr>
            </w:pP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spacing w:after="0"/>
              <w:rPr>
                <w:sz w:val="22"/>
                <w:szCs w:val="22"/>
                <w:color w:val="auto"/>
              </w:rPr>
            </w:pPr>
          </w:p>
        </w:tc>
        <w:tc>
          <w:tcPr>
            <w:tcW w:w="7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spacing w:after="0"/>
              <w:rPr>
                <w:sz w:val="22"/>
                <w:szCs w:val="22"/>
                <w:color w:val="auto"/>
              </w:rPr>
            </w:pP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spacing w:after="0"/>
              <w:rPr>
                <w:sz w:val="22"/>
                <w:szCs w:val="22"/>
                <w:color w:val="auto"/>
              </w:rPr>
            </w:pP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12</w:t>
      </w:r>
    </w:p>
    <w:p>
      <w:pPr>
        <w:spacing w:after="0" w:line="261" w:lineRule="exact"/>
        <w:rPr>
          <w:sz w:val="20"/>
          <w:szCs w:val="20"/>
          <w:color w:val="auto"/>
        </w:rPr>
      </w:pPr>
    </w:p>
    <w:p>
      <w:pPr>
        <w:ind w:right="60" w:firstLine="8"/>
        <w:spacing w:after="0" w:line="286" w:lineRule="auto"/>
        <w:tabs>
          <w:tab w:leader="none" w:pos="2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On November 1, 2017, our Board of Directors approved a complete divestiture of our Oil and Gas segment. The Oil and Gas segment assets and liabilities have been classified as held for sale and the results of operations are shown in income (loss) from discontinued operations, other than certain general and administrative costs and interest expense which do not meet the criteria for income (loss) from discontinued operations. As a result, prior period earnings have been restated.</w:t>
      </w:r>
    </w:p>
    <w:p>
      <w:pPr>
        <w:spacing w:after="0" w:line="3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table above sets forth our ratio of earnings to fixed charges for each of the periods indicated. For this purpose, earnings consist of income or loss from continuing operations (before adjustment for income taxes, income attributable to noncontrolling interests or income or loss from equity investees), plus fixed charges and distributed income of equity investees and less interest capitalized. Fixed charges consist of interest expensed and capitalized, amortization of debt issuance costs and an estimate of the interest within rental expense.</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R. Emery, certify that:</w:t>
      </w:r>
    </w:p>
    <w:p>
      <w:pPr>
        <w:spacing w:after="0" w:line="387" w:lineRule="exact"/>
        <w:rPr>
          <w:sz w:val="20"/>
          <w:szCs w:val="20"/>
          <w:color w:val="auto"/>
        </w:rPr>
      </w:pPr>
    </w:p>
    <w:p>
      <w:pPr>
        <w:ind w:left="840" w:hanging="805"/>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2018</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2018</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June 30, 2018 as filed with the Securities and Exchange Commission on the date hereof (the “Report”), I, David R. Emery, Chairman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2018</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June 30, 2018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2018</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2018.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June 30, 2018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Pattern 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Wyodak Coal Mine</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80" w:hanging="332"/>
        <w:spacing w:after="0" w:line="254"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decimal"/>
      <w:start w:val="12"/>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decimal"/>
      <w:start w:val="14"/>
    </w:lvl>
  </w:abstractNum>
  <w:abstractNum w:abstractNumId="13">
    <w:nsid w:val="2901D82"/>
    <w:multiLevelType w:val="hybridMultilevel"/>
    <w:lvl w:ilvl="0">
      <w:lvlJc w:val="left"/>
      <w:lvlText w:val="(%1)"/>
      <w:numFmt w:val="decimal"/>
      <w:start w:val="16"/>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
      <w:numFmt w:val="bullet"/>
      <w:start w:val="1"/>
    </w:lvl>
    <w:lvl w:ilvl="1">
      <w:lvlJc w:val="left"/>
      <w:lvlText w:val="•"/>
      <w:numFmt w:val="bullet"/>
      <w:start w:val="1"/>
    </w:lvl>
  </w:abstractNum>
  <w:abstractNum w:abstractNumId="20">
    <w:nsid w:val="22221A70"/>
    <w:multiLevelType w:val="hybridMultilevel"/>
    <w:lvl w:ilvl="0">
      <w:lvlJc w:val="left"/>
      <w:lvlText w:val="•"/>
      <w:numFmt w:val="bullet"/>
      <w:start w:val="1"/>
    </w:lvl>
    <w:lvl w:ilvl="1">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
      <w:numFmt w:val="bullet"/>
      <w:start w:val="1"/>
    </w:lvl>
    <w:lvl w:ilvl="1">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30" Type="http://schemas.openxmlformats.org/officeDocument/2006/relationships/hyperlink" Target="http://www.sec.gov/Archives/edgar/data/1130464/000113046418000007/bhcamendedarticles.htm" TargetMode="External"/><Relationship Id="rId31" Type="http://schemas.openxmlformats.org/officeDocument/2006/relationships/hyperlink" Target="http://www.sec.gov/Archives/edgar/data/1130464/000113046417000016/bkhexh3-amdrestatedbylawso.htm" TargetMode="External"/><Relationship Id="rId32" Type="http://schemas.openxmlformats.org/officeDocument/2006/relationships/hyperlink" Target="http://www.sec.gov/Archives/edgar/data/1130464/000113046403000214/ex4-1_10q603.htm" TargetMode="External"/><Relationship Id="rId33" Type="http://schemas.openxmlformats.org/officeDocument/2006/relationships/hyperlink" Target="http://www.sec.gov/Archives/edgar/data/1130464/000113046403000214/ex4-2_10q603.htm" TargetMode="External"/><Relationship Id="rId34" Type="http://schemas.openxmlformats.org/officeDocument/2006/relationships/hyperlink" Target="http://www.sec.gov/Archives/edgar/data/1130464/000110465909032244/a09-13238_3ex4.htm" TargetMode="External"/><Relationship Id="rId35" Type="http://schemas.openxmlformats.org/officeDocument/2006/relationships/hyperlink" Target="http://www.sec.gov/Archives/edgar/data/1130464/000110465910038202/a10-11184_5ex4.htm" TargetMode="External"/><Relationship Id="rId36" Type="http://schemas.openxmlformats.org/officeDocument/2006/relationships/hyperlink" Target="http://www.sec.gov/Archives/edgar/data/1130464/000110465913085420/a13-24110_4ex4.htm" TargetMode="External"/><Relationship Id="rId37" Type="http://schemas.openxmlformats.org/officeDocument/2006/relationships/hyperlink" Target="http://www.sec.gov/Archives/edgar/data/1130464/000110465916089656/a16-1059_4ex4d1.htm" TargetMode="External"/><Relationship Id="rId38" Type="http://schemas.openxmlformats.org/officeDocument/2006/relationships/hyperlink" Target="http://www.sec.gov/Archives/edgar/data/1130464/000110465916140657/a16-17027_1ex4d1.htm" TargetMode="External"/><Relationship Id="rId39" Type="http://schemas.openxmlformats.org/officeDocument/2006/relationships/hyperlink" Target="http://www.sec.gov/Archives/edgar/data/12400/000104746909009108/a2195001zex-4_19.htm" TargetMode="External"/><Relationship Id="rId40" Type="http://schemas.openxmlformats.org/officeDocument/2006/relationships/hyperlink" Target="http://www.sec.gov/Archives/edgar/data/12400/000093066102002633/dex42.txt" TargetMode="External"/><Relationship Id="rId41" Type="http://schemas.openxmlformats.org/officeDocument/2006/relationships/hyperlink" Target="http://www.sec.gov/Archives/edgar/data/12400/000110465909060487/a09-31821_7ex4d21.htm" TargetMode="External"/><Relationship Id="rId42" Type="http://schemas.openxmlformats.org/officeDocument/2006/relationships/hyperlink" Target="http://www.sec.gov/Archives/edgar/data/12400/000113046414000164/ex_10-1thirdsuppindentureb.htm" TargetMode="External"/><Relationship Id="rId43" Type="http://schemas.openxmlformats.org/officeDocument/2006/relationships/hyperlink" Target="http://www.sec.gov/Archives/edgar/data/12400/000113046414000164/ex_10-2restatedindenture.htm" TargetMode="External"/><Relationship Id="rId44" Type="http://schemas.openxmlformats.org/officeDocument/2006/relationships/hyperlink" Target="http://www.sec.gov/Archives/edgar/data/12400/000113046414000164/ex_10-3clfpfirstsupplement.htm" TargetMode="External"/><Relationship Id="rId45" Type="http://schemas.openxmlformats.org/officeDocument/2006/relationships/hyperlink" Target="http://www.sec.gov/Archives/edgar/data/12400/000113046414000164/ex_10-4clfpsupplementalind.htm" TargetMode="External"/><Relationship Id="rId46" Type="http://schemas.openxmlformats.org/officeDocument/2006/relationships/hyperlink" Target="http://www.sec.gov/Archives/edgar/data/1130464/000110465915080657/a15-22831_8ex4d1.htm" TargetMode="External"/><Relationship Id="rId47" Type="http://schemas.openxmlformats.org/officeDocument/2006/relationships/hyperlink" Target="http://www.sec.gov/Archives/edgar/data/1130464/000110465915080657/a15-22831_8ex4d2.htm" TargetMode="External"/><Relationship Id="rId48" Type="http://schemas.openxmlformats.org/officeDocument/2006/relationships/hyperlink" Target="http://www.sec.gov/Archives/edgar/data/1130464/000110465915080657/a15-22831_8ex4d4.htm" TargetMode="External"/><Relationship Id="rId49" Type="http://schemas.openxmlformats.org/officeDocument/2006/relationships/hyperlink" Target="http://www.sec.gov/Archives/edgar/data/1130464/000001240001000024/0000012400-01-000024-0002.txt" TargetMode="External"/><Relationship Id="rId50" Type="http://schemas.openxmlformats.org/officeDocument/2006/relationships/hyperlink" Target="http://www.sec.gov/Archives/edgar/data/1130464/000110465918048322/a18-17931_1ex10d1.htm#Exhibit10_1_032304" TargetMode="External"/><Relationship Id="rId51" Type="http://schemas.openxmlformats.org/officeDocument/2006/relationships/hyperlink" Target="http://www.sec.gov/Archives/edgar/data/1130464/000110465918048322/a18-17931_1ex10d2.htm#Exhibit10_2_115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2020-01-13T05:44:22Z</dcterms:created>
  <dcterms:modified xsi:type="dcterms:W3CDTF">2020-01-13T05:44:22Z</dcterms:modified>
</cp:coreProperties>
</file>