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251" w:lineRule="exact"/>
        <w:rPr>
          <w:sz w:val="24"/>
          <w:szCs w:val="24"/>
          <w:color w:val="auto"/>
        </w:rPr>
      </w:pPr>
    </w:p>
    <w:p>
      <w:pPr>
        <w:jc w:val="center"/>
        <w:ind w:left="4180" w:right="2000" w:hanging="2166"/>
        <w:spacing w:after="0" w:line="241" w:lineRule="auto"/>
        <w:tabs>
          <w:tab w:leader="none" w:pos="2188"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244" w:lineRule="exact"/>
        <w:rPr>
          <w:sz w:val="24"/>
          <w:szCs w:val="24"/>
          <w:color w:val="auto"/>
        </w:rPr>
      </w:pPr>
    </w:p>
    <w:p>
      <w:pPr>
        <w:ind w:left="3380" w:right="1860" w:hanging="1510"/>
        <w:spacing w:after="0" w:line="258" w:lineRule="auto"/>
        <w:tabs>
          <w:tab w:leader="none" w:pos="2045"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_______________ to 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001-31303</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53" w:lineRule="exact"/>
        <w:rPr>
          <w:sz w:val="24"/>
          <w:szCs w:val="24"/>
          <w:color w:val="auto"/>
        </w:rPr>
      </w:pPr>
    </w:p>
    <w:p>
      <w:pPr>
        <w:jc w:val="center"/>
        <w:ind w:right="-19"/>
        <w:spacing w:after="0"/>
        <w:tabs>
          <w:tab w:leader="none" w:pos="140" w:val="left"/>
        </w:tabs>
        <w:rPr>
          <w:sz w:val="20"/>
          <w:szCs w:val="20"/>
          <w:color w:val="auto"/>
        </w:rPr>
      </w:pPr>
      <w:r>
        <w:rPr>
          <w:rFonts w:ascii="Arial" w:cs="Arial" w:eastAsia="Arial" w:hAnsi="Arial"/>
          <w:sz w:val="14"/>
          <w:szCs w:val="14"/>
          <w:b w:val="1"/>
          <w:bCs w:val="1"/>
          <w:color w:val="auto"/>
        </w:rPr>
        <w:t>Incorporated in South Dakota</w:t>
        <w:tab/>
        <w:t>IRS Identification Number 46-0458824</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7001 Mount Rushmore Road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Rapid City, South Dakota 57702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(605) 721-1700</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229" w:right="339" w:bottom="1440" w:gutter="0" w:footer="0" w:header="0"/>
        </w:sectPr>
      </w:pPr>
    </w:p>
    <w:p>
      <w:pPr>
        <w:spacing w:after="0" w:line="28"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Trading Symbol</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28" w:lineRule="exact"/>
        <w:rPr>
          <w:sz w:val="24"/>
          <w:szCs w:val="24"/>
          <w:color w:val="auto"/>
        </w:rPr>
      </w:pPr>
    </w:p>
    <w:p>
      <w:pPr>
        <w:sectPr>
          <w:pgSz w:w="11900" w:h="16838" w:orient="portrait"/>
          <w:cols w:equalWidth="0" w:num="3">
            <w:col w:w="4540" w:space="720"/>
            <w:col w:w="1540" w:space="720"/>
            <w:col w:w="3720"/>
          </w:cols>
          <w:pgMar w:left="320" w:top="229" w:right="339" w:bottom="1440" w:gutter="0" w:footer="0" w:header="0"/>
          <w:type w:val="continuous"/>
        </w:sectPr>
      </w:pPr>
    </w:p>
    <w:p>
      <w:pPr>
        <w:ind w:left="1360"/>
        <w:spacing w:after="0"/>
        <w:rPr>
          <w:sz w:val="20"/>
          <w:szCs w:val="20"/>
          <w:color w:val="auto"/>
        </w:rPr>
      </w:pPr>
      <w:r>
        <w:rPr>
          <w:rFonts w:ascii="Arial" w:cs="Arial" w:eastAsia="Arial" w:hAnsi="Arial"/>
          <w:sz w:val="14"/>
          <w:szCs w:val="14"/>
          <w:color w:val="auto"/>
        </w:rPr>
        <w:t>Common stock of $1.00 par value</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4"/>
          <w:szCs w:val="14"/>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00" w:lineRule="exact"/>
        <w:rPr>
          <w:sz w:val="24"/>
          <w:szCs w:val="24"/>
          <w:color w:val="auto"/>
        </w:rPr>
      </w:pPr>
    </w:p>
    <w:p>
      <w:pPr>
        <w:sectPr>
          <w:pgSz w:w="11900" w:h="16838" w:orient="portrait"/>
          <w:cols w:equalWidth="0" w:num="3">
            <w:col w:w="4880" w:space="720"/>
            <w:col w:w="1780" w:space="720"/>
            <w:col w:w="3140"/>
          </w:cols>
          <w:pgMar w:left="320" w:top="229" w:right="339" w:bottom="1440" w:gutter="0" w:footer="0" w:header="0"/>
          <w:type w:val="continuous"/>
        </w:sectPr>
      </w:pPr>
    </w:p>
    <w:p>
      <w:pPr>
        <w:spacing w:after="0" w:line="11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1" w:lineRule="exact"/>
        <w:rPr>
          <w:sz w:val="24"/>
          <w:szCs w:val="24"/>
          <w:color w:val="auto"/>
        </w:rPr>
      </w:pPr>
    </w:p>
    <w:p>
      <w:pPr>
        <w:ind w:right="10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7" w:lineRule="exact"/>
        <w:rPr>
          <w:sz w:val="24"/>
          <w:szCs w:val="24"/>
          <w:color w:val="auto"/>
        </w:rPr>
      </w:pPr>
    </w:p>
    <w:p>
      <w:pPr>
        <w:ind w:right="5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7"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2300" w:type="dxa"/>
        <w:tblCellMar>
          <w:top w:w="0" w:type="dxa"/>
          <w:left w:w="0" w:type="dxa"/>
          <w:bottom w:w="0" w:type="dxa"/>
          <w:right w:w="0" w:type="dxa"/>
        </w:tblCellMar>
      </w:tblPr>
      <w:tr>
        <w:trPr>
          <w:trHeight w:val="22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0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2480" w:type="dxa"/>
            <w:vAlign w:val="bottom"/>
          </w:tcPr>
          <w:p>
            <w:pPr>
              <w:ind w:left="20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10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2480" w:type="dxa"/>
            <w:vAlign w:val="bottom"/>
          </w:tcPr>
          <w:p>
            <w:pPr>
              <w:ind w:left="20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2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80" w:type="dxa"/>
            <w:vAlign w:val="bottom"/>
          </w:tcPr>
          <w:p>
            <w:pPr>
              <w:ind w:left="20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25"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17"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1"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The aggregate market value of the voting common equity held by non-affiliates of the registrant on the last business day of the registrant’s most recently completed second fiscal quarter, June 30, 2021, was $4,135,954,577</w:t>
      </w:r>
    </w:p>
    <w:p>
      <w:pPr>
        <w:spacing w:after="0" w:line="261" w:lineRule="exact"/>
        <w:rPr>
          <w:sz w:val="24"/>
          <w:szCs w:val="24"/>
          <w:color w:val="auto"/>
        </w:rPr>
      </w:pPr>
    </w:p>
    <w:p>
      <w:pPr>
        <w:ind w:left="80"/>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11" w:lineRule="exact"/>
        <w:rPr>
          <w:sz w:val="24"/>
          <w:szCs w:val="24"/>
          <w:color w:val="auto"/>
        </w:rPr>
      </w:pPr>
    </w:p>
    <w:tbl>
      <w:tblPr>
        <w:tblLayout w:type="fixed"/>
        <w:tblInd w:w="17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380" w:type="dxa"/>
            <w:vAlign w:val="bottom"/>
            <w:gridSpan w:val="2"/>
          </w:tcPr>
          <w:p>
            <w:pPr>
              <w:jc w:val="center"/>
              <w:ind w:right="2020"/>
              <w:spacing w:after="0"/>
              <w:rPr>
                <w:sz w:val="20"/>
                <w:szCs w:val="20"/>
                <w:color w:val="auto"/>
              </w:rPr>
            </w:pPr>
            <w:r>
              <w:rPr>
                <w:rFonts w:ascii="Arial" w:cs="Arial" w:eastAsia="Arial" w:hAnsi="Arial"/>
                <w:sz w:val="14"/>
                <w:szCs w:val="14"/>
                <w:color w:val="auto"/>
              </w:rPr>
              <w:t>Class</w:t>
            </w:r>
          </w:p>
        </w:tc>
        <w:tc>
          <w:tcPr>
            <w:tcW w:w="3340" w:type="dxa"/>
            <w:vAlign w:val="bottom"/>
            <w:gridSpan w:val="2"/>
          </w:tcPr>
          <w:p>
            <w:pPr>
              <w:ind w:left="1260"/>
              <w:spacing w:after="0"/>
              <w:rPr>
                <w:sz w:val="20"/>
                <w:szCs w:val="20"/>
                <w:color w:val="auto"/>
              </w:rPr>
            </w:pPr>
            <w:r>
              <w:rPr>
                <w:rFonts w:ascii="Arial" w:cs="Arial" w:eastAsia="Arial" w:hAnsi="Arial"/>
                <w:sz w:val="14"/>
                <w:szCs w:val="14"/>
                <w:color w:val="auto"/>
              </w:rPr>
              <w:t>Outstanding at January 31, 2022</w:t>
            </w:r>
          </w:p>
        </w:tc>
      </w:tr>
      <w:tr>
        <w:trPr>
          <w:trHeight w:val="20"/>
        </w:trPr>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r>
        <w:trPr>
          <w:trHeight w:val="198"/>
        </w:trPr>
        <w:tc>
          <w:tcPr>
            <w:tcW w:w="3200" w:type="dxa"/>
            <w:vAlign w:val="bottom"/>
            <w:gridSpan w:val="3"/>
          </w:tcPr>
          <w:p>
            <w:pPr>
              <w:jc w:val="center"/>
              <w:ind w:right="1180"/>
              <w:spacing w:after="0"/>
              <w:rPr>
                <w:sz w:val="20"/>
                <w:szCs w:val="20"/>
                <w:color w:val="auto"/>
              </w:rPr>
            </w:pPr>
            <w:r>
              <w:rPr>
                <w:rFonts w:ascii="Arial" w:cs="Arial" w:eastAsia="Arial" w:hAnsi="Arial"/>
                <w:sz w:val="14"/>
                <w:szCs w:val="14"/>
                <w:color w:val="auto"/>
              </w:rPr>
              <w:t>Common stock, $1.00 par value</w:t>
            </w:r>
          </w:p>
        </w:tc>
        <w:tc>
          <w:tcPr>
            <w:tcW w:w="3340" w:type="dxa"/>
            <w:vAlign w:val="bottom"/>
            <w:gridSpan w:val="2"/>
          </w:tcPr>
          <w:p>
            <w:pPr>
              <w:ind w:left="1180"/>
              <w:spacing w:after="0"/>
              <w:rPr>
                <w:sz w:val="20"/>
                <w:szCs w:val="20"/>
                <w:color w:val="auto"/>
              </w:rPr>
            </w:pPr>
            <w:r>
              <w:rPr>
                <w:rFonts w:ascii="Arial" w:cs="Arial" w:eastAsia="Arial" w:hAnsi="Arial"/>
                <w:sz w:val="14"/>
                <w:szCs w:val="14"/>
                <w:color w:val="auto"/>
              </w:rPr>
              <w:t>64,738,725 shares</w:t>
            </w:r>
          </w:p>
        </w:tc>
      </w:tr>
    </w:tbl>
    <w:p>
      <w:pPr>
        <w:spacing w:after="0" w:line="3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Portions of the registrant’s Definitive Proxy Statement being prepared for the solicitation of proxies in connection with the 2022 Annual Meeting of Stockholders to be held on April 26, 2022,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0" w:type="dxa"/>
            <w:vAlign w:val="bottom"/>
            <w:gridSpan w:val="7"/>
          </w:tcPr>
          <w:p>
            <w:pPr>
              <w:ind w:left="12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40"/>
        </w:trPr>
        <w:tc>
          <w:tcPr>
            <w:tcW w:w="20" w:type="dxa"/>
            <w:vAlign w:val="bottom"/>
            <w:tcBorders>
              <w:bottom w:val="single" w:sz="8" w:color="CEFFE7"/>
            </w:tcBorders>
          </w:tcPr>
          <w:p>
            <w:pPr>
              <w:spacing w:after="0"/>
              <w:rPr>
                <w:sz w:val="20"/>
                <w:szCs w:val="20"/>
                <w:color w:val="auto"/>
              </w:rPr>
            </w:pPr>
          </w:p>
        </w:tc>
        <w:tc>
          <w:tcPr>
            <w:tcW w:w="420" w:type="dxa"/>
            <w:vAlign w:val="bottom"/>
            <w:tcBorders>
              <w:bottom w:val="single" w:sz="8" w:color="CEFFE7"/>
            </w:tcBorders>
          </w:tcPr>
          <w:p>
            <w:pPr>
              <w:spacing w:after="0"/>
              <w:rPr>
                <w:sz w:val="20"/>
                <w:szCs w:val="20"/>
                <w:color w:val="auto"/>
              </w:rPr>
            </w:pPr>
          </w:p>
        </w:tc>
        <w:tc>
          <w:tcPr>
            <w:tcW w:w="40" w:type="dxa"/>
            <w:vAlign w:val="bottom"/>
            <w:tcBorders>
              <w:bottom w:val="single" w:sz="8" w:color="CEFFE7"/>
            </w:tcBorders>
          </w:tcPr>
          <w:p>
            <w:pPr>
              <w:spacing w:after="0"/>
              <w:rPr>
                <w:sz w:val="20"/>
                <w:szCs w:val="20"/>
                <w:color w:val="auto"/>
              </w:rPr>
            </w:pPr>
          </w:p>
        </w:tc>
        <w:tc>
          <w:tcPr>
            <w:tcW w:w="120" w:type="dxa"/>
            <w:vAlign w:val="bottom"/>
            <w:tcBorders>
              <w:bottom w:val="single" w:sz="8" w:color="CEFFE7"/>
            </w:tcBorders>
          </w:tcPr>
          <w:p>
            <w:pPr>
              <w:spacing w:after="0"/>
              <w:rPr>
                <w:sz w:val="20"/>
                <w:szCs w:val="20"/>
                <w:color w:val="auto"/>
              </w:rPr>
            </w:pPr>
          </w:p>
        </w:tc>
        <w:tc>
          <w:tcPr>
            <w:tcW w:w="100" w:type="dxa"/>
            <w:vAlign w:val="bottom"/>
            <w:tcBorders>
              <w:bottom w:val="single" w:sz="8" w:color="CEFFE7"/>
            </w:tcBorders>
          </w:tcPr>
          <w:p>
            <w:pPr>
              <w:spacing w:after="0"/>
              <w:rPr>
                <w:sz w:val="20"/>
                <w:szCs w:val="20"/>
                <w:color w:val="auto"/>
              </w:rPr>
            </w:pPr>
          </w:p>
        </w:tc>
        <w:tc>
          <w:tcPr>
            <w:tcW w:w="520" w:type="dxa"/>
            <w:vAlign w:val="bottom"/>
            <w:tcBorders>
              <w:bottom w:val="single" w:sz="8" w:color="CEFFE7"/>
            </w:tcBorders>
          </w:tcPr>
          <w:p>
            <w:pPr>
              <w:spacing w:after="0"/>
              <w:rPr>
                <w:sz w:val="20"/>
                <w:szCs w:val="20"/>
                <w:color w:val="auto"/>
              </w:rPr>
            </w:pPr>
          </w:p>
        </w:tc>
        <w:tc>
          <w:tcPr>
            <w:tcW w:w="520" w:type="dxa"/>
            <w:vAlign w:val="bottom"/>
            <w:tcBorders>
              <w:bottom w:val="single" w:sz="8" w:color="CEFFE7"/>
            </w:tcBorders>
          </w:tcPr>
          <w:p>
            <w:pPr>
              <w:spacing w:after="0"/>
              <w:rPr>
                <w:sz w:val="20"/>
                <w:szCs w:val="20"/>
                <w:color w:val="auto"/>
              </w:rPr>
            </w:pPr>
          </w:p>
        </w:tc>
        <w:tc>
          <w:tcPr>
            <w:tcW w:w="320" w:type="dxa"/>
            <w:vAlign w:val="bottom"/>
            <w:tcBorders>
              <w:bottom w:val="single" w:sz="8" w:color="CEFFE7"/>
            </w:tcBorders>
          </w:tcPr>
          <w:p>
            <w:pPr>
              <w:spacing w:after="0"/>
              <w:rPr>
                <w:sz w:val="20"/>
                <w:szCs w:val="20"/>
                <w:color w:val="auto"/>
              </w:rPr>
            </w:pPr>
          </w:p>
        </w:tc>
        <w:tc>
          <w:tcPr>
            <w:tcW w:w="20" w:type="dxa"/>
            <w:vAlign w:val="bottom"/>
            <w:tcBorders>
              <w:bottom w:val="single" w:sz="8" w:color="CEFFE7"/>
            </w:tcBorders>
          </w:tcPr>
          <w:p>
            <w:pPr>
              <w:spacing w:after="0"/>
              <w:rPr>
                <w:sz w:val="20"/>
                <w:szCs w:val="20"/>
                <w:color w:val="auto"/>
              </w:rPr>
            </w:pPr>
          </w:p>
        </w:tc>
        <w:tc>
          <w:tcPr>
            <w:tcW w:w="480" w:type="dxa"/>
            <w:vAlign w:val="bottom"/>
            <w:tcBorders>
              <w:bottom w:val="single" w:sz="8" w:color="CEFFE7"/>
            </w:tcBorders>
          </w:tcPr>
          <w:p>
            <w:pPr>
              <w:spacing w:after="0"/>
              <w:rPr>
                <w:sz w:val="20"/>
                <w:szCs w:val="20"/>
                <w:color w:val="auto"/>
              </w:rPr>
            </w:pPr>
          </w:p>
        </w:tc>
        <w:tc>
          <w:tcPr>
            <w:tcW w:w="60" w:type="dxa"/>
            <w:vAlign w:val="bottom"/>
            <w:tcBorders>
              <w:bottom w:val="single" w:sz="8" w:color="CEFFE7"/>
            </w:tcBorders>
          </w:tcPr>
          <w:p>
            <w:pPr>
              <w:spacing w:after="0"/>
              <w:rPr>
                <w:sz w:val="20"/>
                <w:szCs w:val="20"/>
                <w:color w:val="auto"/>
              </w:rPr>
            </w:pPr>
          </w:p>
        </w:tc>
        <w:tc>
          <w:tcPr>
            <w:tcW w:w="160" w:type="dxa"/>
            <w:vAlign w:val="bottom"/>
            <w:tcBorders>
              <w:bottom w:val="single" w:sz="8" w:color="CEFFE7"/>
            </w:tcBorders>
          </w:tcPr>
          <w:p>
            <w:pPr>
              <w:spacing w:after="0"/>
              <w:rPr>
                <w:sz w:val="20"/>
                <w:szCs w:val="20"/>
                <w:color w:val="auto"/>
              </w:rPr>
            </w:pPr>
          </w:p>
        </w:tc>
        <w:tc>
          <w:tcPr>
            <w:tcW w:w="20" w:type="dxa"/>
            <w:vAlign w:val="bottom"/>
            <w:tcBorders>
              <w:bottom w:val="single" w:sz="8" w:color="CEFFE7"/>
            </w:tcBorders>
          </w:tcPr>
          <w:p>
            <w:pPr>
              <w:spacing w:after="0"/>
              <w:rPr>
                <w:sz w:val="20"/>
                <w:szCs w:val="20"/>
                <w:color w:val="auto"/>
              </w:rPr>
            </w:pPr>
          </w:p>
        </w:tc>
        <w:tc>
          <w:tcPr>
            <w:tcW w:w="20" w:type="dxa"/>
            <w:vAlign w:val="bottom"/>
            <w:tcBorders>
              <w:bottom w:val="single" w:sz="8" w:color="CEFFE7"/>
            </w:tcBorders>
          </w:tcPr>
          <w:p>
            <w:pPr>
              <w:spacing w:after="0"/>
              <w:rPr>
                <w:sz w:val="20"/>
                <w:szCs w:val="20"/>
                <w:color w:val="auto"/>
              </w:rPr>
            </w:pPr>
          </w:p>
        </w:tc>
        <w:tc>
          <w:tcPr>
            <w:tcW w:w="100" w:type="dxa"/>
            <w:vAlign w:val="bottom"/>
            <w:tcBorders>
              <w:bottom w:val="single" w:sz="8" w:color="CEFFE7"/>
            </w:tcBorders>
          </w:tcPr>
          <w:p>
            <w:pPr>
              <w:spacing w:after="0"/>
              <w:rPr>
                <w:sz w:val="20"/>
                <w:szCs w:val="20"/>
                <w:color w:val="auto"/>
              </w:rPr>
            </w:pPr>
          </w:p>
        </w:tc>
        <w:tc>
          <w:tcPr>
            <w:tcW w:w="180" w:type="dxa"/>
            <w:vAlign w:val="bottom"/>
            <w:tcBorders>
              <w:bottom w:val="single" w:sz="8" w:color="CEFFE7"/>
            </w:tcBorders>
          </w:tcPr>
          <w:p>
            <w:pPr>
              <w:spacing w:after="0"/>
              <w:rPr>
                <w:sz w:val="20"/>
                <w:szCs w:val="20"/>
                <w:color w:val="auto"/>
              </w:rPr>
            </w:pPr>
          </w:p>
        </w:tc>
        <w:tc>
          <w:tcPr>
            <w:tcW w:w="60" w:type="dxa"/>
            <w:vAlign w:val="bottom"/>
            <w:tcBorders>
              <w:bottom w:val="single" w:sz="8" w:color="CEFFE7"/>
            </w:tcBorders>
          </w:tcPr>
          <w:p>
            <w:pPr>
              <w:spacing w:after="0"/>
              <w:rPr>
                <w:sz w:val="20"/>
                <w:szCs w:val="20"/>
                <w:color w:val="auto"/>
              </w:rPr>
            </w:pPr>
          </w:p>
        </w:tc>
        <w:tc>
          <w:tcPr>
            <w:tcW w:w="20" w:type="dxa"/>
            <w:vAlign w:val="bottom"/>
            <w:tcBorders>
              <w:bottom w:val="single" w:sz="8" w:color="CEFFE7"/>
            </w:tcBorders>
          </w:tcPr>
          <w:p>
            <w:pPr>
              <w:spacing w:after="0"/>
              <w:rPr>
                <w:sz w:val="20"/>
                <w:szCs w:val="20"/>
                <w:color w:val="auto"/>
              </w:rPr>
            </w:pPr>
          </w:p>
        </w:tc>
        <w:tc>
          <w:tcPr>
            <w:tcW w:w="160" w:type="dxa"/>
            <w:vAlign w:val="bottom"/>
            <w:tcBorders>
              <w:bottom w:val="single" w:sz="8" w:color="CEFFE7"/>
            </w:tcBorders>
          </w:tcPr>
          <w:p>
            <w:pPr>
              <w:spacing w:after="0"/>
              <w:rPr>
                <w:sz w:val="20"/>
                <w:szCs w:val="20"/>
                <w:color w:val="auto"/>
              </w:rPr>
            </w:pPr>
          </w:p>
        </w:tc>
        <w:tc>
          <w:tcPr>
            <w:tcW w:w="60" w:type="dxa"/>
            <w:vAlign w:val="bottom"/>
            <w:tcBorders>
              <w:bottom w:val="single" w:sz="8" w:color="CEFFE7"/>
            </w:tcBorders>
          </w:tcPr>
          <w:p>
            <w:pPr>
              <w:spacing w:after="0"/>
              <w:rPr>
                <w:sz w:val="20"/>
                <w:szCs w:val="20"/>
                <w:color w:val="auto"/>
              </w:rPr>
            </w:pPr>
          </w:p>
        </w:tc>
        <w:tc>
          <w:tcPr>
            <w:tcW w:w="100" w:type="dxa"/>
            <w:vAlign w:val="bottom"/>
            <w:tcBorders>
              <w:bottom w:val="single" w:sz="8" w:color="CEFFE7"/>
            </w:tcBorders>
          </w:tcPr>
          <w:p>
            <w:pPr>
              <w:spacing w:after="0"/>
              <w:rPr>
                <w:sz w:val="20"/>
                <w:szCs w:val="20"/>
                <w:color w:val="auto"/>
              </w:rPr>
            </w:pPr>
          </w:p>
        </w:tc>
        <w:tc>
          <w:tcPr>
            <w:tcW w:w="20" w:type="dxa"/>
            <w:vAlign w:val="bottom"/>
            <w:tcBorders>
              <w:bottom w:val="single" w:sz="8" w:color="CEFFE7"/>
            </w:tcBorders>
          </w:tcPr>
          <w:p>
            <w:pPr>
              <w:spacing w:after="0"/>
              <w:rPr>
                <w:sz w:val="20"/>
                <w:szCs w:val="20"/>
                <w:color w:val="auto"/>
              </w:rPr>
            </w:pPr>
          </w:p>
        </w:tc>
        <w:tc>
          <w:tcPr>
            <w:tcW w:w="40" w:type="dxa"/>
            <w:vAlign w:val="bottom"/>
            <w:tcBorders>
              <w:bottom w:val="single" w:sz="8" w:color="CEFFE7"/>
            </w:tcBorders>
          </w:tcPr>
          <w:p>
            <w:pPr>
              <w:spacing w:after="0"/>
              <w:rPr>
                <w:sz w:val="20"/>
                <w:szCs w:val="20"/>
                <w:color w:val="auto"/>
              </w:rPr>
            </w:pPr>
          </w:p>
        </w:tc>
        <w:tc>
          <w:tcPr>
            <w:tcW w:w="60" w:type="dxa"/>
            <w:vAlign w:val="bottom"/>
            <w:tcBorders>
              <w:bottom w:val="single" w:sz="8" w:color="CEFFE7"/>
            </w:tcBorders>
          </w:tcPr>
          <w:p>
            <w:pPr>
              <w:spacing w:after="0"/>
              <w:rPr>
                <w:sz w:val="20"/>
                <w:szCs w:val="20"/>
                <w:color w:val="auto"/>
              </w:rPr>
            </w:pPr>
          </w:p>
        </w:tc>
        <w:tc>
          <w:tcPr>
            <w:tcW w:w="60" w:type="dxa"/>
            <w:vAlign w:val="bottom"/>
            <w:tcBorders>
              <w:bottom w:val="single" w:sz="8" w:color="CEFFE7"/>
            </w:tcBorders>
          </w:tcPr>
          <w:p>
            <w:pPr>
              <w:spacing w:after="0"/>
              <w:rPr>
                <w:sz w:val="20"/>
                <w:szCs w:val="20"/>
                <w:color w:val="auto"/>
              </w:rPr>
            </w:pPr>
          </w:p>
        </w:tc>
        <w:tc>
          <w:tcPr>
            <w:tcW w:w="160" w:type="dxa"/>
            <w:vAlign w:val="bottom"/>
            <w:tcBorders>
              <w:bottom w:val="single" w:sz="8" w:color="CEFFE7"/>
            </w:tcBorders>
          </w:tcPr>
          <w:p>
            <w:pPr>
              <w:spacing w:after="0"/>
              <w:rPr>
                <w:sz w:val="20"/>
                <w:szCs w:val="20"/>
                <w:color w:val="auto"/>
              </w:rPr>
            </w:pPr>
          </w:p>
        </w:tc>
        <w:tc>
          <w:tcPr>
            <w:tcW w:w="120" w:type="dxa"/>
            <w:vAlign w:val="bottom"/>
            <w:tcBorders>
              <w:bottom w:val="single" w:sz="8" w:color="CEFFE7"/>
            </w:tcBorders>
          </w:tcPr>
          <w:p>
            <w:pPr>
              <w:spacing w:after="0"/>
              <w:rPr>
                <w:sz w:val="20"/>
                <w:szCs w:val="20"/>
                <w:color w:val="auto"/>
              </w:rPr>
            </w:pPr>
          </w:p>
        </w:tc>
        <w:tc>
          <w:tcPr>
            <w:tcW w:w="20" w:type="dxa"/>
            <w:vAlign w:val="bottom"/>
            <w:tcBorders>
              <w:bottom w:val="single" w:sz="8" w:color="CEFFE7"/>
            </w:tcBorders>
          </w:tcPr>
          <w:p>
            <w:pPr>
              <w:spacing w:after="0"/>
              <w:rPr>
                <w:sz w:val="20"/>
                <w:szCs w:val="20"/>
                <w:color w:val="auto"/>
              </w:rPr>
            </w:pPr>
          </w:p>
        </w:tc>
        <w:tc>
          <w:tcPr>
            <w:tcW w:w="40" w:type="dxa"/>
            <w:vAlign w:val="bottom"/>
            <w:tcBorders>
              <w:bottom w:val="single" w:sz="8" w:color="CEFFE7"/>
            </w:tcBorders>
          </w:tcPr>
          <w:p>
            <w:pPr>
              <w:spacing w:after="0"/>
              <w:rPr>
                <w:sz w:val="20"/>
                <w:szCs w:val="20"/>
                <w:color w:val="auto"/>
              </w:rPr>
            </w:pPr>
          </w:p>
        </w:tc>
        <w:tc>
          <w:tcPr>
            <w:tcW w:w="220" w:type="dxa"/>
            <w:vAlign w:val="bottom"/>
            <w:tcBorders>
              <w:bottom w:val="single" w:sz="8" w:color="CEFFE7"/>
            </w:tcBorders>
          </w:tcPr>
          <w:p>
            <w:pPr>
              <w:spacing w:after="0"/>
              <w:rPr>
                <w:sz w:val="20"/>
                <w:szCs w:val="20"/>
                <w:color w:val="auto"/>
              </w:rPr>
            </w:pPr>
          </w:p>
        </w:tc>
        <w:tc>
          <w:tcPr>
            <w:tcW w:w="140" w:type="dxa"/>
            <w:vAlign w:val="bottom"/>
            <w:tcBorders>
              <w:bottom w:val="single" w:sz="8" w:color="CEFFE7"/>
            </w:tcBorders>
          </w:tcPr>
          <w:p>
            <w:pPr>
              <w:spacing w:after="0"/>
              <w:rPr>
                <w:sz w:val="20"/>
                <w:szCs w:val="20"/>
                <w:color w:val="auto"/>
              </w:rPr>
            </w:pPr>
          </w:p>
        </w:tc>
        <w:tc>
          <w:tcPr>
            <w:tcW w:w="20" w:type="dxa"/>
            <w:vAlign w:val="bottom"/>
            <w:tcBorders>
              <w:bottom w:val="single" w:sz="8" w:color="CEFFE7"/>
            </w:tcBorders>
          </w:tcPr>
          <w:p>
            <w:pPr>
              <w:spacing w:after="0"/>
              <w:rPr>
                <w:sz w:val="20"/>
                <w:szCs w:val="20"/>
                <w:color w:val="auto"/>
              </w:rPr>
            </w:pPr>
          </w:p>
        </w:tc>
        <w:tc>
          <w:tcPr>
            <w:tcW w:w="140" w:type="dxa"/>
            <w:vAlign w:val="bottom"/>
            <w:tcBorders>
              <w:bottom w:val="single" w:sz="8" w:color="CEFFE7"/>
            </w:tcBorders>
          </w:tcPr>
          <w:p>
            <w:pPr>
              <w:spacing w:after="0"/>
              <w:rPr>
                <w:sz w:val="20"/>
                <w:szCs w:val="20"/>
                <w:color w:val="auto"/>
              </w:rPr>
            </w:pPr>
          </w:p>
        </w:tc>
        <w:tc>
          <w:tcPr>
            <w:tcW w:w="140" w:type="dxa"/>
            <w:vAlign w:val="bottom"/>
            <w:tcBorders>
              <w:bottom w:val="single" w:sz="8" w:color="CEFFE7"/>
            </w:tcBorders>
          </w:tcPr>
          <w:p>
            <w:pPr>
              <w:spacing w:after="0"/>
              <w:rPr>
                <w:sz w:val="20"/>
                <w:szCs w:val="20"/>
                <w:color w:val="auto"/>
              </w:rPr>
            </w:pPr>
          </w:p>
        </w:tc>
        <w:tc>
          <w:tcPr>
            <w:tcW w:w="1480" w:type="dxa"/>
            <w:vAlign w:val="bottom"/>
            <w:tcBorders>
              <w:bottom w:val="single" w:sz="8" w:color="CEFFE7"/>
            </w:tcBorders>
          </w:tcPr>
          <w:p>
            <w:pPr>
              <w:spacing w:after="0"/>
              <w:rPr>
                <w:sz w:val="20"/>
                <w:szCs w:val="20"/>
                <w:color w:val="auto"/>
              </w:rPr>
            </w:pPr>
          </w:p>
        </w:tc>
        <w:tc>
          <w:tcPr>
            <w:tcW w:w="1140" w:type="dxa"/>
            <w:vAlign w:val="bottom"/>
            <w:tcBorders>
              <w:bottom w:val="single" w:sz="8" w:color="CEFFE7"/>
            </w:tcBorders>
          </w:tcPr>
          <w:p>
            <w:pPr>
              <w:spacing w:after="0"/>
              <w:rPr>
                <w:sz w:val="20"/>
                <w:szCs w:val="20"/>
                <w:color w:val="auto"/>
              </w:rPr>
            </w:pPr>
          </w:p>
        </w:tc>
        <w:tc>
          <w:tcPr>
            <w:tcW w:w="2100" w:type="dxa"/>
            <w:vAlign w:val="bottom"/>
            <w:tcBorders>
              <w:bottom w:val="single" w:sz="8" w:color="CEFFE7"/>
            </w:tcBorders>
          </w:tcPr>
          <w:p>
            <w:pPr>
              <w:spacing w:after="0"/>
              <w:rPr>
                <w:sz w:val="20"/>
                <w:szCs w:val="20"/>
                <w:color w:val="auto"/>
              </w:rPr>
            </w:pPr>
          </w:p>
        </w:tc>
        <w:tc>
          <w:tcPr>
            <w:tcW w:w="380" w:type="dxa"/>
            <w:vAlign w:val="bottom"/>
            <w:tcBorders>
              <w:bottom w:val="single" w:sz="8" w:color="CEFFE7"/>
            </w:tcBorders>
          </w:tcPr>
          <w:p>
            <w:pPr>
              <w:spacing w:after="0"/>
              <w:rPr>
                <w:sz w:val="20"/>
                <w:szCs w:val="20"/>
                <w:color w:val="auto"/>
              </w:rPr>
            </w:pPr>
          </w:p>
        </w:tc>
        <w:tc>
          <w:tcPr>
            <w:tcW w:w="180" w:type="dxa"/>
            <w:vAlign w:val="bottom"/>
            <w:tcBorders>
              <w:bottom w:val="single" w:sz="8" w:color="CEFFE7"/>
            </w:tcBorders>
          </w:tcPr>
          <w:p>
            <w:pPr>
              <w:spacing w:after="0"/>
              <w:rPr>
                <w:sz w:val="20"/>
                <w:szCs w:val="20"/>
                <w:color w:val="auto"/>
              </w:rPr>
            </w:pPr>
          </w:p>
        </w:tc>
        <w:tc>
          <w:tcPr>
            <w:tcW w:w="180" w:type="dxa"/>
            <w:vAlign w:val="bottom"/>
            <w:tcBorders>
              <w:bottom w:val="single" w:sz="8" w:color="CEFFE7"/>
            </w:tcBorders>
          </w:tcPr>
          <w:p>
            <w:pPr>
              <w:spacing w:after="0"/>
              <w:rPr>
                <w:sz w:val="20"/>
                <w:szCs w:val="20"/>
                <w:color w:val="auto"/>
              </w:rPr>
            </w:pPr>
          </w:p>
        </w:tc>
        <w:tc>
          <w:tcPr>
            <w:tcW w:w="110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color w:val="auto"/>
              </w:rPr>
              <w:t>Page</w:t>
            </w:r>
          </w:p>
        </w:tc>
      </w:tr>
      <w:tr>
        <w:trPr>
          <w:trHeight w:val="198"/>
        </w:trPr>
        <w:tc>
          <w:tcPr>
            <w:tcW w:w="20" w:type="dxa"/>
            <w:vAlign w:val="bottom"/>
            <w:shd w:val="clear" w:color="auto" w:fill="CEFFE7"/>
          </w:tcPr>
          <w:p>
            <w:pPr>
              <w:spacing w:after="0"/>
              <w:rPr>
                <w:sz w:val="17"/>
                <w:szCs w:val="17"/>
                <w:color w:val="auto"/>
              </w:rPr>
            </w:pPr>
          </w:p>
        </w:tc>
        <w:tc>
          <w:tcPr>
            <w:tcW w:w="10120" w:type="dxa"/>
            <w:vAlign w:val="bottom"/>
            <w:gridSpan w:val="39"/>
            <w:shd w:val="clear" w:color="auto" w:fill="CEFFE7"/>
          </w:tcPr>
          <w:p>
            <w:pPr>
              <w:spacing w:after="0" w:line="138" w:lineRule="exact"/>
              <w:rPr>
                <w:rFonts w:ascii="Arial" w:cs="Arial" w:eastAsia="Arial" w:hAnsi="Arial"/>
                <w:sz w:val="16"/>
                <w:szCs w:val="16"/>
                <w:color w:val="0000FF"/>
              </w:rPr>
            </w:pPr>
            <w:hyperlink w:anchor="page3">
              <w:r>
                <w:rPr>
                  <w:rFonts w:ascii="Arial" w:cs="Arial" w:eastAsia="Arial" w:hAnsi="Arial"/>
                  <w:sz w:val="16"/>
                  <w:szCs w:val="16"/>
                  <w:color w:val="0000FF"/>
                </w:rPr>
                <w:t>GLOSSARY OF TERMS AND ABBREVIATIONS</w:t>
              </w:r>
            </w:hyperlink>
          </w:p>
        </w:tc>
        <w:tc>
          <w:tcPr>
            <w:tcW w:w="600" w:type="dxa"/>
            <w:vAlign w:val="bottom"/>
            <w:gridSpan w:val="3"/>
            <w:shd w:val="clear" w:color="auto" w:fill="CEFFE7"/>
          </w:tcPr>
          <w:p>
            <w:pPr>
              <w:jc w:val="center"/>
              <w:ind w:left="419"/>
              <w:spacing w:after="0" w:line="142" w:lineRule="exact"/>
              <w:rPr>
                <w:rFonts w:ascii="Arial" w:cs="Arial" w:eastAsia="Arial" w:hAnsi="Arial"/>
                <w:sz w:val="16"/>
                <w:szCs w:val="16"/>
                <w:color w:val="0000FF"/>
              </w:rPr>
            </w:pPr>
            <w:hyperlink w:anchor="page3">
              <w:r>
                <w:rPr>
                  <w:rFonts w:ascii="Arial" w:cs="Arial" w:eastAsia="Arial" w:hAnsi="Arial"/>
                  <w:sz w:val="16"/>
                  <w:szCs w:val="16"/>
                  <w:color w:val="0000FF"/>
                </w:rPr>
                <w:t>4</w:t>
              </w:r>
            </w:hyperlink>
          </w:p>
        </w:tc>
        <w:tc>
          <w:tcPr>
            <w:tcW w:w="40" w:type="dxa"/>
            <w:vAlign w:val="bottom"/>
            <w:shd w:val="clear" w:color="auto" w:fill="CEFFE7"/>
          </w:tcPr>
          <w:p>
            <w:pPr>
              <w:spacing w:after="0"/>
              <w:rPr>
                <w:sz w:val="17"/>
                <w:szCs w:val="17"/>
                <w:color w:val="auto"/>
              </w:rPr>
            </w:pPr>
          </w:p>
        </w:tc>
        <w:tc>
          <w:tcPr>
            <w:tcW w:w="460" w:type="dxa"/>
            <w:vAlign w:val="bottom"/>
            <w:shd w:val="clear" w:color="auto" w:fill="CEFFE7"/>
          </w:tcPr>
          <w:p>
            <w:pPr>
              <w:spacing w:after="0"/>
              <w:rPr>
                <w:sz w:val="17"/>
                <w:szCs w:val="17"/>
                <w:color w:val="auto"/>
              </w:rPr>
            </w:pPr>
          </w:p>
        </w:tc>
      </w:tr>
      <w:tr>
        <w:trPr>
          <w:trHeight w:val="169"/>
        </w:trPr>
        <w:tc>
          <w:tcPr>
            <w:tcW w:w="20" w:type="dxa"/>
            <w:vAlign w:val="bottom"/>
            <w:tcBorders>
              <w:top w:val="single" w:sz="8" w:color="CEFFE7"/>
            </w:tcBorders>
          </w:tcPr>
          <w:p>
            <w:pPr>
              <w:spacing w:after="0"/>
              <w:rPr>
                <w:sz w:val="14"/>
                <w:szCs w:val="14"/>
                <w:color w:val="auto"/>
              </w:rPr>
            </w:pPr>
          </w:p>
        </w:tc>
        <w:tc>
          <w:tcPr>
            <w:tcW w:w="3500" w:type="dxa"/>
            <w:vAlign w:val="bottom"/>
            <w:tcBorders>
              <w:top w:val="single" w:sz="8" w:color="0000FF"/>
            </w:tcBorders>
            <w:gridSpan w:val="21"/>
          </w:tcPr>
          <w:p>
            <w:pPr>
              <w:spacing w:after="0" w:line="170" w:lineRule="exact"/>
              <w:rPr>
                <w:rFonts w:ascii="Arial" w:cs="Arial" w:eastAsia="Arial" w:hAnsi="Arial"/>
                <w:sz w:val="16"/>
                <w:szCs w:val="16"/>
                <w:color w:val="0000FF"/>
              </w:rPr>
            </w:pPr>
            <w:hyperlink w:anchor="page8">
              <w:r>
                <w:rPr>
                  <w:rFonts w:ascii="Arial" w:cs="Arial" w:eastAsia="Arial" w:hAnsi="Arial"/>
                  <w:sz w:val="16"/>
                  <w:szCs w:val="16"/>
                  <w:color w:val="0000FF"/>
                </w:rPr>
                <w:t>WEBSITE ACCESS TO REPORTS</w:t>
              </w:r>
            </w:hyperlink>
          </w:p>
        </w:tc>
        <w:tc>
          <w:tcPr>
            <w:tcW w:w="6620" w:type="dxa"/>
            <w:vAlign w:val="bottom"/>
            <w:tcBorders>
              <w:top w:val="single" w:sz="8" w:color="CEFFE7"/>
            </w:tcBorders>
            <w:gridSpan w:val="18"/>
          </w:tcPr>
          <w:p>
            <w:pPr>
              <w:spacing w:after="0"/>
              <w:rPr>
                <w:sz w:val="14"/>
                <w:szCs w:val="14"/>
                <w:color w:val="auto"/>
              </w:rPr>
            </w:pPr>
          </w:p>
        </w:tc>
        <w:tc>
          <w:tcPr>
            <w:tcW w:w="500" w:type="dxa"/>
            <w:vAlign w:val="bottom"/>
            <w:tcBorders>
              <w:top w:val="single" w:sz="8" w:color="CEFFE7"/>
            </w:tcBorders>
            <w:gridSpan w:val="2"/>
          </w:tcPr>
          <w:p>
            <w:pPr>
              <w:spacing w:after="0"/>
              <w:rPr>
                <w:sz w:val="14"/>
                <w:szCs w:val="14"/>
                <w:color w:val="auto"/>
              </w:rPr>
            </w:pPr>
          </w:p>
        </w:tc>
        <w:tc>
          <w:tcPr>
            <w:tcW w:w="100" w:type="dxa"/>
            <w:vAlign w:val="bottom"/>
            <w:tcBorders>
              <w:top w:val="single" w:sz="8" w:color="0000FF"/>
            </w:tcBorders>
          </w:tcPr>
          <w:p>
            <w:pPr>
              <w:jc w:val="center"/>
              <w:spacing w:after="0" w:line="170" w:lineRule="exact"/>
              <w:rPr>
                <w:rFonts w:ascii="Arial" w:cs="Arial" w:eastAsia="Arial" w:hAnsi="Arial"/>
                <w:sz w:val="16"/>
                <w:szCs w:val="16"/>
                <w:color w:val="0000FF"/>
              </w:rPr>
            </w:pPr>
            <w:hyperlink w:anchor="page8">
              <w:r>
                <w:rPr>
                  <w:rFonts w:ascii="Arial" w:cs="Arial" w:eastAsia="Arial" w:hAnsi="Arial"/>
                  <w:sz w:val="16"/>
                  <w:szCs w:val="16"/>
                  <w:color w:val="0000FF"/>
                </w:rPr>
                <w:t>9</w:t>
              </w:r>
            </w:hyperlink>
          </w:p>
        </w:tc>
        <w:tc>
          <w:tcPr>
            <w:tcW w:w="40" w:type="dxa"/>
            <w:vAlign w:val="bottom"/>
            <w:tcBorders>
              <w:top w:val="single" w:sz="8" w:color="CEFFE7"/>
            </w:tcBorders>
          </w:tcPr>
          <w:p>
            <w:pPr>
              <w:spacing w:after="0"/>
              <w:rPr>
                <w:sz w:val="14"/>
                <w:szCs w:val="14"/>
                <w:color w:val="auto"/>
              </w:rPr>
            </w:pPr>
          </w:p>
        </w:tc>
        <w:tc>
          <w:tcPr>
            <w:tcW w:w="460" w:type="dxa"/>
            <w:vAlign w:val="bottom"/>
            <w:tcBorders>
              <w:top w:val="single" w:sz="8" w:color="CEFFE7"/>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shd w:val="clear" w:color="auto" w:fill="CEFFE7"/>
          </w:tcPr>
          <w:p>
            <w:pPr>
              <w:spacing w:after="0"/>
              <w:rPr>
                <w:sz w:val="17"/>
                <w:szCs w:val="17"/>
                <w:color w:val="auto"/>
              </w:rPr>
            </w:pPr>
          </w:p>
        </w:tc>
        <w:tc>
          <w:tcPr>
            <w:tcW w:w="10120" w:type="dxa"/>
            <w:vAlign w:val="bottom"/>
            <w:gridSpan w:val="39"/>
            <w:shd w:val="clear" w:color="auto" w:fill="CEFFE7"/>
          </w:tcPr>
          <w:p>
            <w:pPr>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FORWARD-LOOKING INFORMATION</w:t>
              </w:r>
            </w:hyperlink>
          </w:p>
        </w:tc>
        <w:tc>
          <w:tcPr>
            <w:tcW w:w="600" w:type="dxa"/>
            <w:vAlign w:val="bottom"/>
            <w:gridSpan w:val="3"/>
            <w:shd w:val="clear" w:color="auto" w:fill="CEFFE7"/>
          </w:tcPr>
          <w:p>
            <w:pPr>
              <w:jc w:val="center"/>
              <w:ind w:left="419"/>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9</w:t>
              </w:r>
            </w:hyperlink>
          </w:p>
        </w:tc>
        <w:tc>
          <w:tcPr>
            <w:tcW w:w="40" w:type="dxa"/>
            <w:vAlign w:val="bottom"/>
            <w:shd w:val="clear" w:color="auto" w:fill="CEFFE7"/>
          </w:tcPr>
          <w:p>
            <w:pPr>
              <w:spacing w:after="0"/>
              <w:rPr>
                <w:sz w:val="17"/>
                <w:szCs w:val="17"/>
                <w:color w:val="auto"/>
              </w:rPr>
            </w:pPr>
          </w:p>
        </w:tc>
        <w:tc>
          <w:tcPr>
            <w:tcW w:w="460" w:type="dxa"/>
            <w:vAlign w:val="bottom"/>
            <w:shd w:val="clear" w:color="auto" w:fill="CEFFE7"/>
          </w:tcPr>
          <w:p>
            <w:pPr>
              <w:spacing w:after="0"/>
              <w:rPr>
                <w:sz w:val="17"/>
                <w:szCs w:val="17"/>
                <w:color w:val="auto"/>
              </w:rPr>
            </w:pPr>
          </w:p>
        </w:tc>
      </w:tr>
      <w:tr>
        <w:trPr>
          <w:trHeight w:val="176"/>
        </w:trPr>
        <w:tc>
          <w:tcPr>
            <w:tcW w:w="20" w:type="dxa"/>
            <w:vAlign w:val="bottom"/>
            <w:tcBorders>
              <w:top w:val="single" w:sz="8" w:color="CEFFE7"/>
            </w:tcBorders>
          </w:tcPr>
          <w:p>
            <w:pPr>
              <w:spacing w:after="0"/>
              <w:rPr>
                <w:sz w:val="15"/>
                <w:szCs w:val="15"/>
                <w:color w:val="auto"/>
              </w:rPr>
            </w:pPr>
          </w:p>
        </w:tc>
        <w:tc>
          <w:tcPr>
            <w:tcW w:w="1200" w:type="dxa"/>
            <w:vAlign w:val="bottom"/>
            <w:tcBorders>
              <w:top w:val="single" w:sz="8" w:color="0000FF"/>
            </w:tcBorders>
            <w:gridSpan w:val="5"/>
          </w:tcPr>
          <w:p>
            <w:pPr>
              <w:spacing w:after="0" w:line="175" w:lineRule="exact"/>
              <w:rPr>
                <w:rFonts w:ascii="Arial" w:cs="Arial" w:eastAsia="Arial" w:hAnsi="Arial"/>
                <w:sz w:val="16"/>
                <w:szCs w:val="16"/>
                <w:b w:val="1"/>
                <w:bCs w:val="1"/>
                <w:color w:val="0000FF"/>
              </w:rPr>
            </w:pPr>
            <w:hyperlink w:anchor="page9">
              <w:r>
                <w:rPr>
                  <w:rFonts w:ascii="Arial" w:cs="Arial" w:eastAsia="Arial" w:hAnsi="Arial"/>
                  <w:sz w:val="16"/>
                  <w:szCs w:val="16"/>
                  <w:b w:val="1"/>
                  <w:bCs w:val="1"/>
                  <w:color w:val="0000FF"/>
                </w:rPr>
                <w:t>Part I</w:t>
              </w:r>
            </w:hyperlink>
          </w:p>
        </w:tc>
        <w:tc>
          <w:tcPr>
            <w:tcW w:w="5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CEFFE7"/>
            </w:tcBorders>
          </w:tcPr>
          <w:p>
            <w:pPr>
              <w:spacing w:after="0"/>
              <w:rPr>
                <w:sz w:val="15"/>
                <w:szCs w:val="15"/>
                <w:color w:val="auto"/>
              </w:rPr>
            </w:pPr>
          </w:p>
        </w:tc>
        <w:tc>
          <w:tcPr>
            <w:tcW w:w="180" w:type="dxa"/>
            <w:vAlign w:val="bottom"/>
            <w:tcBorders>
              <w:top w:val="single" w:sz="8" w:color="CEFFE7"/>
            </w:tcBorders>
          </w:tcPr>
          <w:p>
            <w:pPr>
              <w:spacing w:after="0"/>
              <w:rPr>
                <w:sz w:val="15"/>
                <w:szCs w:val="15"/>
                <w:color w:val="auto"/>
              </w:rPr>
            </w:pPr>
          </w:p>
        </w:tc>
        <w:tc>
          <w:tcPr>
            <w:tcW w:w="60" w:type="dxa"/>
            <w:vAlign w:val="bottom"/>
            <w:tcBorders>
              <w:top w:val="single" w:sz="8" w:color="CEFFE7"/>
            </w:tcBorders>
          </w:tcPr>
          <w:p>
            <w:pPr>
              <w:spacing w:after="0"/>
              <w:rPr>
                <w:sz w:val="15"/>
                <w:szCs w:val="15"/>
                <w:color w:val="auto"/>
              </w:rPr>
            </w:pPr>
          </w:p>
        </w:tc>
        <w:tc>
          <w:tcPr>
            <w:tcW w:w="20" w:type="dxa"/>
            <w:vAlign w:val="bottom"/>
            <w:tcBorders>
              <w:top w:val="single" w:sz="8" w:color="CEFFE7"/>
            </w:tcBorders>
          </w:tcPr>
          <w:p>
            <w:pPr>
              <w:spacing w:after="0"/>
              <w:rPr>
                <w:sz w:val="15"/>
                <w:szCs w:val="15"/>
                <w:color w:val="auto"/>
              </w:rPr>
            </w:pPr>
          </w:p>
        </w:tc>
        <w:tc>
          <w:tcPr>
            <w:tcW w:w="160" w:type="dxa"/>
            <w:vAlign w:val="bottom"/>
            <w:tcBorders>
              <w:top w:val="single" w:sz="8" w:color="CEFFE7"/>
            </w:tcBorders>
          </w:tcPr>
          <w:p>
            <w:pPr>
              <w:spacing w:after="0"/>
              <w:rPr>
                <w:sz w:val="15"/>
                <w:szCs w:val="15"/>
                <w:color w:val="auto"/>
              </w:rPr>
            </w:pPr>
          </w:p>
        </w:tc>
        <w:tc>
          <w:tcPr>
            <w:tcW w:w="60" w:type="dxa"/>
            <w:vAlign w:val="bottom"/>
            <w:tcBorders>
              <w:top w:val="single" w:sz="8" w:color="CEFFE7"/>
            </w:tcBorders>
          </w:tcPr>
          <w:p>
            <w:pPr>
              <w:spacing w:after="0"/>
              <w:rPr>
                <w:sz w:val="15"/>
                <w:szCs w:val="15"/>
                <w:color w:val="auto"/>
              </w:rPr>
            </w:pPr>
          </w:p>
        </w:tc>
        <w:tc>
          <w:tcPr>
            <w:tcW w:w="100" w:type="dxa"/>
            <w:vAlign w:val="bottom"/>
            <w:tcBorders>
              <w:top w:val="single" w:sz="8" w:color="CEFFE7"/>
            </w:tcBorders>
          </w:tcPr>
          <w:p>
            <w:pPr>
              <w:spacing w:after="0"/>
              <w:rPr>
                <w:sz w:val="15"/>
                <w:szCs w:val="15"/>
                <w:color w:val="auto"/>
              </w:rPr>
            </w:pPr>
          </w:p>
        </w:tc>
        <w:tc>
          <w:tcPr>
            <w:tcW w:w="20" w:type="dxa"/>
            <w:vAlign w:val="bottom"/>
            <w:tcBorders>
              <w:top w:val="single" w:sz="8" w:color="CEFFE7"/>
            </w:tcBorders>
          </w:tcPr>
          <w:p>
            <w:pPr>
              <w:spacing w:after="0"/>
              <w:rPr>
                <w:sz w:val="15"/>
                <w:szCs w:val="15"/>
                <w:color w:val="auto"/>
              </w:rPr>
            </w:pPr>
          </w:p>
        </w:tc>
        <w:tc>
          <w:tcPr>
            <w:tcW w:w="40" w:type="dxa"/>
            <w:vAlign w:val="bottom"/>
            <w:tcBorders>
              <w:top w:val="single" w:sz="8" w:color="CEFFE7"/>
            </w:tcBorders>
          </w:tcPr>
          <w:p>
            <w:pPr>
              <w:spacing w:after="0"/>
              <w:rPr>
                <w:sz w:val="15"/>
                <w:szCs w:val="15"/>
                <w:color w:val="auto"/>
              </w:rPr>
            </w:pPr>
          </w:p>
        </w:tc>
        <w:tc>
          <w:tcPr>
            <w:tcW w:w="60" w:type="dxa"/>
            <w:vAlign w:val="bottom"/>
            <w:tcBorders>
              <w:top w:val="single" w:sz="8" w:color="CEFFE7"/>
            </w:tcBorders>
          </w:tcPr>
          <w:p>
            <w:pPr>
              <w:spacing w:after="0"/>
              <w:rPr>
                <w:sz w:val="15"/>
                <w:szCs w:val="15"/>
                <w:color w:val="auto"/>
              </w:rPr>
            </w:pPr>
          </w:p>
        </w:tc>
        <w:tc>
          <w:tcPr>
            <w:tcW w:w="60" w:type="dxa"/>
            <w:vAlign w:val="bottom"/>
            <w:tcBorders>
              <w:top w:val="single" w:sz="8" w:color="CEFFE7"/>
            </w:tcBorders>
          </w:tcPr>
          <w:p>
            <w:pPr>
              <w:spacing w:after="0"/>
              <w:rPr>
                <w:sz w:val="15"/>
                <w:szCs w:val="15"/>
                <w:color w:val="auto"/>
              </w:rPr>
            </w:pPr>
          </w:p>
        </w:tc>
        <w:tc>
          <w:tcPr>
            <w:tcW w:w="160" w:type="dxa"/>
            <w:vAlign w:val="bottom"/>
            <w:tcBorders>
              <w:top w:val="single" w:sz="8" w:color="CEFFE7"/>
            </w:tcBorders>
          </w:tcPr>
          <w:p>
            <w:pPr>
              <w:spacing w:after="0"/>
              <w:rPr>
                <w:sz w:val="15"/>
                <w:szCs w:val="15"/>
                <w:color w:val="auto"/>
              </w:rPr>
            </w:pPr>
          </w:p>
        </w:tc>
        <w:tc>
          <w:tcPr>
            <w:tcW w:w="120" w:type="dxa"/>
            <w:vAlign w:val="bottom"/>
            <w:tcBorders>
              <w:top w:val="single" w:sz="8" w:color="CEFFE7"/>
            </w:tcBorders>
          </w:tcPr>
          <w:p>
            <w:pPr>
              <w:spacing w:after="0"/>
              <w:rPr>
                <w:sz w:val="15"/>
                <w:szCs w:val="15"/>
                <w:color w:val="auto"/>
              </w:rPr>
            </w:pPr>
          </w:p>
        </w:tc>
        <w:tc>
          <w:tcPr>
            <w:tcW w:w="20" w:type="dxa"/>
            <w:vAlign w:val="bottom"/>
            <w:tcBorders>
              <w:top w:val="single" w:sz="8" w:color="CEFFE7"/>
            </w:tcBorders>
          </w:tcPr>
          <w:p>
            <w:pPr>
              <w:spacing w:after="0"/>
              <w:rPr>
                <w:sz w:val="15"/>
                <w:szCs w:val="15"/>
                <w:color w:val="auto"/>
              </w:rPr>
            </w:pPr>
          </w:p>
        </w:tc>
        <w:tc>
          <w:tcPr>
            <w:tcW w:w="40" w:type="dxa"/>
            <w:vAlign w:val="bottom"/>
            <w:tcBorders>
              <w:top w:val="single" w:sz="8" w:color="CEFFE7"/>
            </w:tcBorders>
          </w:tcPr>
          <w:p>
            <w:pPr>
              <w:spacing w:after="0"/>
              <w:rPr>
                <w:sz w:val="15"/>
                <w:szCs w:val="15"/>
                <w:color w:val="auto"/>
              </w:rPr>
            </w:pPr>
          </w:p>
        </w:tc>
        <w:tc>
          <w:tcPr>
            <w:tcW w:w="220" w:type="dxa"/>
            <w:vAlign w:val="bottom"/>
            <w:tcBorders>
              <w:top w:val="single" w:sz="8" w:color="CEFFE7"/>
            </w:tcBorders>
          </w:tcPr>
          <w:p>
            <w:pPr>
              <w:spacing w:after="0"/>
              <w:rPr>
                <w:sz w:val="15"/>
                <w:szCs w:val="15"/>
                <w:color w:val="auto"/>
              </w:rPr>
            </w:pPr>
          </w:p>
        </w:tc>
        <w:tc>
          <w:tcPr>
            <w:tcW w:w="140" w:type="dxa"/>
            <w:vAlign w:val="bottom"/>
            <w:tcBorders>
              <w:top w:val="single" w:sz="8" w:color="CEFFE7"/>
            </w:tcBorders>
          </w:tcPr>
          <w:p>
            <w:pPr>
              <w:spacing w:after="0"/>
              <w:rPr>
                <w:sz w:val="15"/>
                <w:szCs w:val="15"/>
                <w:color w:val="auto"/>
              </w:rPr>
            </w:pPr>
          </w:p>
        </w:tc>
        <w:tc>
          <w:tcPr>
            <w:tcW w:w="20" w:type="dxa"/>
            <w:vAlign w:val="bottom"/>
            <w:tcBorders>
              <w:top w:val="single" w:sz="8" w:color="CEFFE7"/>
            </w:tcBorders>
          </w:tcPr>
          <w:p>
            <w:pPr>
              <w:spacing w:after="0"/>
              <w:rPr>
                <w:sz w:val="15"/>
                <w:szCs w:val="15"/>
                <w:color w:val="auto"/>
              </w:rPr>
            </w:pPr>
          </w:p>
        </w:tc>
        <w:tc>
          <w:tcPr>
            <w:tcW w:w="140" w:type="dxa"/>
            <w:vAlign w:val="bottom"/>
            <w:tcBorders>
              <w:top w:val="single" w:sz="8" w:color="CEFFE7"/>
            </w:tcBorders>
          </w:tcPr>
          <w:p>
            <w:pPr>
              <w:spacing w:after="0"/>
              <w:rPr>
                <w:sz w:val="15"/>
                <w:szCs w:val="15"/>
                <w:color w:val="auto"/>
              </w:rPr>
            </w:pPr>
          </w:p>
        </w:tc>
        <w:tc>
          <w:tcPr>
            <w:tcW w:w="140" w:type="dxa"/>
            <w:vAlign w:val="bottom"/>
            <w:tcBorders>
              <w:top w:val="single" w:sz="8" w:color="CEFFE7"/>
            </w:tcBorders>
          </w:tcPr>
          <w:p>
            <w:pPr>
              <w:spacing w:after="0"/>
              <w:rPr>
                <w:sz w:val="15"/>
                <w:szCs w:val="15"/>
                <w:color w:val="auto"/>
              </w:rPr>
            </w:pPr>
          </w:p>
        </w:tc>
        <w:tc>
          <w:tcPr>
            <w:tcW w:w="1480" w:type="dxa"/>
            <w:vAlign w:val="bottom"/>
            <w:tcBorders>
              <w:top w:val="single" w:sz="8" w:color="CEFFE7"/>
            </w:tcBorders>
          </w:tcPr>
          <w:p>
            <w:pPr>
              <w:spacing w:after="0"/>
              <w:rPr>
                <w:sz w:val="15"/>
                <w:szCs w:val="15"/>
                <w:color w:val="auto"/>
              </w:rPr>
            </w:pPr>
          </w:p>
        </w:tc>
        <w:tc>
          <w:tcPr>
            <w:tcW w:w="1140" w:type="dxa"/>
            <w:vAlign w:val="bottom"/>
            <w:tcBorders>
              <w:top w:val="single" w:sz="8" w:color="CEFFE7"/>
            </w:tcBorders>
          </w:tcPr>
          <w:p>
            <w:pPr>
              <w:spacing w:after="0"/>
              <w:rPr>
                <w:sz w:val="15"/>
                <w:szCs w:val="15"/>
                <w:color w:val="auto"/>
              </w:rPr>
            </w:pPr>
          </w:p>
        </w:tc>
        <w:tc>
          <w:tcPr>
            <w:tcW w:w="2100" w:type="dxa"/>
            <w:vAlign w:val="bottom"/>
            <w:tcBorders>
              <w:top w:val="single" w:sz="8" w:color="CEFFE7"/>
            </w:tcBorders>
          </w:tcPr>
          <w:p>
            <w:pPr>
              <w:spacing w:after="0"/>
              <w:rPr>
                <w:sz w:val="15"/>
                <w:szCs w:val="15"/>
                <w:color w:val="auto"/>
              </w:rPr>
            </w:pPr>
          </w:p>
        </w:tc>
        <w:tc>
          <w:tcPr>
            <w:tcW w:w="380" w:type="dxa"/>
            <w:vAlign w:val="bottom"/>
            <w:tcBorders>
              <w:top w:val="single" w:sz="8" w:color="CEFFE7"/>
            </w:tcBorders>
          </w:tcPr>
          <w:p>
            <w:pPr>
              <w:spacing w:after="0"/>
              <w:rPr>
                <w:sz w:val="15"/>
                <w:szCs w:val="15"/>
                <w:color w:val="auto"/>
              </w:rPr>
            </w:pPr>
          </w:p>
        </w:tc>
        <w:tc>
          <w:tcPr>
            <w:tcW w:w="180" w:type="dxa"/>
            <w:vAlign w:val="bottom"/>
            <w:tcBorders>
              <w:top w:val="single" w:sz="8" w:color="CEFFE7"/>
            </w:tcBorders>
          </w:tcPr>
          <w:p>
            <w:pPr>
              <w:spacing w:after="0"/>
              <w:rPr>
                <w:sz w:val="15"/>
                <w:szCs w:val="15"/>
                <w:color w:val="auto"/>
              </w:rPr>
            </w:pPr>
          </w:p>
        </w:tc>
        <w:tc>
          <w:tcPr>
            <w:tcW w:w="180" w:type="dxa"/>
            <w:vAlign w:val="bottom"/>
            <w:tcBorders>
              <w:top w:val="single" w:sz="8" w:color="CEFFE7"/>
            </w:tcBorders>
          </w:tcPr>
          <w:p>
            <w:pPr>
              <w:spacing w:after="0"/>
              <w:rPr>
                <w:sz w:val="15"/>
                <w:szCs w:val="15"/>
                <w:color w:val="auto"/>
              </w:rPr>
            </w:pPr>
          </w:p>
        </w:tc>
        <w:tc>
          <w:tcPr>
            <w:tcW w:w="460" w:type="dxa"/>
            <w:vAlign w:val="bottom"/>
            <w:tcBorders>
              <w:top w:val="single" w:sz="8" w:color="CEFFE7"/>
            </w:tcBorders>
          </w:tcPr>
          <w:p>
            <w:pPr>
              <w:spacing w:after="0"/>
              <w:rPr>
                <w:sz w:val="15"/>
                <w:szCs w:val="15"/>
                <w:color w:val="auto"/>
              </w:rPr>
            </w:pPr>
          </w:p>
        </w:tc>
        <w:tc>
          <w:tcPr>
            <w:tcW w:w="40" w:type="dxa"/>
            <w:vAlign w:val="bottom"/>
            <w:tcBorders>
              <w:top w:val="single" w:sz="8" w:color="CEFFE7"/>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CEFFE7"/>
            </w:tcBorders>
          </w:tcPr>
          <w:p>
            <w:pPr>
              <w:spacing w:after="0"/>
              <w:rPr>
                <w:sz w:val="15"/>
                <w:szCs w:val="15"/>
                <w:color w:val="auto"/>
              </w:rPr>
            </w:pPr>
          </w:p>
        </w:tc>
        <w:tc>
          <w:tcPr>
            <w:tcW w:w="460" w:type="dxa"/>
            <w:vAlign w:val="bottom"/>
            <w:tcBorders>
              <w:top w:val="single" w:sz="8" w:color="CEFFE7"/>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580" w:type="dxa"/>
            <w:vAlign w:val="bottom"/>
            <w:gridSpan w:val="3"/>
            <w:shd w:val="clear" w:color="auto" w:fill="CEFFE7"/>
          </w:tcPr>
          <w:p>
            <w:pPr>
              <w:spacing w:after="0" w:line="175" w:lineRule="exact"/>
              <w:rPr>
                <w:rFonts w:ascii="Arial" w:cs="Arial" w:eastAsia="Arial" w:hAnsi="Arial"/>
                <w:sz w:val="16"/>
                <w:szCs w:val="16"/>
                <w:color w:val="0000FF"/>
                <w:w w:val="99"/>
              </w:rPr>
            </w:pPr>
            <w:hyperlink w:anchor="page10">
              <w:r>
                <w:rPr>
                  <w:rFonts w:ascii="Arial" w:cs="Arial" w:eastAsia="Arial" w:hAnsi="Arial"/>
                  <w:sz w:val="16"/>
                  <w:szCs w:val="16"/>
                  <w:color w:val="0000FF"/>
                  <w:w w:val="99"/>
                </w:rPr>
                <w:t>ITEM 1.</w:t>
              </w:r>
            </w:hyperlink>
          </w:p>
        </w:tc>
        <w:tc>
          <w:tcPr>
            <w:tcW w:w="620" w:type="dxa"/>
            <w:vAlign w:val="bottom"/>
            <w:gridSpan w:val="2"/>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820" w:type="dxa"/>
            <w:vAlign w:val="bottom"/>
            <w:gridSpan w:val="3"/>
            <w:shd w:val="clear" w:color="auto" w:fill="CEFFE7"/>
          </w:tcPr>
          <w:p>
            <w:pPr>
              <w:spacing w:after="0" w:line="175" w:lineRule="exact"/>
              <w:rPr>
                <w:rFonts w:ascii="Arial" w:cs="Arial" w:eastAsia="Arial" w:hAnsi="Arial"/>
                <w:sz w:val="16"/>
                <w:szCs w:val="16"/>
                <w:color w:val="0000FF"/>
                <w:w w:val="98"/>
              </w:rPr>
            </w:pPr>
            <w:hyperlink w:anchor="page10">
              <w:r>
                <w:rPr>
                  <w:rFonts w:ascii="Arial" w:cs="Arial" w:eastAsia="Arial" w:hAnsi="Arial"/>
                  <w:sz w:val="16"/>
                  <w:szCs w:val="16"/>
                  <w:color w:val="0000FF"/>
                  <w:w w:val="98"/>
                </w:rPr>
                <w:t>BUSINESS</w:t>
              </w:r>
            </w:hyperlink>
          </w:p>
        </w:tc>
        <w:tc>
          <w:tcPr>
            <w:tcW w:w="7580" w:type="dxa"/>
            <w:vAlign w:val="bottom"/>
            <w:gridSpan w:val="30"/>
            <w:shd w:val="clear" w:color="auto" w:fill="CEFFE7"/>
          </w:tcPr>
          <w:p>
            <w:pPr>
              <w:spacing w:after="0"/>
              <w:rPr>
                <w:sz w:val="15"/>
                <w:szCs w:val="15"/>
                <w:color w:val="auto"/>
              </w:rPr>
            </w:pPr>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10">
              <w:r>
                <w:rPr>
                  <w:rFonts w:ascii="Arial" w:cs="Arial" w:eastAsia="Arial" w:hAnsi="Arial"/>
                  <w:sz w:val="16"/>
                  <w:szCs w:val="16"/>
                  <w:color w:val="0000FF"/>
                </w:rPr>
                <w:t>10</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80" w:type="dxa"/>
            <w:vAlign w:val="bottom"/>
            <w:tcBorders>
              <w:top w:val="single" w:sz="8" w:color="CEFFE7"/>
            </w:tcBorders>
            <w:shd w:val="clear" w:color="auto" w:fill="CEFFE7"/>
          </w:tcPr>
          <w:p>
            <w:pPr>
              <w:spacing w:after="0" w:line="20" w:lineRule="exact"/>
              <w:rPr>
                <w:sz w:val="1"/>
                <w:szCs w:val="1"/>
                <w:color w:val="auto"/>
              </w:rPr>
            </w:pPr>
          </w:p>
        </w:tc>
        <w:tc>
          <w:tcPr>
            <w:tcW w:w="1140" w:type="dxa"/>
            <w:vAlign w:val="bottom"/>
            <w:tcBorders>
              <w:top w:val="single" w:sz="8" w:color="CEFFE7"/>
            </w:tcBorders>
            <w:shd w:val="clear" w:color="auto" w:fill="CEFFE7"/>
          </w:tcPr>
          <w:p>
            <w:pPr>
              <w:spacing w:after="0" w:line="20" w:lineRule="exact"/>
              <w:rPr>
                <w:sz w:val="1"/>
                <w:szCs w:val="1"/>
                <w:color w:val="auto"/>
              </w:rPr>
            </w:pPr>
          </w:p>
        </w:tc>
        <w:tc>
          <w:tcPr>
            <w:tcW w:w="210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80" w:type="dxa"/>
            <w:vAlign w:val="bottom"/>
            <w:gridSpan w:val="32"/>
          </w:tcPr>
          <w:p>
            <w:pPr>
              <w:spacing w:after="0" w:line="175" w:lineRule="exact"/>
              <w:rPr>
                <w:rFonts w:ascii="Arial" w:cs="Arial" w:eastAsia="Arial" w:hAnsi="Arial"/>
                <w:sz w:val="16"/>
                <w:szCs w:val="16"/>
                <w:color w:val="0000FF"/>
              </w:rPr>
            </w:pPr>
            <w:hyperlink w:anchor="page10">
              <w:r>
                <w:rPr>
                  <w:rFonts w:ascii="Arial" w:cs="Arial" w:eastAsia="Arial" w:hAnsi="Arial"/>
                  <w:sz w:val="16"/>
                  <w:szCs w:val="16"/>
                  <w:color w:val="0000FF"/>
                </w:rPr>
                <w:t>History and Organization</w:t>
              </w:r>
            </w:hyperlink>
          </w:p>
        </w:tc>
        <w:tc>
          <w:tcPr>
            <w:tcW w:w="1100" w:type="dxa"/>
            <w:vAlign w:val="bottom"/>
            <w:gridSpan w:val="5"/>
          </w:tcPr>
          <w:p>
            <w:pPr>
              <w:jc w:val="center"/>
              <w:spacing w:after="0" w:line="175" w:lineRule="exact"/>
              <w:rPr>
                <w:rFonts w:ascii="Arial" w:cs="Arial" w:eastAsia="Arial" w:hAnsi="Arial"/>
                <w:sz w:val="16"/>
                <w:szCs w:val="16"/>
                <w:color w:val="0000FF"/>
              </w:rPr>
            </w:pPr>
            <w:hyperlink w:anchor="page10">
              <w:r>
                <w:rPr>
                  <w:rFonts w:ascii="Arial" w:cs="Arial" w:eastAsia="Arial" w:hAnsi="Arial"/>
                  <w:sz w:val="16"/>
                  <w:szCs w:val="16"/>
                  <w:color w:val="0000FF"/>
                </w:rPr>
                <w:t>10</w:t>
              </w:r>
            </w:hyperlink>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42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320" w:type="dxa"/>
            <w:vAlign w:val="bottom"/>
            <w:shd w:val="clear" w:color="auto" w:fill="CEFFE7"/>
          </w:tcPr>
          <w:p>
            <w:pPr>
              <w:spacing w:after="0"/>
              <w:rPr>
                <w:sz w:val="15"/>
                <w:szCs w:val="15"/>
                <w:color w:val="auto"/>
              </w:rPr>
            </w:pPr>
          </w:p>
        </w:tc>
        <w:tc>
          <w:tcPr>
            <w:tcW w:w="8080" w:type="dxa"/>
            <w:vAlign w:val="bottom"/>
            <w:gridSpan w:val="32"/>
            <w:shd w:val="clear" w:color="auto" w:fill="CEFFE7"/>
          </w:tcPr>
          <w:p>
            <w:pPr>
              <w:spacing w:after="0" w:line="175" w:lineRule="exact"/>
              <w:rPr>
                <w:rFonts w:ascii="Arial" w:cs="Arial" w:eastAsia="Arial" w:hAnsi="Arial"/>
                <w:sz w:val="16"/>
                <w:szCs w:val="16"/>
                <w:color w:val="0000FF"/>
              </w:rPr>
            </w:pPr>
            <w:hyperlink w:anchor="page10">
              <w:r>
                <w:rPr>
                  <w:rFonts w:ascii="Arial" w:cs="Arial" w:eastAsia="Arial" w:hAnsi="Arial"/>
                  <w:sz w:val="16"/>
                  <w:szCs w:val="16"/>
                  <w:color w:val="0000FF"/>
                </w:rPr>
                <w:t>Electric Utilities</w:t>
              </w:r>
            </w:hyperlink>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10">
              <w:r>
                <w:rPr>
                  <w:rFonts w:ascii="Arial" w:cs="Arial" w:eastAsia="Arial" w:hAnsi="Arial"/>
                  <w:sz w:val="16"/>
                  <w:szCs w:val="16"/>
                  <w:color w:val="0000FF"/>
                </w:rPr>
                <w:t>10</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80" w:type="dxa"/>
            <w:vAlign w:val="bottom"/>
            <w:tcBorders>
              <w:top w:val="single" w:sz="8" w:color="CEFFE7"/>
            </w:tcBorders>
            <w:shd w:val="clear" w:color="auto" w:fill="CEFFE7"/>
          </w:tcPr>
          <w:p>
            <w:pPr>
              <w:spacing w:after="0" w:line="20" w:lineRule="exact"/>
              <w:rPr>
                <w:sz w:val="1"/>
                <w:szCs w:val="1"/>
                <w:color w:val="auto"/>
              </w:rPr>
            </w:pPr>
          </w:p>
        </w:tc>
        <w:tc>
          <w:tcPr>
            <w:tcW w:w="1140" w:type="dxa"/>
            <w:vAlign w:val="bottom"/>
            <w:tcBorders>
              <w:top w:val="single" w:sz="8" w:color="CEFFE7"/>
            </w:tcBorders>
            <w:shd w:val="clear" w:color="auto" w:fill="CEFFE7"/>
          </w:tcPr>
          <w:p>
            <w:pPr>
              <w:spacing w:after="0" w:line="20" w:lineRule="exact"/>
              <w:rPr>
                <w:sz w:val="1"/>
                <w:szCs w:val="1"/>
                <w:color w:val="auto"/>
              </w:rPr>
            </w:pPr>
          </w:p>
        </w:tc>
        <w:tc>
          <w:tcPr>
            <w:tcW w:w="210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9"/>
          </w:tcPr>
          <w:p>
            <w:pPr>
              <w:spacing w:after="0" w:line="175" w:lineRule="exact"/>
              <w:rPr>
                <w:rFonts w:ascii="Arial" w:cs="Arial" w:eastAsia="Arial" w:hAnsi="Arial"/>
                <w:sz w:val="16"/>
                <w:szCs w:val="16"/>
                <w:color w:val="0000FF"/>
              </w:rPr>
            </w:pPr>
            <w:hyperlink w:anchor="page14">
              <w:r>
                <w:rPr>
                  <w:rFonts w:ascii="Arial" w:cs="Arial" w:eastAsia="Arial" w:hAnsi="Arial"/>
                  <w:sz w:val="16"/>
                  <w:szCs w:val="16"/>
                  <w:color w:val="0000FF"/>
                </w:rPr>
                <w:t>Gas Utilities</w:t>
              </w:r>
            </w:hyperlink>
          </w:p>
        </w:tc>
        <w:tc>
          <w:tcPr>
            <w:tcW w:w="6980" w:type="dxa"/>
            <w:vAlign w:val="bottom"/>
            <w:gridSpan w:val="23"/>
          </w:tcPr>
          <w:p>
            <w:pPr>
              <w:spacing w:after="0"/>
              <w:rPr>
                <w:sz w:val="15"/>
                <w:szCs w:val="15"/>
                <w:color w:val="auto"/>
              </w:rPr>
            </w:pPr>
          </w:p>
        </w:tc>
        <w:tc>
          <w:tcPr>
            <w:tcW w:w="1100" w:type="dxa"/>
            <w:vAlign w:val="bottom"/>
            <w:gridSpan w:val="5"/>
          </w:tcPr>
          <w:p>
            <w:pPr>
              <w:jc w:val="center"/>
              <w:spacing w:after="0" w:line="175" w:lineRule="exact"/>
              <w:rPr>
                <w:rFonts w:ascii="Arial" w:cs="Arial" w:eastAsia="Arial" w:hAnsi="Arial"/>
                <w:sz w:val="16"/>
                <w:szCs w:val="16"/>
                <w:color w:val="0000FF"/>
              </w:rPr>
            </w:pPr>
            <w:hyperlink w:anchor="page14">
              <w:r>
                <w:rPr>
                  <w:rFonts w:ascii="Arial" w:cs="Arial" w:eastAsia="Arial" w:hAnsi="Arial"/>
                  <w:sz w:val="16"/>
                  <w:szCs w:val="16"/>
                  <w:color w:val="0000FF"/>
                </w:rPr>
                <w:t>15</w:t>
              </w:r>
            </w:hyperlink>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42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320" w:type="dxa"/>
            <w:vAlign w:val="bottom"/>
            <w:shd w:val="clear" w:color="auto" w:fill="CEFFE7"/>
          </w:tcPr>
          <w:p>
            <w:pPr>
              <w:spacing w:after="0"/>
              <w:rPr>
                <w:sz w:val="15"/>
                <w:szCs w:val="15"/>
                <w:color w:val="auto"/>
              </w:rPr>
            </w:pPr>
          </w:p>
        </w:tc>
        <w:tc>
          <w:tcPr>
            <w:tcW w:w="2340" w:type="dxa"/>
            <w:vAlign w:val="bottom"/>
            <w:gridSpan w:val="24"/>
            <w:shd w:val="clear" w:color="auto" w:fill="CEFFE7"/>
          </w:tcPr>
          <w:p>
            <w:pPr>
              <w:spacing w:after="0" w:line="175" w:lineRule="exact"/>
              <w:rPr>
                <w:rFonts w:ascii="Arial" w:cs="Arial" w:eastAsia="Arial" w:hAnsi="Arial"/>
                <w:sz w:val="16"/>
                <w:szCs w:val="16"/>
                <w:color w:val="0000FF"/>
              </w:rPr>
            </w:pPr>
            <w:hyperlink w:anchor="page18">
              <w:r>
                <w:rPr>
                  <w:rFonts w:ascii="Arial" w:cs="Arial" w:eastAsia="Arial" w:hAnsi="Arial"/>
                  <w:sz w:val="16"/>
                  <w:szCs w:val="16"/>
                  <w:color w:val="0000FF"/>
                </w:rPr>
                <w:t>Utility Regulation Characteristics</w:t>
              </w:r>
            </w:hyperlink>
          </w:p>
        </w:tc>
        <w:tc>
          <w:tcPr>
            <w:tcW w:w="5740" w:type="dxa"/>
            <w:vAlign w:val="bottom"/>
            <w:gridSpan w:val="8"/>
            <w:shd w:val="clear" w:color="auto" w:fill="CEFFE7"/>
          </w:tcPr>
          <w:p>
            <w:pPr>
              <w:spacing w:after="0"/>
              <w:rPr>
                <w:sz w:val="15"/>
                <w:szCs w:val="15"/>
                <w:color w:val="auto"/>
              </w:rPr>
            </w:pPr>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18">
              <w:r>
                <w:rPr>
                  <w:rFonts w:ascii="Arial" w:cs="Arial" w:eastAsia="Arial" w:hAnsi="Arial"/>
                  <w:sz w:val="16"/>
                  <w:szCs w:val="16"/>
                  <w:color w:val="0000FF"/>
                </w:rPr>
                <w:t>18</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80" w:type="dxa"/>
            <w:vAlign w:val="bottom"/>
            <w:tcBorders>
              <w:top w:val="single" w:sz="8" w:color="CEFFE7"/>
            </w:tcBorders>
            <w:shd w:val="clear" w:color="auto" w:fill="CEFFE7"/>
          </w:tcPr>
          <w:p>
            <w:pPr>
              <w:spacing w:after="0" w:line="20" w:lineRule="exact"/>
              <w:rPr>
                <w:sz w:val="1"/>
                <w:szCs w:val="1"/>
                <w:color w:val="auto"/>
              </w:rPr>
            </w:pPr>
          </w:p>
        </w:tc>
        <w:tc>
          <w:tcPr>
            <w:tcW w:w="1140" w:type="dxa"/>
            <w:vAlign w:val="bottom"/>
            <w:tcBorders>
              <w:top w:val="single" w:sz="8" w:color="CEFFE7"/>
            </w:tcBorders>
            <w:shd w:val="clear" w:color="auto" w:fill="CEFFE7"/>
          </w:tcPr>
          <w:p>
            <w:pPr>
              <w:spacing w:after="0" w:line="20" w:lineRule="exact"/>
              <w:rPr>
                <w:sz w:val="1"/>
                <w:szCs w:val="1"/>
                <w:color w:val="auto"/>
              </w:rPr>
            </w:pPr>
          </w:p>
        </w:tc>
        <w:tc>
          <w:tcPr>
            <w:tcW w:w="210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40" w:type="dxa"/>
            <w:vAlign w:val="bottom"/>
            <w:gridSpan w:val="24"/>
          </w:tcPr>
          <w:p>
            <w:pPr>
              <w:spacing w:after="0" w:line="175" w:lineRule="exact"/>
              <w:rPr>
                <w:rFonts w:ascii="Arial" w:cs="Arial" w:eastAsia="Arial" w:hAnsi="Arial"/>
                <w:sz w:val="16"/>
                <w:szCs w:val="16"/>
                <w:color w:val="0000FF"/>
              </w:rPr>
            </w:pPr>
            <w:hyperlink w:anchor="page18">
              <w:r>
                <w:rPr>
                  <w:rFonts w:ascii="Arial" w:cs="Arial" w:eastAsia="Arial" w:hAnsi="Arial"/>
                  <w:sz w:val="16"/>
                  <w:szCs w:val="16"/>
                  <w:color w:val="0000FF"/>
                </w:rPr>
                <w:t>Environmental Matters</w:t>
              </w:r>
            </w:hyperlink>
          </w:p>
        </w:tc>
        <w:tc>
          <w:tcPr>
            <w:tcW w:w="5740" w:type="dxa"/>
            <w:vAlign w:val="bottom"/>
            <w:gridSpan w:val="8"/>
          </w:tcPr>
          <w:p>
            <w:pPr>
              <w:spacing w:after="0"/>
              <w:rPr>
                <w:sz w:val="15"/>
                <w:szCs w:val="15"/>
                <w:color w:val="auto"/>
              </w:rPr>
            </w:pPr>
          </w:p>
        </w:tc>
        <w:tc>
          <w:tcPr>
            <w:tcW w:w="1100" w:type="dxa"/>
            <w:vAlign w:val="bottom"/>
            <w:gridSpan w:val="5"/>
          </w:tcPr>
          <w:p>
            <w:pPr>
              <w:jc w:val="center"/>
              <w:spacing w:after="0" w:line="175" w:lineRule="exact"/>
              <w:rPr>
                <w:rFonts w:ascii="Arial" w:cs="Arial" w:eastAsia="Arial" w:hAnsi="Arial"/>
                <w:sz w:val="16"/>
                <w:szCs w:val="16"/>
                <w:color w:val="0000FF"/>
              </w:rPr>
            </w:pPr>
            <w:hyperlink w:anchor="page18">
              <w:r>
                <w:rPr>
                  <w:rFonts w:ascii="Arial" w:cs="Arial" w:eastAsia="Arial" w:hAnsi="Arial"/>
                  <w:sz w:val="16"/>
                  <w:szCs w:val="16"/>
                  <w:color w:val="0000FF"/>
                </w:rPr>
                <w:t>18</w:t>
              </w:r>
            </w:hyperlink>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42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320" w:type="dxa"/>
            <w:vAlign w:val="bottom"/>
            <w:shd w:val="clear" w:color="auto" w:fill="CEFFE7"/>
          </w:tcPr>
          <w:p>
            <w:pPr>
              <w:spacing w:after="0"/>
              <w:rPr>
                <w:sz w:val="15"/>
                <w:szCs w:val="15"/>
                <w:color w:val="auto"/>
              </w:rPr>
            </w:pPr>
          </w:p>
        </w:tc>
        <w:tc>
          <w:tcPr>
            <w:tcW w:w="1900" w:type="dxa"/>
            <w:vAlign w:val="bottom"/>
            <w:gridSpan w:val="19"/>
            <w:shd w:val="clear" w:color="auto" w:fill="CEFFE7"/>
          </w:tcPr>
          <w:p>
            <w:pPr>
              <w:spacing w:after="0" w:line="175" w:lineRule="exact"/>
              <w:rPr>
                <w:rFonts w:ascii="Arial" w:cs="Arial" w:eastAsia="Arial" w:hAnsi="Arial"/>
                <w:sz w:val="16"/>
                <w:szCs w:val="16"/>
                <w:color w:val="0000FF"/>
              </w:rPr>
            </w:pPr>
            <w:hyperlink w:anchor="page18">
              <w:r>
                <w:rPr>
                  <w:rFonts w:ascii="Arial" w:cs="Arial" w:eastAsia="Arial" w:hAnsi="Arial"/>
                  <w:sz w:val="16"/>
                  <w:szCs w:val="16"/>
                  <w:color w:val="0000FF"/>
                </w:rPr>
                <w:t>Human Capital Resources</w:t>
              </w:r>
            </w:hyperlink>
          </w:p>
        </w:tc>
        <w:tc>
          <w:tcPr>
            <w:tcW w:w="6180" w:type="dxa"/>
            <w:vAlign w:val="bottom"/>
            <w:gridSpan w:val="13"/>
            <w:shd w:val="clear" w:color="auto" w:fill="CEFFE7"/>
          </w:tcPr>
          <w:p>
            <w:pPr>
              <w:spacing w:after="0"/>
              <w:rPr>
                <w:sz w:val="15"/>
                <w:szCs w:val="15"/>
                <w:color w:val="auto"/>
              </w:rPr>
            </w:pPr>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18">
              <w:r>
                <w:rPr>
                  <w:rFonts w:ascii="Arial" w:cs="Arial" w:eastAsia="Arial" w:hAnsi="Arial"/>
                  <w:sz w:val="16"/>
                  <w:szCs w:val="16"/>
                  <w:color w:val="0000FF"/>
                </w:rPr>
                <w:t>19</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80" w:type="dxa"/>
            <w:vAlign w:val="bottom"/>
            <w:tcBorders>
              <w:top w:val="single" w:sz="8" w:color="CEFFE7"/>
            </w:tcBorders>
            <w:shd w:val="clear" w:color="auto" w:fill="CEFFE7"/>
          </w:tcPr>
          <w:p>
            <w:pPr>
              <w:spacing w:after="0" w:line="20" w:lineRule="exact"/>
              <w:rPr>
                <w:sz w:val="1"/>
                <w:szCs w:val="1"/>
                <w:color w:val="auto"/>
              </w:rPr>
            </w:pPr>
          </w:p>
        </w:tc>
        <w:tc>
          <w:tcPr>
            <w:tcW w:w="1140" w:type="dxa"/>
            <w:vAlign w:val="bottom"/>
            <w:tcBorders>
              <w:top w:val="single" w:sz="8" w:color="CEFFE7"/>
            </w:tcBorders>
            <w:shd w:val="clear" w:color="auto" w:fill="CEFFE7"/>
          </w:tcPr>
          <w:p>
            <w:pPr>
              <w:spacing w:after="0" w:line="20" w:lineRule="exact"/>
              <w:rPr>
                <w:sz w:val="1"/>
                <w:szCs w:val="1"/>
                <w:color w:val="auto"/>
              </w:rPr>
            </w:pPr>
          </w:p>
        </w:tc>
        <w:tc>
          <w:tcPr>
            <w:tcW w:w="210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0" w:type="dxa"/>
            <w:vAlign w:val="bottom"/>
            <w:gridSpan w:val="5"/>
          </w:tcPr>
          <w:p>
            <w:pPr>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ITEM 1A.</w:t>
              </w:r>
            </w:hyperlink>
          </w:p>
        </w:tc>
        <w:tc>
          <w:tcPr>
            <w:tcW w:w="8920" w:type="dxa"/>
            <w:vAlign w:val="bottom"/>
            <w:gridSpan w:val="34"/>
          </w:tcPr>
          <w:p>
            <w:pPr>
              <w:ind w:left="520"/>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RISK FACTORS</w:t>
              </w:r>
            </w:hyperlink>
          </w:p>
        </w:tc>
        <w:tc>
          <w:tcPr>
            <w:tcW w:w="1100" w:type="dxa"/>
            <w:vAlign w:val="bottom"/>
            <w:gridSpan w:val="5"/>
          </w:tcPr>
          <w:p>
            <w:pPr>
              <w:jc w:val="center"/>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21</w:t>
              </w:r>
            </w:hyperlink>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1200" w:type="dxa"/>
            <w:vAlign w:val="bottom"/>
            <w:gridSpan w:val="5"/>
            <w:shd w:val="clear" w:color="auto" w:fill="CEFFE7"/>
          </w:tcPr>
          <w:p>
            <w:pPr>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ITEM 1B.</w:t>
              </w:r>
            </w:hyperlink>
          </w:p>
        </w:tc>
        <w:tc>
          <w:tcPr>
            <w:tcW w:w="8920" w:type="dxa"/>
            <w:vAlign w:val="bottom"/>
            <w:gridSpan w:val="34"/>
            <w:shd w:val="clear" w:color="auto" w:fill="CEFFE7"/>
          </w:tcPr>
          <w:p>
            <w:pPr>
              <w:ind w:left="520"/>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UNRESOLVED STAFF COMMENTS</w:t>
              </w:r>
            </w:hyperlink>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27</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80" w:type="dxa"/>
            <w:vAlign w:val="bottom"/>
            <w:tcBorders>
              <w:top w:val="single" w:sz="8" w:color="CEFFE7"/>
            </w:tcBorders>
            <w:shd w:val="clear" w:color="auto" w:fill="CEFFE7"/>
          </w:tcPr>
          <w:p>
            <w:pPr>
              <w:spacing w:after="0" w:line="20" w:lineRule="exact"/>
              <w:rPr>
                <w:sz w:val="1"/>
                <w:szCs w:val="1"/>
                <w:color w:val="auto"/>
              </w:rPr>
            </w:pPr>
          </w:p>
        </w:tc>
        <w:tc>
          <w:tcPr>
            <w:tcW w:w="1140" w:type="dxa"/>
            <w:vAlign w:val="bottom"/>
            <w:tcBorders>
              <w:top w:val="single" w:sz="8" w:color="CEFFE7"/>
            </w:tcBorders>
            <w:shd w:val="clear" w:color="auto" w:fill="CEFFE7"/>
          </w:tcPr>
          <w:p>
            <w:pPr>
              <w:spacing w:after="0" w:line="20" w:lineRule="exact"/>
              <w:rPr>
                <w:sz w:val="1"/>
                <w:szCs w:val="1"/>
                <w:color w:val="auto"/>
              </w:rPr>
            </w:pPr>
          </w:p>
        </w:tc>
        <w:tc>
          <w:tcPr>
            <w:tcW w:w="210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4"/>
          </w:tcPr>
          <w:p>
            <w:pPr>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ITEM 2.</w:t>
              </w:r>
            </w:hyperlink>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40" w:type="dxa"/>
            <w:vAlign w:val="bottom"/>
            <w:gridSpan w:val="24"/>
          </w:tcPr>
          <w:p>
            <w:pPr>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PROPERTIES</w:t>
              </w:r>
            </w:hyperlink>
          </w:p>
        </w:tc>
        <w:tc>
          <w:tcPr>
            <w:tcW w:w="5760" w:type="dxa"/>
            <w:vAlign w:val="bottom"/>
            <w:gridSpan w:val="9"/>
          </w:tcPr>
          <w:p>
            <w:pPr>
              <w:spacing w:after="0"/>
              <w:rPr>
                <w:sz w:val="15"/>
                <w:szCs w:val="15"/>
                <w:color w:val="auto"/>
              </w:rPr>
            </w:pPr>
          </w:p>
        </w:tc>
        <w:tc>
          <w:tcPr>
            <w:tcW w:w="1100" w:type="dxa"/>
            <w:vAlign w:val="bottom"/>
            <w:gridSpan w:val="5"/>
          </w:tcPr>
          <w:p>
            <w:pPr>
              <w:jc w:val="center"/>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27</w:t>
              </w:r>
            </w:hyperlink>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580" w:type="dxa"/>
            <w:vAlign w:val="bottom"/>
            <w:gridSpan w:val="3"/>
            <w:shd w:val="clear" w:color="auto" w:fill="CEFFE7"/>
          </w:tcPr>
          <w:p>
            <w:pPr>
              <w:spacing w:after="0" w:line="175" w:lineRule="exact"/>
              <w:rPr>
                <w:rFonts w:ascii="Arial" w:cs="Arial" w:eastAsia="Arial" w:hAnsi="Arial"/>
                <w:sz w:val="16"/>
                <w:szCs w:val="16"/>
                <w:color w:val="0000FF"/>
                <w:w w:val="99"/>
              </w:rPr>
            </w:pPr>
            <w:hyperlink w:anchor="page27">
              <w:r>
                <w:rPr>
                  <w:rFonts w:ascii="Arial" w:cs="Arial" w:eastAsia="Arial" w:hAnsi="Arial"/>
                  <w:sz w:val="16"/>
                  <w:szCs w:val="16"/>
                  <w:color w:val="0000FF"/>
                  <w:w w:val="99"/>
                </w:rPr>
                <w:t>ITEM 3.</w:t>
              </w:r>
            </w:hyperlink>
          </w:p>
        </w:tc>
        <w:tc>
          <w:tcPr>
            <w:tcW w:w="620" w:type="dxa"/>
            <w:vAlign w:val="bottom"/>
            <w:gridSpan w:val="2"/>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8400" w:type="dxa"/>
            <w:vAlign w:val="bottom"/>
            <w:gridSpan w:val="33"/>
            <w:shd w:val="clear" w:color="auto" w:fill="CEFFE7"/>
          </w:tcPr>
          <w:p>
            <w:pPr>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LEGAL PROCEEDINGS</w:t>
              </w:r>
            </w:hyperlink>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27</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80" w:type="dxa"/>
            <w:vAlign w:val="bottom"/>
            <w:tcBorders>
              <w:top w:val="single" w:sz="8" w:color="CEFFE7"/>
            </w:tcBorders>
            <w:shd w:val="clear" w:color="auto" w:fill="CEFFE7"/>
          </w:tcPr>
          <w:p>
            <w:pPr>
              <w:spacing w:after="0" w:line="20" w:lineRule="exact"/>
              <w:rPr>
                <w:sz w:val="1"/>
                <w:szCs w:val="1"/>
                <w:color w:val="auto"/>
              </w:rPr>
            </w:pPr>
          </w:p>
        </w:tc>
        <w:tc>
          <w:tcPr>
            <w:tcW w:w="1140" w:type="dxa"/>
            <w:vAlign w:val="bottom"/>
            <w:tcBorders>
              <w:top w:val="single" w:sz="8" w:color="CEFFE7"/>
            </w:tcBorders>
            <w:shd w:val="clear" w:color="auto" w:fill="CEFFE7"/>
          </w:tcPr>
          <w:p>
            <w:pPr>
              <w:spacing w:after="0" w:line="20" w:lineRule="exact"/>
              <w:rPr>
                <w:sz w:val="1"/>
                <w:szCs w:val="1"/>
                <w:color w:val="auto"/>
              </w:rPr>
            </w:pPr>
          </w:p>
        </w:tc>
        <w:tc>
          <w:tcPr>
            <w:tcW w:w="210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gridSpan w:val="3"/>
          </w:tcPr>
          <w:p>
            <w:pPr>
              <w:spacing w:after="0" w:line="175" w:lineRule="exact"/>
              <w:rPr>
                <w:rFonts w:ascii="Arial" w:cs="Arial" w:eastAsia="Arial" w:hAnsi="Arial"/>
                <w:sz w:val="16"/>
                <w:szCs w:val="16"/>
                <w:color w:val="0000FF"/>
                <w:w w:val="99"/>
              </w:rPr>
            </w:pPr>
            <w:hyperlink w:anchor="page27">
              <w:r>
                <w:rPr>
                  <w:rFonts w:ascii="Arial" w:cs="Arial" w:eastAsia="Arial" w:hAnsi="Arial"/>
                  <w:sz w:val="16"/>
                  <w:szCs w:val="16"/>
                  <w:color w:val="0000FF"/>
                  <w:w w:val="99"/>
                </w:rPr>
                <w:t>ITEM 4.</w:t>
              </w:r>
            </w:hyperlink>
          </w:p>
        </w:tc>
        <w:tc>
          <w:tcPr>
            <w:tcW w:w="62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8400" w:type="dxa"/>
            <w:vAlign w:val="bottom"/>
            <w:gridSpan w:val="33"/>
          </w:tcPr>
          <w:p>
            <w:pPr>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MINE SAFETY DISCLOSURES</w:t>
              </w:r>
            </w:hyperlink>
          </w:p>
        </w:tc>
        <w:tc>
          <w:tcPr>
            <w:tcW w:w="1100" w:type="dxa"/>
            <w:vAlign w:val="bottom"/>
            <w:gridSpan w:val="5"/>
          </w:tcPr>
          <w:p>
            <w:pPr>
              <w:jc w:val="center"/>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27</w:t>
              </w:r>
            </w:hyperlink>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shd w:val="clear" w:color="auto" w:fill="CEFFE7"/>
          </w:tcPr>
          <w:p>
            <w:pPr>
              <w:spacing w:after="0"/>
              <w:rPr>
                <w:sz w:val="17"/>
                <w:szCs w:val="17"/>
                <w:color w:val="auto"/>
              </w:rPr>
            </w:pPr>
          </w:p>
        </w:tc>
        <w:tc>
          <w:tcPr>
            <w:tcW w:w="10120" w:type="dxa"/>
            <w:vAlign w:val="bottom"/>
            <w:gridSpan w:val="39"/>
            <w:shd w:val="clear" w:color="auto" w:fill="CEFFE7"/>
          </w:tcPr>
          <w:p>
            <w:pPr>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INFORMATION ABOUT OUR EXECUTIVE OFFICERS</w:t>
              </w:r>
            </w:hyperlink>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28</w:t>
              </w:r>
            </w:hyperlink>
          </w:p>
        </w:tc>
      </w:tr>
      <w:tr>
        <w:trPr>
          <w:trHeight w:val="175"/>
        </w:trPr>
        <w:tc>
          <w:tcPr>
            <w:tcW w:w="20" w:type="dxa"/>
            <w:vAlign w:val="bottom"/>
            <w:tcBorders>
              <w:top w:val="single" w:sz="8" w:color="CEFFE7"/>
            </w:tcBorders>
          </w:tcPr>
          <w:p>
            <w:pPr>
              <w:spacing w:after="0"/>
              <w:rPr>
                <w:sz w:val="15"/>
                <w:szCs w:val="15"/>
                <w:color w:val="auto"/>
              </w:rPr>
            </w:pPr>
          </w:p>
        </w:tc>
        <w:tc>
          <w:tcPr>
            <w:tcW w:w="1200" w:type="dxa"/>
            <w:vAlign w:val="bottom"/>
            <w:tcBorders>
              <w:top w:val="single" w:sz="8" w:color="0000FF"/>
            </w:tcBorders>
            <w:gridSpan w:val="5"/>
          </w:tcPr>
          <w:p>
            <w:pPr>
              <w:spacing w:after="0" w:line="175" w:lineRule="exact"/>
              <w:rPr>
                <w:rFonts w:ascii="Arial" w:cs="Arial" w:eastAsia="Arial" w:hAnsi="Arial"/>
                <w:sz w:val="16"/>
                <w:szCs w:val="16"/>
                <w:b w:val="1"/>
                <w:bCs w:val="1"/>
                <w:color w:val="0000FF"/>
              </w:rPr>
            </w:pPr>
            <w:hyperlink w:anchor="page28">
              <w:r>
                <w:rPr>
                  <w:rFonts w:ascii="Arial" w:cs="Arial" w:eastAsia="Arial" w:hAnsi="Arial"/>
                  <w:sz w:val="16"/>
                  <w:szCs w:val="16"/>
                  <w:b w:val="1"/>
                  <w:bCs w:val="1"/>
                  <w:color w:val="0000FF"/>
                </w:rPr>
                <w:t>Part II</w:t>
              </w:r>
            </w:hyperlink>
          </w:p>
        </w:tc>
        <w:tc>
          <w:tcPr>
            <w:tcW w:w="5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CEFFE7"/>
            </w:tcBorders>
          </w:tcPr>
          <w:p>
            <w:pPr>
              <w:spacing w:after="0"/>
              <w:rPr>
                <w:sz w:val="15"/>
                <w:szCs w:val="15"/>
                <w:color w:val="auto"/>
              </w:rPr>
            </w:pPr>
          </w:p>
        </w:tc>
        <w:tc>
          <w:tcPr>
            <w:tcW w:w="220" w:type="dxa"/>
            <w:vAlign w:val="bottom"/>
            <w:tcBorders>
              <w:top w:val="single" w:sz="8" w:color="CEFFE7"/>
            </w:tcBorders>
          </w:tcPr>
          <w:p>
            <w:pPr>
              <w:spacing w:after="0"/>
              <w:rPr>
                <w:sz w:val="15"/>
                <w:szCs w:val="15"/>
                <w:color w:val="auto"/>
              </w:rPr>
            </w:pPr>
          </w:p>
        </w:tc>
        <w:tc>
          <w:tcPr>
            <w:tcW w:w="140" w:type="dxa"/>
            <w:vAlign w:val="bottom"/>
            <w:tcBorders>
              <w:top w:val="single" w:sz="8" w:color="CEFFE7"/>
            </w:tcBorders>
          </w:tcPr>
          <w:p>
            <w:pPr>
              <w:spacing w:after="0"/>
              <w:rPr>
                <w:sz w:val="15"/>
                <w:szCs w:val="15"/>
                <w:color w:val="auto"/>
              </w:rPr>
            </w:pPr>
          </w:p>
        </w:tc>
        <w:tc>
          <w:tcPr>
            <w:tcW w:w="20" w:type="dxa"/>
            <w:vAlign w:val="bottom"/>
            <w:tcBorders>
              <w:top w:val="single" w:sz="8" w:color="CEFFE7"/>
            </w:tcBorders>
          </w:tcPr>
          <w:p>
            <w:pPr>
              <w:spacing w:after="0"/>
              <w:rPr>
                <w:sz w:val="15"/>
                <w:szCs w:val="15"/>
                <w:color w:val="auto"/>
              </w:rPr>
            </w:pPr>
          </w:p>
        </w:tc>
        <w:tc>
          <w:tcPr>
            <w:tcW w:w="140" w:type="dxa"/>
            <w:vAlign w:val="bottom"/>
            <w:tcBorders>
              <w:top w:val="single" w:sz="8" w:color="CEFFE7"/>
            </w:tcBorders>
          </w:tcPr>
          <w:p>
            <w:pPr>
              <w:spacing w:after="0"/>
              <w:rPr>
                <w:sz w:val="15"/>
                <w:szCs w:val="15"/>
                <w:color w:val="auto"/>
              </w:rPr>
            </w:pPr>
          </w:p>
        </w:tc>
        <w:tc>
          <w:tcPr>
            <w:tcW w:w="140" w:type="dxa"/>
            <w:vAlign w:val="bottom"/>
            <w:tcBorders>
              <w:top w:val="single" w:sz="8" w:color="CEFFE7"/>
            </w:tcBorders>
          </w:tcPr>
          <w:p>
            <w:pPr>
              <w:spacing w:after="0"/>
              <w:rPr>
                <w:sz w:val="15"/>
                <w:szCs w:val="15"/>
                <w:color w:val="auto"/>
              </w:rPr>
            </w:pPr>
          </w:p>
        </w:tc>
        <w:tc>
          <w:tcPr>
            <w:tcW w:w="1480" w:type="dxa"/>
            <w:vAlign w:val="bottom"/>
            <w:tcBorders>
              <w:top w:val="single" w:sz="8" w:color="CEFFE7"/>
            </w:tcBorders>
          </w:tcPr>
          <w:p>
            <w:pPr>
              <w:spacing w:after="0"/>
              <w:rPr>
                <w:sz w:val="15"/>
                <w:szCs w:val="15"/>
                <w:color w:val="auto"/>
              </w:rPr>
            </w:pPr>
          </w:p>
        </w:tc>
        <w:tc>
          <w:tcPr>
            <w:tcW w:w="1140" w:type="dxa"/>
            <w:vAlign w:val="bottom"/>
            <w:tcBorders>
              <w:top w:val="single" w:sz="8" w:color="CEFFE7"/>
            </w:tcBorders>
          </w:tcPr>
          <w:p>
            <w:pPr>
              <w:spacing w:after="0"/>
              <w:rPr>
                <w:sz w:val="15"/>
                <w:szCs w:val="15"/>
                <w:color w:val="auto"/>
              </w:rPr>
            </w:pPr>
          </w:p>
        </w:tc>
        <w:tc>
          <w:tcPr>
            <w:tcW w:w="2100" w:type="dxa"/>
            <w:vAlign w:val="bottom"/>
            <w:tcBorders>
              <w:top w:val="single" w:sz="8" w:color="CEFFE7"/>
            </w:tcBorders>
          </w:tcPr>
          <w:p>
            <w:pPr>
              <w:spacing w:after="0"/>
              <w:rPr>
                <w:sz w:val="15"/>
                <w:szCs w:val="15"/>
                <w:color w:val="auto"/>
              </w:rPr>
            </w:pPr>
          </w:p>
        </w:tc>
        <w:tc>
          <w:tcPr>
            <w:tcW w:w="380" w:type="dxa"/>
            <w:vAlign w:val="bottom"/>
            <w:tcBorders>
              <w:top w:val="single" w:sz="8" w:color="CEFFE7"/>
            </w:tcBorders>
          </w:tcPr>
          <w:p>
            <w:pPr>
              <w:spacing w:after="0"/>
              <w:rPr>
                <w:sz w:val="15"/>
                <w:szCs w:val="15"/>
                <w:color w:val="auto"/>
              </w:rPr>
            </w:pPr>
          </w:p>
        </w:tc>
        <w:tc>
          <w:tcPr>
            <w:tcW w:w="180" w:type="dxa"/>
            <w:vAlign w:val="bottom"/>
            <w:tcBorders>
              <w:top w:val="single" w:sz="8" w:color="CEFFE7"/>
            </w:tcBorders>
          </w:tcPr>
          <w:p>
            <w:pPr>
              <w:spacing w:after="0"/>
              <w:rPr>
                <w:sz w:val="15"/>
                <w:szCs w:val="15"/>
                <w:color w:val="auto"/>
              </w:rPr>
            </w:pPr>
          </w:p>
        </w:tc>
        <w:tc>
          <w:tcPr>
            <w:tcW w:w="180" w:type="dxa"/>
            <w:vAlign w:val="bottom"/>
            <w:tcBorders>
              <w:top w:val="single" w:sz="8" w:color="CEFFE7"/>
            </w:tcBorders>
          </w:tcPr>
          <w:p>
            <w:pPr>
              <w:spacing w:after="0"/>
              <w:rPr>
                <w:sz w:val="15"/>
                <w:szCs w:val="15"/>
                <w:color w:val="auto"/>
              </w:rPr>
            </w:pPr>
          </w:p>
        </w:tc>
        <w:tc>
          <w:tcPr>
            <w:tcW w:w="460" w:type="dxa"/>
            <w:vAlign w:val="bottom"/>
            <w:tcBorders>
              <w:top w:val="single" w:sz="8" w:color="CEFFE7"/>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60" w:type="dxa"/>
            <w:vAlign w:val="bottom"/>
            <w:tcBorders>
              <w:top w:val="single" w:sz="8" w:color="CEFFE7"/>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1200" w:type="dxa"/>
            <w:vAlign w:val="bottom"/>
            <w:gridSpan w:val="5"/>
            <w:shd w:val="clear" w:color="auto" w:fill="CEFFE7"/>
          </w:tcPr>
          <w:p>
            <w:pPr>
              <w:spacing w:after="0" w:line="175" w:lineRule="exact"/>
              <w:rPr>
                <w:rFonts w:ascii="Arial" w:cs="Arial" w:eastAsia="Arial" w:hAnsi="Arial"/>
                <w:sz w:val="16"/>
                <w:szCs w:val="16"/>
                <w:color w:val="0000FF"/>
              </w:rPr>
            </w:pPr>
            <w:hyperlink w:anchor="page29">
              <w:r>
                <w:rPr>
                  <w:rFonts w:ascii="Arial" w:cs="Arial" w:eastAsia="Arial" w:hAnsi="Arial"/>
                  <w:sz w:val="16"/>
                  <w:szCs w:val="16"/>
                  <w:color w:val="0000FF"/>
                </w:rPr>
                <w:t>ITEM 5.</w:t>
              </w:r>
            </w:hyperlink>
          </w:p>
        </w:tc>
        <w:tc>
          <w:tcPr>
            <w:tcW w:w="8920" w:type="dxa"/>
            <w:vAlign w:val="bottom"/>
            <w:gridSpan w:val="34"/>
            <w:shd w:val="clear" w:color="auto" w:fill="CEFFE7"/>
          </w:tcPr>
          <w:p>
            <w:pPr>
              <w:ind w:left="520"/>
              <w:spacing w:after="0" w:line="175" w:lineRule="exact"/>
              <w:rPr>
                <w:rFonts w:ascii="Arial" w:cs="Arial" w:eastAsia="Arial" w:hAnsi="Arial"/>
                <w:sz w:val="16"/>
                <w:szCs w:val="16"/>
                <w:color w:val="0000FF"/>
              </w:rPr>
            </w:pPr>
            <w:hyperlink w:anchor="page29">
              <w:r>
                <w:rPr>
                  <w:rFonts w:ascii="Arial" w:cs="Arial" w:eastAsia="Arial" w:hAnsi="Arial"/>
                  <w:sz w:val="16"/>
                  <w:szCs w:val="16"/>
                  <w:color w:val="0000FF"/>
                </w:rPr>
                <w:t>MARKET FOR REGISTRANT’S COMMON EQUITY, RELATED STOCKHOLDER MATTERS AND ISSUER</w:t>
              </w:r>
            </w:hyperlink>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r>
      <w:tr>
        <w:trPr>
          <w:trHeight w:val="163"/>
        </w:trPr>
        <w:tc>
          <w:tcPr>
            <w:tcW w:w="20" w:type="dxa"/>
            <w:vAlign w:val="bottom"/>
            <w:tcBorders>
              <w:top w:val="single" w:sz="8" w:color="CEFFE7"/>
            </w:tcBorders>
            <w:shd w:val="clear" w:color="auto" w:fill="CEFFE7"/>
          </w:tcPr>
          <w:p>
            <w:pPr>
              <w:spacing w:after="0"/>
              <w:rPr>
                <w:sz w:val="14"/>
                <w:szCs w:val="14"/>
                <w:color w:val="auto"/>
              </w:rPr>
            </w:pPr>
          </w:p>
        </w:tc>
        <w:tc>
          <w:tcPr>
            <w:tcW w:w="420" w:type="dxa"/>
            <w:vAlign w:val="bottom"/>
            <w:tcBorders>
              <w:top w:val="single" w:sz="8" w:color="0000FF"/>
            </w:tcBorders>
            <w:shd w:val="clear" w:color="auto" w:fill="CEFFE7"/>
          </w:tcPr>
          <w:p>
            <w:pPr>
              <w:spacing w:after="0"/>
              <w:rPr>
                <w:sz w:val="14"/>
                <w:szCs w:val="14"/>
                <w:color w:val="auto"/>
              </w:rPr>
            </w:pPr>
          </w:p>
        </w:tc>
        <w:tc>
          <w:tcPr>
            <w:tcW w:w="40" w:type="dxa"/>
            <w:vAlign w:val="bottom"/>
            <w:tcBorders>
              <w:top w:val="single" w:sz="8" w:color="0000FF"/>
            </w:tcBorders>
            <w:shd w:val="clear" w:color="auto" w:fill="CEFFE7"/>
          </w:tcPr>
          <w:p>
            <w:pPr>
              <w:spacing w:after="0"/>
              <w:rPr>
                <w:sz w:val="14"/>
                <w:szCs w:val="14"/>
                <w:color w:val="auto"/>
              </w:rPr>
            </w:pPr>
          </w:p>
        </w:tc>
        <w:tc>
          <w:tcPr>
            <w:tcW w:w="120" w:type="dxa"/>
            <w:vAlign w:val="bottom"/>
            <w:tcBorders>
              <w:top w:val="single" w:sz="8" w:color="0000FF"/>
            </w:tcBorders>
            <w:shd w:val="clear" w:color="auto" w:fill="CEFFE7"/>
          </w:tcPr>
          <w:p>
            <w:pPr>
              <w:spacing w:after="0"/>
              <w:rPr>
                <w:sz w:val="14"/>
                <w:szCs w:val="14"/>
                <w:color w:val="auto"/>
              </w:rPr>
            </w:pPr>
          </w:p>
        </w:tc>
        <w:tc>
          <w:tcPr>
            <w:tcW w:w="100" w:type="dxa"/>
            <w:vAlign w:val="bottom"/>
            <w:tcBorders>
              <w:top w:val="single" w:sz="8" w:color="CEFFE7"/>
            </w:tcBorders>
            <w:shd w:val="clear" w:color="auto" w:fill="CEFFE7"/>
          </w:tcPr>
          <w:p>
            <w:pPr>
              <w:spacing w:after="0"/>
              <w:rPr>
                <w:sz w:val="14"/>
                <w:szCs w:val="14"/>
                <w:color w:val="auto"/>
              </w:rPr>
            </w:pPr>
          </w:p>
        </w:tc>
        <w:tc>
          <w:tcPr>
            <w:tcW w:w="520" w:type="dxa"/>
            <w:vAlign w:val="bottom"/>
            <w:tcBorders>
              <w:top w:val="single" w:sz="8" w:color="CEFFE7"/>
            </w:tcBorders>
            <w:shd w:val="clear" w:color="auto" w:fill="CEFFE7"/>
          </w:tcPr>
          <w:p>
            <w:pPr>
              <w:spacing w:after="0"/>
              <w:rPr>
                <w:sz w:val="14"/>
                <w:szCs w:val="14"/>
                <w:color w:val="auto"/>
              </w:rPr>
            </w:pPr>
          </w:p>
        </w:tc>
        <w:tc>
          <w:tcPr>
            <w:tcW w:w="520" w:type="dxa"/>
            <w:vAlign w:val="bottom"/>
            <w:tcBorders>
              <w:top w:val="single" w:sz="8" w:color="CEFFE7"/>
            </w:tcBorders>
            <w:shd w:val="clear" w:color="auto" w:fill="CEFFE7"/>
          </w:tcPr>
          <w:p>
            <w:pPr>
              <w:spacing w:after="0"/>
              <w:rPr>
                <w:sz w:val="14"/>
                <w:szCs w:val="14"/>
                <w:color w:val="auto"/>
              </w:rPr>
            </w:pPr>
          </w:p>
        </w:tc>
        <w:tc>
          <w:tcPr>
            <w:tcW w:w="7660" w:type="dxa"/>
            <w:vAlign w:val="bottom"/>
            <w:tcBorders>
              <w:top w:val="single" w:sz="8" w:color="0000FF"/>
            </w:tcBorders>
            <w:gridSpan w:val="30"/>
            <w:shd w:val="clear" w:color="auto" w:fill="CEFFE7"/>
          </w:tcPr>
          <w:p>
            <w:pPr>
              <w:spacing w:after="0" w:line="142" w:lineRule="exact"/>
              <w:rPr>
                <w:rFonts w:ascii="Arial" w:cs="Arial" w:eastAsia="Arial" w:hAnsi="Arial"/>
                <w:sz w:val="16"/>
                <w:szCs w:val="16"/>
                <w:color w:val="0000FF"/>
              </w:rPr>
            </w:pPr>
            <w:hyperlink w:anchor="page29">
              <w:r>
                <w:rPr>
                  <w:rFonts w:ascii="Arial" w:cs="Arial" w:eastAsia="Arial" w:hAnsi="Arial"/>
                  <w:sz w:val="16"/>
                  <w:szCs w:val="16"/>
                  <w:color w:val="0000FF"/>
                </w:rPr>
                <w:t>PURCHASES OF EQUITY SECURITIES</w:t>
              </w:r>
            </w:hyperlink>
          </w:p>
        </w:tc>
        <w:tc>
          <w:tcPr>
            <w:tcW w:w="380" w:type="dxa"/>
            <w:vAlign w:val="bottom"/>
            <w:tcBorders>
              <w:top w:val="single" w:sz="8" w:color="CEFFE7"/>
            </w:tcBorders>
            <w:shd w:val="clear" w:color="auto" w:fill="CEFFE7"/>
          </w:tcPr>
          <w:p>
            <w:pPr>
              <w:spacing w:after="0"/>
              <w:rPr>
                <w:sz w:val="14"/>
                <w:szCs w:val="14"/>
                <w:color w:val="auto"/>
              </w:rPr>
            </w:pPr>
          </w:p>
        </w:tc>
        <w:tc>
          <w:tcPr>
            <w:tcW w:w="180" w:type="dxa"/>
            <w:vAlign w:val="bottom"/>
            <w:tcBorders>
              <w:top w:val="single" w:sz="8" w:color="CEFFE7"/>
            </w:tcBorders>
            <w:shd w:val="clear" w:color="auto" w:fill="CEFFE7"/>
          </w:tcPr>
          <w:p>
            <w:pPr>
              <w:spacing w:after="0"/>
              <w:rPr>
                <w:sz w:val="14"/>
                <w:szCs w:val="14"/>
                <w:color w:val="auto"/>
              </w:rPr>
            </w:pPr>
          </w:p>
        </w:tc>
        <w:tc>
          <w:tcPr>
            <w:tcW w:w="180" w:type="dxa"/>
            <w:vAlign w:val="bottom"/>
            <w:tcBorders>
              <w:top w:val="single" w:sz="8" w:color="CEFFE7"/>
            </w:tcBorders>
            <w:shd w:val="clear" w:color="auto" w:fill="CEFFE7"/>
          </w:tcPr>
          <w:p>
            <w:pPr>
              <w:spacing w:after="0"/>
              <w:rPr>
                <w:sz w:val="14"/>
                <w:szCs w:val="14"/>
                <w:color w:val="auto"/>
              </w:rPr>
            </w:pPr>
          </w:p>
        </w:tc>
        <w:tc>
          <w:tcPr>
            <w:tcW w:w="460" w:type="dxa"/>
            <w:vAlign w:val="bottom"/>
            <w:tcBorders>
              <w:top w:val="single" w:sz="8" w:color="CEFFE7"/>
            </w:tcBorders>
            <w:shd w:val="clear" w:color="auto" w:fill="CEFFE7"/>
          </w:tcPr>
          <w:p>
            <w:pPr>
              <w:spacing w:after="0"/>
              <w:rPr>
                <w:sz w:val="14"/>
                <w:szCs w:val="14"/>
                <w:color w:val="auto"/>
              </w:rPr>
            </w:pPr>
          </w:p>
        </w:tc>
        <w:tc>
          <w:tcPr>
            <w:tcW w:w="40" w:type="dxa"/>
            <w:vAlign w:val="bottom"/>
            <w:tcBorders>
              <w:top w:val="single" w:sz="8" w:color="0000FF"/>
            </w:tcBorders>
            <w:shd w:val="clear" w:color="auto" w:fill="CEFFE7"/>
          </w:tcPr>
          <w:p>
            <w:pPr>
              <w:spacing w:after="0"/>
              <w:rPr>
                <w:sz w:val="14"/>
                <w:szCs w:val="14"/>
                <w:color w:val="auto"/>
              </w:rPr>
            </w:pPr>
          </w:p>
        </w:tc>
        <w:tc>
          <w:tcPr>
            <w:tcW w:w="100" w:type="dxa"/>
            <w:vAlign w:val="bottom"/>
            <w:tcBorders>
              <w:top w:val="single" w:sz="8" w:color="0000FF"/>
            </w:tcBorders>
            <w:shd w:val="clear" w:color="auto" w:fill="CEFFE7"/>
          </w:tcPr>
          <w:p>
            <w:pPr>
              <w:spacing w:after="0"/>
              <w:rPr>
                <w:sz w:val="14"/>
                <w:szCs w:val="14"/>
                <w:color w:val="auto"/>
              </w:rPr>
            </w:pPr>
          </w:p>
        </w:tc>
        <w:tc>
          <w:tcPr>
            <w:tcW w:w="40" w:type="dxa"/>
            <w:vAlign w:val="bottom"/>
            <w:tcBorders>
              <w:top w:val="single" w:sz="8" w:color="0000FF"/>
            </w:tcBorders>
            <w:shd w:val="clear" w:color="auto" w:fill="CEFFE7"/>
          </w:tcPr>
          <w:p>
            <w:pPr>
              <w:spacing w:after="0"/>
              <w:rPr>
                <w:sz w:val="14"/>
                <w:szCs w:val="14"/>
                <w:color w:val="auto"/>
              </w:rPr>
            </w:pPr>
          </w:p>
        </w:tc>
        <w:tc>
          <w:tcPr>
            <w:tcW w:w="460" w:type="dxa"/>
            <w:vAlign w:val="bottom"/>
            <w:tcBorders>
              <w:top w:val="single" w:sz="8" w:color="CEFFE7"/>
            </w:tcBorders>
            <w:shd w:val="clear" w:color="auto" w:fill="CEFFE7"/>
          </w:tcPr>
          <w:p>
            <w:pPr>
              <w:spacing w:after="0"/>
              <w:rPr>
                <w:sz w:val="14"/>
                <w:szCs w:val="14"/>
                <w:color w:val="auto"/>
              </w:rPr>
            </w:pPr>
          </w:p>
        </w:tc>
      </w:tr>
      <w:tr>
        <w:trPr>
          <w:trHeight w:val="176"/>
        </w:trPr>
        <w:tc>
          <w:tcPr>
            <w:tcW w:w="20" w:type="dxa"/>
            <w:vAlign w:val="bottom"/>
            <w:tcBorders>
              <w:top w:val="single" w:sz="8" w:color="CEFFE7"/>
            </w:tcBorders>
          </w:tcPr>
          <w:p>
            <w:pPr>
              <w:spacing w:after="0"/>
              <w:rPr>
                <w:sz w:val="15"/>
                <w:szCs w:val="15"/>
                <w:color w:val="auto"/>
              </w:rPr>
            </w:pPr>
          </w:p>
        </w:tc>
        <w:tc>
          <w:tcPr>
            <w:tcW w:w="1200" w:type="dxa"/>
            <w:vAlign w:val="bottom"/>
            <w:tcBorders>
              <w:top w:val="single" w:sz="8" w:color="CEFFE7"/>
            </w:tcBorders>
            <w:gridSpan w:val="5"/>
          </w:tcPr>
          <w:p>
            <w:pPr>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ITEM 6.</w:t>
              </w:r>
            </w:hyperlink>
          </w:p>
        </w:tc>
        <w:tc>
          <w:tcPr>
            <w:tcW w:w="520" w:type="dxa"/>
            <w:vAlign w:val="bottom"/>
            <w:tcBorders>
              <w:top w:val="single" w:sz="8" w:color="CEFFE7"/>
            </w:tcBorders>
          </w:tcPr>
          <w:p>
            <w:pPr>
              <w:spacing w:after="0"/>
              <w:rPr>
                <w:sz w:val="15"/>
                <w:szCs w:val="15"/>
                <w:color w:val="auto"/>
              </w:rPr>
            </w:pPr>
          </w:p>
        </w:tc>
        <w:tc>
          <w:tcPr>
            <w:tcW w:w="2940" w:type="dxa"/>
            <w:vAlign w:val="bottom"/>
            <w:tcBorders>
              <w:top w:val="single" w:sz="8" w:color="0000FF"/>
            </w:tcBorders>
            <w:gridSpan w:val="27"/>
          </w:tcPr>
          <w:p>
            <w:pPr>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RESERVED</w:t>
              </w:r>
            </w:hyperlink>
          </w:p>
        </w:tc>
        <w:tc>
          <w:tcPr>
            <w:tcW w:w="5460" w:type="dxa"/>
            <w:vAlign w:val="bottom"/>
            <w:tcBorders>
              <w:top w:val="single" w:sz="8" w:color="CEFFE7"/>
            </w:tcBorders>
            <w:gridSpan w:val="6"/>
          </w:tcPr>
          <w:p>
            <w:pPr>
              <w:spacing w:after="0"/>
              <w:rPr>
                <w:sz w:val="15"/>
                <w:szCs w:val="15"/>
                <w:color w:val="auto"/>
              </w:rPr>
            </w:pPr>
          </w:p>
        </w:tc>
        <w:tc>
          <w:tcPr>
            <w:tcW w:w="1100" w:type="dxa"/>
            <w:vAlign w:val="bottom"/>
            <w:tcBorders>
              <w:top w:val="single" w:sz="8" w:color="CEFFE7"/>
            </w:tcBorders>
            <w:gridSpan w:val="5"/>
          </w:tcPr>
          <w:p>
            <w:pPr>
              <w:jc w:val="center"/>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580" w:type="dxa"/>
            <w:vAlign w:val="bottom"/>
            <w:gridSpan w:val="3"/>
            <w:shd w:val="clear" w:color="auto" w:fill="CEFFE7"/>
          </w:tcPr>
          <w:p>
            <w:pPr>
              <w:spacing w:after="0" w:line="175" w:lineRule="exact"/>
              <w:rPr>
                <w:rFonts w:ascii="Arial" w:cs="Arial" w:eastAsia="Arial" w:hAnsi="Arial"/>
                <w:sz w:val="16"/>
                <w:szCs w:val="16"/>
                <w:color w:val="0000FF"/>
                <w:w w:val="99"/>
              </w:rPr>
            </w:pPr>
            <w:hyperlink w:anchor="page30">
              <w:r>
                <w:rPr>
                  <w:rFonts w:ascii="Arial" w:cs="Arial" w:eastAsia="Arial" w:hAnsi="Arial"/>
                  <w:sz w:val="16"/>
                  <w:szCs w:val="16"/>
                  <w:color w:val="0000FF"/>
                  <w:w w:val="99"/>
                </w:rPr>
                <w:t>ITEM 7.</w:t>
              </w:r>
            </w:hyperlink>
          </w:p>
        </w:tc>
        <w:tc>
          <w:tcPr>
            <w:tcW w:w="620" w:type="dxa"/>
            <w:vAlign w:val="bottom"/>
            <w:gridSpan w:val="2"/>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8220" w:type="dxa"/>
            <w:vAlign w:val="bottom"/>
            <w:gridSpan w:val="32"/>
            <w:shd w:val="clear" w:color="auto" w:fill="CEFFE7"/>
          </w:tcPr>
          <w:p>
            <w:pPr>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MANAGEMENT’S DISCUSSION AND ANALYSIS OF FINANCIAL CONDITION AND RESULTS OF OPERATIONS</w:t>
              </w:r>
            </w:hyperlink>
          </w:p>
        </w:tc>
        <w:tc>
          <w:tcPr>
            <w:tcW w:w="180" w:type="dxa"/>
            <w:vAlign w:val="bottom"/>
            <w:shd w:val="clear" w:color="auto" w:fill="CEFFE7"/>
          </w:tcPr>
          <w:p>
            <w:pPr>
              <w:spacing w:after="0"/>
              <w:rPr>
                <w:sz w:val="15"/>
                <w:szCs w:val="15"/>
                <w:color w:val="auto"/>
              </w:rPr>
            </w:pPr>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1480" w:type="dxa"/>
            <w:vAlign w:val="bottom"/>
            <w:tcBorders>
              <w:top w:val="single" w:sz="8" w:color="0000FF"/>
            </w:tcBorders>
            <w:shd w:val="clear" w:color="auto" w:fill="CEFFE7"/>
          </w:tcPr>
          <w:p>
            <w:pPr>
              <w:spacing w:after="0" w:line="20" w:lineRule="exact"/>
              <w:rPr>
                <w:sz w:val="1"/>
                <w:szCs w:val="1"/>
                <w:color w:val="auto"/>
              </w:rPr>
            </w:pPr>
          </w:p>
        </w:tc>
        <w:tc>
          <w:tcPr>
            <w:tcW w:w="1140" w:type="dxa"/>
            <w:vAlign w:val="bottom"/>
            <w:tcBorders>
              <w:top w:val="single" w:sz="8" w:color="0000FF"/>
            </w:tcBorders>
            <w:shd w:val="clear" w:color="auto" w:fill="CEFFE7"/>
          </w:tcPr>
          <w:p>
            <w:pPr>
              <w:spacing w:after="0" w:line="20" w:lineRule="exact"/>
              <w:rPr>
                <w:sz w:val="1"/>
                <w:szCs w:val="1"/>
                <w:color w:val="auto"/>
              </w:rPr>
            </w:pPr>
          </w:p>
        </w:tc>
        <w:tc>
          <w:tcPr>
            <w:tcW w:w="210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20" w:type="dxa"/>
            <w:vAlign w:val="bottom"/>
            <w:gridSpan w:val="32"/>
          </w:tcPr>
          <w:p>
            <w:pPr>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Executive Summary</w:t>
              </w:r>
            </w:hyperlink>
          </w:p>
        </w:tc>
        <w:tc>
          <w:tcPr>
            <w:tcW w:w="180" w:type="dxa"/>
            <w:vAlign w:val="bottom"/>
          </w:tcPr>
          <w:p>
            <w:pPr>
              <w:spacing w:after="0"/>
              <w:rPr>
                <w:sz w:val="15"/>
                <w:szCs w:val="15"/>
                <w:color w:val="auto"/>
              </w:rPr>
            </w:pPr>
          </w:p>
        </w:tc>
        <w:tc>
          <w:tcPr>
            <w:tcW w:w="1100" w:type="dxa"/>
            <w:vAlign w:val="bottom"/>
            <w:gridSpan w:val="5"/>
          </w:tcPr>
          <w:p>
            <w:pPr>
              <w:jc w:val="center"/>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42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8400" w:type="dxa"/>
            <w:vAlign w:val="bottom"/>
            <w:gridSpan w:val="33"/>
            <w:shd w:val="clear" w:color="auto" w:fill="CEFFE7"/>
          </w:tcPr>
          <w:p>
            <w:pPr>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Key Elements of our Business Strategy</w:t>
              </w:r>
            </w:hyperlink>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31</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80" w:type="dxa"/>
            <w:vAlign w:val="bottom"/>
            <w:tcBorders>
              <w:top w:val="single" w:sz="8" w:color="CEFFE7"/>
            </w:tcBorders>
            <w:shd w:val="clear" w:color="auto" w:fill="CEFFE7"/>
          </w:tcPr>
          <w:p>
            <w:pPr>
              <w:spacing w:after="0" w:line="20" w:lineRule="exact"/>
              <w:rPr>
                <w:sz w:val="1"/>
                <w:szCs w:val="1"/>
                <w:color w:val="auto"/>
              </w:rPr>
            </w:pPr>
          </w:p>
        </w:tc>
        <w:tc>
          <w:tcPr>
            <w:tcW w:w="1140" w:type="dxa"/>
            <w:vAlign w:val="bottom"/>
            <w:tcBorders>
              <w:top w:val="single" w:sz="8" w:color="CEFFE7"/>
            </w:tcBorders>
            <w:shd w:val="clear" w:color="auto" w:fill="CEFFE7"/>
          </w:tcPr>
          <w:p>
            <w:pPr>
              <w:spacing w:after="0" w:line="20" w:lineRule="exact"/>
              <w:rPr>
                <w:sz w:val="1"/>
                <w:szCs w:val="1"/>
                <w:color w:val="auto"/>
              </w:rPr>
            </w:pPr>
          </w:p>
        </w:tc>
        <w:tc>
          <w:tcPr>
            <w:tcW w:w="210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0" w:type="dxa"/>
            <w:vAlign w:val="bottom"/>
            <w:gridSpan w:val="26"/>
          </w:tcPr>
          <w:p>
            <w:pPr>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Recent Developments</w:t>
              </w:r>
            </w:hyperlink>
          </w:p>
        </w:tc>
        <w:tc>
          <w:tcPr>
            <w:tcW w:w="5600" w:type="dxa"/>
            <w:vAlign w:val="bottom"/>
            <w:gridSpan w:val="7"/>
          </w:tcPr>
          <w:p>
            <w:pPr>
              <w:spacing w:after="0"/>
              <w:rPr>
                <w:sz w:val="15"/>
                <w:szCs w:val="15"/>
                <w:color w:val="auto"/>
              </w:rPr>
            </w:pPr>
          </w:p>
        </w:tc>
        <w:tc>
          <w:tcPr>
            <w:tcW w:w="1100" w:type="dxa"/>
            <w:vAlign w:val="bottom"/>
            <w:gridSpan w:val="5"/>
          </w:tcPr>
          <w:p>
            <w:pPr>
              <w:jc w:val="center"/>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34</w:t>
              </w:r>
            </w:hyperlink>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42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8400" w:type="dxa"/>
            <w:vAlign w:val="bottom"/>
            <w:gridSpan w:val="33"/>
            <w:shd w:val="clear" w:color="auto" w:fill="CEFFE7"/>
          </w:tcPr>
          <w:p>
            <w:pPr>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Results of Operations - Consolidated Summary and Overview</w:t>
              </w:r>
            </w:hyperlink>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36</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1480" w:type="dxa"/>
            <w:vAlign w:val="bottom"/>
            <w:tcBorders>
              <w:top w:val="single" w:sz="8" w:color="0000FF"/>
            </w:tcBorders>
            <w:shd w:val="clear" w:color="auto" w:fill="CEFFE7"/>
          </w:tcPr>
          <w:p>
            <w:pPr>
              <w:spacing w:after="0" w:line="20" w:lineRule="exact"/>
              <w:rPr>
                <w:sz w:val="1"/>
                <w:szCs w:val="1"/>
                <w:color w:val="auto"/>
              </w:rPr>
            </w:pPr>
          </w:p>
        </w:tc>
        <w:tc>
          <w:tcPr>
            <w:tcW w:w="1140" w:type="dxa"/>
            <w:vAlign w:val="bottom"/>
            <w:tcBorders>
              <w:top w:val="single" w:sz="8" w:color="CEFFE7"/>
            </w:tcBorders>
            <w:shd w:val="clear" w:color="auto" w:fill="CEFFE7"/>
          </w:tcPr>
          <w:p>
            <w:pPr>
              <w:spacing w:after="0" w:line="20" w:lineRule="exact"/>
              <w:rPr>
                <w:sz w:val="1"/>
                <w:szCs w:val="1"/>
                <w:color w:val="auto"/>
              </w:rPr>
            </w:pPr>
          </w:p>
        </w:tc>
        <w:tc>
          <w:tcPr>
            <w:tcW w:w="210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00" w:type="dxa"/>
            <w:vAlign w:val="bottom"/>
            <w:gridSpan w:val="27"/>
          </w:tcPr>
          <w:p>
            <w:pPr>
              <w:spacing w:after="0" w:line="175" w:lineRule="exact"/>
              <w:rPr>
                <w:rFonts w:ascii="Arial" w:cs="Arial" w:eastAsia="Arial" w:hAnsi="Arial"/>
                <w:sz w:val="16"/>
                <w:szCs w:val="16"/>
                <w:color w:val="0000FF"/>
              </w:rPr>
            </w:pPr>
            <w:hyperlink w:anchor="page37">
              <w:r>
                <w:rPr>
                  <w:rFonts w:ascii="Arial" w:cs="Arial" w:eastAsia="Arial" w:hAnsi="Arial"/>
                  <w:sz w:val="16"/>
                  <w:szCs w:val="16"/>
                  <w:color w:val="0000FF"/>
                </w:rPr>
                <w:t>Non-GAAP Financial Measure</w:t>
              </w:r>
            </w:hyperlink>
          </w:p>
        </w:tc>
        <w:tc>
          <w:tcPr>
            <w:tcW w:w="3980" w:type="dxa"/>
            <w:vAlign w:val="bottom"/>
            <w:gridSpan w:val="5"/>
          </w:tcPr>
          <w:p>
            <w:pPr>
              <w:spacing w:after="0"/>
              <w:rPr>
                <w:sz w:val="15"/>
                <w:szCs w:val="15"/>
                <w:color w:val="auto"/>
              </w:rPr>
            </w:pPr>
          </w:p>
        </w:tc>
        <w:tc>
          <w:tcPr>
            <w:tcW w:w="1100" w:type="dxa"/>
            <w:vAlign w:val="bottom"/>
            <w:gridSpan w:val="5"/>
          </w:tcPr>
          <w:p>
            <w:pPr>
              <w:jc w:val="center"/>
              <w:spacing w:after="0" w:line="175" w:lineRule="exact"/>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42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320" w:type="dxa"/>
            <w:vAlign w:val="bottom"/>
            <w:shd w:val="clear" w:color="auto" w:fill="CEFFE7"/>
          </w:tcPr>
          <w:p>
            <w:pPr>
              <w:spacing w:after="0"/>
              <w:rPr>
                <w:sz w:val="15"/>
                <w:szCs w:val="15"/>
                <w:color w:val="auto"/>
              </w:rPr>
            </w:pPr>
          </w:p>
        </w:tc>
        <w:tc>
          <w:tcPr>
            <w:tcW w:w="8080" w:type="dxa"/>
            <w:vAlign w:val="bottom"/>
            <w:gridSpan w:val="32"/>
            <w:shd w:val="clear" w:color="auto" w:fill="CEFFE7"/>
          </w:tcPr>
          <w:p>
            <w:pPr>
              <w:spacing w:after="0" w:line="175" w:lineRule="exact"/>
              <w:rPr>
                <w:rFonts w:ascii="Arial" w:cs="Arial" w:eastAsia="Arial" w:hAnsi="Arial"/>
                <w:sz w:val="16"/>
                <w:szCs w:val="16"/>
                <w:color w:val="0000FF"/>
              </w:rPr>
            </w:pPr>
            <w:hyperlink w:anchor="page37">
              <w:r>
                <w:rPr>
                  <w:rFonts w:ascii="Arial" w:cs="Arial" w:eastAsia="Arial" w:hAnsi="Arial"/>
                  <w:sz w:val="16"/>
                  <w:szCs w:val="16"/>
                  <w:color w:val="0000FF"/>
                </w:rPr>
                <w:t>Electric Utilities</w:t>
              </w:r>
            </w:hyperlink>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37">
              <w:r>
                <w:rPr>
                  <w:rFonts w:ascii="Arial" w:cs="Arial" w:eastAsia="Arial" w:hAnsi="Arial"/>
                  <w:sz w:val="16"/>
                  <w:szCs w:val="16"/>
                  <w:color w:val="0000FF"/>
                </w:rPr>
                <w:t>38</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80" w:type="dxa"/>
            <w:vAlign w:val="bottom"/>
            <w:tcBorders>
              <w:top w:val="single" w:sz="8" w:color="CEFFE7"/>
            </w:tcBorders>
            <w:shd w:val="clear" w:color="auto" w:fill="CEFFE7"/>
          </w:tcPr>
          <w:p>
            <w:pPr>
              <w:spacing w:after="0" w:line="20" w:lineRule="exact"/>
              <w:rPr>
                <w:sz w:val="1"/>
                <w:szCs w:val="1"/>
                <w:color w:val="auto"/>
              </w:rPr>
            </w:pPr>
          </w:p>
        </w:tc>
        <w:tc>
          <w:tcPr>
            <w:tcW w:w="1140" w:type="dxa"/>
            <w:vAlign w:val="bottom"/>
            <w:tcBorders>
              <w:top w:val="single" w:sz="8" w:color="CEFFE7"/>
            </w:tcBorders>
            <w:shd w:val="clear" w:color="auto" w:fill="CEFFE7"/>
          </w:tcPr>
          <w:p>
            <w:pPr>
              <w:spacing w:after="0" w:line="20" w:lineRule="exact"/>
              <w:rPr>
                <w:sz w:val="1"/>
                <w:szCs w:val="1"/>
                <w:color w:val="auto"/>
              </w:rPr>
            </w:pPr>
          </w:p>
        </w:tc>
        <w:tc>
          <w:tcPr>
            <w:tcW w:w="210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9"/>
          </w:tcPr>
          <w:p>
            <w:pPr>
              <w:spacing w:after="0" w:line="175" w:lineRule="exact"/>
              <w:rPr>
                <w:rFonts w:ascii="Arial" w:cs="Arial" w:eastAsia="Arial" w:hAnsi="Arial"/>
                <w:sz w:val="16"/>
                <w:szCs w:val="16"/>
                <w:color w:val="0000FF"/>
              </w:rPr>
            </w:pPr>
            <w:hyperlink w:anchor="page41">
              <w:r>
                <w:rPr>
                  <w:rFonts w:ascii="Arial" w:cs="Arial" w:eastAsia="Arial" w:hAnsi="Arial"/>
                  <w:sz w:val="16"/>
                  <w:szCs w:val="16"/>
                  <w:color w:val="0000FF"/>
                </w:rPr>
                <w:t>Gas Utilities</w:t>
              </w:r>
            </w:hyperlink>
          </w:p>
        </w:tc>
        <w:tc>
          <w:tcPr>
            <w:tcW w:w="6980" w:type="dxa"/>
            <w:vAlign w:val="bottom"/>
            <w:gridSpan w:val="23"/>
          </w:tcPr>
          <w:p>
            <w:pPr>
              <w:spacing w:after="0"/>
              <w:rPr>
                <w:sz w:val="15"/>
                <w:szCs w:val="15"/>
                <w:color w:val="auto"/>
              </w:rPr>
            </w:pPr>
          </w:p>
        </w:tc>
        <w:tc>
          <w:tcPr>
            <w:tcW w:w="1100" w:type="dxa"/>
            <w:vAlign w:val="bottom"/>
            <w:gridSpan w:val="5"/>
          </w:tcPr>
          <w:p>
            <w:pPr>
              <w:jc w:val="center"/>
              <w:spacing w:after="0" w:line="175" w:lineRule="exact"/>
              <w:rPr>
                <w:rFonts w:ascii="Arial" w:cs="Arial" w:eastAsia="Arial" w:hAnsi="Arial"/>
                <w:sz w:val="16"/>
                <w:szCs w:val="16"/>
                <w:color w:val="0000FF"/>
              </w:rPr>
            </w:pPr>
            <w:hyperlink w:anchor="page41">
              <w:r>
                <w:rPr>
                  <w:rFonts w:ascii="Arial" w:cs="Arial" w:eastAsia="Arial" w:hAnsi="Arial"/>
                  <w:sz w:val="16"/>
                  <w:szCs w:val="16"/>
                  <w:color w:val="0000FF"/>
                </w:rPr>
                <w:t>42</w:t>
              </w:r>
            </w:hyperlink>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42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320" w:type="dxa"/>
            <w:vAlign w:val="bottom"/>
            <w:shd w:val="clear" w:color="auto" w:fill="CEFFE7"/>
          </w:tcPr>
          <w:p>
            <w:pPr>
              <w:spacing w:after="0"/>
              <w:rPr>
                <w:sz w:val="15"/>
                <w:szCs w:val="15"/>
                <w:color w:val="auto"/>
              </w:rPr>
            </w:pPr>
          </w:p>
        </w:tc>
        <w:tc>
          <w:tcPr>
            <w:tcW w:w="1500" w:type="dxa"/>
            <w:vAlign w:val="bottom"/>
            <w:gridSpan w:val="15"/>
            <w:shd w:val="clear" w:color="auto" w:fill="CEFFE7"/>
          </w:tcPr>
          <w:p>
            <w:pPr>
              <w:spacing w:after="0" w:line="175" w:lineRule="exact"/>
              <w:rPr>
                <w:rFonts w:ascii="Arial" w:cs="Arial" w:eastAsia="Arial" w:hAnsi="Arial"/>
                <w:sz w:val="16"/>
                <w:szCs w:val="16"/>
                <w:color w:val="0000FF"/>
              </w:rPr>
            </w:pPr>
            <w:hyperlink w:anchor="page44">
              <w:r>
                <w:rPr>
                  <w:rFonts w:ascii="Arial" w:cs="Arial" w:eastAsia="Arial" w:hAnsi="Arial"/>
                  <w:sz w:val="16"/>
                  <w:szCs w:val="16"/>
                  <w:color w:val="0000FF"/>
                </w:rPr>
                <w:t>Corporate and Other</w:t>
              </w:r>
            </w:hyperlink>
          </w:p>
        </w:tc>
        <w:tc>
          <w:tcPr>
            <w:tcW w:w="6580" w:type="dxa"/>
            <w:vAlign w:val="bottom"/>
            <w:gridSpan w:val="17"/>
            <w:shd w:val="clear" w:color="auto" w:fill="CEFFE7"/>
          </w:tcPr>
          <w:p>
            <w:pPr>
              <w:spacing w:after="0"/>
              <w:rPr>
                <w:sz w:val="15"/>
                <w:szCs w:val="15"/>
                <w:color w:val="auto"/>
              </w:rPr>
            </w:pPr>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44">
              <w:r>
                <w:rPr>
                  <w:rFonts w:ascii="Arial" w:cs="Arial" w:eastAsia="Arial" w:hAnsi="Arial"/>
                  <w:sz w:val="16"/>
                  <w:szCs w:val="16"/>
                  <w:color w:val="0000FF"/>
                </w:rPr>
                <w:t>44</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80" w:type="dxa"/>
            <w:vAlign w:val="bottom"/>
            <w:tcBorders>
              <w:top w:val="single" w:sz="8" w:color="CEFFE7"/>
            </w:tcBorders>
            <w:shd w:val="clear" w:color="auto" w:fill="CEFFE7"/>
          </w:tcPr>
          <w:p>
            <w:pPr>
              <w:spacing w:after="0" w:line="20" w:lineRule="exact"/>
              <w:rPr>
                <w:sz w:val="1"/>
                <w:szCs w:val="1"/>
                <w:color w:val="auto"/>
              </w:rPr>
            </w:pPr>
          </w:p>
        </w:tc>
        <w:tc>
          <w:tcPr>
            <w:tcW w:w="1140" w:type="dxa"/>
            <w:vAlign w:val="bottom"/>
            <w:tcBorders>
              <w:top w:val="single" w:sz="8" w:color="CEFFE7"/>
            </w:tcBorders>
            <w:shd w:val="clear" w:color="auto" w:fill="CEFFE7"/>
          </w:tcPr>
          <w:p>
            <w:pPr>
              <w:spacing w:after="0" w:line="20" w:lineRule="exact"/>
              <w:rPr>
                <w:sz w:val="1"/>
                <w:szCs w:val="1"/>
                <w:color w:val="auto"/>
              </w:rPr>
            </w:pPr>
          </w:p>
        </w:tc>
        <w:tc>
          <w:tcPr>
            <w:tcW w:w="210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80" w:type="dxa"/>
            <w:vAlign w:val="bottom"/>
            <w:gridSpan w:val="32"/>
          </w:tcPr>
          <w:p>
            <w:pPr>
              <w:spacing w:after="0" w:line="175" w:lineRule="exact"/>
              <w:rPr>
                <w:rFonts w:ascii="Arial" w:cs="Arial" w:eastAsia="Arial" w:hAnsi="Arial"/>
                <w:sz w:val="16"/>
                <w:szCs w:val="16"/>
                <w:color w:val="0000FF"/>
              </w:rPr>
            </w:pPr>
            <w:hyperlink w:anchor="page44">
              <w:r>
                <w:rPr>
                  <w:rFonts w:ascii="Arial" w:cs="Arial" w:eastAsia="Arial" w:hAnsi="Arial"/>
                  <w:sz w:val="16"/>
                  <w:szCs w:val="16"/>
                  <w:color w:val="0000FF"/>
                </w:rPr>
                <w:t>Consolidated Interest Expense, Impairment of Investment, Other Income (Expense) and Income Tax Benefit</w:t>
              </w:r>
            </w:hyperlink>
          </w:p>
        </w:tc>
        <w:tc>
          <w:tcPr>
            <w:tcW w:w="1100" w:type="dxa"/>
            <w:vAlign w:val="bottom"/>
            <w:gridSpan w:val="5"/>
          </w:tcPr>
          <w:p>
            <w:pPr>
              <w:jc w:val="center"/>
              <w:spacing w:after="0" w:line="175" w:lineRule="exact"/>
              <w:rPr>
                <w:rFonts w:ascii="Arial" w:cs="Arial" w:eastAsia="Arial" w:hAnsi="Arial"/>
                <w:sz w:val="16"/>
                <w:szCs w:val="16"/>
                <w:color w:val="0000FF"/>
              </w:rPr>
            </w:pPr>
            <w:hyperlink w:anchor="page44">
              <w:r>
                <w:rPr>
                  <w:rFonts w:ascii="Arial" w:cs="Arial" w:eastAsia="Arial" w:hAnsi="Arial"/>
                  <w:sz w:val="16"/>
                  <w:szCs w:val="16"/>
                  <w:color w:val="0000FF"/>
                </w:rPr>
                <w:t>45</w:t>
              </w:r>
            </w:hyperlink>
          </w:p>
        </w:tc>
      </w:t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72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w:anchor="page44">
              <w:r>
                <w:rPr>
                  <w:rFonts w:ascii="Arial" w:cs="Arial" w:eastAsia="Arial" w:hAnsi="Arial"/>
                  <w:sz w:val="16"/>
                  <w:szCs w:val="16"/>
                  <w:color w:val="0000FF"/>
                </w:rPr>
                <w:t>(Expense)</w:t>
              </w:r>
            </w:hyperlink>
          </w:p>
        </w:tc>
        <w:tc>
          <w:tcPr>
            <w:tcW w:w="360" w:type="dxa"/>
            <w:vAlign w:val="bottom"/>
            <w:gridSpan w:val="2"/>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42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2280" w:type="dxa"/>
            <w:vAlign w:val="bottom"/>
            <w:gridSpan w:val="22"/>
            <w:shd w:val="clear" w:color="auto" w:fill="CEFFE7"/>
          </w:tcPr>
          <w:p>
            <w:pPr>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Liquidity and Capital Resources</w:t>
              </w:r>
            </w:hyperlink>
          </w:p>
        </w:tc>
        <w:tc>
          <w:tcPr>
            <w:tcW w:w="6120" w:type="dxa"/>
            <w:vAlign w:val="bottom"/>
            <w:gridSpan w:val="11"/>
            <w:shd w:val="clear" w:color="auto" w:fill="CEFFE7"/>
          </w:tcPr>
          <w:p>
            <w:pPr>
              <w:spacing w:after="0"/>
              <w:rPr>
                <w:sz w:val="15"/>
                <w:szCs w:val="15"/>
                <w:color w:val="auto"/>
              </w:rPr>
            </w:pPr>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46</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80" w:type="dxa"/>
            <w:vAlign w:val="bottom"/>
            <w:tcBorders>
              <w:top w:val="single" w:sz="8" w:color="CEFFE7"/>
            </w:tcBorders>
            <w:shd w:val="clear" w:color="auto" w:fill="CEFFE7"/>
          </w:tcPr>
          <w:p>
            <w:pPr>
              <w:spacing w:after="0" w:line="20" w:lineRule="exact"/>
              <w:rPr>
                <w:sz w:val="1"/>
                <w:szCs w:val="1"/>
                <w:color w:val="auto"/>
              </w:rPr>
            </w:pPr>
          </w:p>
        </w:tc>
        <w:tc>
          <w:tcPr>
            <w:tcW w:w="1140" w:type="dxa"/>
            <w:vAlign w:val="bottom"/>
            <w:tcBorders>
              <w:top w:val="single" w:sz="8" w:color="CEFFE7"/>
            </w:tcBorders>
            <w:shd w:val="clear" w:color="auto" w:fill="CEFFE7"/>
          </w:tcPr>
          <w:p>
            <w:pPr>
              <w:spacing w:after="0" w:line="20" w:lineRule="exact"/>
              <w:rPr>
                <w:sz w:val="1"/>
                <w:szCs w:val="1"/>
                <w:color w:val="auto"/>
              </w:rPr>
            </w:pPr>
          </w:p>
        </w:tc>
        <w:tc>
          <w:tcPr>
            <w:tcW w:w="210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gridSpan w:val="20"/>
          </w:tcPr>
          <w:p>
            <w:pPr>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Cash Flow Activities</w:t>
              </w:r>
            </w:hyperlink>
          </w:p>
        </w:tc>
        <w:tc>
          <w:tcPr>
            <w:tcW w:w="6120" w:type="dxa"/>
            <w:vAlign w:val="bottom"/>
            <w:gridSpan w:val="11"/>
          </w:tcPr>
          <w:p>
            <w:pPr>
              <w:spacing w:after="0"/>
              <w:rPr>
                <w:sz w:val="15"/>
                <w:szCs w:val="15"/>
                <w:color w:val="auto"/>
              </w:rPr>
            </w:pPr>
          </w:p>
        </w:tc>
        <w:tc>
          <w:tcPr>
            <w:tcW w:w="1100" w:type="dxa"/>
            <w:vAlign w:val="bottom"/>
            <w:gridSpan w:val="5"/>
          </w:tcPr>
          <w:p>
            <w:pPr>
              <w:jc w:val="center"/>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46</w:t>
              </w:r>
            </w:hyperlink>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42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3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8060" w:type="dxa"/>
            <w:vAlign w:val="bottom"/>
            <w:gridSpan w:val="31"/>
            <w:shd w:val="clear" w:color="auto" w:fill="CEFFE7"/>
          </w:tcPr>
          <w:p>
            <w:pPr>
              <w:spacing w:after="0" w:line="175" w:lineRule="exact"/>
              <w:rPr>
                <w:rFonts w:ascii="Arial" w:cs="Arial" w:eastAsia="Arial" w:hAnsi="Arial"/>
                <w:sz w:val="16"/>
                <w:szCs w:val="16"/>
                <w:color w:val="0000FF"/>
              </w:rPr>
            </w:pPr>
            <w:hyperlink w:anchor="page47">
              <w:r>
                <w:rPr>
                  <w:rFonts w:ascii="Arial" w:cs="Arial" w:eastAsia="Arial" w:hAnsi="Arial"/>
                  <w:sz w:val="16"/>
                  <w:szCs w:val="16"/>
                  <w:color w:val="0000FF"/>
                </w:rPr>
                <w:t>Capital Resources</w:t>
              </w:r>
            </w:hyperlink>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80" w:type="dxa"/>
            <w:vAlign w:val="bottom"/>
            <w:tcBorders>
              <w:top w:val="single" w:sz="8" w:color="CEFFE7"/>
            </w:tcBorders>
            <w:shd w:val="clear" w:color="auto" w:fill="CEFFE7"/>
          </w:tcPr>
          <w:p>
            <w:pPr>
              <w:spacing w:after="0" w:line="20" w:lineRule="exact"/>
              <w:rPr>
                <w:sz w:val="1"/>
                <w:szCs w:val="1"/>
                <w:color w:val="auto"/>
              </w:rPr>
            </w:pPr>
          </w:p>
        </w:tc>
        <w:tc>
          <w:tcPr>
            <w:tcW w:w="1140" w:type="dxa"/>
            <w:vAlign w:val="bottom"/>
            <w:tcBorders>
              <w:top w:val="single" w:sz="8" w:color="CEFFE7"/>
            </w:tcBorders>
            <w:shd w:val="clear" w:color="auto" w:fill="CEFFE7"/>
          </w:tcPr>
          <w:p>
            <w:pPr>
              <w:spacing w:after="0" w:line="20" w:lineRule="exact"/>
              <w:rPr>
                <w:sz w:val="1"/>
                <w:szCs w:val="1"/>
                <w:color w:val="auto"/>
              </w:rPr>
            </w:pPr>
          </w:p>
        </w:tc>
        <w:tc>
          <w:tcPr>
            <w:tcW w:w="210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11"/>
          </w:tcPr>
          <w:p>
            <w:pPr>
              <w:spacing w:after="0" w:line="175" w:lineRule="exact"/>
              <w:rPr>
                <w:rFonts w:ascii="Arial" w:cs="Arial" w:eastAsia="Arial" w:hAnsi="Arial"/>
                <w:sz w:val="16"/>
                <w:szCs w:val="16"/>
                <w:color w:val="0000FF"/>
              </w:rPr>
            </w:pPr>
            <w:hyperlink w:anchor="page49">
              <w:r>
                <w:rPr>
                  <w:rFonts w:ascii="Arial" w:cs="Arial" w:eastAsia="Arial" w:hAnsi="Arial"/>
                  <w:sz w:val="16"/>
                  <w:szCs w:val="16"/>
                  <w:color w:val="0000FF"/>
                </w:rPr>
                <w:t>Credit Ratings</w:t>
              </w:r>
            </w:hyperlink>
          </w:p>
        </w:tc>
        <w:tc>
          <w:tcPr>
            <w:tcW w:w="6740" w:type="dxa"/>
            <w:vAlign w:val="bottom"/>
            <w:gridSpan w:val="20"/>
          </w:tcPr>
          <w:p>
            <w:pPr>
              <w:spacing w:after="0"/>
              <w:rPr>
                <w:sz w:val="15"/>
                <w:szCs w:val="15"/>
                <w:color w:val="auto"/>
              </w:rPr>
            </w:pPr>
          </w:p>
        </w:tc>
        <w:tc>
          <w:tcPr>
            <w:tcW w:w="1100" w:type="dxa"/>
            <w:vAlign w:val="bottom"/>
            <w:gridSpan w:val="5"/>
          </w:tcPr>
          <w:p>
            <w:pPr>
              <w:jc w:val="center"/>
              <w:spacing w:after="0" w:line="175" w:lineRule="exact"/>
              <w:rPr>
                <w:rFonts w:ascii="Arial" w:cs="Arial" w:eastAsia="Arial" w:hAnsi="Arial"/>
                <w:sz w:val="16"/>
                <w:szCs w:val="16"/>
                <w:color w:val="0000FF"/>
              </w:rPr>
            </w:pPr>
            <w:hyperlink w:anchor="page49">
              <w:r>
                <w:rPr>
                  <w:rFonts w:ascii="Arial" w:cs="Arial" w:eastAsia="Arial" w:hAnsi="Arial"/>
                  <w:sz w:val="16"/>
                  <w:szCs w:val="16"/>
                  <w:color w:val="0000FF"/>
                </w:rPr>
                <w:t>49</w:t>
              </w:r>
            </w:hyperlink>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42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320" w:type="dxa"/>
            <w:vAlign w:val="bottom"/>
            <w:shd w:val="clear" w:color="auto" w:fill="CEFFE7"/>
          </w:tcPr>
          <w:p>
            <w:pPr>
              <w:spacing w:after="0"/>
              <w:rPr>
                <w:sz w:val="15"/>
                <w:szCs w:val="15"/>
                <w:color w:val="auto"/>
              </w:rPr>
            </w:pPr>
          </w:p>
        </w:tc>
        <w:tc>
          <w:tcPr>
            <w:tcW w:w="8080" w:type="dxa"/>
            <w:vAlign w:val="bottom"/>
            <w:gridSpan w:val="32"/>
            <w:shd w:val="clear" w:color="auto" w:fill="CEFFE7"/>
          </w:tcPr>
          <w:p>
            <w:pPr>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Capital Requirements</w:t>
              </w:r>
            </w:hyperlink>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80" w:type="dxa"/>
            <w:vAlign w:val="bottom"/>
            <w:tcBorders>
              <w:top w:val="single" w:sz="8" w:color="CEFFE7"/>
            </w:tcBorders>
            <w:shd w:val="clear" w:color="auto" w:fill="CEFFE7"/>
          </w:tcPr>
          <w:p>
            <w:pPr>
              <w:spacing w:after="0" w:line="20" w:lineRule="exact"/>
              <w:rPr>
                <w:sz w:val="1"/>
                <w:szCs w:val="1"/>
                <w:color w:val="auto"/>
              </w:rPr>
            </w:pPr>
          </w:p>
        </w:tc>
        <w:tc>
          <w:tcPr>
            <w:tcW w:w="1140" w:type="dxa"/>
            <w:vAlign w:val="bottom"/>
            <w:tcBorders>
              <w:top w:val="single" w:sz="8" w:color="CEFFE7"/>
            </w:tcBorders>
            <w:shd w:val="clear" w:color="auto" w:fill="CEFFE7"/>
          </w:tcPr>
          <w:p>
            <w:pPr>
              <w:spacing w:after="0" w:line="20" w:lineRule="exact"/>
              <w:rPr>
                <w:sz w:val="1"/>
                <w:szCs w:val="1"/>
                <w:color w:val="auto"/>
              </w:rPr>
            </w:pPr>
          </w:p>
        </w:tc>
        <w:tc>
          <w:tcPr>
            <w:tcW w:w="210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920" w:type="dxa"/>
            <w:vAlign w:val="bottom"/>
            <w:gridSpan w:val="34"/>
          </w:tcPr>
          <w:p>
            <w:pPr>
              <w:ind w:left="520"/>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Critical Accounting Estimates</w:t>
              </w:r>
            </w:hyperlink>
          </w:p>
        </w:tc>
        <w:tc>
          <w:tcPr>
            <w:tcW w:w="1100" w:type="dxa"/>
            <w:vAlign w:val="bottom"/>
            <w:gridSpan w:val="5"/>
          </w:tcPr>
          <w:p>
            <w:pPr>
              <w:jc w:val="center"/>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51</w:t>
              </w:r>
            </w:hyperlink>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1200" w:type="dxa"/>
            <w:vAlign w:val="bottom"/>
            <w:gridSpan w:val="5"/>
            <w:shd w:val="clear" w:color="auto" w:fill="CEFFE7"/>
          </w:tcPr>
          <w:p>
            <w:pPr>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ITEM 7A.</w:t>
              </w:r>
            </w:hyperlink>
          </w:p>
        </w:tc>
        <w:tc>
          <w:tcPr>
            <w:tcW w:w="8920" w:type="dxa"/>
            <w:vAlign w:val="bottom"/>
            <w:gridSpan w:val="34"/>
            <w:shd w:val="clear" w:color="auto" w:fill="CEFFE7"/>
          </w:tcPr>
          <w:p>
            <w:pPr>
              <w:ind w:left="520"/>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QUANTITATIVE AND QUALITATIVE DISCLOSURES ABOUT MARKET RISK</w:t>
              </w:r>
            </w:hyperlink>
          </w:p>
        </w:tc>
        <w:tc>
          <w:tcPr>
            <w:tcW w:w="11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54</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1480" w:type="dxa"/>
            <w:vAlign w:val="bottom"/>
            <w:tcBorders>
              <w:top w:val="single" w:sz="8" w:color="0000FF"/>
            </w:tcBorders>
            <w:shd w:val="clear" w:color="auto" w:fill="CEFFE7"/>
          </w:tcPr>
          <w:p>
            <w:pPr>
              <w:spacing w:after="0" w:line="20" w:lineRule="exact"/>
              <w:rPr>
                <w:sz w:val="1"/>
                <w:szCs w:val="1"/>
                <w:color w:val="auto"/>
              </w:rPr>
            </w:pPr>
          </w:p>
        </w:tc>
        <w:tc>
          <w:tcPr>
            <w:tcW w:w="1140" w:type="dxa"/>
            <w:vAlign w:val="bottom"/>
            <w:tcBorders>
              <w:top w:val="single" w:sz="8" w:color="0000FF"/>
            </w:tcBorders>
            <w:shd w:val="clear" w:color="auto" w:fill="CEFFE7"/>
          </w:tcPr>
          <w:p>
            <w:pPr>
              <w:spacing w:after="0" w:line="20" w:lineRule="exact"/>
              <w:rPr>
                <w:sz w:val="1"/>
                <w:szCs w:val="1"/>
                <w:color w:val="auto"/>
              </w:rPr>
            </w:pPr>
          </w:p>
        </w:tc>
        <w:tc>
          <w:tcPr>
            <w:tcW w:w="210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20" w:type="dxa"/>
            <w:vAlign w:val="bottom"/>
            <w:shd w:val="clear" w:color="auto" w:fill="CEFFE7"/>
          </w:tcPr>
          <w:p>
            <w:pPr>
              <w:spacing w:after="0"/>
              <w:rPr>
                <w:sz w:val="16"/>
                <w:szCs w:val="16"/>
                <w:color w:val="auto"/>
              </w:rPr>
            </w:pPr>
          </w:p>
        </w:tc>
        <w:tc>
          <w:tcPr>
            <w:tcW w:w="580" w:type="dxa"/>
            <w:vAlign w:val="bottom"/>
            <w:gridSpan w:val="3"/>
            <w:shd w:val="clear" w:color="auto" w:fill="CEFFE7"/>
          </w:tcPr>
          <w:p>
            <w:pPr>
              <w:spacing w:after="0"/>
              <w:rPr>
                <w:rFonts w:ascii="Arial" w:cs="Arial" w:eastAsia="Arial" w:hAnsi="Arial"/>
                <w:sz w:val="16"/>
                <w:szCs w:val="16"/>
                <w:color w:val="0000FF"/>
                <w:w w:val="99"/>
              </w:rPr>
            </w:pPr>
            <w:hyperlink w:anchor="page55">
              <w:r>
                <w:rPr>
                  <w:rFonts w:ascii="Arial" w:cs="Arial" w:eastAsia="Arial" w:hAnsi="Arial"/>
                  <w:sz w:val="16"/>
                  <w:szCs w:val="16"/>
                  <w:color w:val="0000FF"/>
                  <w:w w:val="99"/>
                </w:rPr>
                <w:t>ITEM 8.</w:t>
              </w:r>
            </w:hyperlink>
          </w:p>
        </w:tc>
        <w:tc>
          <w:tcPr>
            <w:tcW w:w="800" w:type="dxa"/>
            <w:vAlign w:val="bottom"/>
            <w:gridSpan w:val="4"/>
            <w:shd w:val="clear" w:color="auto" w:fill="CEFFE7"/>
          </w:tcPr>
          <w:p>
            <w:pPr>
              <w:spacing w:after="0"/>
              <w:rPr>
                <w:sz w:val="16"/>
                <w:szCs w:val="16"/>
                <w:color w:val="auto"/>
              </w:rPr>
            </w:pPr>
          </w:p>
        </w:tc>
        <w:tc>
          <w:tcPr>
            <w:tcW w:w="340" w:type="dxa"/>
            <w:vAlign w:val="bottom"/>
            <w:shd w:val="clear" w:color="auto" w:fill="CEFFE7"/>
          </w:tcPr>
          <w:p>
            <w:pPr>
              <w:spacing w:after="0"/>
              <w:rPr>
                <w:sz w:val="16"/>
                <w:szCs w:val="16"/>
                <w:color w:val="auto"/>
              </w:rPr>
            </w:pPr>
          </w:p>
        </w:tc>
        <w:tc>
          <w:tcPr>
            <w:tcW w:w="4260" w:type="dxa"/>
            <w:vAlign w:val="bottom"/>
            <w:gridSpan w:val="27"/>
            <w:shd w:val="clear" w:color="auto" w:fill="CEFFE7"/>
          </w:tcPr>
          <w:p>
            <w:pPr>
              <w:spacing w:after="0"/>
              <w:rPr>
                <w:rFonts w:ascii="Arial" w:cs="Arial" w:eastAsia="Arial" w:hAnsi="Arial"/>
                <w:sz w:val="16"/>
                <w:szCs w:val="16"/>
                <w:color w:val="0000FF"/>
                <w:w w:val="99"/>
              </w:rPr>
            </w:pPr>
            <w:hyperlink w:anchor="page55">
              <w:r>
                <w:rPr>
                  <w:rFonts w:ascii="Arial" w:cs="Arial" w:eastAsia="Arial" w:hAnsi="Arial"/>
                  <w:sz w:val="16"/>
                  <w:szCs w:val="16"/>
                  <w:color w:val="0000FF"/>
                  <w:w w:val="99"/>
                </w:rPr>
                <w:t>FINANCIAL STATEMENTS AND SUPPLEMENTARY DATA</w:t>
              </w:r>
            </w:hyperlink>
          </w:p>
        </w:tc>
        <w:tc>
          <w:tcPr>
            <w:tcW w:w="4320" w:type="dxa"/>
            <w:vAlign w:val="bottom"/>
            <w:gridSpan w:val="8"/>
            <w:shd w:val="clear" w:color="auto" w:fill="CEFFE7"/>
          </w:tcPr>
          <w:p>
            <w:pPr>
              <w:spacing w:after="0"/>
              <w:rPr>
                <w:sz w:val="16"/>
                <w:szCs w:val="16"/>
                <w:color w:val="auto"/>
              </w:rPr>
            </w:pPr>
          </w:p>
        </w:tc>
        <w:tc>
          <w:tcPr>
            <w:tcW w:w="500" w:type="dxa"/>
            <w:vAlign w:val="bottom"/>
            <w:gridSpan w:val="4"/>
            <w:shd w:val="clear" w:color="auto" w:fill="CEFFE7"/>
          </w:tcPr>
          <w:p>
            <w:pPr>
              <w:jc w:val="center"/>
              <w:ind w:left="159"/>
              <w:spacing w:after="0"/>
              <w:rPr>
                <w:rFonts w:ascii="Arial" w:cs="Arial" w:eastAsia="Arial" w:hAnsi="Arial"/>
                <w:sz w:val="16"/>
                <w:szCs w:val="16"/>
                <w:color w:val="0000FF"/>
              </w:rPr>
            </w:pPr>
            <w:hyperlink w:anchor="page55">
              <w:r>
                <w:rPr>
                  <w:rFonts w:ascii="Arial" w:cs="Arial" w:eastAsia="Arial" w:hAnsi="Arial"/>
                  <w:sz w:val="16"/>
                  <w:szCs w:val="16"/>
                  <w:color w:val="0000FF"/>
                </w:rPr>
                <w:t>56</w:t>
              </w:r>
            </w:hyperlink>
          </w:p>
        </w:tc>
        <w:tc>
          <w:tcPr>
            <w:tcW w:w="420" w:type="dxa"/>
            <w:vAlign w:val="bottom"/>
            <w:shd w:val="clear" w:color="auto" w:fill="CEFFE7"/>
          </w:tcPr>
          <w:p>
            <w:pPr>
              <w:spacing w:after="0"/>
              <w:rPr>
                <w:sz w:val="16"/>
                <w:szCs w:val="16"/>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580" w:type="dxa"/>
            <w:vAlign w:val="bottom"/>
            <w:gridSpan w:val="35"/>
          </w:tcPr>
          <w:p>
            <w:pPr>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Management’s Report on Internal Controls Over Financial Reporting</w:t>
              </w:r>
            </w:hyperlink>
          </w:p>
        </w:tc>
        <w:tc>
          <w:tcPr>
            <w:tcW w:w="500" w:type="dxa"/>
            <w:vAlign w:val="bottom"/>
            <w:gridSpan w:val="4"/>
          </w:tcPr>
          <w:p>
            <w:pPr>
              <w:jc w:val="center"/>
              <w:ind w:left="159"/>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56</w:t>
              </w:r>
            </w:hyperlink>
          </w:p>
        </w:tc>
        <w:tc>
          <w:tcPr>
            <w:tcW w:w="4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50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6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36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8580" w:type="dxa"/>
            <w:vAlign w:val="bottom"/>
            <w:gridSpan w:val="35"/>
            <w:shd w:val="clear" w:color="auto" w:fill="CEFFE7"/>
          </w:tcPr>
          <w:p>
            <w:pPr>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Reports of Independent Registered Public Accounting Firm</w:t>
              </w:r>
            </w:hyperlink>
          </w:p>
        </w:tc>
        <w:tc>
          <w:tcPr>
            <w:tcW w:w="500" w:type="dxa"/>
            <w:vAlign w:val="bottom"/>
            <w:gridSpan w:val="4"/>
            <w:shd w:val="clear" w:color="auto" w:fill="CEFFE7"/>
          </w:tcPr>
          <w:p>
            <w:pPr>
              <w:jc w:val="center"/>
              <w:ind w:left="159"/>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57</w:t>
              </w:r>
            </w:hyperlink>
          </w:p>
        </w:tc>
        <w:tc>
          <w:tcPr>
            <w:tcW w:w="420" w:type="dxa"/>
            <w:vAlign w:val="bottom"/>
            <w:shd w:val="clear" w:color="auto" w:fill="CEFFE7"/>
          </w:tcPr>
          <w:p>
            <w:pPr>
              <w:spacing w:after="0"/>
              <w:rPr>
                <w:sz w:val="15"/>
                <w:szCs w:val="15"/>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20" w:type="dxa"/>
            <w:vAlign w:val="bottom"/>
            <w:gridSpan w:val="26"/>
          </w:tcPr>
          <w:p>
            <w:pPr>
              <w:spacing w:after="0" w:line="175" w:lineRule="exact"/>
              <w:rPr>
                <w:rFonts w:ascii="Arial" w:cs="Arial" w:eastAsia="Arial" w:hAnsi="Arial"/>
                <w:sz w:val="16"/>
                <w:szCs w:val="16"/>
                <w:color w:val="0000FF"/>
              </w:rPr>
            </w:pPr>
            <w:hyperlink w:anchor="page59">
              <w:r>
                <w:rPr>
                  <w:rFonts w:ascii="Arial" w:cs="Arial" w:eastAsia="Arial" w:hAnsi="Arial"/>
                  <w:sz w:val="16"/>
                  <w:szCs w:val="16"/>
                  <w:color w:val="0000FF"/>
                </w:rPr>
                <w:t>Consolidated Statements of Income</w:t>
              </w:r>
            </w:hyperlink>
          </w:p>
        </w:tc>
        <w:tc>
          <w:tcPr>
            <w:tcW w:w="4360" w:type="dxa"/>
            <w:vAlign w:val="bottom"/>
            <w:gridSpan w:val="9"/>
          </w:tcPr>
          <w:p>
            <w:pPr>
              <w:spacing w:after="0"/>
              <w:rPr>
                <w:sz w:val="15"/>
                <w:szCs w:val="15"/>
                <w:color w:val="auto"/>
              </w:rPr>
            </w:pPr>
          </w:p>
        </w:tc>
        <w:tc>
          <w:tcPr>
            <w:tcW w:w="500" w:type="dxa"/>
            <w:vAlign w:val="bottom"/>
            <w:gridSpan w:val="4"/>
          </w:tcPr>
          <w:p>
            <w:pPr>
              <w:jc w:val="center"/>
              <w:ind w:left="159"/>
              <w:spacing w:after="0" w:line="175" w:lineRule="exact"/>
              <w:rPr>
                <w:rFonts w:ascii="Arial" w:cs="Arial" w:eastAsia="Arial" w:hAnsi="Arial"/>
                <w:sz w:val="16"/>
                <w:szCs w:val="16"/>
                <w:color w:val="0000FF"/>
              </w:rPr>
            </w:pPr>
            <w:hyperlink w:anchor="page59">
              <w:r>
                <w:rPr>
                  <w:rFonts w:ascii="Arial" w:cs="Arial" w:eastAsia="Arial" w:hAnsi="Arial"/>
                  <w:sz w:val="16"/>
                  <w:szCs w:val="16"/>
                  <w:color w:val="0000FF"/>
                </w:rPr>
                <w:t>60</w:t>
              </w:r>
            </w:hyperlink>
          </w:p>
        </w:tc>
        <w:tc>
          <w:tcPr>
            <w:tcW w:w="4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50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6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36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8580" w:type="dxa"/>
            <w:vAlign w:val="bottom"/>
            <w:gridSpan w:val="35"/>
            <w:shd w:val="clear" w:color="auto" w:fill="CEFFE7"/>
          </w:tcPr>
          <w:p>
            <w:pPr>
              <w:spacing w:after="0" w:line="175" w:lineRule="exact"/>
              <w:rPr>
                <w:rFonts w:ascii="Arial" w:cs="Arial" w:eastAsia="Arial" w:hAnsi="Arial"/>
                <w:sz w:val="16"/>
                <w:szCs w:val="16"/>
                <w:color w:val="0000FF"/>
              </w:rPr>
            </w:pPr>
            <w:hyperlink w:anchor="page60">
              <w:r>
                <w:rPr>
                  <w:rFonts w:ascii="Arial" w:cs="Arial" w:eastAsia="Arial" w:hAnsi="Arial"/>
                  <w:sz w:val="16"/>
                  <w:szCs w:val="16"/>
                  <w:color w:val="0000FF"/>
                </w:rPr>
                <w:t>Consolidated Statements of Comprehensive Income</w:t>
              </w:r>
            </w:hyperlink>
          </w:p>
        </w:tc>
        <w:tc>
          <w:tcPr>
            <w:tcW w:w="500" w:type="dxa"/>
            <w:vAlign w:val="bottom"/>
            <w:gridSpan w:val="4"/>
            <w:shd w:val="clear" w:color="auto" w:fill="CEFFE7"/>
          </w:tcPr>
          <w:p>
            <w:pPr>
              <w:jc w:val="center"/>
              <w:ind w:left="159"/>
              <w:spacing w:after="0" w:line="175" w:lineRule="exact"/>
              <w:rPr>
                <w:rFonts w:ascii="Arial" w:cs="Arial" w:eastAsia="Arial" w:hAnsi="Arial"/>
                <w:sz w:val="16"/>
                <w:szCs w:val="16"/>
                <w:color w:val="0000FF"/>
              </w:rPr>
            </w:pPr>
            <w:hyperlink w:anchor="page60">
              <w:r>
                <w:rPr>
                  <w:rFonts w:ascii="Arial" w:cs="Arial" w:eastAsia="Arial" w:hAnsi="Arial"/>
                  <w:sz w:val="16"/>
                  <w:szCs w:val="16"/>
                  <w:color w:val="0000FF"/>
                </w:rPr>
                <w:t>61</w:t>
              </w:r>
            </w:hyperlink>
          </w:p>
        </w:tc>
        <w:tc>
          <w:tcPr>
            <w:tcW w:w="420" w:type="dxa"/>
            <w:vAlign w:val="bottom"/>
            <w:shd w:val="clear" w:color="auto" w:fill="CEFFE7"/>
          </w:tcPr>
          <w:p>
            <w:pPr>
              <w:spacing w:after="0"/>
              <w:rPr>
                <w:sz w:val="15"/>
                <w:szCs w:val="15"/>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40" w:type="dxa"/>
            <w:vAlign w:val="bottom"/>
            <w:gridSpan w:val="25"/>
          </w:tcPr>
          <w:p>
            <w:pPr>
              <w:spacing w:after="0" w:line="175" w:lineRule="exact"/>
              <w:rPr>
                <w:rFonts w:ascii="Arial" w:cs="Arial" w:eastAsia="Arial" w:hAnsi="Arial"/>
                <w:sz w:val="16"/>
                <w:szCs w:val="16"/>
                <w:color w:val="0000FF"/>
              </w:rPr>
            </w:pPr>
            <w:hyperlink w:anchor="page61">
              <w:r>
                <w:rPr>
                  <w:rFonts w:ascii="Arial" w:cs="Arial" w:eastAsia="Arial" w:hAnsi="Arial"/>
                  <w:sz w:val="16"/>
                  <w:szCs w:val="16"/>
                  <w:color w:val="0000FF"/>
                </w:rPr>
                <w:t>Consolidated Balance Sheets</w:t>
              </w:r>
            </w:hyperlink>
          </w:p>
        </w:tc>
        <w:tc>
          <w:tcPr>
            <w:tcW w:w="4840" w:type="dxa"/>
            <w:vAlign w:val="bottom"/>
            <w:gridSpan w:val="10"/>
          </w:tcPr>
          <w:p>
            <w:pPr>
              <w:spacing w:after="0"/>
              <w:rPr>
                <w:sz w:val="15"/>
                <w:szCs w:val="15"/>
                <w:color w:val="auto"/>
              </w:rPr>
            </w:pPr>
          </w:p>
        </w:tc>
        <w:tc>
          <w:tcPr>
            <w:tcW w:w="500" w:type="dxa"/>
            <w:vAlign w:val="bottom"/>
            <w:gridSpan w:val="4"/>
          </w:tcPr>
          <w:p>
            <w:pPr>
              <w:jc w:val="center"/>
              <w:ind w:left="159"/>
              <w:spacing w:after="0" w:line="175" w:lineRule="exact"/>
              <w:rPr>
                <w:rFonts w:ascii="Arial" w:cs="Arial" w:eastAsia="Arial" w:hAnsi="Arial"/>
                <w:sz w:val="16"/>
                <w:szCs w:val="16"/>
                <w:color w:val="0000FF"/>
              </w:rPr>
            </w:pPr>
            <w:hyperlink w:anchor="page61">
              <w:r>
                <w:rPr>
                  <w:rFonts w:ascii="Arial" w:cs="Arial" w:eastAsia="Arial" w:hAnsi="Arial"/>
                  <w:sz w:val="16"/>
                  <w:szCs w:val="16"/>
                  <w:color w:val="0000FF"/>
                </w:rPr>
                <w:t>62</w:t>
              </w:r>
            </w:hyperlink>
          </w:p>
        </w:tc>
        <w:tc>
          <w:tcPr>
            <w:tcW w:w="4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50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6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36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8580" w:type="dxa"/>
            <w:vAlign w:val="bottom"/>
            <w:gridSpan w:val="35"/>
            <w:shd w:val="clear" w:color="auto" w:fill="CEFFE7"/>
          </w:tcPr>
          <w:p>
            <w:pPr>
              <w:spacing w:after="0" w:line="175" w:lineRule="exact"/>
              <w:rPr>
                <w:rFonts w:ascii="Arial" w:cs="Arial" w:eastAsia="Arial" w:hAnsi="Arial"/>
                <w:sz w:val="16"/>
                <w:szCs w:val="16"/>
                <w:color w:val="0000FF"/>
              </w:rPr>
            </w:pPr>
            <w:hyperlink w:anchor="page63">
              <w:r>
                <w:rPr>
                  <w:rFonts w:ascii="Arial" w:cs="Arial" w:eastAsia="Arial" w:hAnsi="Arial"/>
                  <w:sz w:val="16"/>
                  <w:szCs w:val="16"/>
                  <w:color w:val="0000FF"/>
                </w:rPr>
                <w:t>Consolidated Statements of Cash Flows</w:t>
              </w:r>
            </w:hyperlink>
          </w:p>
        </w:tc>
        <w:tc>
          <w:tcPr>
            <w:tcW w:w="500" w:type="dxa"/>
            <w:vAlign w:val="bottom"/>
            <w:gridSpan w:val="4"/>
            <w:shd w:val="clear" w:color="auto" w:fill="CEFFE7"/>
          </w:tcPr>
          <w:p>
            <w:pPr>
              <w:jc w:val="center"/>
              <w:ind w:left="159"/>
              <w:spacing w:after="0" w:line="175" w:lineRule="exact"/>
              <w:rPr>
                <w:rFonts w:ascii="Arial" w:cs="Arial" w:eastAsia="Arial" w:hAnsi="Arial"/>
                <w:sz w:val="16"/>
                <w:szCs w:val="16"/>
                <w:color w:val="0000FF"/>
              </w:rPr>
            </w:pPr>
            <w:hyperlink w:anchor="page63">
              <w:r>
                <w:rPr>
                  <w:rFonts w:ascii="Arial" w:cs="Arial" w:eastAsia="Arial" w:hAnsi="Arial"/>
                  <w:sz w:val="16"/>
                  <w:szCs w:val="16"/>
                  <w:color w:val="0000FF"/>
                </w:rPr>
                <w:t>64</w:t>
              </w:r>
            </w:hyperlink>
          </w:p>
        </w:tc>
        <w:tc>
          <w:tcPr>
            <w:tcW w:w="420" w:type="dxa"/>
            <w:vAlign w:val="bottom"/>
            <w:shd w:val="clear" w:color="auto" w:fill="CEFFE7"/>
          </w:tcPr>
          <w:p>
            <w:pPr>
              <w:spacing w:after="0"/>
              <w:rPr>
                <w:sz w:val="15"/>
                <w:szCs w:val="15"/>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17"/>
          </w:tcPr>
          <w:p>
            <w:pPr>
              <w:spacing w:after="0" w:line="175" w:lineRule="exact"/>
              <w:rPr>
                <w:rFonts w:ascii="Arial" w:cs="Arial" w:eastAsia="Arial" w:hAnsi="Arial"/>
                <w:sz w:val="16"/>
                <w:szCs w:val="16"/>
                <w:color w:val="0000FF"/>
              </w:rPr>
            </w:pPr>
            <w:hyperlink w:anchor="page64">
              <w:r>
                <w:rPr>
                  <w:rFonts w:ascii="Arial" w:cs="Arial" w:eastAsia="Arial" w:hAnsi="Arial"/>
                  <w:sz w:val="16"/>
                  <w:szCs w:val="16"/>
                  <w:color w:val="0000FF"/>
                </w:rPr>
                <w:t>Consolidated Statements of Equity</w:t>
              </w:r>
            </w:hyperlink>
          </w:p>
        </w:tc>
        <w:tc>
          <w:tcPr>
            <w:tcW w:w="5700" w:type="dxa"/>
            <w:vAlign w:val="bottom"/>
            <w:gridSpan w:val="18"/>
          </w:tcPr>
          <w:p>
            <w:pPr>
              <w:spacing w:after="0"/>
              <w:rPr>
                <w:sz w:val="15"/>
                <w:szCs w:val="15"/>
                <w:color w:val="auto"/>
              </w:rPr>
            </w:pPr>
          </w:p>
        </w:tc>
        <w:tc>
          <w:tcPr>
            <w:tcW w:w="500" w:type="dxa"/>
            <w:vAlign w:val="bottom"/>
            <w:gridSpan w:val="4"/>
          </w:tcPr>
          <w:p>
            <w:pPr>
              <w:jc w:val="center"/>
              <w:ind w:left="159"/>
              <w:spacing w:after="0" w:line="175" w:lineRule="exact"/>
              <w:rPr>
                <w:rFonts w:ascii="Arial" w:cs="Arial" w:eastAsia="Arial" w:hAnsi="Arial"/>
                <w:sz w:val="16"/>
                <w:szCs w:val="16"/>
                <w:color w:val="0000FF"/>
              </w:rPr>
            </w:pPr>
            <w:hyperlink w:anchor="page64">
              <w:r>
                <w:rPr>
                  <w:rFonts w:ascii="Arial" w:cs="Arial" w:eastAsia="Arial" w:hAnsi="Arial"/>
                  <w:sz w:val="16"/>
                  <w:szCs w:val="16"/>
                  <w:color w:val="0000FF"/>
                </w:rPr>
                <w:t>65</w:t>
              </w:r>
            </w:hyperlink>
          </w:p>
        </w:tc>
        <w:tc>
          <w:tcPr>
            <w:tcW w:w="4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50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6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36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160" w:type="dxa"/>
            <w:vAlign w:val="bottom"/>
            <w:gridSpan w:val="20"/>
            <w:shd w:val="clear" w:color="auto" w:fill="CEFFE7"/>
          </w:tcPr>
          <w:p>
            <w:pPr>
              <w:spacing w:after="0" w:line="175" w:lineRule="exact"/>
              <w:rPr>
                <w:rFonts w:ascii="Arial" w:cs="Arial" w:eastAsia="Arial" w:hAnsi="Arial"/>
                <w:sz w:val="16"/>
                <w:szCs w:val="16"/>
                <w:color w:val="0000FF"/>
              </w:rPr>
            </w:pPr>
            <w:hyperlink w:anchor="page65">
              <w:r>
                <w:rPr>
                  <w:rFonts w:ascii="Arial" w:cs="Arial" w:eastAsia="Arial" w:hAnsi="Arial"/>
                  <w:sz w:val="16"/>
                  <w:szCs w:val="16"/>
                  <w:color w:val="0000FF"/>
                </w:rPr>
                <w:t>Notes to Consolidated Financial Statements</w:t>
              </w:r>
            </w:hyperlink>
          </w:p>
        </w:tc>
        <w:tc>
          <w:tcPr>
            <w:tcW w:w="5420" w:type="dxa"/>
            <w:vAlign w:val="bottom"/>
            <w:gridSpan w:val="15"/>
            <w:shd w:val="clear" w:color="auto" w:fill="CEFFE7"/>
          </w:tcPr>
          <w:p>
            <w:pPr>
              <w:spacing w:after="0"/>
              <w:rPr>
                <w:sz w:val="15"/>
                <w:szCs w:val="15"/>
                <w:color w:val="auto"/>
              </w:rPr>
            </w:pPr>
          </w:p>
        </w:tc>
        <w:tc>
          <w:tcPr>
            <w:tcW w:w="500" w:type="dxa"/>
            <w:vAlign w:val="bottom"/>
            <w:gridSpan w:val="4"/>
            <w:shd w:val="clear" w:color="auto" w:fill="CEFFE7"/>
          </w:tcPr>
          <w:p>
            <w:pPr>
              <w:jc w:val="center"/>
              <w:ind w:left="159"/>
              <w:spacing w:after="0" w:line="175" w:lineRule="exact"/>
              <w:rPr>
                <w:rFonts w:ascii="Arial" w:cs="Arial" w:eastAsia="Arial" w:hAnsi="Arial"/>
                <w:sz w:val="16"/>
                <w:szCs w:val="16"/>
                <w:color w:val="0000FF"/>
              </w:rPr>
            </w:pPr>
            <w:hyperlink w:anchor="page65">
              <w:r>
                <w:rPr>
                  <w:rFonts w:ascii="Arial" w:cs="Arial" w:eastAsia="Arial" w:hAnsi="Arial"/>
                  <w:sz w:val="16"/>
                  <w:szCs w:val="16"/>
                  <w:color w:val="0000FF"/>
                </w:rPr>
                <w:t>66</w:t>
              </w:r>
            </w:hyperlink>
          </w:p>
        </w:tc>
        <w:tc>
          <w:tcPr>
            <w:tcW w:w="420" w:type="dxa"/>
            <w:vAlign w:val="bottom"/>
            <w:shd w:val="clear" w:color="auto" w:fill="CEFFE7"/>
          </w:tcPr>
          <w:p>
            <w:pPr>
              <w:spacing w:after="0"/>
              <w:rPr>
                <w:sz w:val="15"/>
                <w:szCs w:val="15"/>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40" w:type="dxa"/>
            <w:vAlign w:val="bottom"/>
            <w:gridSpan w:val="34"/>
          </w:tcPr>
          <w:p>
            <w:pPr>
              <w:spacing w:after="0" w:line="175" w:lineRule="exact"/>
              <w:rPr>
                <w:rFonts w:ascii="Arial" w:cs="Arial" w:eastAsia="Arial" w:hAnsi="Arial"/>
                <w:sz w:val="16"/>
                <w:szCs w:val="16"/>
                <w:color w:val="0000FF"/>
              </w:rPr>
            </w:pPr>
            <w:hyperlink w:anchor="page66">
              <w:r>
                <w:rPr>
                  <w:rFonts w:ascii="Arial" w:cs="Arial" w:eastAsia="Arial" w:hAnsi="Arial"/>
                  <w:sz w:val="16"/>
                  <w:szCs w:val="16"/>
                  <w:color w:val="0000FF"/>
                </w:rPr>
                <w:t>Note 1. Business Description and Significant Accounting Policies</w:t>
              </w:r>
            </w:hyperlink>
          </w:p>
        </w:tc>
        <w:tc>
          <w:tcPr>
            <w:tcW w:w="500" w:type="dxa"/>
            <w:vAlign w:val="bottom"/>
            <w:gridSpan w:val="4"/>
          </w:tcPr>
          <w:p>
            <w:pPr>
              <w:jc w:val="center"/>
              <w:ind w:left="159"/>
              <w:spacing w:after="0" w:line="175" w:lineRule="exact"/>
              <w:rPr>
                <w:rFonts w:ascii="Arial" w:cs="Arial" w:eastAsia="Arial" w:hAnsi="Arial"/>
                <w:sz w:val="16"/>
                <w:szCs w:val="16"/>
                <w:color w:val="0000FF"/>
              </w:rPr>
            </w:pPr>
            <w:hyperlink w:anchor="page66">
              <w:r>
                <w:rPr>
                  <w:rFonts w:ascii="Arial" w:cs="Arial" w:eastAsia="Arial" w:hAnsi="Arial"/>
                  <w:sz w:val="16"/>
                  <w:szCs w:val="16"/>
                  <w:color w:val="0000FF"/>
                </w:rPr>
                <w:t>66</w:t>
              </w:r>
            </w:hyperlink>
          </w:p>
        </w:tc>
        <w:tc>
          <w:tcPr>
            <w:tcW w:w="4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50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6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36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940" w:type="dxa"/>
            <w:vAlign w:val="bottom"/>
            <w:gridSpan w:val="8"/>
            <w:shd w:val="clear" w:color="auto" w:fill="CEFFE7"/>
          </w:tcPr>
          <w:p>
            <w:pPr>
              <w:spacing w:after="0" w:line="175" w:lineRule="exact"/>
              <w:rPr>
                <w:rFonts w:ascii="Arial" w:cs="Arial" w:eastAsia="Arial" w:hAnsi="Arial"/>
                <w:sz w:val="16"/>
                <w:szCs w:val="16"/>
                <w:color w:val="0000FF"/>
              </w:rPr>
            </w:pPr>
            <w:hyperlink w:anchor="page74">
              <w:r>
                <w:rPr>
                  <w:rFonts w:ascii="Arial" w:cs="Arial" w:eastAsia="Arial" w:hAnsi="Arial"/>
                  <w:sz w:val="16"/>
                  <w:szCs w:val="16"/>
                  <w:color w:val="0000FF"/>
                </w:rPr>
                <w:t>Note 2. Regulatory Matters</w:t>
              </w:r>
            </w:hyperlink>
          </w:p>
        </w:tc>
        <w:tc>
          <w:tcPr>
            <w:tcW w:w="6300" w:type="dxa"/>
            <w:vAlign w:val="bottom"/>
            <w:gridSpan w:val="26"/>
            <w:shd w:val="clear" w:color="auto" w:fill="CEFFE7"/>
          </w:tcPr>
          <w:p>
            <w:pPr>
              <w:spacing w:after="0"/>
              <w:rPr>
                <w:sz w:val="15"/>
                <w:szCs w:val="15"/>
                <w:color w:val="auto"/>
              </w:rPr>
            </w:pPr>
          </w:p>
        </w:tc>
        <w:tc>
          <w:tcPr>
            <w:tcW w:w="500" w:type="dxa"/>
            <w:vAlign w:val="bottom"/>
            <w:gridSpan w:val="4"/>
            <w:shd w:val="clear" w:color="auto" w:fill="CEFFE7"/>
          </w:tcPr>
          <w:p>
            <w:pPr>
              <w:jc w:val="center"/>
              <w:ind w:left="159"/>
              <w:spacing w:after="0" w:line="175" w:lineRule="exact"/>
              <w:rPr>
                <w:rFonts w:ascii="Arial" w:cs="Arial" w:eastAsia="Arial" w:hAnsi="Arial"/>
                <w:sz w:val="16"/>
                <w:szCs w:val="16"/>
                <w:color w:val="0000FF"/>
              </w:rPr>
            </w:pPr>
            <w:hyperlink w:anchor="page74">
              <w:r>
                <w:rPr>
                  <w:rFonts w:ascii="Arial" w:cs="Arial" w:eastAsia="Arial" w:hAnsi="Arial"/>
                  <w:sz w:val="16"/>
                  <w:szCs w:val="16"/>
                  <w:color w:val="0000FF"/>
                </w:rPr>
                <w:t>75</w:t>
              </w:r>
            </w:hyperlink>
          </w:p>
        </w:tc>
        <w:tc>
          <w:tcPr>
            <w:tcW w:w="420" w:type="dxa"/>
            <w:vAlign w:val="bottom"/>
            <w:shd w:val="clear" w:color="auto" w:fill="CEFFE7"/>
          </w:tcPr>
          <w:p>
            <w:pPr>
              <w:spacing w:after="0"/>
              <w:rPr>
                <w:sz w:val="15"/>
                <w:szCs w:val="15"/>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40" w:type="dxa"/>
            <w:vAlign w:val="bottom"/>
            <w:gridSpan w:val="34"/>
          </w:tcPr>
          <w:p>
            <w:pPr>
              <w:spacing w:after="0" w:line="175" w:lineRule="exact"/>
              <w:rPr>
                <w:rFonts w:ascii="Arial" w:cs="Arial" w:eastAsia="Arial" w:hAnsi="Arial"/>
                <w:sz w:val="16"/>
                <w:szCs w:val="16"/>
                <w:color w:val="0000FF"/>
              </w:rPr>
            </w:pPr>
            <w:hyperlink w:anchor="page79">
              <w:r>
                <w:rPr>
                  <w:rFonts w:ascii="Arial" w:cs="Arial" w:eastAsia="Arial" w:hAnsi="Arial"/>
                  <w:sz w:val="16"/>
                  <w:szCs w:val="16"/>
                  <w:color w:val="0000FF"/>
                </w:rPr>
                <w:t>Note 3. Commitments, Contingencies and Guarantees</w:t>
              </w:r>
            </w:hyperlink>
          </w:p>
        </w:tc>
        <w:tc>
          <w:tcPr>
            <w:tcW w:w="500" w:type="dxa"/>
            <w:vAlign w:val="bottom"/>
            <w:gridSpan w:val="4"/>
          </w:tcPr>
          <w:p>
            <w:pPr>
              <w:jc w:val="center"/>
              <w:ind w:left="159"/>
              <w:spacing w:after="0" w:line="175" w:lineRule="exact"/>
              <w:rPr>
                <w:rFonts w:ascii="Arial" w:cs="Arial" w:eastAsia="Arial" w:hAnsi="Arial"/>
                <w:sz w:val="16"/>
                <w:szCs w:val="16"/>
                <w:color w:val="0000FF"/>
              </w:rPr>
            </w:pPr>
            <w:hyperlink w:anchor="page79">
              <w:r>
                <w:rPr>
                  <w:rFonts w:ascii="Arial" w:cs="Arial" w:eastAsia="Arial" w:hAnsi="Arial"/>
                  <w:sz w:val="16"/>
                  <w:szCs w:val="16"/>
                  <w:color w:val="0000FF"/>
                </w:rPr>
                <w:t>79</w:t>
              </w:r>
            </w:hyperlink>
          </w:p>
        </w:tc>
        <w:tc>
          <w:tcPr>
            <w:tcW w:w="4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50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6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36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220" w:type="dxa"/>
            <w:vAlign w:val="bottom"/>
            <w:shd w:val="clear" w:color="auto" w:fill="CEFFE7"/>
          </w:tcPr>
          <w:p>
            <w:pPr>
              <w:spacing w:after="0" w:line="175" w:lineRule="exact"/>
              <w:rPr>
                <w:rFonts w:ascii="Arial" w:cs="Arial" w:eastAsia="Arial" w:hAnsi="Arial"/>
                <w:sz w:val="16"/>
                <w:szCs w:val="16"/>
                <w:color w:val="0000FF"/>
                <w:w w:val="99"/>
              </w:rPr>
            </w:pPr>
            <w:hyperlink w:anchor="page83">
              <w:r>
                <w:rPr>
                  <w:rFonts w:ascii="Arial" w:cs="Arial" w:eastAsia="Arial" w:hAnsi="Arial"/>
                  <w:sz w:val="16"/>
                  <w:szCs w:val="16"/>
                  <w:color w:val="0000FF"/>
                  <w:w w:val="99"/>
                </w:rPr>
                <w:t>Note 4. Revenue</w:t>
              </w:r>
            </w:hyperlink>
          </w:p>
        </w:tc>
        <w:tc>
          <w:tcPr>
            <w:tcW w:w="7020" w:type="dxa"/>
            <w:vAlign w:val="bottom"/>
            <w:gridSpan w:val="33"/>
            <w:shd w:val="clear" w:color="auto" w:fill="CEFFE7"/>
          </w:tcPr>
          <w:p>
            <w:pPr>
              <w:spacing w:after="0"/>
              <w:rPr>
                <w:sz w:val="15"/>
                <w:szCs w:val="15"/>
                <w:color w:val="auto"/>
              </w:rPr>
            </w:pPr>
          </w:p>
        </w:tc>
        <w:tc>
          <w:tcPr>
            <w:tcW w:w="500" w:type="dxa"/>
            <w:vAlign w:val="bottom"/>
            <w:gridSpan w:val="4"/>
            <w:shd w:val="clear" w:color="auto" w:fill="CEFFE7"/>
          </w:tcPr>
          <w:p>
            <w:pPr>
              <w:jc w:val="center"/>
              <w:ind w:left="159"/>
              <w:spacing w:after="0" w:line="175" w:lineRule="exact"/>
              <w:rPr>
                <w:rFonts w:ascii="Arial" w:cs="Arial" w:eastAsia="Arial" w:hAnsi="Arial"/>
                <w:sz w:val="16"/>
                <w:szCs w:val="16"/>
                <w:color w:val="0000FF"/>
              </w:rPr>
            </w:pPr>
            <w:hyperlink w:anchor="page83">
              <w:r>
                <w:rPr>
                  <w:rFonts w:ascii="Arial" w:cs="Arial" w:eastAsia="Arial" w:hAnsi="Arial"/>
                  <w:sz w:val="16"/>
                  <w:szCs w:val="16"/>
                  <w:color w:val="0000FF"/>
                </w:rPr>
                <w:t>84</w:t>
              </w:r>
            </w:hyperlink>
          </w:p>
        </w:tc>
        <w:tc>
          <w:tcPr>
            <w:tcW w:w="420" w:type="dxa"/>
            <w:vAlign w:val="bottom"/>
            <w:shd w:val="clear" w:color="auto" w:fill="CEFFE7"/>
          </w:tcPr>
          <w:p>
            <w:pPr>
              <w:spacing w:after="0"/>
              <w:rPr>
                <w:sz w:val="15"/>
                <w:szCs w:val="15"/>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40" w:type="dxa"/>
            <w:vAlign w:val="bottom"/>
            <w:gridSpan w:val="34"/>
          </w:tcPr>
          <w:p>
            <w:pPr>
              <w:spacing w:after="0" w:line="175" w:lineRule="exact"/>
              <w:rPr>
                <w:rFonts w:ascii="Arial" w:cs="Arial" w:eastAsia="Arial" w:hAnsi="Arial"/>
                <w:sz w:val="16"/>
                <w:szCs w:val="16"/>
                <w:color w:val="0000FF"/>
              </w:rPr>
            </w:pPr>
            <w:hyperlink w:anchor="page85">
              <w:r>
                <w:rPr>
                  <w:rFonts w:ascii="Arial" w:cs="Arial" w:eastAsia="Arial" w:hAnsi="Arial"/>
                  <w:sz w:val="16"/>
                  <w:szCs w:val="16"/>
                  <w:color w:val="0000FF"/>
                </w:rPr>
                <w:t>Note 5. Property, Plant and Equipment</w:t>
              </w:r>
            </w:hyperlink>
          </w:p>
        </w:tc>
        <w:tc>
          <w:tcPr>
            <w:tcW w:w="500" w:type="dxa"/>
            <w:vAlign w:val="bottom"/>
            <w:gridSpan w:val="4"/>
          </w:tcPr>
          <w:p>
            <w:pPr>
              <w:jc w:val="center"/>
              <w:ind w:left="159"/>
              <w:spacing w:after="0" w:line="175" w:lineRule="exact"/>
              <w:rPr>
                <w:rFonts w:ascii="Arial" w:cs="Arial" w:eastAsia="Arial" w:hAnsi="Arial"/>
                <w:sz w:val="16"/>
                <w:szCs w:val="16"/>
                <w:color w:val="0000FF"/>
              </w:rPr>
            </w:pPr>
            <w:hyperlink w:anchor="page85">
              <w:r>
                <w:rPr>
                  <w:rFonts w:ascii="Arial" w:cs="Arial" w:eastAsia="Arial" w:hAnsi="Arial"/>
                  <w:sz w:val="16"/>
                  <w:szCs w:val="16"/>
                  <w:color w:val="0000FF"/>
                </w:rPr>
                <w:t>85</w:t>
              </w:r>
            </w:hyperlink>
          </w:p>
        </w:tc>
        <w:tc>
          <w:tcPr>
            <w:tcW w:w="4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50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6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36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2260" w:type="dxa"/>
            <w:vAlign w:val="bottom"/>
            <w:gridSpan w:val="12"/>
            <w:shd w:val="clear" w:color="auto" w:fill="CEFFE7"/>
          </w:tcPr>
          <w:p>
            <w:pPr>
              <w:spacing w:after="0" w:line="175" w:lineRule="exact"/>
              <w:rPr>
                <w:rFonts w:ascii="Arial" w:cs="Arial" w:eastAsia="Arial" w:hAnsi="Arial"/>
                <w:sz w:val="16"/>
                <w:szCs w:val="16"/>
                <w:color w:val="0000FF"/>
              </w:rPr>
            </w:pPr>
            <w:hyperlink w:anchor="page86">
              <w:r>
                <w:rPr>
                  <w:rFonts w:ascii="Arial" w:cs="Arial" w:eastAsia="Arial" w:hAnsi="Arial"/>
                  <w:sz w:val="16"/>
                  <w:szCs w:val="16"/>
                  <w:color w:val="0000FF"/>
                </w:rPr>
                <w:t>Note 6. Jointly Owned Facilities</w:t>
              </w:r>
            </w:hyperlink>
          </w:p>
        </w:tc>
        <w:tc>
          <w:tcPr>
            <w:tcW w:w="5980" w:type="dxa"/>
            <w:vAlign w:val="bottom"/>
            <w:gridSpan w:val="22"/>
            <w:shd w:val="clear" w:color="auto" w:fill="CEFFE7"/>
          </w:tcPr>
          <w:p>
            <w:pPr>
              <w:spacing w:after="0"/>
              <w:rPr>
                <w:sz w:val="15"/>
                <w:szCs w:val="15"/>
                <w:color w:val="auto"/>
              </w:rPr>
            </w:pPr>
          </w:p>
        </w:tc>
        <w:tc>
          <w:tcPr>
            <w:tcW w:w="500" w:type="dxa"/>
            <w:vAlign w:val="bottom"/>
            <w:gridSpan w:val="4"/>
            <w:shd w:val="clear" w:color="auto" w:fill="CEFFE7"/>
          </w:tcPr>
          <w:p>
            <w:pPr>
              <w:jc w:val="center"/>
              <w:ind w:left="159"/>
              <w:spacing w:after="0" w:line="175" w:lineRule="exact"/>
              <w:rPr>
                <w:rFonts w:ascii="Arial" w:cs="Arial" w:eastAsia="Arial" w:hAnsi="Arial"/>
                <w:sz w:val="16"/>
                <w:szCs w:val="16"/>
                <w:color w:val="0000FF"/>
              </w:rPr>
            </w:pPr>
            <w:hyperlink w:anchor="page86">
              <w:r>
                <w:rPr>
                  <w:rFonts w:ascii="Arial" w:cs="Arial" w:eastAsia="Arial" w:hAnsi="Arial"/>
                  <w:sz w:val="16"/>
                  <w:szCs w:val="16"/>
                  <w:color w:val="0000FF"/>
                </w:rPr>
                <w:t>86</w:t>
              </w:r>
            </w:hyperlink>
          </w:p>
        </w:tc>
        <w:tc>
          <w:tcPr>
            <w:tcW w:w="420" w:type="dxa"/>
            <w:vAlign w:val="bottom"/>
            <w:shd w:val="clear" w:color="auto" w:fill="CEFFE7"/>
          </w:tcPr>
          <w:p>
            <w:pPr>
              <w:spacing w:after="0"/>
              <w:rPr>
                <w:sz w:val="15"/>
                <w:szCs w:val="15"/>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40" w:type="dxa"/>
            <w:vAlign w:val="bottom"/>
            <w:gridSpan w:val="34"/>
          </w:tcPr>
          <w:p>
            <w:pPr>
              <w:spacing w:after="0" w:line="175" w:lineRule="exact"/>
              <w:rPr>
                <w:rFonts w:ascii="Arial" w:cs="Arial" w:eastAsia="Arial" w:hAnsi="Arial"/>
                <w:sz w:val="16"/>
                <w:szCs w:val="16"/>
                <w:color w:val="0000FF"/>
              </w:rPr>
            </w:pPr>
            <w:hyperlink w:anchor="page87">
              <w:r>
                <w:rPr>
                  <w:rFonts w:ascii="Arial" w:cs="Arial" w:eastAsia="Arial" w:hAnsi="Arial"/>
                  <w:sz w:val="16"/>
                  <w:szCs w:val="16"/>
                  <w:color w:val="0000FF"/>
                </w:rPr>
                <w:t>Note 7. Asset Retirement Obligations</w:t>
              </w:r>
            </w:hyperlink>
          </w:p>
        </w:tc>
        <w:tc>
          <w:tcPr>
            <w:tcW w:w="500" w:type="dxa"/>
            <w:vAlign w:val="bottom"/>
            <w:gridSpan w:val="4"/>
          </w:tcPr>
          <w:p>
            <w:pPr>
              <w:jc w:val="center"/>
              <w:ind w:left="159"/>
              <w:spacing w:after="0" w:line="175" w:lineRule="exact"/>
              <w:rPr>
                <w:rFonts w:ascii="Arial" w:cs="Arial" w:eastAsia="Arial" w:hAnsi="Arial"/>
                <w:sz w:val="16"/>
                <w:szCs w:val="16"/>
                <w:color w:val="0000FF"/>
              </w:rPr>
            </w:pPr>
            <w:hyperlink w:anchor="page87">
              <w:r>
                <w:rPr>
                  <w:rFonts w:ascii="Arial" w:cs="Arial" w:eastAsia="Arial" w:hAnsi="Arial"/>
                  <w:sz w:val="16"/>
                  <w:szCs w:val="16"/>
                  <w:color w:val="0000FF"/>
                </w:rPr>
                <w:t>88</w:t>
              </w:r>
            </w:hyperlink>
          </w:p>
        </w:tc>
        <w:tc>
          <w:tcPr>
            <w:tcW w:w="4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50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6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36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8240" w:type="dxa"/>
            <w:vAlign w:val="bottom"/>
            <w:gridSpan w:val="34"/>
            <w:shd w:val="clear" w:color="auto" w:fill="CEFFE7"/>
          </w:tcPr>
          <w:p>
            <w:pPr>
              <w:spacing w:after="0" w:line="175" w:lineRule="exact"/>
              <w:rPr>
                <w:rFonts w:ascii="Arial" w:cs="Arial" w:eastAsia="Arial" w:hAnsi="Arial"/>
                <w:sz w:val="16"/>
                <w:szCs w:val="16"/>
                <w:color w:val="0000FF"/>
              </w:rPr>
            </w:pPr>
            <w:hyperlink w:anchor="page88">
              <w:r>
                <w:rPr>
                  <w:rFonts w:ascii="Arial" w:cs="Arial" w:eastAsia="Arial" w:hAnsi="Arial"/>
                  <w:sz w:val="16"/>
                  <w:szCs w:val="16"/>
                  <w:color w:val="0000FF"/>
                </w:rPr>
                <w:t>Note 8. Financing</w:t>
              </w:r>
            </w:hyperlink>
          </w:p>
        </w:tc>
        <w:tc>
          <w:tcPr>
            <w:tcW w:w="500" w:type="dxa"/>
            <w:vAlign w:val="bottom"/>
            <w:gridSpan w:val="4"/>
            <w:shd w:val="clear" w:color="auto" w:fill="CEFFE7"/>
          </w:tcPr>
          <w:p>
            <w:pPr>
              <w:jc w:val="center"/>
              <w:ind w:left="159"/>
              <w:spacing w:after="0" w:line="175" w:lineRule="exact"/>
              <w:rPr>
                <w:rFonts w:ascii="Arial" w:cs="Arial" w:eastAsia="Arial" w:hAnsi="Arial"/>
                <w:sz w:val="16"/>
                <w:szCs w:val="16"/>
                <w:color w:val="0000FF"/>
              </w:rPr>
            </w:pPr>
            <w:hyperlink w:anchor="page88">
              <w:r>
                <w:rPr>
                  <w:rFonts w:ascii="Arial" w:cs="Arial" w:eastAsia="Arial" w:hAnsi="Arial"/>
                  <w:sz w:val="16"/>
                  <w:szCs w:val="16"/>
                  <w:color w:val="0000FF"/>
                </w:rPr>
                <w:t>88</w:t>
              </w:r>
            </w:hyperlink>
          </w:p>
        </w:tc>
        <w:tc>
          <w:tcPr>
            <w:tcW w:w="420" w:type="dxa"/>
            <w:vAlign w:val="bottom"/>
            <w:shd w:val="clear" w:color="auto" w:fill="CEFFE7"/>
          </w:tcPr>
          <w:p>
            <w:pPr>
              <w:spacing w:after="0"/>
              <w:rPr>
                <w:sz w:val="15"/>
                <w:szCs w:val="15"/>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40" w:type="dxa"/>
            <w:vAlign w:val="bottom"/>
            <w:gridSpan w:val="34"/>
          </w:tcPr>
          <w:p>
            <w:pPr>
              <w:spacing w:after="0" w:line="175" w:lineRule="exact"/>
              <w:rPr>
                <w:rFonts w:ascii="Arial" w:cs="Arial" w:eastAsia="Arial" w:hAnsi="Arial"/>
                <w:sz w:val="16"/>
                <w:szCs w:val="16"/>
                <w:color w:val="0000FF"/>
              </w:rPr>
            </w:pPr>
            <w:hyperlink w:anchor="page92">
              <w:r>
                <w:rPr>
                  <w:rFonts w:ascii="Arial" w:cs="Arial" w:eastAsia="Arial" w:hAnsi="Arial"/>
                  <w:sz w:val="16"/>
                  <w:szCs w:val="16"/>
                  <w:color w:val="0000FF"/>
                </w:rPr>
                <w:t>Note 9. Risk Management and Derivatives</w:t>
              </w:r>
            </w:hyperlink>
          </w:p>
        </w:tc>
        <w:tc>
          <w:tcPr>
            <w:tcW w:w="500" w:type="dxa"/>
            <w:vAlign w:val="bottom"/>
            <w:gridSpan w:val="4"/>
          </w:tcPr>
          <w:p>
            <w:pPr>
              <w:jc w:val="center"/>
              <w:ind w:left="159"/>
              <w:spacing w:after="0" w:line="175" w:lineRule="exact"/>
              <w:rPr>
                <w:rFonts w:ascii="Arial" w:cs="Arial" w:eastAsia="Arial" w:hAnsi="Arial"/>
                <w:sz w:val="16"/>
                <w:szCs w:val="16"/>
                <w:color w:val="0000FF"/>
              </w:rPr>
            </w:pPr>
            <w:hyperlink w:anchor="page92">
              <w:r>
                <w:rPr>
                  <w:rFonts w:ascii="Arial" w:cs="Arial" w:eastAsia="Arial" w:hAnsi="Arial"/>
                  <w:sz w:val="16"/>
                  <w:szCs w:val="16"/>
                  <w:color w:val="0000FF"/>
                </w:rPr>
                <w:t>92</w:t>
              </w:r>
            </w:hyperlink>
          </w:p>
        </w:tc>
        <w:tc>
          <w:tcPr>
            <w:tcW w:w="4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50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6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36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2500" w:type="dxa"/>
            <w:vAlign w:val="bottom"/>
            <w:gridSpan w:val="15"/>
            <w:shd w:val="clear" w:color="auto" w:fill="CEFFE7"/>
          </w:tcPr>
          <w:p>
            <w:pPr>
              <w:spacing w:after="0" w:line="175" w:lineRule="exact"/>
              <w:rPr>
                <w:rFonts w:ascii="Arial" w:cs="Arial" w:eastAsia="Arial" w:hAnsi="Arial"/>
                <w:sz w:val="16"/>
                <w:szCs w:val="16"/>
                <w:color w:val="0000FF"/>
                <w:w w:val="99"/>
              </w:rPr>
            </w:pPr>
            <w:hyperlink w:anchor="page95">
              <w:r>
                <w:rPr>
                  <w:rFonts w:ascii="Arial" w:cs="Arial" w:eastAsia="Arial" w:hAnsi="Arial"/>
                  <w:sz w:val="16"/>
                  <w:szCs w:val="16"/>
                  <w:color w:val="0000FF"/>
                  <w:w w:val="99"/>
                </w:rPr>
                <w:t>Note 10. Fair Value Measurements</w:t>
              </w:r>
            </w:hyperlink>
          </w:p>
        </w:tc>
        <w:tc>
          <w:tcPr>
            <w:tcW w:w="5740" w:type="dxa"/>
            <w:vAlign w:val="bottom"/>
            <w:gridSpan w:val="19"/>
            <w:shd w:val="clear" w:color="auto" w:fill="CEFFE7"/>
          </w:tcPr>
          <w:p>
            <w:pPr>
              <w:spacing w:after="0"/>
              <w:rPr>
                <w:sz w:val="15"/>
                <w:szCs w:val="15"/>
                <w:color w:val="auto"/>
              </w:rPr>
            </w:pPr>
          </w:p>
        </w:tc>
        <w:tc>
          <w:tcPr>
            <w:tcW w:w="500" w:type="dxa"/>
            <w:vAlign w:val="bottom"/>
            <w:gridSpan w:val="4"/>
            <w:shd w:val="clear" w:color="auto" w:fill="CEFFE7"/>
          </w:tcPr>
          <w:p>
            <w:pPr>
              <w:jc w:val="center"/>
              <w:ind w:left="159"/>
              <w:spacing w:after="0" w:line="175" w:lineRule="exact"/>
              <w:rPr>
                <w:rFonts w:ascii="Arial" w:cs="Arial" w:eastAsia="Arial" w:hAnsi="Arial"/>
                <w:sz w:val="16"/>
                <w:szCs w:val="16"/>
                <w:color w:val="0000FF"/>
              </w:rPr>
            </w:pPr>
            <w:hyperlink w:anchor="page95">
              <w:r>
                <w:rPr>
                  <w:rFonts w:ascii="Arial" w:cs="Arial" w:eastAsia="Arial" w:hAnsi="Arial"/>
                  <w:sz w:val="16"/>
                  <w:szCs w:val="16"/>
                  <w:color w:val="0000FF"/>
                </w:rPr>
                <w:t>95</w:t>
              </w:r>
            </w:hyperlink>
          </w:p>
        </w:tc>
        <w:tc>
          <w:tcPr>
            <w:tcW w:w="420" w:type="dxa"/>
            <w:vAlign w:val="bottom"/>
            <w:shd w:val="clear" w:color="auto" w:fill="CEFFE7"/>
          </w:tcPr>
          <w:p>
            <w:pPr>
              <w:spacing w:after="0"/>
              <w:rPr>
                <w:sz w:val="15"/>
                <w:szCs w:val="15"/>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40" w:type="dxa"/>
            <w:vAlign w:val="bottom"/>
            <w:gridSpan w:val="34"/>
          </w:tcPr>
          <w:p>
            <w:pPr>
              <w:spacing w:after="0" w:line="175" w:lineRule="exact"/>
              <w:rPr>
                <w:rFonts w:ascii="Arial" w:cs="Arial" w:eastAsia="Arial" w:hAnsi="Arial"/>
                <w:sz w:val="16"/>
                <w:szCs w:val="16"/>
                <w:color w:val="0000FF"/>
              </w:rPr>
            </w:pPr>
            <w:hyperlink w:anchor="page96">
              <w:r>
                <w:rPr>
                  <w:rFonts w:ascii="Arial" w:cs="Arial" w:eastAsia="Arial" w:hAnsi="Arial"/>
                  <w:sz w:val="16"/>
                  <w:szCs w:val="16"/>
                  <w:color w:val="0000FF"/>
                </w:rPr>
                <w:t>Note 11. Other Comprehensive Income</w:t>
              </w:r>
            </w:hyperlink>
          </w:p>
        </w:tc>
        <w:tc>
          <w:tcPr>
            <w:tcW w:w="500" w:type="dxa"/>
            <w:vAlign w:val="bottom"/>
            <w:gridSpan w:val="4"/>
          </w:tcPr>
          <w:p>
            <w:pPr>
              <w:jc w:val="center"/>
              <w:ind w:left="159"/>
              <w:spacing w:after="0" w:line="175" w:lineRule="exact"/>
              <w:rPr>
                <w:rFonts w:ascii="Arial" w:cs="Arial" w:eastAsia="Arial" w:hAnsi="Arial"/>
                <w:sz w:val="16"/>
                <w:szCs w:val="16"/>
                <w:color w:val="0000FF"/>
              </w:rPr>
            </w:pPr>
            <w:hyperlink w:anchor="page96">
              <w:r>
                <w:rPr>
                  <w:rFonts w:ascii="Arial" w:cs="Arial" w:eastAsia="Arial" w:hAnsi="Arial"/>
                  <w:sz w:val="16"/>
                  <w:szCs w:val="16"/>
                  <w:color w:val="0000FF"/>
                </w:rPr>
                <w:t>97</w:t>
              </w:r>
            </w:hyperlink>
          </w:p>
        </w:tc>
        <w:tc>
          <w:tcPr>
            <w:tcW w:w="4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50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6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36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2280" w:type="dxa"/>
            <w:vAlign w:val="bottom"/>
            <w:gridSpan w:val="13"/>
            <w:shd w:val="clear" w:color="auto" w:fill="CEFFE7"/>
          </w:tcPr>
          <w:p>
            <w:pPr>
              <w:spacing w:after="0" w:line="175" w:lineRule="exact"/>
              <w:rPr>
                <w:rFonts w:ascii="Arial" w:cs="Arial" w:eastAsia="Arial" w:hAnsi="Arial"/>
                <w:sz w:val="16"/>
                <w:szCs w:val="16"/>
                <w:color w:val="0000FF"/>
              </w:rPr>
            </w:pPr>
            <w:hyperlink w:anchor="page97">
              <w:r>
                <w:rPr>
                  <w:rFonts w:ascii="Arial" w:cs="Arial" w:eastAsia="Arial" w:hAnsi="Arial"/>
                  <w:sz w:val="16"/>
                  <w:szCs w:val="16"/>
                  <w:color w:val="0000FF"/>
                </w:rPr>
                <w:t>Note 12. Variable Interest Entity</w:t>
              </w:r>
            </w:hyperlink>
          </w:p>
        </w:tc>
        <w:tc>
          <w:tcPr>
            <w:tcW w:w="5960" w:type="dxa"/>
            <w:vAlign w:val="bottom"/>
            <w:gridSpan w:val="21"/>
            <w:shd w:val="clear" w:color="auto" w:fill="CEFFE7"/>
          </w:tcPr>
          <w:p>
            <w:pPr>
              <w:spacing w:after="0"/>
              <w:rPr>
                <w:sz w:val="15"/>
                <w:szCs w:val="15"/>
                <w:color w:val="auto"/>
              </w:rPr>
            </w:pPr>
          </w:p>
        </w:tc>
        <w:tc>
          <w:tcPr>
            <w:tcW w:w="500" w:type="dxa"/>
            <w:vAlign w:val="bottom"/>
            <w:gridSpan w:val="4"/>
            <w:shd w:val="clear" w:color="auto" w:fill="CEFFE7"/>
          </w:tcPr>
          <w:p>
            <w:pPr>
              <w:jc w:val="center"/>
              <w:ind w:left="159"/>
              <w:spacing w:after="0" w:line="175" w:lineRule="exact"/>
              <w:rPr>
                <w:rFonts w:ascii="Arial" w:cs="Arial" w:eastAsia="Arial" w:hAnsi="Arial"/>
                <w:sz w:val="16"/>
                <w:szCs w:val="16"/>
                <w:color w:val="0000FF"/>
              </w:rPr>
            </w:pPr>
            <w:hyperlink w:anchor="page95">
              <w:r>
                <w:rPr>
                  <w:rFonts w:ascii="Arial" w:cs="Arial" w:eastAsia="Arial" w:hAnsi="Arial"/>
                  <w:sz w:val="16"/>
                  <w:szCs w:val="16"/>
                  <w:color w:val="0000FF"/>
                </w:rPr>
                <w:t>95</w:t>
              </w:r>
            </w:hyperlink>
          </w:p>
        </w:tc>
        <w:tc>
          <w:tcPr>
            <w:tcW w:w="420" w:type="dxa"/>
            <w:vAlign w:val="bottom"/>
            <w:shd w:val="clear" w:color="auto" w:fill="CEFFE7"/>
          </w:tcPr>
          <w:p>
            <w:pPr>
              <w:spacing w:after="0"/>
              <w:rPr>
                <w:sz w:val="15"/>
                <w:szCs w:val="15"/>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40" w:type="dxa"/>
            <w:vAlign w:val="bottom"/>
            <w:gridSpan w:val="34"/>
          </w:tcPr>
          <w:p>
            <w:pPr>
              <w:spacing w:after="0" w:line="175" w:lineRule="exact"/>
              <w:rPr>
                <w:rFonts w:ascii="Arial" w:cs="Arial" w:eastAsia="Arial" w:hAnsi="Arial"/>
                <w:sz w:val="16"/>
                <w:szCs w:val="16"/>
                <w:color w:val="0000FF"/>
              </w:rPr>
            </w:pPr>
            <w:hyperlink w:anchor="page98">
              <w:r>
                <w:rPr>
                  <w:rFonts w:ascii="Arial" w:cs="Arial" w:eastAsia="Arial" w:hAnsi="Arial"/>
                  <w:sz w:val="16"/>
                  <w:szCs w:val="16"/>
                  <w:color w:val="0000FF"/>
                </w:rPr>
                <w:t>Note 13. Employee Benefit Plans</w:t>
              </w:r>
            </w:hyperlink>
          </w:p>
        </w:tc>
        <w:tc>
          <w:tcPr>
            <w:tcW w:w="500" w:type="dxa"/>
            <w:vAlign w:val="bottom"/>
            <w:gridSpan w:val="4"/>
          </w:tcPr>
          <w:p>
            <w:pPr>
              <w:jc w:val="center"/>
              <w:ind w:left="159"/>
              <w:spacing w:after="0" w:line="175" w:lineRule="exact"/>
              <w:rPr>
                <w:rFonts w:ascii="Arial" w:cs="Arial" w:eastAsia="Arial" w:hAnsi="Arial"/>
                <w:sz w:val="16"/>
                <w:szCs w:val="16"/>
                <w:color w:val="0000FF"/>
              </w:rPr>
            </w:pPr>
            <w:hyperlink w:anchor="page98">
              <w:r>
                <w:rPr>
                  <w:rFonts w:ascii="Arial" w:cs="Arial" w:eastAsia="Arial" w:hAnsi="Arial"/>
                  <w:sz w:val="16"/>
                  <w:szCs w:val="16"/>
                  <w:color w:val="0000FF"/>
                </w:rPr>
                <w:t>98</w:t>
              </w:r>
            </w:hyperlink>
          </w:p>
        </w:tc>
        <w:tc>
          <w:tcPr>
            <w:tcW w:w="4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50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6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36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8240" w:type="dxa"/>
            <w:vAlign w:val="bottom"/>
            <w:gridSpan w:val="34"/>
            <w:shd w:val="clear" w:color="auto" w:fill="CEFFE7"/>
          </w:tcPr>
          <w:p>
            <w:pPr>
              <w:spacing w:after="0" w:line="175" w:lineRule="exact"/>
              <w:rPr>
                <w:rFonts w:ascii="Arial" w:cs="Arial" w:eastAsia="Arial" w:hAnsi="Arial"/>
                <w:sz w:val="16"/>
                <w:szCs w:val="16"/>
                <w:color w:val="0000FF"/>
              </w:rPr>
            </w:pPr>
            <w:hyperlink w:anchor="page104">
              <w:r>
                <w:rPr>
                  <w:rFonts w:ascii="Arial" w:cs="Arial" w:eastAsia="Arial" w:hAnsi="Arial"/>
                  <w:sz w:val="16"/>
                  <w:szCs w:val="16"/>
                  <w:color w:val="0000FF"/>
                </w:rPr>
                <w:t>Note 14. Share-based Compensation Plans</w:t>
              </w:r>
            </w:hyperlink>
          </w:p>
        </w:tc>
        <w:tc>
          <w:tcPr>
            <w:tcW w:w="920" w:type="dxa"/>
            <w:vAlign w:val="bottom"/>
            <w:gridSpan w:val="5"/>
            <w:shd w:val="clear" w:color="auto" w:fill="CEFFE7"/>
          </w:tcPr>
          <w:p>
            <w:pPr>
              <w:jc w:val="center"/>
              <w:ind w:right="180"/>
              <w:spacing w:after="0" w:line="175" w:lineRule="exact"/>
              <w:rPr>
                <w:rFonts w:ascii="Arial" w:cs="Arial" w:eastAsia="Arial" w:hAnsi="Arial"/>
                <w:sz w:val="16"/>
                <w:szCs w:val="16"/>
                <w:color w:val="0000FF"/>
                <w:w w:val="97"/>
              </w:rPr>
            </w:pPr>
            <w:hyperlink w:anchor="page104">
              <w:r>
                <w:rPr>
                  <w:rFonts w:ascii="Arial" w:cs="Arial" w:eastAsia="Arial" w:hAnsi="Arial"/>
                  <w:sz w:val="16"/>
                  <w:szCs w:val="16"/>
                  <w:color w:val="0000FF"/>
                  <w:w w:val="97"/>
                </w:rPr>
                <w:t>105</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22"/>
          </w:tcPr>
          <w:p>
            <w:pPr>
              <w:spacing w:after="0" w:line="175" w:lineRule="exact"/>
              <w:rPr>
                <w:rFonts w:ascii="Arial" w:cs="Arial" w:eastAsia="Arial" w:hAnsi="Arial"/>
                <w:sz w:val="16"/>
                <w:szCs w:val="16"/>
                <w:color w:val="0000FF"/>
              </w:rPr>
            </w:pPr>
            <w:hyperlink w:anchor="page107">
              <w:r>
                <w:rPr>
                  <w:rFonts w:ascii="Arial" w:cs="Arial" w:eastAsia="Arial" w:hAnsi="Arial"/>
                  <w:sz w:val="16"/>
                  <w:szCs w:val="16"/>
                  <w:color w:val="0000FF"/>
                </w:rPr>
                <w:t>Note 15. Income Taxes</w:t>
              </w:r>
            </w:hyperlink>
          </w:p>
        </w:tc>
        <w:tc>
          <w:tcPr>
            <w:tcW w:w="5120" w:type="dxa"/>
            <w:vAlign w:val="bottom"/>
            <w:gridSpan w:val="12"/>
          </w:tcPr>
          <w:p>
            <w:pPr>
              <w:spacing w:after="0"/>
              <w:rPr>
                <w:sz w:val="15"/>
                <w:szCs w:val="15"/>
                <w:color w:val="auto"/>
              </w:rPr>
            </w:pPr>
          </w:p>
        </w:tc>
        <w:tc>
          <w:tcPr>
            <w:tcW w:w="920" w:type="dxa"/>
            <w:vAlign w:val="bottom"/>
            <w:gridSpan w:val="5"/>
          </w:tcPr>
          <w:p>
            <w:pPr>
              <w:jc w:val="center"/>
              <w:ind w:right="180"/>
              <w:spacing w:after="0" w:line="175" w:lineRule="exact"/>
              <w:rPr>
                <w:rFonts w:ascii="Arial" w:cs="Arial" w:eastAsia="Arial" w:hAnsi="Arial"/>
                <w:sz w:val="16"/>
                <w:szCs w:val="16"/>
                <w:color w:val="0000FF"/>
                <w:w w:val="97"/>
              </w:rPr>
            </w:pPr>
            <w:hyperlink w:anchor="page107">
              <w:r>
                <w:rPr>
                  <w:rFonts w:ascii="Arial" w:cs="Arial" w:eastAsia="Arial" w:hAnsi="Arial"/>
                  <w:sz w:val="16"/>
                  <w:szCs w:val="16"/>
                  <w:color w:val="0000FF"/>
                  <w:w w:val="97"/>
                </w:rPr>
                <w:t>107</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50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6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36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8240" w:type="dxa"/>
            <w:vAlign w:val="bottom"/>
            <w:gridSpan w:val="34"/>
            <w:shd w:val="clear" w:color="auto" w:fill="CEFFE7"/>
          </w:tcPr>
          <w:p>
            <w:pPr>
              <w:spacing w:after="0" w:line="175" w:lineRule="exact"/>
              <w:rPr>
                <w:rFonts w:ascii="Arial" w:cs="Arial" w:eastAsia="Arial" w:hAnsi="Arial"/>
                <w:sz w:val="16"/>
                <w:szCs w:val="16"/>
                <w:color w:val="0000FF"/>
              </w:rPr>
            </w:pPr>
            <w:hyperlink w:anchor="page111">
              <w:r>
                <w:rPr>
                  <w:rFonts w:ascii="Arial" w:cs="Arial" w:eastAsia="Arial" w:hAnsi="Arial"/>
                  <w:sz w:val="16"/>
                  <w:szCs w:val="16"/>
                  <w:color w:val="0000FF"/>
                </w:rPr>
                <w:t>Note 16. Business Segment Information</w:t>
              </w:r>
            </w:hyperlink>
          </w:p>
        </w:tc>
        <w:tc>
          <w:tcPr>
            <w:tcW w:w="920" w:type="dxa"/>
            <w:vAlign w:val="bottom"/>
            <w:gridSpan w:val="5"/>
            <w:shd w:val="clear" w:color="auto" w:fill="CEFFE7"/>
          </w:tcPr>
          <w:p>
            <w:pPr>
              <w:jc w:val="center"/>
              <w:ind w:right="180"/>
              <w:spacing w:after="0" w:line="175" w:lineRule="exact"/>
              <w:rPr>
                <w:rFonts w:ascii="Arial" w:cs="Arial" w:eastAsia="Arial" w:hAnsi="Arial"/>
                <w:sz w:val="16"/>
                <w:szCs w:val="16"/>
                <w:color w:val="0000FF"/>
                <w:w w:val="97"/>
              </w:rPr>
            </w:pPr>
            <w:hyperlink w:anchor="page111">
              <w:r>
                <w:rPr>
                  <w:rFonts w:ascii="Arial" w:cs="Arial" w:eastAsia="Arial" w:hAnsi="Arial"/>
                  <w:sz w:val="16"/>
                  <w:szCs w:val="16"/>
                  <w:color w:val="0000FF"/>
                  <w:w w:val="97"/>
                </w:rPr>
                <w:t>111</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gridSpan w:val="20"/>
          </w:tcPr>
          <w:p>
            <w:pPr>
              <w:spacing w:after="0" w:line="175" w:lineRule="exact"/>
              <w:rPr>
                <w:rFonts w:ascii="Arial" w:cs="Arial" w:eastAsia="Arial" w:hAnsi="Arial"/>
                <w:sz w:val="16"/>
                <w:szCs w:val="16"/>
                <w:color w:val="0000FF"/>
              </w:rPr>
            </w:pPr>
            <w:hyperlink w:anchor="page114">
              <w:r>
                <w:rPr>
                  <w:rFonts w:ascii="Arial" w:cs="Arial" w:eastAsia="Arial" w:hAnsi="Arial"/>
                  <w:sz w:val="16"/>
                  <w:szCs w:val="16"/>
                  <w:color w:val="0000FF"/>
                </w:rPr>
                <w:t>Note 17. Subsequent Events</w:t>
              </w:r>
            </w:hyperlink>
          </w:p>
        </w:tc>
        <w:tc>
          <w:tcPr>
            <w:tcW w:w="5380" w:type="dxa"/>
            <w:vAlign w:val="bottom"/>
            <w:gridSpan w:val="14"/>
          </w:tcPr>
          <w:p>
            <w:pPr>
              <w:spacing w:after="0"/>
              <w:rPr>
                <w:sz w:val="15"/>
                <w:szCs w:val="15"/>
                <w:color w:val="auto"/>
              </w:rPr>
            </w:pPr>
          </w:p>
        </w:tc>
        <w:tc>
          <w:tcPr>
            <w:tcW w:w="920" w:type="dxa"/>
            <w:vAlign w:val="bottom"/>
            <w:gridSpan w:val="5"/>
          </w:tcPr>
          <w:p>
            <w:pPr>
              <w:jc w:val="center"/>
              <w:ind w:right="180"/>
              <w:spacing w:after="0" w:line="175" w:lineRule="exact"/>
              <w:rPr>
                <w:rFonts w:ascii="Arial" w:cs="Arial" w:eastAsia="Arial" w:hAnsi="Arial"/>
                <w:sz w:val="16"/>
                <w:szCs w:val="16"/>
                <w:color w:val="0000FF"/>
                <w:w w:val="97"/>
              </w:rPr>
            </w:pPr>
            <w:hyperlink w:anchor="page114">
              <w:r>
                <w:rPr>
                  <w:rFonts w:ascii="Arial" w:cs="Arial" w:eastAsia="Arial" w:hAnsi="Arial"/>
                  <w:sz w:val="16"/>
                  <w:szCs w:val="16"/>
                  <w:color w:val="0000FF"/>
                  <w:w w:val="97"/>
                </w:rPr>
                <w:t>114</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580" w:type="dxa"/>
            <w:vAlign w:val="bottom"/>
            <w:gridSpan w:val="3"/>
            <w:shd w:val="clear" w:color="auto" w:fill="CEFFE7"/>
          </w:tcPr>
          <w:p>
            <w:pPr>
              <w:spacing w:after="0" w:line="175" w:lineRule="exact"/>
              <w:rPr>
                <w:rFonts w:ascii="Arial" w:cs="Arial" w:eastAsia="Arial" w:hAnsi="Arial"/>
                <w:sz w:val="16"/>
                <w:szCs w:val="16"/>
                <w:color w:val="0000FF"/>
                <w:w w:val="99"/>
              </w:rPr>
            </w:pPr>
            <w:hyperlink w:anchor="page114">
              <w:r>
                <w:rPr>
                  <w:rFonts w:ascii="Arial" w:cs="Arial" w:eastAsia="Arial" w:hAnsi="Arial"/>
                  <w:sz w:val="16"/>
                  <w:szCs w:val="16"/>
                  <w:color w:val="0000FF"/>
                  <w:w w:val="99"/>
                </w:rPr>
                <w:t>ITEM 9.</w:t>
              </w:r>
            </w:hyperlink>
          </w:p>
        </w:tc>
        <w:tc>
          <w:tcPr>
            <w:tcW w:w="800" w:type="dxa"/>
            <w:vAlign w:val="bottom"/>
            <w:gridSpan w:val="4"/>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8580" w:type="dxa"/>
            <w:vAlign w:val="bottom"/>
            <w:gridSpan w:val="35"/>
            <w:shd w:val="clear" w:color="auto" w:fill="CEFFE7"/>
          </w:tcPr>
          <w:p>
            <w:pPr>
              <w:spacing w:after="0" w:line="175" w:lineRule="exact"/>
              <w:rPr>
                <w:rFonts w:ascii="Arial" w:cs="Arial" w:eastAsia="Arial" w:hAnsi="Arial"/>
                <w:sz w:val="16"/>
                <w:szCs w:val="16"/>
                <w:color w:val="0000FF"/>
              </w:rPr>
            </w:pPr>
            <w:hyperlink w:anchor="page114">
              <w:r>
                <w:rPr>
                  <w:rFonts w:ascii="Arial" w:cs="Arial" w:eastAsia="Arial" w:hAnsi="Arial"/>
                  <w:sz w:val="16"/>
                  <w:szCs w:val="16"/>
                  <w:color w:val="0000FF"/>
                </w:rPr>
                <w:t>CHANGES IN AND DISAGREEMENTS WITH ACCOUNTANTS ON ACCOUNTING AND FINANCIAL DISCLOSURE</w:t>
              </w:r>
            </w:hyperlink>
          </w:p>
        </w:tc>
        <w:tc>
          <w:tcPr>
            <w:tcW w:w="920" w:type="dxa"/>
            <w:vAlign w:val="bottom"/>
            <w:gridSpan w:val="5"/>
            <w:shd w:val="clear" w:color="auto" w:fill="CEFFE7"/>
          </w:tcPr>
          <w:p>
            <w:pPr>
              <w:jc w:val="center"/>
              <w:ind w:right="180"/>
              <w:spacing w:after="0" w:line="175" w:lineRule="exact"/>
              <w:rPr>
                <w:rFonts w:ascii="Arial" w:cs="Arial" w:eastAsia="Arial" w:hAnsi="Arial"/>
                <w:sz w:val="16"/>
                <w:szCs w:val="16"/>
                <w:color w:val="0000FF"/>
                <w:w w:val="97"/>
              </w:rPr>
            </w:pPr>
            <w:hyperlink w:anchor="page114">
              <w:r>
                <w:rPr>
                  <w:rFonts w:ascii="Arial" w:cs="Arial" w:eastAsia="Arial" w:hAnsi="Arial"/>
                  <w:sz w:val="16"/>
                  <w:szCs w:val="16"/>
                  <w:color w:val="0000FF"/>
                  <w:w w:val="97"/>
                </w:rPr>
                <w:t>114</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1100" w:type="dxa"/>
            <w:vAlign w:val="bottom"/>
            <w:tcBorders>
              <w:top w:val="single" w:sz="8" w:color="0000FF"/>
            </w:tcBorders>
            <w:shd w:val="clear" w:color="auto" w:fill="CEFFE7"/>
          </w:tcPr>
          <w:p>
            <w:pPr>
              <w:spacing w:after="0" w:line="20" w:lineRule="exact"/>
              <w:rPr>
                <w:sz w:val="1"/>
                <w:szCs w:val="1"/>
                <w:color w:val="auto"/>
              </w:rPr>
            </w:pPr>
          </w:p>
        </w:tc>
        <w:tc>
          <w:tcPr>
            <w:tcW w:w="56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9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380" w:type="dxa"/>
            <w:vAlign w:val="bottom"/>
            <w:gridSpan w:val="7"/>
          </w:tcPr>
          <w:p>
            <w:pPr>
              <w:spacing w:after="0" w:line="175" w:lineRule="exact"/>
              <w:rPr>
                <w:rFonts w:ascii="Arial" w:cs="Arial" w:eastAsia="Arial" w:hAnsi="Arial"/>
                <w:sz w:val="16"/>
                <w:szCs w:val="16"/>
                <w:color w:val="0000FF"/>
              </w:rPr>
            </w:pPr>
            <w:hyperlink w:anchor="page114">
              <w:r>
                <w:rPr>
                  <w:rFonts w:ascii="Arial" w:cs="Arial" w:eastAsia="Arial" w:hAnsi="Arial"/>
                  <w:sz w:val="16"/>
                  <w:szCs w:val="16"/>
                  <w:color w:val="0000FF"/>
                </w:rPr>
                <w:t>ITEM 9A.</w:t>
              </w:r>
            </w:hyperlink>
          </w:p>
        </w:tc>
        <w:tc>
          <w:tcPr>
            <w:tcW w:w="8920" w:type="dxa"/>
            <w:vAlign w:val="bottom"/>
            <w:gridSpan w:val="36"/>
          </w:tcPr>
          <w:p>
            <w:pPr>
              <w:ind w:left="340"/>
              <w:spacing w:after="0" w:line="175" w:lineRule="exact"/>
              <w:rPr>
                <w:rFonts w:ascii="Arial" w:cs="Arial" w:eastAsia="Arial" w:hAnsi="Arial"/>
                <w:sz w:val="16"/>
                <w:szCs w:val="16"/>
                <w:color w:val="0000FF"/>
              </w:rPr>
            </w:pPr>
            <w:hyperlink w:anchor="page114">
              <w:r>
                <w:rPr>
                  <w:rFonts w:ascii="Arial" w:cs="Arial" w:eastAsia="Arial" w:hAnsi="Arial"/>
                  <w:sz w:val="16"/>
                  <w:szCs w:val="16"/>
                  <w:color w:val="0000FF"/>
                </w:rPr>
                <w:t>CONTROLS AND PROCEDURES</w:t>
              </w:r>
            </w:hyperlink>
          </w:p>
        </w:tc>
        <w:tc>
          <w:tcPr>
            <w:tcW w:w="920" w:type="dxa"/>
            <w:vAlign w:val="bottom"/>
            <w:gridSpan w:val="5"/>
          </w:tcPr>
          <w:p>
            <w:pPr>
              <w:jc w:val="center"/>
              <w:ind w:right="180"/>
              <w:spacing w:after="0" w:line="175" w:lineRule="exact"/>
              <w:rPr>
                <w:rFonts w:ascii="Arial" w:cs="Arial" w:eastAsia="Arial" w:hAnsi="Arial"/>
                <w:sz w:val="16"/>
                <w:szCs w:val="16"/>
                <w:color w:val="0000FF"/>
                <w:w w:val="97"/>
              </w:rPr>
            </w:pPr>
            <w:hyperlink w:anchor="page114">
              <w:r>
                <w:rPr>
                  <w:rFonts w:ascii="Arial" w:cs="Arial" w:eastAsia="Arial" w:hAnsi="Arial"/>
                  <w:sz w:val="16"/>
                  <w:szCs w:val="16"/>
                  <w:color w:val="0000FF"/>
                  <w:w w:val="97"/>
                </w:rPr>
                <w:t>114</w:t>
              </w:r>
            </w:hyperlink>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1380" w:type="dxa"/>
            <w:vAlign w:val="bottom"/>
            <w:gridSpan w:val="7"/>
            <w:shd w:val="clear" w:color="auto" w:fill="CEFFE7"/>
          </w:tcPr>
          <w:p>
            <w:pPr>
              <w:spacing w:after="0" w:line="175" w:lineRule="exact"/>
              <w:rPr>
                <w:rFonts w:ascii="Arial" w:cs="Arial" w:eastAsia="Arial" w:hAnsi="Arial"/>
                <w:sz w:val="16"/>
                <w:szCs w:val="16"/>
                <w:color w:val="0000FF"/>
              </w:rPr>
            </w:pPr>
            <w:hyperlink w:anchor="page114">
              <w:r>
                <w:rPr>
                  <w:rFonts w:ascii="Arial" w:cs="Arial" w:eastAsia="Arial" w:hAnsi="Arial"/>
                  <w:sz w:val="16"/>
                  <w:szCs w:val="16"/>
                  <w:color w:val="0000FF"/>
                </w:rPr>
                <w:t>ITEM 9B.</w:t>
              </w:r>
            </w:hyperlink>
          </w:p>
        </w:tc>
        <w:tc>
          <w:tcPr>
            <w:tcW w:w="8920" w:type="dxa"/>
            <w:vAlign w:val="bottom"/>
            <w:gridSpan w:val="36"/>
            <w:shd w:val="clear" w:color="auto" w:fill="CEFFE7"/>
          </w:tcPr>
          <w:p>
            <w:pPr>
              <w:ind w:left="340"/>
              <w:spacing w:after="0" w:line="175" w:lineRule="exact"/>
              <w:rPr>
                <w:rFonts w:ascii="Arial" w:cs="Arial" w:eastAsia="Arial" w:hAnsi="Arial"/>
                <w:sz w:val="16"/>
                <w:szCs w:val="16"/>
                <w:color w:val="0000FF"/>
              </w:rPr>
            </w:pPr>
            <w:hyperlink w:anchor="page114">
              <w:r>
                <w:rPr>
                  <w:rFonts w:ascii="Arial" w:cs="Arial" w:eastAsia="Arial" w:hAnsi="Arial"/>
                  <w:sz w:val="16"/>
                  <w:szCs w:val="16"/>
                  <w:color w:val="0000FF"/>
                </w:rPr>
                <w:t>OTHER INFORMATION</w:t>
              </w:r>
            </w:hyperlink>
          </w:p>
        </w:tc>
        <w:tc>
          <w:tcPr>
            <w:tcW w:w="920" w:type="dxa"/>
            <w:vAlign w:val="bottom"/>
            <w:gridSpan w:val="5"/>
            <w:shd w:val="clear" w:color="auto" w:fill="CEFFE7"/>
          </w:tcPr>
          <w:p>
            <w:pPr>
              <w:jc w:val="center"/>
              <w:ind w:right="180"/>
              <w:spacing w:after="0" w:line="175" w:lineRule="exact"/>
              <w:rPr>
                <w:rFonts w:ascii="Arial" w:cs="Arial" w:eastAsia="Arial" w:hAnsi="Arial"/>
                <w:sz w:val="16"/>
                <w:szCs w:val="16"/>
                <w:color w:val="0000FF"/>
                <w:w w:val="97"/>
              </w:rPr>
            </w:pPr>
            <w:hyperlink w:anchor="page114">
              <w:r>
                <w:rPr>
                  <w:rFonts w:ascii="Arial" w:cs="Arial" w:eastAsia="Arial" w:hAnsi="Arial"/>
                  <w:sz w:val="16"/>
                  <w:szCs w:val="16"/>
                  <w:color w:val="0000FF"/>
                  <w:w w:val="97"/>
                </w:rPr>
                <w:t>114</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380" w:type="dxa"/>
            <w:vAlign w:val="bottom"/>
            <w:gridSpan w:val="7"/>
          </w:tcPr>
          <w:p>
            <w:pPr>
              <w:spacing w:after="0" w:line="175" w:lineRule="exact"/>
              <w:rPr>
                <w:rFonts w:ascii="Arial" w:cs="Arial" w:eastAsia="Arial" w:hAnsi="Arial"/>
                <w:sz w:val="16"/>
                <w:szCs w:val="16"/>
                <w:color w:val="0000FF"/>
              </w:rPr>
            </w:pPr>
            <w:hyperlink w:anchor="page114">
              <w:r>
                <w:rPr>
                  <w:rFonts w:ascii="Arial" w:cs="Arial" w:eastAsia="Arial" w:hAnsi="Arial"/>
                  <w:sz w:val="16"/>
                  <w:szCs w:val="16"/>
                  <w:color w:val="0000FF"/>
                </w:rPr>
                <w:t>ITEM 9C.</w:t>
              </w:r>
            </w:hyperlink>
          </w:p>
        </w:tc>
        <w:tc>
          <w:tcPr>
            <w:tcW w:w="8920" w:type="dxa"/>
            <w:vAlign w:val="bottom"/>
            <w:gridSpan w:val="36"/>
          </w:tcPr>
          <w:p>
            <w:pPr>
              <w:ind w:left="340"/>
              <w:spacing w:after="0" w:line="175" w:lineRule="exact"/>
              <w:rPr>
                <w:rFonts w:ascii="Arial" w:cs="Arial" w:eastAsia="Arial" w:hAnsi="Arial"/>
                <w:sz w:val="16"/>
                <w:szCs w:val="16"/>
                <w:color w:val="0000FF"/>
              </w:rPr>
            </w:pPr>
            <w:hyperlink w:anchor="page114">
              <w:r>
                <w:rPr>
                  <w:rFonts w:ascii="Arial" w:cs="Arial" w:eastAsia="Arial" w:hAnsi="Arial"/>
                  <w:sz w:val="16"/>
                  <w:szCs w:val="16"/>
                  <w:color w:val="0000FF"/>
                </w:rPr>
                <w:t>DISCLOSURE REGARDING FOREIGN JURISDICTIONS THAT PREVENT INSPECTIONS</w:t>
              </w:r>
            </w:hyperlink>
          </w:p>
        </w:tc>
        <w:tc>
          <w:tcPr>
            <w:tcW w:w="920" w:type="dxa"/>
            <w:vAlign w:val="bottom"/>
            <w:gridSpan w:val="5"/>
          </w:tcPr>
          <w:p>
            <w:pPr>
              <w:jc w:val="center"/>
              <w:ind w:right="180"/>
              <w:spacing w:after="0" w:line="175" w:lineRule="exact"/>
              <w:rPr>
                <w:rFonts w:ascii="Arial" w:cs="Arial" w:eastAsia="Arial" w:hAnsi="Arial"/>
                <w:sz w:val="16"/>
                <w:szCs w:val="16"/>
                <w:color w:val="0000FF"/>
                <w:w w:val="97"/>
              </w:rPr>
            </w:pPr>
            <w:hyperlink w:anchor="page114">
              <w:r>
                <w:rPr>
                  <w:rFonts w:ascii="Arial" w:cs="Arial" w:eastAsia="Arial" w:hAnsi="Arial"/>
                  <w:sz w:val="16"/>
                  <w:szCs w:val="16"/>
                  <w:color w:val="0000FF"/>
                  <w:w w:val="97"/>
                </w:rPr>
                <w:t>114</w:t>
              </w:r>
            </w:hyperlink>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1380" w:type="dxa"/>
            <w:vAlign w:val="bottom"/>
            <w:gridSpan w:val="7"/>
            <w:shd w:val="clear" w:color="auto" w:fill="CEFFE7"/>
          </w:tcPr>
          <w:p>
            <w:pPr>
              <w:spacing w:after="0" w:line="175" w:lineRule="exact"/>
              <w:rPr>
                <w:rFonts w:ascii="Arial" w:cs="Arial" w:eastAsia="Arial" w:hAnsi="Arial"/>
                <w:sz w:val="16"/>
                <w:szCs w:val="16"/>
                <w:b w:val="1"/>
                <w:bCs w:val="1"/>
                <w:color w:val="0000FF"/>
              </w:rPr>
            </w:pPr>
            <w:hyperlink w:anchor="page114">
              <w:r>
                <w:rPr>
                  <w:rFonts w:ascii="Arial" w:cs="Arial" w:eastAsia="Arial" w:hAnsi="Arial"/>
                  <w:sz w:val="16"/>
                  <w:szCs w:val="16"/>
                  <w:b w:val="1"/>
                  <w:bCs w:val="1"/>
                  <w:color w:val="0000FF"/>
                </w:rPr>
                <w:t>Part III</w:t>
              </w:r>
            </w:hyperlink>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22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6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48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6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480" w:type="dxa"/>
            <w:vAlign w:val="bottom"/>
            <w:shd w:val="clear" w:color="auto" w:fill="CEFFE7"/>
          </w:tcPr>
          <w:p>
            <w:pPr>
              <w:spacing w:after="0"/>
              <w:rPr>
                <w:sz w:val="15"/>
                <w:szCs w:val="15"/>
                <w:color w:val="auto"/>
              </w:rPr>
            </w:pPr>
          </w:p>
        </w:tc>
        <w:tc>
          <w:tcPr>
            <w:tcW w:w="1100" w:type="dxa"/>
            <w:vAlign w:val="bottom"/>
            <w:shd w:val="clear" w:color="auto" w:fill="CEFFE7"/>
          </w:tcPr>
          <w:p>
            <w:pPr>
              <w:spacing w:after="0"/>
              <w:rPr>
                <w:sz w:val="15"/>
                <w:szCs w:val="15"/>
                <w:color w:val="auto"/>
              </w:rPr>
            </w:pPr>
          </w:p>
        </w:tc>
        <w:tc>
          <w:tcPr>
            <w:tcW w:w="560" w:type="dxa"/>
            <w:vAlign w:val="bottom"/>
            <w:shd w:val="clear" w:color="auto" w:fill="CEFFE7"/>
          </w:tcPr>
          <w:p>
            <w:pPr>
              <w:spacing w:after="0"/>
              <w:rPr>
                <w:sz w:val="15"/>
                <w:szCs w:val="15"/>
                <w:color w:val="auto"/>
              </w:rPr>
            </w:pPr>
          </w:p>
        </w:tc>
        <w:tc>
          <w:tcPr>
            <w:tcW w:w="280" w:type="dxa"/>
            <w:vAlign w:val="bottom"/>
            <w:shd w:val="clear" w:color="auto" w:fill="CEFFE7"/>
          </w:tcPr>
          <w:p>
            <w:pPr>
              <w:spacing w:after="0"/>
              <w:rPr>
                <w:sz w:val="15"/>
                <w:szCs w:val="15"/>
                <w:color w:val="auto"/>
              </w:rPr>
            </w:pPr>
          </w:p>
        </w:tc>
        <w:tc>
          <w:tcPr>
            <w:tcW w:w="960" w:type="dxa"/>
            <w:vAlign w:val="bottom"/>
            <w:shd w:val="clear" w:color="auto" w:fill="CEFFE7"/>
          </w:tcPr>
          <w:p>
            <w:pPr>
              <w:spacing w:after="0"/>
              <w:rPr>
                <w:sz w:val="15"/>
                <w:szCs w:val="15"/>
                <w:color w:val="auto"/>
              </w:rPr>
            </w:pPr>
          </w:p>
        </w:tc>
        <w:tc>
          <w:tcPr>
            <w:tcW w:w="22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420" w:type="dxa"/>
            <w:vAlign w:val="bottom"/>
            <w:shd w:val="clear" w:color="auto" w:fill="CEFFE7"/>
          </w:tcPr>
          <w:p>
            <w:pPr>
              <w:spacing w:after="0"/>
              <w:rPr>
                <w:sz w:val="15"/>
                <w:szCs w:val="15"/>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2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gridSpan w:val="7"/>
          </w:tcPr>
          <w:p>
            <w:pPr>
              <w:spacing w:after="0" w:line="175" w:lineRule="exact"/>
              <w:rPr>
                <w:rFonts w:ascii="Arial" w:cs="Arial" w:eastAsia="Arial" w:hAnsi="Arial"/>
                <w:sz w:val="16"/>
                <w:szCs w:val="16"/>
                <w:color w:val="0000FF"/>
              </w:rPr>
            </w:pPr>
            <w:hyperlink w:anchor="page115">
              <w:r>
                <w:rPr>
                  <w:rFonts w:ascii="Arial" w:cs="Arial" w:eastAsia="Arial" w:hAnsi="Arial"/>
                  <w:sz w:val="16"/>
                  <w:szCs w:val="16"/>
                  <w:color w:val="0000FF"/>
                </w:rPr>
                <w:t>ITEM 10.</w:t>
              </w:r>
            </w:hyperlink>
          </w:p>
        </w:tc>
        <w:tc>
          <w:tcPr>
            <w:tcW w:w="8920" w:type="dxa"/>
            <w:vAlign w:val="bottom"/>
            <w:gridSpan w:val="36"/>
          </w:tcPr>
          <w:p>
            <w:pPr>
              <w:ind w:left="340"/>
              <w:spacing w:after="0" w:line="175" w:lineRule="exact"/>
              <w:rPr>
                <w:rFonts w:ascii="Arial" w:cs="Arial" w:eastAsia="Arial" w:hAnsi="Arial"/>
                <w:sz w:val="16"/>
                <w:szCs w:val="16"/>
                <w:color w:val="0000FF"/>
              </w:rPr>
            </w:pPr>
            <w:hyperlink w:anchor="page115">
              <w:r>
                <w:rPr>
                  <w:rFonts w:ascii="Arial" w:cs="Arial" w:eastAsia="Arial" w:hAnsi="Arial"/>
                  <w:sz w:val="16"/>
                  <w:szCs w:val="16"/>
                  <w:color w:val="0000FF"/>
                </w:rPr>
                <w:t>DIRECTORS, EXECUTIVE OFFICERS AND CORPORATE GOVERNANCE</w:t>
              </w:r>
            </w:hyperlink>
          </w:p>
        </w:tc>
        <w:tc>
          <w:tcPr>
            <w:tcW w:w="920" w:type="dxa"/>
            <w:vAlign w:val="bottom"/>
            <w:gridSpan w:val="5"/>
          </w:tcPr>
          <w:p>
            <w:pPr>
              <w:jc w:val="center"/>
              <w:ind w:right="180"/>
              <w:spacing w:after="0" w:line="175" w:lineRule="exact"/>
              <w:rPr>
                <w:rFonts w:ascii="Arial" w:cs="Arial" w:eastAsia="Arial" w:hAnsi="Arial"/>
                <w:sz w:val="16"/>
                <w:szCs w:val="16"/>
                <w:color w:val="0000FF"/>
                <w:w w:val="97"/>
              </w:rPr>
            </w:pPr>
            <w:hyperlink w:anchor="page115">
              <w:r>
                <w:rPr>
                  <w:rFonts w:ascii="Arial" w:cs="Arial" w:eastAsia="Arial" w:hAnsi="Arial"/>
                  <w:sz w:val="16"/>
                  <w:szCs w:val="16"/>
                  <w:color w:val="0000FF"/>
                  <w:w w:val="97"/>
                </w:rPr>
                <w:t>115</w:t>
              </w:r>
            </w:hyperlink>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1380" w:type="dxa"/>
            <w:vAlign w:val="bottom"/>
            <w:gridSpan w:val="7"/>
            <w:shd w:val="clear" w:color="auto" w:fill="CEFFE7"/>
          </w:tcPr>
          <w:p>
            <w:pPr>
              <w:spacing w:after="0" w:line="175" w:lineRule="exact"/>
              <w:rPr>
                <w:rFonts w:ascii="Arial" w:cs="Arial" w:eastAsia="Arial" w:hAnsi="Arial"/>
                <w:sz w:val="16"/>
                <w:szCs w:val="16"/>
                <w:color w:val="0000FF"/>
              </w:rPr>
            </w:pPr>
            <w:hyperlink w:anchor="page115">
              <w:r>
                <w:rPr>
                  <w:rFonts w:ascii="Arial" w:cs="Arial" w:eastAsia="Arial" w:hAnsi="Arial"/>
                  <w:sz w:val="16"/>
                  <w:szCs w:val="16"/>
                  <w:color w:val="0000FF"/>
                </w:rPr>
                <w:t>ITEM 11.</w:t>
              </w:r>
            </w:hyperlink>
          </w:p>
        </w:tc>
        <w:tc>
          <w:tcPr>
            <w:tcW w:w="8920" w:type="dxa"/>
            <w:vAlign w:val="bottom"/>
            <w:gridSpan w:val="36"/>
            <w:shd w:val="clear" w:color="auto" w:fill="CEFFE7"/>
          </w:tcPr>
          <w:p>
            <w:pPr>
              <w:ind w:left="340"/>
              <w:spacing w:after="0" w:line="175" w:lineRule="exact"/>
              <w:rPr>
                <w:rFonts w:ascii="Arial" w:cs="Arial" w:eastAsia="Arial" w:hAnsi="Arial"/>
                <w:sz w:val="16"/>
                <w:szCs w:val="16"/>
                <w:color w:val="0000FF"/>
              </w:rPr>
            </w:pPr>
            <w:hyperlink w:anchor="page115">
              <w:r>
                <w:rPr>
                  <w:rFonts w:ascii="Arial" w:cs="Arial" w:eastAsia="Arial" w:hAnsi="Arial"/>
                  <w:sz w:val="16"/>
                  <w:szCs w:val="16"/>
                  <w:color w:val="0000FF"/>
                </w:rPr>
                <w:t>EXECUTIVE COMPENSATION</w:t>
              </w:r>
            </w:hyperlink>
          </w:p>
        </w:tc>
        <w:tc>
          <w:tcPr>
            <w:tcW w:w="920" w:type="dxa"/>
            <w:vAlign w:val="bottom"/>
            <w:gridSpan w:val="5"/>
            <w:shd w:val="clear" w:color="auto" w:fill="CEFFE7"/>
          </w:tcPr>
          <w:p>
            <w:pPr>
              <w:jc w:val="center"/>
              <w:ind w:right="180"/>
              <w:spacing w:after="0" w:line="175" w:lineRule="exact"/>
              <w:rPr>
                <w:rFonts w:ascii="Arial" w:cs="Arial" w:eastAsia="Arial" w:hAnsi="Arial"/>
                <w:sz w:val="16"/>
                <w:szCs w:val="16"/>
                <w:color w:val="0000FF"/>
                <w:w w:val="97"/>
              </w:rPr>
            </w:pPr>
            <w:hyperlink w:anchor="page115">
              <w:r>
                <w:rPr>
                  <w:rFonts w:ascii="Arial" w:cs="Arial" w:eastAsia="Arial" w:hAnsi="Arial"/>
                  <w:sz w:val="16"/>
                  <w:szCs w:val="16"/>
                  <w:color w:val="0000FF"/>
                  <w:w w:val="97"/>
                </w:rPr>
                <w:t>115</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380" w:type="dxa"/>
            <w:vAlign w:val="bottom"/>
            <w:gridSpan w:val="7"/>
          </w:tcPr>
          <w:p>
            <w:pPr>
              <w:spacing w:after="0" w:line="175" w:lineRule="exact"/>
              <w:rPr>
                <w:rFonts w:ascii="Arial" w:cs="Arial" w:eastAsia="Arial" w:hAnsi="Arial"/>
                <w:sz w:val="16"/>
                <w:szCs w:val="16"/>
                <w:color w:val="0000FF"/>
              </w:rPr>
            </w:pPr>
            <w:hyperlink w:anchor="page115">
              <w:r>
                <w:rPr>
                  <w:rFonts w:ascii="Arial" w:cs="Arial" w:eastAsia="Arial" w:hAnsi="Arial"/>
                  <w:sz w:val="16"/>
                  <w:szCs w:val="16"/>
                  <w:color w:val="0000FF"/>
                </w:rPr>
                <w:t>ITEM 12.</w:t>
              </w:r>
            </w:hyperlink>
          </w:p>
        </w:tc>
        <w:tc>
          <w:tcPr>
            <w:tcW w:w="8920" w:type="dxa"/>
            <w:vAlign w:val="bottom"/>
            <w:gridSpan w:val="36"/>
          </w:tcPr>
          <w:p>
            <w:pPr>
              <w:ind w:left="340"/>
              <w:spacing w:after="0" w:line="175" w:lineRule="exact"/>
              <w:rPr>
                <w:rFonts w:ascii="Arial" w:cs="Arial" w:eastAsia="Arial" w:hAnsi="Arial"/>
                <w:sz w:val="16"/>
                <w:szCs w:val="16"/>
                <w:color w:val="0000FF"/>
              </w:rPr>
            </w:pPr>
            <w:hyperlink w:anchor="page115">
              <w:r>
                <w:rPr>
                  <w:rFonts w:ascii="Arial" w:cs="Arial" w:eastAsia="Arial" w:hAnsi="Arial"/>
                  <w:sz w:val="16"/>
                  <w:szCs w:val="16"/>
                  <w:color w:val="0000FF"/>
                </w:rPr>
                <w:t>SECURITY OWNERSHIP OF CERTAIN BENEFICIAL OWNERS AND MANAGEMENT AND RELATED</w:t>
              </w:r>
            </w:hyperlink>
          </w:p>
        </w:tc>
        <w:tc>
          <w:tcPr>
            <w:tcW w:w="920" w:type="dxa"/>
            <w:vAlign w:val="bottom"/>
            <w:gridSpan w:val="5"/>
          </w:tcPr>
          <w:p>
            <w:pPr>
              <w:jc w:val="center"/>
              <w:ind w:right="180"/>
              <w:spacing w:after="0" w:line="175" w:lineRule="exact"/>
              <w:rPr>
                <w:rFonts w:ascii="Arial" w:cs="Arial" w:eastAsia="Arial" w:hAnsi="Arial"/>
                <w:sz w:val="16"/>
                <w:szCs w:val="16"/>
                <w:color w:val="0000FF"/>
                <w:w w:val="97"/>
              </w:rPr>
            </w:pPr>
            <w:hyperlink w:anchor="page115">
              <w:r>
                <w:rPr>
                  <w:rFonts w:ascii="Arial" w:cs="Arial" w:eastAsia="Arial" w:hAnsi="Arial"/>
                  <w:sz w:val="16"/>
                  <w:szCs w:val="16"/>
                  <w:color w:val="0000FF"/>
                  <w:w w:val="97"/>
                </w:rPr>
                <w:t>115</w:t>
              </w:r>
            </w:hyperlink>
          </w:p>
        </w:tc>
      </w:tr>
      <w:tr>
        <w:trPr>
          <w:trHeight w:val="142"/>
        </w:trPr>
        <w:tc>
          <w:tcPr>
            <w:tcW w:w="20" w:type="dxa"/>
            <w:vAlign w:val="bottom"/>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w:anchor="page115">
              <w:r>
                <w:rPr>
                  <w:rFonts w:ascii="Arial" w:cs="Arial" w:eastAsia="Arial" w:hAnsi="Arial"/>
                  <w:sz w:val="16"/>
                  <w:szCs w:val="16"/>
                  <w:color w:val="0000FF"/>
                </w:rPr>
                <w:t>STOCKHOLDER MATTERS</w:t>
              </w:r>
            </w:hyperlink>
          </w:p>
        </w:tc>
        <w:tc>
          <w:tcPr>
            <w:tcW w:w="11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1380" w:type="dxa"/>
            <w:vAlign w:val="bottom"/>
            <w:gridSpan w:val="7"/>
            <w:shd w:val="clear" w:color="auto" w:fill="CEFFE7"/>
          </w:tcPr>
          <w:p>
            <w:pPr>
              <w:spacing w:after="0" w:line="175" w:lineRule="exact"/>
              <w:rPr>
                <w:rFonts w:ascii="Arial" w:cs="Arial" w:eastAsia="Arial" w:hAnsi="Arial"/>
                <w:sz w:val="16"/>
                <w:szCs w:val="16"/>
                <w:color w:val="0000FF"/>
              </w:rPr>
            </w:pPr>
            <w:hyperlink w:anchor="page115">
              <w:r>
                <w:rPr>
                  <w:rFonts w:ascii="Arial" w:cs="Arial" w:eastAsia="Arial" w:hAnsi="Arial"/>
                  <w:sz w:val="16"/>
                  <w:szCs w:val="16"/>
                  <w:color w:val="0000FF"/>
                </w:rPr>
                <w:t>ITEM 13.</w:t>
              </w:r>
            </w:hyperlink>
          </w:p>
        </w:tc>
        <w:tc>
          <w:tcPr>
            <w:tcW w:w="8920" w:type="dxa"/>
            <w:vAlign w:val="bottom"/>
            <w:gridSpan w:val="36"/>
            <w:shd w:val="clear" w:color="auto" w:fill="CEFFE7"/>
          </w:tcPr>
          <w:p>
            <w:pPr>
              <w:ind w:left="340"/>
              <w:spacing w:after="0" w:line="175" w:lineRule="exact"/>
              <w:rPr>
                <w:rFonts w:ascii="Arial" w:cs="Arial" w:eastAsia="Arial" w:hAnsi="Arial"/>
                <w:sz w:val="16"/>
                <w:szCs w:val="16"/>
                <w:color w:val="0000FF"/>
              </w:rPr>
            </w:pPr>
            <w:hyperlink w:anchor="page115">
              <w:r>
                <w:rPr>
                  <w:rFonts w:ascii="Arial" w:cs="Arial" w:eastAsia="Arial" w:hAnsi="Arial"/>
                  <w:sz w:val="16"/>
                  <w:szCs w:val="16"/>
                  <w:color w:val="0000FF"/>
                </w:rPr>
                <w:t>CERTAIN RELATIONSHIPS AND RELATED TRANSACTIONS AND DIRECTOR INDEPENDENCE</w:t>
              </w:r>
            </w:hyperlink>
          </w:p>
        </w:tc>
        <w:tc>
          <w:tcPr>
            <w:tcW w:w="920" w:type="dxa"/>
            <w:vAlign w:val="bottom"/>
            <w:gridSpan w:val="5"/>
            <w:shd w:val="clear" w:color="auto" w:fill="CEFFE7"/>
          </w:tcPr>
          <w:p>
            <w:pPr>
              <w:jc w:val="center"/>
              <w:ind w:right="180"/>
              <w:spacing w:after="0" w:line="175" w:lineRule="exact"/>
              <w:rPr>
                <w:rFonts w:ascii="Arial" w:cs="Arial" w:eastAsia="Arial" w:hAnsi="Arial"/>
                <w:sz w:val="16"/>
                <w:szCs w:val="16"/>
                <w:color w:val="0000FF"/>
                <w:w w:val="97"/>
              </w:rPr>
            </w:pPr>
            <w:hyperlink w:anchor="page115">
              <w:r>
                <w:rPr>
                  <w:rFonts w:ascii="Arial" w:cs="Arial" w:eastAsia="Arial" w:hAnsi="Arial"/>
                  <w:sz w:val="16"/>
                  <w:szCs w:val="16"/>
                  <w:color w:val="0000FF"/>
                  <w:w w:val="97"/>
                </w:rPr>
                <w:t>115</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80" w:type="dxa"/>
            <w:vAlign w:val="bottom"/>
            <w:tcBorders>
              <w:top w:val="single" w:sz="8" w:color="0000FF"/>
            </w:tcBorders>
            <w:shd w:val="clear" w:color="auto" w:fill="CEFFE7"/>
          </w:tcPr>
          <w:p>
            <w:pPr>
              <w:spacing w:after="0" w:line="20" w:lineRule="exact"/>
              <w:rPr>
                <w:sz w:val="1"/>
                <w:szCs w:val="1"/>
                <w:color w:val="auto"/>
              </w:rPr>
            </w:pPr>
          </w:p>
        </w:tc>
        <w:tc>
          <w:tcPr>
            <w:tcW w:w="1100" w:type="dxa"/>
            <w:vAlign w:val="bottom"/>
            <w:tcBorders>
              <w:top w:val="single" w:sz="8" w:color="0000FF"/>
            </w:tcBorders>
            <w:shd w:val="clear" w:color="auto" w:fill="CEFFE7"/>
          </w:tcPr>
          <w:p>
            <w:pPr>
              <w:spacing w:after="0" w:line="20" w:lineRule="exact"/>
              <w:rPr>
                <w:sz w:val="1"/>
                <w:szCs w:val="1"/>
                <w:color w:val="auto"/>
              </w:rPr>
            </w:pPr>
          </w:p>
        </w:tc>
        <w:tc>
          <w:tcPr>
            <w:tcW w:w="56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380" w:type="dxa"/>
            <w:vAlign w:val="bottom"/>
            <w:gridSpan w:val="7"/>
          </w:tcPr>
          <w:p>
            <w:pPr>
              <w:spacing w:after="0" w:line="175" w:lineRule="exact"/>
              <w:rPr>
                <w:rFonts w:ascii="Arial" w:cs="Arial" w:eastAsia="Arial" w:hAnsi="Arial"/>
                <w:sz w:val="16"/>
                <w:szCs w:val="16"/>
                <w:color w:val="0000FF"/>
              </w:rPr>
            </w:pPr>
            <w:hyperlink w:anchor="page115">
              <w:r>
                <w:rPr>
                  <w:rFonts w:ascii="Arial" w:cs="Arial" w:eastAsia="Arial" w:hAnsi="Arial"/>
                  <w:sz w:val="16"/>
                  <w:szCs w:val="16"/>
                  <w:color w:val="0000FF"/>
                </w:rPr>
                <w:t>ITEM 14.</w:t>
              </w:r>
            </w:hyperlink>
          </w:p>
        </w:tc>
        <w:tc>
          <w:tcPr>
            <w:tcW w:w="8920" w:type="dxa"/>
            <w:vAlign w:val="bottom"/>
            <w:gridSpan w:val="36"/>
          </w:tcPr>
          <w:p>
            <w:pPr>
              <w:ind w:left="340"/>
              <w:spacing w:after="0" w:line="175" w:lineRule="exact"/>
              <w:rPr>
                <w:rFonts w:ascii="Arial" w:cs="Arial" w:eastAsia="Arial" w:hAnsi="Arial"/>
                <w:sz w:val="16"/>
                <w:szCs w:val="16"/>
                <w:color w:val="0000FF"/>
              </w:rPr>
            </w:pPr>
            <w:hyperlink w:anchor="page115">
              <w:r>
                <w:rPr>
                  <w:rFonts w:ascii="Arial" w:cs="Arial" w:eastAsia="Arial" w:hAnsi="Arial"/>
                  <w:sz w:val="16"/>
                  <w:szCs w:val="16"/>
                  <w:color w:val="0000FF"/>
                </w:rPr>
                <w:t>PRINCIPAL ACCOUNTANT FEES AND SERVICES</w:t>
              </w:r>
            </w:hyperlink>
          </w:p>
        </w:tc>
        <w:tc>
          <w:tcPr>
            <w:tcW w:w="920" w:type="dxa"/>
            <w:vAlign w:val="bottom"/>
            <w:gridSpan w:val="5"/>
          </w:tcPr>
          <w:p>
            <w:pPr>
              <w:jc w:val="center"/>
              <w:ind w:right="180"/>
              <w:spacing w:after="0" w:line="175" w:lineRule="exact"/>
              <w:rPr>
                <w:rFonts w:ascii="Arial" w:cs="Arial" w:eastAsia="Arial" w:hAnsi="Arial"/>
                <w:sz w:val="16"/>
                <w:szCs w:val="16"/>
                <w:color w:val="0000FF"/>
                <w:w w:val="97"/>
              </w:rPr>
            </w:pPr>
            <w:hyperlink w:anchor="page115">
              <w:r>
                <w:rPr>
                  <w:rFonts w:ascii="Arial" w:cs="Arial" w:eastAsia="Arial" w:hAnsi="Arial"/>
                  <w:sz w:val="16"/>
                  <w:szCs w:val="16"/>
                  <w:color w:val="0000FF"/>
                  <w:w w:val="97"/>
                </w:rPr>
                <w:t>115</w:t>
              </w:r>
            </w:hyperlink>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20" w:type="dxa"/>
            <w:vAlign w:val="bottom"/>
            <w:tcBorders>
              <w:bottom w:val="single" w:sz="8" w:color="CEFFE7"/>
            </w:tcBorders>
            <w:shd w:val="clear" w:color="auto" w:fill="CEFFE7"/>
          </w:tcPr>
          <w:p>
            <w:pPr>
              <w:spacing w:after="0"/>
              <w:rPr>
                <w:sz w:val="17"/>
                <w:szCs w:val="17"/>
                <w:color w:val="auto"/>
              </w:rPr>
            </w:pPr>
          </w:p>
        </w:tc>
        <w:tc>
          <w:tcPr>
            <w:tcW w:w="520" w:type="dxa"/>
            <w:vAlign w:val="bottom"/>
            <w:tcBorders>
              <w:bottom w:val="single" w:sz="8" w:color="0000FF"/>
            </w:tcBorders>
            <w:gridSpan w:val="2"/>
            <w:shd w:val="clear" w:color="auto" w:fill="CEFFE7"/>
          </w:tcPr>
          <w:p>
            <w:pPr>
              <w:spacing w:after="0" w:line="175" w:lineRule="exact"/>
              <w:rPr>
                <w:rFonts w:ascii="Arial" w:cs="Arial" w:eastAsia="Arial" w:hAnsi="Arial"/>
                <w:sz w:val="16"/>
                <w:szCs w:val="16"/>
                <w:b w:val="1"/>
                <w:bCs w:val="1"/>
                <w:color w:val="0000FF"/>
                <w:w w:val="98"/>
              </w:rPr>
            </w:pPr>
            <w:hyperlink w:anchor="page115">
              <w:r>
                <w:rPr>
                  <w:rFonts w:ascii="Arial" w:cs="Arial" w:eastAsia="Arial" w:hAnsi="Arial"/>
                  <w:sz w:val="16"/>
                  <w:szCs w:val="16"/>
                  <w:b w:val="1"/>
                  <w:bCs w:val="1"/>
                  <w:color w:val="0000FF"/>
                  <w:w w:val="98"/>
                </w:rPr>
                <w:t>Part IV</w:t>
              </w:r>
            </w:hyperlink>
          </w:p>
        </w:tc>
        <w:tc>
          <w:tcPr>
            <w:tcW w:w="860" w:type="dxa"/>
            <w:vAlign w:val="bottom"/>
            <w:tcBorders>
              <w:bottom w:val="single" w:sz="8" w:color="CEFFE7"/>
            </w:tcBorders>
            <w:gridSpan w:val="5"/>
            <w:shd w:val="clear" w:color="auto" w:fill="CEFFE7"/>
          </w:tcPr>
          <w:p>
            <w:pPr>
              <w:spacing w:after="0"/>
              <w:rPr>
                <w:sz w:val="17"/>
                <w:szCs w:val="17"/>
                <w:color w:val="auto"/>
              </w:rPr>
            </w:pPr>
          </w:p>
        </w:tc>
        <w:tc>
          <w:tcPr>
            <w:tcW w:w="340" w:type="dxa"/>
            <w:vAlign w:val="bottom"/>
            <w:tcBorders>
              <w:bottom w:val="single" w:sz="8" w:color="CEFFE7"/>
            </w:tcBorders>
            <w:shd w:val="clear" w:color="auto" w:fill="CEFFE7"/>
          </w:tcPr>
          <w:p>
            <w:pPr>
              <w:spacing w:after="0"/>
              <w:rPr>
                <w:sz w:val="17"/>
                <w:szCs w:val="17"/>
                <w:color w:val="auto"/>
              </w:rPr>
            </w:pPr>
          </w:p>
        </w:tc>
        <w:tc>
          <w:tcPr>
            <w:tcW w:w="340" w:type="dxa"/>
            <w:vAlign w:val="bottom"/>
            <w:tcBorders>
              <w:bottom w:val="single" w:sz="8" w:color="CEFFE7"/>
            </w:tcBorders>
            <w:shd w:val="clear" w:color="auto" w:fill="CEFFE7"/>
          </w:tcPr>
          <w:p>
            <w:pPr>
              <w:spacing w:after="0"/>
              <w:rPr>
                <w:sz w:val="17"/>
                <w:szCs w:val="17"/>
                <w:color w:val="auto"/>
              </w:rPr>
            </w:pPr>
          </w:p>
        </w:tc>
        <w:tc>
          <w:tcPr>
            <w:tcW w:w="1220" w:type="dxa"/>
            <w:vAlign w:val="bottom"/>
            <w:tcBorders>
              <w:bottom w:val="single" w:sz="8" w:color="CEFFE7"/>
            </w:tcBorders>
            <w:shd w:val="clear" w:color="auto" w:fill="CEFFE7"/>
          </w:tcPr>
          <w:p>
            <w:pPr>
              <w:spacing w:after="0"/>
              <w:rPr>
                <w:sz w:val="17"/>
                <w:szCs w:val="17"/>
                <w:color w:val="auto"/>
              </w:rPr>
            </w:pPr>
          </w:p>
        </w:tc>
        <w:tc>
          <w:tcPr>
            <w:tcW w:w="40" w:type="dxa"/>
            <w:vAlign w:val="bottom"/>
            <w:tcBorders>
              <w:bottom w:val="single" w:sz="8" w:color="CEFFE7"/>
            </w:tcBorders>
            <w:shd w:val="clear" w:color="auto" w:fill="CEFFE7"/>
          </w:tcPr>
          <w:p>
            <w:pPr>
              <w:spacing w:after="0"/>
              <w:rPr>
                <w:sz w:val="17"/>
                <w:szCs w:val="17"/>
                <w:color w:val="auto"/>
              </w:rPr>
            </w:pPr>
          </w:p>
        </w:tc>
        <w:tc>
          <w:tcPr>
            <w:tcW w:w="140" w:type="dxa"/>
            <w:vAlign w:val="bottom"/>
            <w:tcBorders>
              <w:bottom w:val="single" w:sz="8" w:color="CEFFE7"/>
            </w:tcBorders>
            <w:shd w:val="clear" w:color="auto" w:fill="CEFFE7"/>
          </w:tcPr>
          <w:p>
            <w:pPr>
              <w:spacing w:after="0"/>
              <w:rPr>
                <w:sz w:val="17"/>
                <w:szCs w:val="17"/>
                <w:color w:val="auto"/>
              </w:rPr>
            </w:pPr>
          </w:p>
        </w:tc>
        <w:tc>
          <w:tcPr>
            <w:tcW w:w="260" w:type="dxa"/>
            <w:vAlign w:val="bottom"/>
            <w:tcBorders>
              <w:bottom w:val="single" w:sz="8" w:color="CEFFE7"/>
            </w:tcBorders>
            <w:shd w:val="clear" w:color="auto" w:fill="CEFFE7"/>
          </w:tcPr>
          <w:p>
            <w:pPr>
              <w:spacing w:after="0"/>
              <w:rPr>
                <w:sz w:val="17"/>
                <w:szCs w:val="17"/>
                <w:color w:val="auto"/>
              </w:rPr>
            </w:pPr>
          </w:p>
        </w:tc>
        <w:tc>
          <w:tcPr>
            <w:tcW w:w="40" w:type="dxa"/>
            <w:vAlign w:val="bottom"/>
            <w:tcBorders>
              <w:bottom w:val="single" w:sz="8" w:color="CEFFE7"/>
            </w:tcBorders>
            <w:shd w:val="clear" w:color="auto" w:fill="CEFFE7"/>
          </w:tcPr>
          <w:p>
            <w:pPr>
              <w:spacing w:after="0"/>
              <w:rPr>
                <w:sz w:val="17"/>
                <w:szCs w:val="17"/>
                <w:color w:val="auto"/>
              </w:rPr>
            </w:pPr>
          </w:p>
        </w:tc>
        <w:tc>
          <w:tcPr>
            <w:tcW w:w="80" w:type="dxa"/>
            <w:vAlign w:val="bottom"/>
            <w:tcBorders>
              <w:bottom w:val="single" w:sz="8" w:color="CEFFE7"/>
            </w:tcBorders>
            <w:shd w:val="clear" w:color="auto" w:fill="CEFFE7"/>
          </w:tcPr>
          <w:p>
            <w:pPr>
              <w:spacing w:after="0"/>
              <w:rPr>
                <w:sz w:val="17"/>
                <w:szCs w:val="17"/>
                <w:color w:val="auto"/>
              </w:rPr>
            </w:pPr>
          </w:p>
        </w:tc>
        <w:tc>
          <w:tcPr>
            <w:tcW w:w="140" w:type="dxa"/>
            <w:vAlign w:val="bottom"/>
            <w:tcBorders>
              <w:bottom w:val="single" w:sz="8" w:color="CEFFE7"/>
            </w:tcBorders>
            <w:shd w:val="clear" w:color="auto" w:fill="CEFFE7"/>
          </w:tcPr>
          <w:p>
            <w:pPr>
              <w:spacing w:after="0"/>
              <w:rPr>
                <w:sz w:val="17"/>
                <w:szCs w:val="17"/>
                <w:color w:val="auto"/>
              </w:rPr>
            </w:pPr>
          </w:p>
        </w:tc>
        <w:tc>
          <w:tcPr>
            <w:tcW w:w="20" w:type="dxa"/>
            <w:vAlign w:val="bottom"/>
            <w:tcBorders>
              <w:bottom w:val="single" w:sz="8" w:color="CEFFE7"/>
            </w:tcBorders>
            <w:shd w:val="clear" w:color="auto" w:fill="CEFFE7"/>
          </w:tcPr>
          <w:p>
            <w:pPr>
              <w:spacing w:after="0"/>
              <w:rPr>
                <w:sz w:val="17"/>
                <w:szCs w:val="17"/>
                <w:color w:val="auto"/>
              </w:rPr>
            </w:pPr>
          </w:p>
        </w:tc>
        <w:tc>
          <w:tcPr>
            <w:tcW w:w="120" w:type="dxa"/>
            <w:vAlign w:val="bottom"/>
            <w:tcBorders>
              <w:bottom w:val="single" w:sz="8" w:color="CEFFE7"/>
            </w:tcBorders>
            <w:shd w:val="clear" w:color="auto" w:fill="CEFFE7"/>
          </w:tcPr>
          <w:p>
            <w:pPr>
              <w:spacing w:after="0"/>
              <w:rPr>
                <w:sz w:val="17"/>
                <w:szCs w:val="17"/>
                <w:color w:val="auto"/>
              </w:rPr>
            </w:pPr>
          </w:p>
        </w:tc>
        <w:tc>
          <w:tcPr>
            <w:tcW w:w="80" w:type="dxa"/>
            <w:vAlign w:val="bottom"/>
            <w:tcBorders>
              <w:bottom w:val="single" w:sz="8" w:color="CEFFE7"/>
            </w:tcBorders>
            <w:shd w:val="clear" w:color="auto" w:fill="CEFFE7"/>
          </w:tcPr>
          <w:p>
            <w:pPr>
              <w:spacing w:after="0"/>
              <w:rPr>
                <w:sz w:val="17"/>
                <w:szCs w:val="17"/>
                <w:color w:val="auto"/>
              </w:rPr>
            </w:pPr>
          </w:p>
        </w:tc>
        <w:tc>
          <w:tcPr>
            <w:tcW w:w="80" w:type="dxa"/>
            <w:vAlign w:val="bottom"/>
            <w:tcBorders>
              <w:bottom w:val="single" w:sz="8" w:color="CEFFE7"/>
            </w:tcBorders>
            <w:shd w:val="clear" w:color="auto" w:fill="CEFFE7"/>
          </w:tcPr>
          <w:p>
            <w:pPr>
              <w:spacing w:after="0"/>
              <w:rPr>
                <w:sz w:val="17"/>
                <w:szCs w:val="17"/>
                <w:color w:val="auto"/>
              </w:rPr>
            </w:pPr>
          </w:p>
        </w:tc>
        <w:tc>
          <w:tcPr>
            <w:tcW w:w="40" w:type="dxa"/>
            <w:vAlign w:val="bottom"/>
            <w:tcBorders>
              <w:bottom w:val="single" w:sz="8" w:color="CEFFE7"/>
            </w:tcBorders>
            <w:shd w:val="clear" w:color="auto" w:fill="CEFFE7"/>
          </w:tcPr>
          <w:p>
            <w:pPr>
              <w:spacing w:after="0"/>
              <w:rPr>
                <w:sz w:val="17"/>
                <w:szCs w:val="17"/>
                <w:color w:val="auto"/>
              </w:rPr>
            </w:pPr>
          </w:p>
        </w:tc>
        <w:tc>
          <w:tcPr>
            <w:tcW w:w="20" w:type="dxa"/>
            <w:vAlign w:val="bottom"/>
            <w:tcBorders>
              <w:bottom w:val="single" w:sz="8" w:color="CEFFE7"/>
            </w:tcBorders>
            <w:shd w:val="clear" w:color="auto" w:fill="CEFFE7"/>
          </w:tcPr>
          <w:p>
            <w:pPr>
              <w:spacing w:after="0"/>
              <w:rPr>
                <w:sz w:val="17"/>
                <w:szCs w:val="17"/>
                <w:color w:val="auto"/>
              </w:rPr>
            </w:pPr>
          </w:p>
        </w:tc>
        <w:tc>
          <w:tcPr>
            <w:tcW w:w="100" w:type="dxa"/>
            <w:vAlign w:val="bottom"/>
            <w:tcBorders>
              <w:bottom w:val="single" w:sz="8" w:color="CEFFE7"/>
            </w:tcBorders>
            <w:shd w:val="clear" w:color="auto" w:fill="CEFFE7"/>
          </w:tcPr>
          <w:p>
            <w:pPr>
              <w:spacing w:after="0"/>
              <w:rPr>
                <w:sz w:val="17"/>
                <w:szCs w:val="17"/>
                <w:color w:val="auto"/>
              </w:rPr>
            </w:pPr>
          </w:p>
        </w:tc>
        <w:tc>
          <w:tcPr>
            <w:tcW w:w="120" w:type="dxa"/>
            <w:vAlign w:val="bottom"/>
            <w:tcBorders>
              <w:bottom w:val="single" w:sz="8" w:color="CEFFE7"/>
            </w:tcBorders>
            <w:shd w:val="clear" w:color="auto" w:fill="CEFFE7"/>
          </w:tcPr>
          <w:p>
            <w:pPr>
              <w:spacing w:after="0"/>
              <w:rPr>
                <w:sz w:val="17"/>
                <w:szCs w:val="17"/>
                <w:color w:val="auto"/>
              </w:rPr>
            </w:pPr>
          </w:p>
        </w:tc>
        <w:tc>
          <w:tcPr>
            <w:tcW w:w="40" w:type="dxa"/>
            <w:vAlign w:val="bottom"/>
            <w:tcBorders>
              <w:bottom w:val="single" w:sz="8" w:color="CEFFE7"/>
            </w:tcBorders>
            <w:shd w:val="clear" w:color="auto" w:fill="CEFFE7"/>
          </w:tcPr>
          <w:p>
            <w:pPr>
              <w:spacing w:after="0"/>
              <w:rPr>
                <w:sz w:val="17"/>
                <w:szCs w:val="17"/>
                <w:color w:val="auto"/>
              </w:rPr>
            </w:pPr>
          </w:p>
        </w:tc>
        <w:tc>
          <w:tcPr>
            <w:tcW w:w="120" w:type="dxa"/>
            <w:vAlign w:val="bottom"/>
            <w:tcBorders>
              <w:bottom w:val="single" w:sz="8" w:color="CEFFE7"/>
            </w:tcBorders>
            <w:shd w:val="clear" w:color="auto" w:fill="CEFFE7"/>
          </w:tcPr>
          <w:p>
            <w:pPr>
              <w:spacing w:after="0"/>
              <w:rPr>
                <w:sz w:val="17"/>
                <w:szCs w:val="17"/>
                <w:color w:val="auto"/>
              </w:rPr>
            </w:pPr>
          </w:p>
        </w:tc>
        <w:tc>
          <w:tcPr>
            <w:tcW w:w="100" w:type="dxa"/>
            <w:vAlign w:val="bottom"/>
            <w:tcBorders>
              <w:bottom w:val="single" w:sz="8" w:color="CEFFE7"/>
            </w:tcBorders>
            <w:shd w:val="clear" w:color="auto" w:fill="CEFFE7"/>
          </w:tcPr>
          <w:p>
            <w:pPr>
              <w:spacing w:after="0"/>
              <w:rPr>
                <w:sz w:val="17"/>
                <w:szCs w:val="17"/>
                <w:color w:val="auto"/>
              </w:rPr>
            </w:pPr>
          </w:p>
        </w:tc>
        <w:tc>
          <w:tcPr>
            <w:tcW w:w="60" w:type="dxa"/>
            <w:vAlign w:val="bottom"/>
            <w:tcBorders>
              <w:bottom w:val="single" w:sz="8" w:color="CEFFE7"/>
            </w:tcBorders>
            <w:shd w:val="clear" w:color="auto" w:fill="CEFFE7"/>
          </w:tcPr>
          <w:p>
            <w:pPr>
              <w:spacing w:after="0"/>
              <w:rPr>
                <w:sz w:val="17"/>
                <w:szCs w:val="17"/>
                <w:color w:val="auto"/>
              </w:rPr>
            </w:pPr>
          </w:p>
        </w:tc>
        <w:tc>
          <w:tcPr>
            <w:tcW w:w="40" w:type="dxa"/>
            <w:vAlign w:val="bottom"/>
            <w:tcBorders>
              <w:bottom w:val="single" w:sz="8" w:color="CEFFE7"/>
            </w:tcBorders>
            <w:shd w:val="clear" w:color="auto" w:fill="CEFFE7"/>
          </w:tcPr>
          <w:p>
            <w:pPr>
              <w:spacing w:after="0"/>
              <w:rPr>
                <w:sz w:val="17"/>
                <w:szCs w:val="17"/>
                <w:color w:val="auto"/>
              </w:rPr>
            </w:pPr>
          </w:p>
        </w:tc>
        <w:tc>
          <w:tcPr>
            <w:tcW w:w="180" w:type="dxa"/>
            <w:vAlign w:val="bottom"/>
            <w:tcBorders>
              <w:bottom w:val="single" w:sz="8" w:color="CEFFE7"/>
            </w:tcBorders>
            <w:shd w:val="clear" w:color="auto" w:fill="CEFFE7"/>
          </w:tcPr>
          <w:p>
            <w:pPr>
              <w:spacing w:after="0"/>
              <w:rPr>
                <w:sz w:val="17"/>
                <w:szCs w:val="17"/>
                <w:color w:val="auto"/>
              </w:rPr>
            </w:pPr>
          </w:p>
        </w:tc>
        <w:tc>
          <w:tcPr>
            <w:tcW w:w="80" w:type="dxa"/>
            <w:vAlign w:val="bottom"/>
            <w:tcBorders>
              <w:bottom w:val="single" w:sz="8" w:color="CEFFE7"/>
            </w:tcBorders>
            <w:shd w:val="clear" w:color="auto" w:fill="CEFFE7"/>
          </w:tcPr>
          <w:p>
            <w:pPr>
              <w:spacing w:after="0"/>
              <w:rPr>
                <w:sz w:val="17"/>
                <w:szCs w:val="17"/>
                <w:color w:val="auto"/>
              </w:rPr>
            </w:pPr>
          </w:p>
        </w:tc>
        <w:tc>
          <w:tcPr>
            <w:tcW w:w="260" w:type="dxa"/>
            <w:vAlign w:val="bottom"/>
            <w:tcBorders>
              <w:bottom w:val="single" w:sz="8" w:color="CEFFE7"/>
            </w:tcBorders>
            <w:shd w:val="clear" w:color="auto" w:fill="CEFFE7"/>
          </w:tcPr>
          <w:p>
            <w:pPr>
              <w:spacing w:after="0"/>
              <w:rPr>
                <w:sz w:val="17"/>
                <w:szCs w:val="17"/>
                <w:color w:val="auto"/>
              </w:rPr>
            </w:pPr>
          </w:p>
        </w:tc>
        <w:tc>
          <w:tcPr>
            <w:tcW w:w="20" w:type="dxa"/>
            <w:vAlign w:val="bottom"/>
            <w:tcBorders>
              <w:bottom w:val="single" w:sz="8" w:color="CEFFE7"/>
            </w:tcBorders>
            <w:shd w:val="clear" w:color="auto" w:fill="CEFFE7"/>
          </w:tcPr>
          <w:p>
            <w:pPr>
              <w:spacing w:after="0"/>
              <w:rPr>
                <w:sz w:val="17"/>
                <w:szCs w:val="17"/>
                <w:color w:val="auto"/>
              </w:rPr>
            </w:pPr>
          </w:p>
        </w:tc>
        <w:tc>
          <w:tcPr>
            <w:tcW w:w="480" w:type="dxa"/>
            <w:vAlign w:val="bottom"/>
            <w:tcBorders>
              <w:bottom w:val="single" w:sz="8" w:color="CEFFE7"/>
            </w:tcBorders>
            <w:shd w:val="clear" w:color="auto" w:fill="CEFFE7"/>
          </w:tcPr>
          <w:p>
            <w:pPr>
              <w:spacing w:after="0"/>
              <w:rPr>
                <w:sz w:val="17"/>
                <w:szCs w:val="17"/>
                <w:color w:val="auto"/>
              </w:rPr>
            </w:pPr>
          </w:p>
        </w:tc>
        <w:tc>
          <w:tcPr>
            <w:tcW w:w="40" w:type="dxa"/>
            <w:vAlign w:val="bottom"/>
            <w:tcBorders>
              <w:bottom w:val="single" w:sz="8" w:color="CEFFE7"/>
            </w:tcBorders>
            <w:shd w:val="clear" w:color="auto" w:fill="CEFFE7"/>
          </w:tcPr>
          <w:p>
            <w:pPr>
              <w:spacing w:after="0"/>
              <w:rPr>
                <w:sz w:val="17"/>
                <w:szCs w:val="17"/>
                <w:color w:val="auto"/>
              </w:rPr>
            </w:pPr>
          </w:p>
        </w:tc>
        <w:tc>
          <w:tcPr>
            <w:tcW w:w="620" w:type="dxa"/>
            <w:vAlign w:val="bottom"/>
            <w:tcBorders>
              <w:bottom w:val="single" w:sz="8" w:color="CEFFE7"/>
            </w:tcBorders>
            <w:shd w:val="clear" w:color="auto" w:fill="CEFFE7"/>
          </w:tcPr>
          <w:p>
            <w:pPr>
              <w:spacing w:after="0"/>
              <w:rPr>
                <w:sz w:val="17"/>
                <w:szCs w:val="17"/>
                <w:color w:val="auto"/>
              </w:rPr>
            </w:pPr>
          </w:p>
        </w:tc>
        <w:tc>
          <w:tcPr>
            <w:tcW w:w="100" w:type="dxa"/>
            <w:vAlign w:val="bottom"/>
            <w:tcBorders>
              <w:bottom w:val="single" w:sz="8" w:color="CEFFE7"/>
            </w:tcBorders>
            <w:shd w:val="clear" w:color="auto" w:fill="CEFFE7"/>
          </w:tcPr>
          <w:p>
            <w:pPr>
              <w:spacing w:after="0"/>
              <w:rPr>
                <w:sz w:val="17"/>
                <w:szCs w:val="17"/>
                <w:color w:val="auto"/>
              </w:rPr>
            </w:pPr>
          </w:p>
        </w:tc>
        <w:tc>
          <w:tcPr>
            <w:tcW w:w="480" w:type="dxa"/>
            <w:vAlign w:val="bottom"/>
            <w:tcBorders>
              <w:bottom w:val="single" w:sz="8" w:color="CEFFE7"/>
            </w:tcBorders>
            <w:shd w:val="clear" w:color="auto" w:fill="CEFFE7"/>
          </w:tcPr>
          <w:p>
            <w:pPr>
              <w:spacing w:after="0"/>
              <w:rPr>
                <w:sz w:val="17"/>
                <w:szCs w:val="17"/>
                <w:color w:val="auto"/>
              </w:rPr>
            </w:pPr>
          </w:p>
        </w:tc>
        <w:tc>
          <w:tcPr>
            <w:tcW w:w="1100" w:type="dxa"/>
            <w:vAlign w:val="bottom"/>
            <w:tcBorders>
              <w:bottom w:val="single" w:sz="8" w:color="CEFFE7"/>
            </w:tcBorders>
            <w:shd w:val="clear" w:color="auto" w:fill="CEFFE7"/>
          </w:tcPr>
          <w:p>
            <w:pPr>
              <w:spacing w:after="0"/>
              <w:rPr>
                <w:sz w:val="17"/>
                <w:szCs w:val="17"/>
                <w:color w:val="auto"/>
              </w:rPr>
            </w:pPr>
          </w:p>
        </w:tc>
        <w:tc>
          <w:tcPr>
            <w:tcW w:w="560" w:type="dxa"/>
            <w:vAlign w:val="bottom"/>
            <w:tcBorders>
              <w:bottom w:val="single" w:sz="8" w:color="CEFFE7"/>
            </w:tcBorders>
            <w:shd w:val="clear" w:color="auto" w:fill="CEFFE7"/>
          </w:tcPr>
          <w:p>
            <w:pPr>
              <w:spacing w:after="0"/>
              <w:rPr>
                <w:sz w:val="17"/>
                <w:szCs w:val="17"/>
                <w:color w:val="auto"/>
              </w:rPr>
            </w:pPr>
          </w:p>
        </w:tc>
        <w:tc>
          <w:tcPr>
            <w:tcW w:w="280" w:type="dxa"/>
            <w:vAlign w:val="bottom"/>
            <w:tcBorders>
              <w:bottom w:val="single" w:sz="8" w:color="CEFFE7"/>
            </w:tcBorders>
            <w:shd w:val="clear" w:color="auto" w:fill="CEFFE7"/>
          </w:tcPr>
          <w:p>
            <w:pPr>
              <w:spacing w:after="0"/>
              <w:rPr>
                <w:sz w:val="17"/>
                <w:szCs w:val="17"/>
                <w:color w:val="auto"/>
              </w:rPr>
            </w:pPr>
          </w:p>
        </w:tc>
        <w:tc>
          <w:tcPr>
            <w:tcW w:w="960" w:type="dxa"/>
            <w:vAlign w:val="bottom"/>
            <w:tcBorders>
              <w:bottom w:val="single" w:sz="8" w:color="CEFFE7"/>
            </w:tcBorders>
            <w:shd w:val="clear" w:color="auto" w:fill="CEFFE7"/>
          </w:tcPr>
          <w:p>
            <w:pPr>
              <w:spacing w:after="0"/>
              <w:rPr>
                <w:sz w:val="17"/>
                <w:szCs w:val="17"/>
                <w:color w:val="auto"/>
              </w:rPr>
            </w:pPr>
          </w:p>
        </w:tc>
        <w:tc>
          <w:tcPr>
            <w:tcW w:w="220" w:type="dxa"/>
            <w:vAlign w:val="bottom"/>
            <w:tcBorders>
              <w:bottom w:val="single" w:sz="8" w:color="CEFFE7"/>
            </w:tcBorders>
            <w:shd w:val="clear" w:color="auto" w:fill="CEFFE7"/>
          </w:tcPr>
          <w:p>
            <w:pPr>
              <w:spacing w:after="0"/>
              <w:rPr>
                <w:sz w:val="17"/>
                <w:szCs w:val="17"/>
                <w:color w:val="auto"/>
              </w:rPr>
            </w:pPr>
          </w:p>
        </w:tc>
        <w:tc>
          <w:tcPr>
            <w:tcW w:w="240" w:type="dxa"/>
            <w:vAlign w:val="bottom"/>
            <w:tcBorders>
              <w:bottom w:val="single" w:sz="8" w:color="CEFFE7"/>
            </w:tcBorders>
            <w:shd w:val="clear" w:color="auto" w:fill="CEFFE7"/>
          </w:tcPr>
          <w:p>
            <w:pPr>
              <w:spacing w:after="0"/>
              <w:rPr>
                <w:sz w:val="17"/>
                <w:szCs w:val="17"/>
                <w:color w:val="auto"/>
              </w:rPr>
            </w:pPr>
          </w:p>
        </w:tc>
        <w:tc>
          <w:tcPr>
            <w:tcW w:w="40" w:type="dxa"/>
            <w:vAlign w:val="bottom"/>
            <w:tcBorders>
              <w:bottom w:val="single" w:sz="8" w:color="CEFFE7"/>
            </w:tcBorders>
            <w:shd w:val="clear" w:color="auto" w:fill="CEFFE7"/>
          </w:tcPr>
          <w:p>
            <w:pPr>
              <w:spacing w:after="0"/>
              <w:rPr>
                <w:sz w:val="17"/>
                <w:szCs w:val="17"/>
                <w:color w:val="auto"/>
              </w:rPr>
            </w:pPr>
          </w:p>
        </w:tc>
        <w:tc>
          <w:tcPr>
            <w:tcW w:w="180" w:type="dxa"/>
            <w:vAlign w:val="bottom"/>
            <w:tcBorders>
              <w:bottom w:val="single" w:sz="8" w:color="CEFFE7"/>
            </w:tcBorders>
            <w:shd w:val="clear" w:color="auto" w:fill="CEFFE7"/>
          </w:tcPr>
          <w:p>
            <w:pPr>
              <w:spacing w:after="0"/>
              <w:rPr>
                <w:sz w:val="17"/>
                <w:szCs w:val="17"/>
                <w:color w:val="auto"/>
              </w:rPr>
            </w:pPr>
          </w:p>
        </w:tc>
        <w:tc>
          <w:tcPr>
            <w:tcW w:w="40" w:type="dxa"/>
            <w:vAlign w:val="bottom"/>
            <w:tcBorders>
              <w:bottom w:val="single" w:sz="8" w:color="CEFFE7"/>
            </w:tcBorders>
            <w:shd w:val="clear" w:color="auto" w:fill="CEFFE7"/>
          </w:tcPr>
          <w:p>
            <w:pPr>
              <w:spacing w:after="0"/>
              <w:rPr>
                <w:sz w:val="17"/>
                <w:szCs w:val="17"/>
                <w:color w:val="auto"/>
              </w:rPr>
            </w:pPr>
          </w:p>
        </w:tc>
        <w:tc>
          <w:tcPr>
            <w:tcW w:w="420" w:type="dxa"/>
            <w:vAlign w:val="bottom"/>
            <w:tcBorders>
              <w:bottom w:val="single" w:sz="8" w:color="CEFFE7"/>
            </w:tcBorders>
            <w:shd w:val="clear" w:color="auto" w:fill="CEFFE7"/>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380" w:type="dxa"/>
            <w:vAlign w:val="bottom"/>
            <w:gridSpan w:val="7"/>
          </w:tcPr>
          <w:p>
            <w:pPr>
              <w:spacing w:after="0" w:line="175" w:lineRule="exact"/>
              <w:rPr>
                <w:rFonts w:ascii="Arial" w:cs="Arial" w:eastAsia="Arial" w:hAnsi="Arial"/>
                <w:sz w:val="16"/>
                <w:szCs w:val="16"/>
                <w:color w:val="0000FF"/>
              </w:rPr>
            </w:pPr>
            <w:hyperlink w:anchor="page115">
              <w:r>
                <w:rPr>
                  <w:rFonts w:ascii="Arial" w:cs="Arial" w:eastAsia="Arial" w:hAnsi="Arial"/>
                  <w:sz w:val="16"/>
                  <w:szCs w:val="16"/>
                  <w:color w:val="0000FF"/>
                </w:rPr>
                <w:t>ITEM 15.</w:t>
              </w:r>
            </w:hyperlink>
          </w:p>
        </w:tc>
        <w:tc>
          <w:tcPr>
            <w:tcW w:w="8920" w:type="dxa"/>
            <w:vAlign w:val="bottom"/>
            <w:gridSpan w:val="36"/>
          </w:tcPr>
          <w:p>
            <w:pPr>
              <w:ind w:left="340"/>
              <w:spacing w:after="0" w:line="175" w:lineRule="exact"/>
              <w:rPr>
                <w:rFonts w:ascii="Arial" w:cs="Arial" w:eastAsia="Arial" w:hAnsi="Arial"/>
                <w:sz w:val="16"/>
                <w:szCs w:val="16"/>
                <w:color w:val="0000FF"/>
              </w:rPr>
            </w:pPr>
            <w:hyperlink w:anchor="page115">
              <w:r>
                <w:rPr>
                  <w:rFonts w:ascii="Arial" w:cs="Arial" w:eastAsia="Arial" w:hAnsi="Arial"/>
                  <w:sz w:val="16"/>
                  <w:szCs w:val="16"/>
                  <w:color w:val="0000FF"/>
                </w:rPr>
                <w:t>EXHIBITS, FINANCIAL STATEMENT SCHEDULES</w:t>
              </w:r>
            </w:hyperlink>
          </w:p>
        </w:tc>
        <w:tc>
          <w:tcPr>
            <w:tcW w:w="920" w:type="dxa"/>
            <w:vAlign w:val="bottom"/>
            <w:gridSpan w:val="5"/>
          </w:tcPr>
          <w:p>
            <w:pPr>
              <w:jc w:val="center"/>
              <w:ind w:right="180"/>
              <w:spacing w:after="0" w:line="175" w:lineRule="exact"/>
              <w:rPr>
                <w:rFonts w:ascii="Arial" w:cs="Arial" w:eastAsia="Arial" w:hAnsi="Arial"/>
                <w:sz w:val="16"/>
                <w:szCs w:val="16"/>
                <w:color w:val="0000FF"/>
                <w:w w:val="97"/>
              </w:rPr>
            </w:pPr>
            <w:hyperlink w:anchor="page115">
              <w:r>
                <w:rPr>
                  <w:rFonts w:ascii="Arial" w:cs="Arial" w:eastAsia="Arial" w:hAnsi="Arial"/>
                  <w:sz w:val="16"/>
                  <w:szCs w:val="16"/>
                  <w:color w:val="0000FF"/>
                  <w:w w:val="97"/>
                </w:rPr>
                <w:t>115</w:t>
              </w:r>
            </w:hyperlink>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1380" w:type="dxa"/>
            <w:vAlign w:val="bottom"/>
            <w:gridSpan w:val="7"/>
            <w:shd w:val="clear" w:color="auto" w:fill="CEFFE7"/>
          </w:tcPr>
          <w:p>
            <w:pPr>
              <w:spacing w:after="0" w:line="175" w:lineRule="exact"/>
              <w:rPr>
                <w:rFonts w:ascii="Arial" w:cs="Arial" w:eastAsia="Arial" w:hAnsi="Arial"/>
                <w:sz w:val="16"/>
                <w:szCs w:val="16"/>
                <w:color w:val="0000FF"/>
              </w:rPr>
            </w:pPr>
            <w:hyperlink w:anchor="page119">
              <w:r>
                <w:rPr>
                  <w:rFonts w:ascii="Arial" w:cs="Arial" w:eastAsia="Arial" w:hAnsi="Arial"/>
                  <w:sz w:val="16"/>
                  <w:szCs w:val="16"/>
                  <w:color w:val="0000FF"/>
                </w:rPr>
                <w:t>ITEM 16.</w:t>
              </w:r>
            </w:hyperlink>
          </w:p>
        </w:tc>
        <w:tc>
          <w:tcPr>
            <w:tcW w:w="8920" w:type="dxa"/>
            <w:vAlign w:val="bottom"/>
            <w:gridSpan w:val="36"/>
            <w:shd w:val="clear" w:color="auto" w:fill="CEFFE7"/>
          </w:tcPr>
          <w:p>
            <w:pPr>
              <w:ind w:left="340"/>
              <w:spacing w:after="0" w:line="175" w:lineRule="exact"/>
              <w:rPr>
                <w:rFonts w:ascii="Arial" w:cs="Arial" w:eastAsia="Arial" w:hAnsi="Arial"/>
                <w:sz w:val="16"/>
                <w:szCs w:val="16"/>
                <w:color w:val="0000FF"/>
              </w:rPr>
            </w:pPr>
            <w:hyperlink w:anchor="page119">
              <w:r>
                <w:rPr>
                  <w:rFonts w:ascii="Arial" w:cs="Arial" w:eastAsia="Arial" w:hAnsi="Arial"/>
                  <w:sz w:val="16"/>
                  <w:szCs w:val="16"/>
                  <w:color w:val="0000FF"/>
                </w:rPr>
                <w:t>FORM 10-K SUMMARY</w:t>
              </w:r>
            </w:hyperlink>
          </w:p>
        </w:tc>
        <w:tc>
          <w:tcPr>
            <w:tcW w:w="920" w:type="dxa"/>
            <w:vAlign w:val="bottom"/>
            <w:gridSpan w:val="5"/>
            <w:shd w:val="clear" w:color="auto" w:fill="CEFFE7"/>
          </w:tcPr>
          <w:p>
            <w:pPr>
              <w:jc w:val="center"/>
              <w:ind w:right="180"/>
              <w:spacing w:after="0" w:line="175" w:lineRule="exact"/>
              <w:rPr>
                <w:rFonts w:ascii="Arial" w:cs="Arial" w:eastAsia="Arial" w:hAnsi="Arial"/>
                <w:sz w:val="16"/>
                <w:szCs w:val="16"/>
                <w:color w:val="0000FF"/>
                <w:w w:val="97"/>
              </w:rPr>
            </w:pPr>
            <w:hyperlink w:anchor="page119">
              <w:r>
                <w:rPr>
                  <w:rFonts w:ascii="Arial" w:cs="Arial" w:eastAsia="Arial" w:hAnsi="Arial"/>
                  <w:sz w:val="16"/>
                  <w:szCs w:val="16"/>
                  <w:color w:val="0000FF"/>
                  <w:w w:val="97"/>
                </w:rPr>
                <w:t>119</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6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5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2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380" w:type="dxa"/>
            <w:vAlign w:val="bottom"/>
            <w:gridSpan w:val="7"/>
          </w:tcPr>
          <w:p>
            <w:pPr>
              <w:spacing w:after="0" w:line="175" w:lineRule="exact"/>
              <w:rPr>
                <w:rFonts w:ascii="Arial" w:cs="Arial" w:eastAsia="Arial" w:hAnsi="Arial"/>
                <w:sz w:val="16"/>
                <w:szCs w:val="16"/>
                <w:color w:val="0000FF"/>
              </w:rPr>
            </w:pPr>
            <w:hyperlink w:anchor="page119">
              <w:r>
                <w:rPr>
                  <w:rFonts w:ascii="Arial" w:cs="Arial" w:eastAsia="Arial" w:hAnsi="Arial"/>
                  <w:sz w:val="16"/>
                  <w:szCs w:val="16"/>
                  <w:color w:val="0000FF"/>
                </w:rPr>
                <w:t>SIGNATURES</w:t>
              </w:r>
            </w:hyperlink>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5"/>
          </w:tcPr>
          <w:p>
            <w:pPr>
              <w:jc w:val="center"/>
              <w:ind w:right="180"/>
              <w:spacing w:after="0" w:line="175" w:lineRule="exact"/>
              <w:rPr>
                <w:rFonts w:ascii="Arial" w:cs="Arial" w:eastAsia="Arial" w:hAnsi="Arial"/>
                <w:sz w:val="16"/>
                <w:szCs w:val="16"/>
                <w:color w:val="0000FF"/>
                <w:w w:val="97"/>
              </w:rPr>
            </w:pPr>
            <w:hyperlink w:anchor="page119">
              <w:r>
                <w:rPr>
                  <w:rFonts w:ascii="Arial" w:cs="Arial" w:eastAsia="Arial" w:hAnsi="Arial"/>
                  <w:sz w:val="16"/>
                  <w:szCs w:val="16"/>
                  <w:color w:val="0000FF"/>
                  <w:w w:val="97"/>
                </w:rPr>
                <w:t>120</w:t>
              </w:r>
            </w:hyperlink>
          </w:p>
        </w:tc>
      </w:tr>
      <w:tr>
        <w:trPr>
          <w:trHeight w:val="770"/>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gridSpan w:val="27"/>
          </w:tcPr>
          <w:p>
            <w:pPr>
              <w:jc w:val="right"/>
              <w:ind w:right="300"/>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40" w:type="dxa"/>
            <w:vAlign w:val="bottom"/>
          </w:tcPr>
          <w:p>
            <w:pPr>
              <w:spacing w:after="0"/>
              <w:rPr>
                <w:sz w:val="18"/>
                <w:szCs w:val="18"/>
                <w:color w:val="auto"/>
              </w:rPr>
            </w:pPr>
          </w:p>
        </w:tc>
        <w:tc>
          <w:tcPr>
            <w:tcW w:w="8100" w:type="dxa"/>
            <w:vAlign w:val="bottom"/>
          </w:tcPr>
          <w:p>
            <w:pPr>
              <w:ind w:left="70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432"/>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14"/>
        </w:trPr>
        <w:tc>
          <w:tcPr>
            <w:tcW w:w="3140" w:type="dxa"/>
            <w:vAlign w:val="bottom"/>
          </w:tcPr>
          <w:p>
            <w:pPr>
              <w:spacing w:after="0"/>
              <w:rPr>
                <w:sz w:val="9"/>
                <w:szCs w:val="9"/>
                <w:color w:val="auto"/>
              </w:rPr>
            </w:pPr>
          </w:p>
        </w:tc>
        <w:tc>
          <w:tcPr>
            <w:tcW w:w="8100" w:type="dxa"/>
            <w:vAlign w:val="bottom"/>
          </w:tcPr>
          <w:p>
            <w:pPr>
              <w:spacing w:after="0"/>
              <w:rPr>
                <w:sz w:val="9"/>
                <w:szCs w:val="9"/>
                <w:color w:val="auto"/>
              </w:rPr>
            </w:pPr>
          </w:p>
        </w:tc>
      </w:tr>
      <w:tr>
        <w:trPr>
          <w:trHeight w:val="216"/>
        </w:trPr>
        <w:tc>
          <w:tcPr>
            <w:tcW w:w="3140" w:type="dxa"/>
            <w:vAlign w:val="bottom"/>
            <w:shd w:val="clear" w:color="auto" w:fill="CEFFE7"/>
          </w:tcPr>
          <w:p>
            <w:pPr>
              <w:ind w:left="20"/>
              <w:spacing w:after="0"/>
              <w:rPr>
                <w:sz w:val="20"/>
                <w:szCs w:val="20"/>
                <w:color w:val="auto"/>
              </w:rPr>
            </w:pPr>
            <w:r>
              <w:rPr>
                <w:rFonts w:ascii="Arial" w:cs="Arial" w:eastAsia="Arial" w:hAnsi="Arial"/>
                <w:sz w:val="16"/>
                <w:szCs w:val="16"/>
                <w:color w:val="auto"/>
              </w:rPr>
              <w:t>AC</w:t>
            </w:r>
          </w:p>
        </w:tc>
        <w:tc>
          <w:tcPr>
            <w:tcW w:w="8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Alternating Current</w:t>
            </w: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AFUDC</w:t>
            </w:r>
          </w:p>
        </w:tc>
        <w:tc>
          <w:tcPr>
            <w:tcW w:w="8100" w:type="dxa"/>
            <w:vAlign w:val="bottom"/>
          </w:tcPr>
          <w:p>
            <w:pPr>
              <w:ind w:left="160"/>
              <w:spacing w:after="0"/>
              <w:rPr>
                <w:sz w:val="20"/>
                <w:szCs w:val="20"/>
                <w:color w:val="auto"/>
              </w:rPr>
            </w:pPr>
            <w:r>
              <w:rPr>
                <w:rFonts w:ascii="Arial" w:cs="Arial" w:eastAsia="Arial" w:hAnsi="Arial"/>
                <w:sz w:val="16"/>
                <w:szCs w:val="16"/>
                <w:color w:val="auto"/>
              </w:rPr>
              <w:t>Allowance for Funds Used During Construction</w:t>
            </w:r>
          </w:p>
        </w:tc>
      </w:tr>
      <w:tr>
        <w:trPr>
          <w:trHeight w:val="219"/>
        </w:trPr>
        <w:tc>
          <w:tcPr>
            <w:tcW w:w="3140" w:type="dxa"/>
            <w:vAlign w:val="bottom"/>
            <w:shd w:val="clear" w:color="auto" w:fill="CEFFE7"/>
          </w:tcPr>
          <w:p>
            <w:pPr>
              <w:ind w:left="20"/>
              <w:spacing w:after="0"/>
              <w:rPr>
                <w:sz w:val="20"/>
                <w:szCs w:val="20"/>
                <w:color w:val="auto"/>
              </w:rPr>
            </w:pPr>
            <w:r>
              <w:rPr>
                <w:rFonts w:ascii="Arial" w:cs="Arial" w:eastAsia="Arial" w:hAnsi="Arial"/>
                <w:sz w:val="16"/>
                <w:szCs w:val="16"/>
                <w:color w:val="auto"/>
              </w:rPr>
              <w:t>AOCI</w:t>
            </w:r>
          </w:p>
        </w:tc>
        <w:tc>
          <w:tcPr>
            <w:tcW w:w="8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Accumulated Other Comprehensive Income (Loss)</w:t>
            </w: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APSC</w:t>
            </w:r>
          </w:p>
        </w:tc>
        <w:tc>
          <w:tcPr>
            <w:tcW w:w="8100" w:type="dxa"/>
            <w:vAlign w:val="bottom"/>
          </w:tcPr>
          <w:p>
            <w:pPr>
              <w:ind w:left="160"/>
              <w:spacing w:after="0"/>
              <w:rPr>
                <w:sz w:val="20"/>
                <w:szCs w:val="20"/>
                <w:color w:val="auto"/>
              </w:rPr>
            </w:pPr>
            <w:r>
              <w:rPr>
                <w:rFonts w:ascii="Arial" w:cs="Arial" w:eastAsia="Arial" w:hAnsi="Arial"/>
                <w:sz w:val="16"/>
                <w:szCs w:val="16"/>
                <w:color w:val="auto"/>
              </w:rPr>
              <w:t>Arkansas Public Service Commission</w:t>
            </w:r>
          </w:p>
        </w:tc>
      </w:tr>
      <w:tr>
        <w:trPr>
          <w:trHeight w:val="180"/>
        </w:trPr>
        <w:tc>
          <w:tcPr>
            <w:tcW w:w="314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Arkansas Gas</w:t>
            </w:r>
          </w:p>
        </w:tc>
        <w:tc>
          <w:tcPr>
            <w:tcW w:w="810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Black Hills Energy Arkansas, Inc., an indirect, wholly-owned subsidiary of Black Hills Utility Holdings, providing</w:t>
            </w:r>
          </w:p>
        </w:tc>
      </w:tr>
      <w:tr>
        <w:trPr>
          <w:trHeight w:val="201"/>
        </w:trPr>
        <w:tc>
          <w:tcPr>
            <w:tcW w:w="3140" w:type="dxa"/>
            <w:vAlign w:val="bottom"/>
            <w:shd w:val="clear" w:color="auto" w:fill="CEFFE7"/>
          </w:tcPr>
          <w:p>
            <w:pPr>
              <w:spacing w:after="0"/>
              <w:rPr>
                <w:sz w:val="17"/>
                <w:szCs w:val="17"/>
                <w:color w:val="auto"/>
              </w:rPr>
            </w:pPr>
          </w:p>
        </w:tc>
        <w:tc>
          <w:tcPr>
            <w:tcW w:w="8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natural gas services to customers in Arkansas (doing business as Black Hills Energy).</w:t>
            </w: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ARO</w:t>
            </w:r>
          </w:p>
        </w:tc>
        <w:tc>
          <w:tcPr>
            <w:tcW w:w="8100" w:type="dxa"/>
            <w:vAlign w:val="bottom"/>
          </w:tcPr>
          <w:p>
            <w:pPr>
              <w:ind w:left="160"/>
              <w:spacing w:after="0"/>
              <w:rPr>
                <w:sz w:val="20"/>
                <w:szCs w:val="20"/>
                <w:color w:val="auto"/>
              </w:rPr>
            </w:pPr>
            <w:r>
              <w:rPr>
                <w:rFonts w:ascii="Arial" w:cs="Arial" w:eastAsia="Arial" w:hAnsi="Arial"/>
                <w:sz w:val="16"/>
                <w:szCs w:val="16"/>
                <w:color w:val="auto"/>
              </w:rPr>
              <w:t>Asset Retirement Obligations</w:t>
            </w:r>
          </w:p>
        </w:tc>
      </w:tr>
      <w:tr>
        <w:trPr>
          <w:trHeight w:val="219"/>
        </w:trPr>
        <w:tc>
          <w:tcPr>
            <w:tcW w:w="314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ASC</w:t>
            </w:r>
          </w:p>
        </w:tc>
        <w:tc>
          <w:tcPr>
            <w:tcW w:w="8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Accounting Standards Codification</w:t>
            </w: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ASU</w:t>
            </w:r>
          </w:p>
        </w:tc>
        <w:tc>
          <w:tcPr>
            <w:tcW w:w="8100" w:type="dxa"/>
            <w:vAlign w:val="bottom"/>
          </w:tcPr>
          <w:p>
            <w:pPr>
              <w:ind w:left="160"/>
              <w:spacing w:after="0"/>
              <w:rPr>
                <w:sz w:val="20"/>
                <w:szCs w:val="20"/>
                <w:color w:val="auto"/>
              </w:rPr>
            </w:pPr>
            <w:r>
              <w:rPr>
                <w:rFonts w:ascii="Arial" w:cs="Arial" w:eastAsia="Arial" w:hAnsi="Arial"/>
                <w:sz w:val="16"/>
                <w:szCs w:val="16"/>
                <w:color w:val="auto"/>
              </w:rPr>
              <w:t>Accounting Standards Update as issued by the FASB</w:t>
            </w:r>
          </w:p>
        </w:tc>
      </w:tr>
      <w:tr>
        <w:trPr>
          <w:trHeight w:val="219"/>
        </w:trPr>
        <w:tc>
          <w:tcPr>
            <w:tcW w:w="3140" w:type="dxa"/>
            <w:vAlign w:val="bottom"/>
            <w:shd w:val="clear" w:color="auto" w:fill="CEFFE7"/>
          </w:tcPr>
          <w:p>
            <w:pPr>
              <w:ind w:left="20"/>
              <w:spacing w:after="0"/>
              <w:rPr>
                <w:sz w:val="20"/>
                <w:szCs w:val="20"/>
                <w:color w:val="auto"/>
              </w:rPr>
            </w:pPr>
            <w:r>
              <w:rPr>
                <w:rFonts w:ascii="Arial" w:cs="Arial" w:eastAsia="Arial" w:hAnsi="Arial"/>
                <w:sz w:val="16"/>
                <w:szCs w:val="16"/>
                <w:color w:val="auto"/>
              </w:rPr>
              <w:t>ATM</w:t>
            </w:r>
          </w:p>
        </w:tc>
        <w:tc>
          <w:tcPr>
            <w:tcW w:w="8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At-the-market equity offering program</w:t>
            </w: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Availability</w:t>
            </w:r>
          </w:p>
        </w:tc>
        <w:tc>
          <w:tcPr>
            <w:tcW w:w="8100" w:type="dxa"/>
            <w:vAlign w:val="bottom"/>
          </w:tcPr>
          <w:p>
            <w:pPr>
              <w:ind w:left="160"/>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tc>
      </w:tr>
      <w:tr>
        <w:trPr>
          <w:trHeight w:val="219"/>
        </w:trPr>
        <w:tc>
          <w:tcPr>
            <w:tcW w:w="3140" w:type="dxa"/>
            <w:vAlign w:val="bottom"/>
            <w:shd w:val="clear" w:color="auto" w:fill="CEFFE7"/>
          </w:tcPr>
          <w:p>
            <w:pPr>
              <w:ind w:left="20"/>
              <w:spacing w:after="0"/>
              <w:rPr>
                <w:sz w:val="20"/>
                <w:szCs w:val="20"/>
                <w:color w:val="auto"/>
              </w:rPr>
            </w:pPr>
            <w:r>
              <w:rPr>
                <w:rFonts w:ascii="Arial" w:cs="Arial" w:eastAsia="Arial" w:hAnsi="Arial"/>
                <w:sz w:val="16"/>
                <w:szCs w:val="16"/>
                <w:color w:val="auto"/>
              </w:rPr>
              <w:t>BHC</w:t>
            </w:r>
          </w:p>
        </w:tc>
        <w:tc>
          <w:tcPr>
            <w:tcW w:w="8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Corporation; the Company</w:t>
            </w:r>
          </w:p>
        </w:tc>
      </w:tr>
      <w:tr>
        <w:trPr>
          <w:trHeight w:val="177"/>
        </w:trPr>
        <w:tc>
          <w:tcPr>
            <w:tcW w:w="3140" w:type="dxa"/>
            <w:vAlign w:val="bottom"/>
          </w:tcPr>
          <w:p>
            <w:pPr>
              <w:ind w:left="20"/>
              <w:spacing w:after="0" w:line="178" w:lineRule="exact"/>
              <w:rPr>
                <w:sz w:val="20"/>
                <w:szCs w:val="20"/>
                <w:color w:val="auto"/>
              </w:rPr>
            </w:pPr>
            <w:r>
              <w:rPr>
                <w:rFonts w:ascii="Arial" w:cs="Arial" w:eastAsia="Arial" w:hAnsi="Arial"/>
                <w:sz w:val="16"/>
                <w:szCs w:val="16"/>
                <w:color w:val="auto"/>
              </w:rPr>
              <w:t>BHSC</w:t>
            </w:r>
          </w:p>
        </w:tc>
        <w:tc>
          <w:tcPr>
            <w:tcW w:w="8100" w:type="dxa"/>
            <w:vAlign w:val="bottom"/>
          </w:tcPr>
          <w:p>
            <w:pPr>
              <w:ind w:left="160"/>
              <w:spacing w:after="0" w:line="178" w:lineRule="exact"/>
              <w:rPr>
                <w:sz w:val="20"/>
                <w:szCs w:val="20"/>
                <w:color w:val="auto"/>
              </w:rPr>
            </w:pPr>
            <w:r>
              <w:rPr>
                <w:rFonts w:ascii="Arial" w:cs="Arial" w:eastAsia="Arial" w:hAnsi="Arial"/>
                <w:sz w:val="16"/>
                <w:szCs w:val="16"/>
                <w:color w:val="auto"/>
              </w:rPr>
              <w:t>Black Hills Service Company, LLC, a direct, wholly-owned subsidiary of Black Hills Corporation (doing</w:t>
            </w:r>
          </w:p>
        </w:tc>
      </w:tr>
      <w:tr>
        <w:trPr>
          <w:trHeight w:val="198"/>
        </w:trPr>
        <w:tc>
          <w:tcPr>
            <w:tcW w:w="3140" w:type="dxa"/>
            <w:vAlign w:val="bottom"/>
          </w:tcPr>
          <w:p>
            <w:pPr>
              <w:spacing w:after="0"/>
              <w:rPr>
                <w:sz w:val="17"/>
                <w:szCs w:val="17"/>
                <w:color w:val="auto"/>
              </w:rPr>
            </w:pPr>
          </w:p>
        </w:tc>
        <w:tc>
          <w:tcPr>
            <w:tcW w:w="8100" w:type="dxa"/>
            <w:vAlign w:val="bottom"/>
          </w:tcPr>
          <w:p>
            <w:pPr>
              <w:ind w:left="160"/>
              <w:spacing w:after="0"/>
              <w:rPr>
                <w:sz w:val="20"/>
                <w:szCs w:val="20"/>
                <w:color w:val="auto"/>
              </w:rPr>
            </w:pPr>
            <w:r>
              <w:rPr>
                <w:rFonts w:ascii="Arial" w:cs="Arial" w:eastAsia="Arial" w:hAnsi="Arial"/>
                <w:sz w:val="16"/>
                <w:szCs w:val="16"/>
                <w:color w:val="auto"/>
              </w:rPr>
              <w:t>business as Black Hills Energy)</w:t>
            </w:r>
          </w:p>
        </w:tc>
      </w:tr>
      <w:tr>
        <w:trPr>
          <w:trHeight w:val="219"/>
        </w:trPr>
        <w:tc>
          <w:tcPr>
            <w:tcW w:w="314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Colorado IPP</w:t>
            </w:r>
          </w:p>
        </w:tc>
        <w:tc>
          <w:tcPr>
            <w:tcW w:w="8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177"/>
        </w:trPr>
        <w:tc>
          <w:tcPr>
            <w:tcW w:w="3140" w:type="dxa"/>
            <w:vAlign w:val="bottom"/>
          </w:tcPr>
          <w:p>
            <w:pPr>
              <w:ind w:left="20"/>
              <w:spacing w:after="0" w:line="178" w:lineRule="exact"/>
              <w:rPr>
                <w:sz w:val="20"/>
                <w:szCs w:val="20"/>
                <w:color w:val="auto"/>
              </w:rPr>
            </w:pPr>
            <w:r>
              <w:rPr>
                <w:rFonts w:ascii="Arial" w:cs="Arial" w:eastAsia="Arial" w:hAnsi="Arial"/>
                <w:sz w:val="16"/>
                <w:szCs w:val="16"/>
                <w:color w:val="auto"/>
              </w:rPr>
              <w:t>Black Hills Electric Generation</w:t>
            </w:r>
          </w:p>
        </w:tc>
        <w:tc>
          <w:tcPr>
            <w:tcW w:w="8100" w:type="dxa"/>
            <w:vAlign w:val="bottom"/>
          </w:tcPr>
          <w:p>
            <w:pPr>
              <w:ind w:left="160"/>
              <w:spacing w:after="0" w:line="178" w:lineRule="exact"/>
              <w:rPr>
                <w:sz w:val="20"/>
                <w:szCs w:val="20"/>
                <w:color w:val="auto"/>
              </w:rPr>
            </w:pPr>
            <w:r>
              <w:rPr>
                <w:rFonts w:ascii="Arial" w:cs="Arial" w:eastAsia="Arial" w:hAnsi="Arial"/>
                <w:sz w:val="16"/>
                <w:szCs w:val="16"/>
                <w:color w:val="auto"/>
              </w:rPr>
              <w:t>Black Hills Electric Generation, LLC, a direct, wholly-owned subsidiary of Black Hills Non-regulated Holdings,</w:t>
            </w:r>
          </w:p>
        </w:tc>
      </w:tr>
      <w:tr>
        <w:trPr>
          <w:trHeight w:val="198"/>
        </w:trPr>
        <w:tc>
          <w:tcPr>
            <w:tcW w:w="3140" w:type="dxa"/>
            <w:vAlign w:val="bottom"/>
          </w:tcPr>
          <w:p>
            <w:pPr>
              <w:spacing w:after="0"/>
              <w:rPr>
                <w:sz w:val="17"/>
                <w:szCs w:val="17"/>
                <w:color w:val="auto"/>
              </w:rPr>
            </w:pPr>
          </w:p>
        </w:tc>
        <w:tc>
          <w:tcPr>
            <w:tcW w:w="8100" w:type="dxa"/>
            <w:vAlign w:val="bottom"/>
          </w:tcPr>
          <w:p>
            <w:pPr>
              <w:ind w:left="160"/>
              <w:spacing w:after="0"/>
              <w:rPr>
                <w:sz w:val="20"/>
                <w:szCs w:val="20"/>
                <w:color w:val="auto"/>
              </w:rPr>
            </w:pPr>
            <w:r>
              <w:rPr>
                <w:rFonts w:ascii="Arial" w:cs="Arial" w:eastAsia="Arial" w:hAnsi="Arial"/>
                <w:sz w:val="16"/>
                <w:szCs w:val="16"/>
                <w:color w:val="auto"/>
              </w:rPr>
              <w:t>providing wholesale electric capacity and energy primarily to our affiliate utilities.</w:t>
            </w:r>
          </w:p>
        </w:tc>
      </w:tr>
      <w:tr>
        <w:trPr>
          <w:trHeight w:val="219"/>
        </w:trPr>
        <w:tc>
          <w:tcPr>
            <w:tcW w:w="314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Energy</w:t>
            </w:r>
          </w:p>
        </w:tc>
        <w:tc>
          <w:tcPr>
            <w:tcW w:w="8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The name used to conduct the business of our utility companies</w:t>
            </w:r>
          </w:p>
        </w:tc>
      </w:tr>
      <w:tr>
        <w:trPr>
          <w:trHeight w:val="177"/>
        </w:trPr>
        <w:tc>
          <w:tcPr>
            <w:tcW w:w="3140" w:type="dxa"/>
            <w:vAlign w:val="bottom"/>
          </w:tcPr>
          <w:p>
            <w:pPr>
              <w:ind w:left="20"/>
              <w:spacing w:after="0" w:line="178" w:lineRule="exact"/>
              <w:rPr>
                <w:sz w:val="20"/>
                <w:szCs w:val="20"/>
                <w:color w:val="auto"/>
              </w:rPr>
            </w:pPr>
            <w:r>
              <w:rPr>
                <w:rFonts w:ascii="Arial" w:cs="Arial" w:eastAsia="Arial" w:hAnsi="Arial"/>
                <w:sz w:val="16"/>
                <w:szCs w:val="16"/>
                <w:color w:val="auto"/>
              </w:rPr>
              <w:t>Black Hills Energy Services</w:t>
            </w:r>
          </w:p>
        </w:tc>
        <w:tc>
          <w:tcPr>
            <w:tcW w:w="8100" w:type="dxa"/>
            <w:vAlign w:val="bottom"/>
          </w:tcPr>
          <w:p>
            <w:pPr>
              <w:ind w:left="160"/>
              <w:spacing w:after="0" w:line="178" w:lineRule="exact"/>
              <w:rPr>
                <w:sz w:val="20"/>
                <w:szCs w:val="20"/>
                <w:color w:val="auto"/>
              </w:rPr>
            </w:pPr>
            <w:r>
              <w:rPr>
                <w:rFonts w:ascii="Arial" w:cs="Arial" w:eastAsia="Arial" w:hAnsi="Arial"/>
                <w:sz w:val="16"/>
                <w:szCs w:val="16"/>
                <w:color w:val="auto"/>
              </w:rPr>
              <w:t>Black Hills Energy Services Company, an indirect, wholly-owned subsidiary of Black Hills Utility Holdings,</w:t>
            </w:r>
          </w:p>
        </w:tc>
      </w:tr>
      <w:tr>
        <w:trPr>
          <w:trHeight w:val="198"/>
        </w:trPr>
        <w:tc>
          <w:tcPr>
            <w:tcW w:w="3140" w:type="dxa"/>
            <w:vAlign w:val="bottom"/>
          </w:tcPr>
          <w:p>
            <w:pPr>
              <w:spacing w:after="0"/>
              <w:rPr>
                <w:sz w:val="17"/>
                <w:szCs w:val="17"/>
                <w:color w:val="auto"/>
              </w:rPr>
            </w:pPr>
          </w:p>
        </w:tc>
        <w:tc>
          <w:tcPr>
            <w:tcW w:w="8100" w:type="dxa"/>
            <w:vAlign w:val="bottom"/>
          </w:tcPr>
          <w:p>
            <w:pPr>
              <w:ind w:left="160"/>
              <w:spacing w:after="0"/>
              <w:rPr>
                <w:sz w:val="20"/>
                <w:szCs w:val="20"/>
                <w:color w:val="auto"/>
              </w:rPr>
            </w:pPr>
            <w:r>
              <w:rPr>
                <w:rFonts w:ascii="Arial" w:cs="Arial" w:eastAsia="Arial" w:hAnsi="Arial"/>
                <w:sz w:val="16"/>
                <w:szCs w:val="16"/>
                <w:color w:val="auto"/>
              </w:rPr>
              <w:t>providing natural gas commodity supply for the Choice Gas Programs (doing business as Black Hills Energy).</w:t>
            </w:r>
          </w:p>
        </w:tc>
      </w:tr>
      <w:tr>
        <w:trPr>
          <w:trHeight w:val="219"/>
        </w:trPr>
        <w:tc>
          <w:tcPr>
            <w:tcW w:w="314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Non-regulated Holdings</w:t>
            </w:r>
          </w:p>
        </w:tc>
        <w:tc>
          <w:tcPr>
            <w:tcW w:w="8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77"/>
        </w:trPr>
        <w:tc>
          <w:tcPr>
            <w:tcW w:w="3140" w:type="dxa"/>
            <w:vAlign w:val="bottom"/>
          </w:tcPr>
          <w:p>
            <w:pPr>
              <w:ind w:left="20"/>
              <w:spacing w:after="0" w:line="178" w:lineRule="exact"/>
              <w:rPr>
                <w:sz w:val="20"/>
                <w:szCs w:val="20"/>
                <w:color w:val="auto"/>
              </w:rPr>
            </w:pPr>
            <w:r>
              <w:rPr>
                <w:rFonts w:ascii="Arial" w:cs="Arial" w:eastAsia="Arial" w:hAnsi="Arial"/>
                <w:sz w:val="16"/>
                <w:szCs w:val="16"/>
                <w:color w:val="auto"/>
              </w:rPr>
              <w:t>Black Hills Power</w:t>
            </w:r>
          </w:p>
        </w:tc>
        <w:tc>
          <w:tcPr>
            <w:tcW w:w="8100" w:type="dxa"/>
            <w:vAlign w:val="bottom"/>
          </w:tcPr>
          <w:p>
            <w:pPr>
              <w:ind w:left="160"/>
              <w:spacing w:after="0" w:line="178" w:lineRule="exact"/>
              <w:rPr>
                <w:sz w:val="20"/>
                <w:szCs w:val="20"/>
                <w:color w:val="auto"/>
              </w:rPr>
            </w:pPr>
            <w:r>
              <w:rPr>
                <w:rFonts w:ascii="Arial" w:cs="Arial" w:eastAsia="Arial" w:hAnsi="Arial"/>
                <w:sz w:val="16"/>
                <w:szCs w:val="16"/>
                <w:color w:val="auto"/>
              </w:rPr>
              <w:t>Black Hills Power, Inc., a direct, wholly-owned subsidiary of Black Hills Corporation (doing business as Black</w:t>
            </w:r>
          </w:p>
        </w:tc>
      </w:tr>
      <w:tr>
        <w:trPr>
          <w:trHeight w:val="198"/>
        </w:trPr>
        <w:tc>
          <w:tcPr>
            <w:tcW w:w="3140" w:type="dxa"/>
            <w:vAlign w:val="bottom"/>
          </w:tcPr>
          <w:p>
            <w:pPr>
              <w:spacing w:after="0"/>
              <w:rPr>
                <w:sz w:val="17"/>
                <w:szCs w:val="17"/>
                <w:color w:val="auto"/>
              </w:rPr>
            </w:pPr>
          </w:p>
        </w:tc>
        <w:tc>
          <w:tcPr>
            <w:tcW w:w="8100" w:type="dxa"/>
            <w:vAlign w:val="bottom"/>
          </w:tcPr>
          <w:p>
            <w:pPr>
              <w:ind w:left="160"/>
              <w:spacing w:after="0"/>
              <w:rPr>
                <w:sz w:val="20"/>
                <w:szCs w:val="20"/>
                <w:color w:val="auto"/>
              </w:rPr>
            </w:pPr>
            <w:r>
              <w:rPr>
                <w:rFonts w:ascii="Arial" w:cs="Arial" w:eastAsia="Arial" w:hAnsi="Arial"/>
                <w:sz w:val="16"/>
                <w:szCs w:val="16"/>
                <w:color w:val="auto"/>
              </w:rPr>
              <w:t>Hills Energy). Also known as South Dakota Electric.</w:t>
            </w:r>
          </w:p>
        </w:tc>
      </w:tr>
      <w:tr>
        <w:trPr>
          <w:trHeight w:val="180"/>
        </w:trPr>
        <w:tc>
          <w:tcPr>
            <w:tcW w:w="314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Black Hills Utility Holdings</w:t>
            </w:r>
          </w:p>
        </w:tc>
        <w:tc>
          <w:tcPr>
            <w:tcW w:w="810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Black Hills Utility Holdings, Inc., a direct, wholly-owned subsidiary of Black Hills Corporation (doing business</w:t>
            </w:r>
          </w:p>
        </w:tc>
      </w:tr>
      <w:tr>
        <w:trPr>
          <w:trHeight w:val="201"/>
        </w:trPr>
        <w:tc>
          <w:tcPr>
            <w:tcW w:w="3140" w:type="dxa"/>
            <w:vAlign w:val="bottom"/>
            <w:shd w:val="clear" w:color="auto" w:fill="CEFFE7"/>
          </w:tcPr>
          <w:p>
            <w:pPr>
              <w:spacing w:after="0"/>
              <w:rPr>
                <w:sz w:val="17"/>
                <w:szCs w:val="17"/>
                <w:color w:val="auto"/>
              </w:rPr>
            </w:pPr>
          </w:p>
        </w:tc>
        <w:tc>
          <w:tcPr>
            <w:tcW w:w="8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as Black Hills Energy)</w:t>
            </w: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Black Hills Wyoming</w:t>
            </w:r>
          </w:p>
        </w:tc>
        <w:tc>
          <w:tcPr>
            <w:tcW w:w="8100" w:type="dxa"/>
            <w:vAlign w:val="bottom"/>
          </w:tcPr>
          <w:p>
            <w:pPr>
              <w:ind w:left="16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219"/>
        </w:trPr>
        <w:tc>
          <w:tcPr>
            <w:tcW w:w="3140" w:type="dxa"/>
            <w:vAlign w:val="bottom"/>
            <w:shd w:val="clear" w:color="auto" w:fill="CEFFE7"/>
          </w:tcPr>
          <w:p>
            <w:pPr>
              <w:ind w:left="20"/>
              <w:spacing w:after="0"/>
              <w:rPr>
                <w:sz w:val="20"/>
                <w:szCs w:val="20"/>
                <w:color w:val="auto"/>
              </w:rPr>
            </w:pPr>
            <w:r>
              <w:rPr>
                <w:rFonts w:ascii="Arial" w:cs="Arial" w:eastAsia="Arial" w:hAnsi="Arial"/>
                <w:sz w:val="16"/>
                <w:szCs w:val="16"/>
                <w:color w:val="auto"/>
              </w:rPr>
              <w:t>Btu</w:t>
            </w:r>
          </w:p>
        </w:tc>
        <w:tc>
          <w:tcPr>
            <w:tcW w:w="8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British thermal unit</w:t>
            </w:r>
          </w:p>
        </w:tc>
      </w:tr>
      <w:tr>
        <w:trPr>
          <w:trHeight w:val="177"/>
        </w:trPr>
        <w:tc>
          <w:tcPr>
            <w:tcW w:w="3140" w:type="dxa"/>
            <w:vAlign w:val="bottom"/>
          </w:tcPr>
          <w:p>
            <w:pPr>
              <w:ind w:left="20"/>
              <w:spacing w:after="0" w:line="178" w:lineRule="exact"/>
              <w:rPr>
                <w:sz w:val="20"/>
                <w:szCs w:val="20"/>
                <w:color w:val="auto"/>
              </w:rPr>
            </w:pPr>
            <w:r>
              <w:rPr>
                <w:rFonts w:ascii="Arial" w:cs="Arial" w:eastAsia="Arial" w:hAnsi="Arial"/>
                <w:sz w:val="16"/>
                <w:szCs w:val="16"/>
                <w:color w:val="auto"/>
              </w:rPr>
              <w:t>Busch Ranch I</w:t>
            </w:r>
          </w:p>
        </w:tc>
        <w:tc>
          <w:tcPr>
            <w:tcW w:w="8100" w:type="dxa"/>
            <w:vAlign w:val="bottom"/>
          </w:tcPr>
          <w:p>
            <w:pPr>
              <w:ind w:left="160"/>
              <w:spacing w:after="0" w:line="178" w:lineRule="exact"/>
              <w:rPr>
                <w:sz w:val="20"/>
                <w:szCs w:val="20"/>
                <w:color w:val="auto"/>
              </w:rPr>
            </w:pPr>
            <w:r>
              <w:rPr>
                <w:rFonts w:ascii="Arial" w:cs="Arial" w:eastAsia="Arial" w:hAnsi="Arial"/>
                <w:sz w:val="16"/>
                <w:szCs w:val="16"/>
                <w:color w:val="auto"/>
              </w:rPr>
              <w:t>The 29 MW wind farm near Pueblo, Colorado, jointly owned by Colorado Electric and Black Hills Electric</w:t>
            </w:r>
          </w:p>
        </w:tc>
      </w:tr>
      <w:tr>
        <w:trPr>
          <w:trHeight w:val="162"/>
        </w:trPr>
        <w:tc>
          <w:tcPr>
            <w:tcW w:w="3140" w:type="dxa"/>
            <w:vAlign w:val="bottom"/>
          </w:tcPr>
          <w:p>
            <w:pPr>
              <w:spacing w:after="0"/>
              <w:rPr>
                <w:sz w:val="14"/>
                <w:szCs w:val="14"/>
                <w:color w:val="auto"/>
              </w:rPr>
            </w:pPr>
          </w:p>
        </w:tc>
        <w:tc>
          <w:tcPr>
            <w:tcW w:w="8100" w:type="dxa"/>
            <w:vAlign w:val="bottom"/>
          </w:tcPr>
          <w:p>
            <w:pPr>
              <w:ind w:left="160"/>
              <w:spacing w:after="0" w:line="162" w:lineRule="exact"/>
              <w:rPr>
                <w:sz w:val="20"/>
                <w:szCs w:val="20"/>
                <w:color w:val="auto"/>
              </w:rPr>
            </w:pPr>
            <w:r>
              <w:rPr>
                <w:rFonts w:ascii="Arial" w:cs="Arial" w:eastAsia="Arial" w:hAnsi="Arial"/>
                <w:sz w:val="16"/>
                <w:szCs w:val="16"/>
                <w:color w:val="auto"/>
              </w:rPr>
              <w:t>Generation. Colorado Electric and Black Hills Electric Generation each have a 50% ownership interest in the</w:t>
            </w:r>
          </w:p>
        </w:tc>
      </w:tr>
      <w:tr>
        <w:trPr>
          <w:trHeight w:val="162"/>
        </w:trPr>
        <w:tc>
          <w:tcPr>
            <w:tcW w:w="3140" w:type="dxa"/>
            <w:vAlign w:val="bottom"/>
          </w:tcPr>
          <w:p>
            <w:pPr>
              <w:spacing w:after="0"/>
              <w:rPr>
                <w:sz w:val="14"/>
                <w:szCs w:val="14"/>
                <w:color w:val="auto"/>
              </w:rPr>
            </w:pPr>
          </w:p>
        </w:tc>
        <w:tc>
          <w:tcPr>
            <w:tcW w:w="8100" w:type="dxa"/>
            <w:vAlign w:val="bottom"/>
          </w:tcPr>
          <w:p>
            <w:pPr>
              <w:ind w:left="160"/>
              <w:spacing w:after="0" w:line="162" w:lineRule="exact"/>
              <w:rPr>
                <w:sz w:val="20"/>
                <w:szCs w:val="20"/>
                <w:color w:val="auto"/>
              </w:rPr>
            </w:pPr>
            <w:r>
              <w:rPr>
                <w:rFonts w:ascii="Arial" w:cs="Arial" w:eastAsia="Arial" w:hAnsi="Arial"/>
                <w:sz w:val="16"/>
                <w:szCs w:val="16"/>
                <w:color w:val="auto"/>
              </w:rPr>
              <w:t>wind farm. Black Hills Electric Generation provides its share of energy from the wind farm to Colorado Electric</w:t>
            </w:r>
          </w:p>
        </w:tc>
      </w:tr>
      <w:tr>
        <w:trPr>
          <w:trHeight w:val="198"/>
        </w:trPr>
        <w:tc>
          <w:tcPr>
            <w:tcW w:w="3140" w:type="dxa"/>
            <w:vAlign w:val="bottom"/>
          </w:tcPr>
          <w:p>
            <w:pPr>
              <w:spacing w:after="0"/>
              <w:rPr>
                <w:sz w:val="17"/>
                <w:szCs w:val="17"/>
                <w:color w:val="auto"/>
              </w:rPr>
            </w:pPr>
          </w:p>
        </w:tc>
        <w:tc>
          <w:tcPr>
            <w:tcW w:w="8100" w:type="dxa"/>
            <w:vAlign w:val="bottom"/>
          </w:tcPr>
          <w:p>
            <w:pPr>
              <w:ind w:left="160"/>
              <w:spacing w:after="0"/>
              <w:rPr>
                <w:sz w:val="20"/>
                <w:szCs w:val="20"/>
                <w:color w:val="auto"/>
              </w:rPr>
            </w:pPr>
            <w:r>
              <w:rPr>
                <w:rFonts w:ascii="Arial" w:cs="Arial" w:eastAsia="Arial" w:hAnsi="Arial"/>
                <w:sz w:val="16"/>
                <w:szCs w:val="16"/>
                <w:color w:val="auto"/>
              </w:rPr>
              <w:t>through a PPA, which expires in October 2037.</w:t>
            </w:r>
          </w:p>
        </w:tc>
      </w:tr>
      <w:tr>
        <w:trPr>
          <w:trHeight w:val="180"/>
        </w:trPr>
        <w:tc>
          <w:tcPr>
            <w:tcW w:w="314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Busch Ranch II</w:t>
            </w:r>
          </w:p>
        </w:tc>
        <w:tc>
          <w:tcPr>
            <w:tcW w:w="810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The 59.4 MW wind farm near Pueblo, Colorado owned by Black Hills Electric Generation to provide wind</w:t>
            </w:r>
          </w:p>
        </w:tc>
      </w:tr>
      <w:tr>
        <w:trPr>
          <w:trHeight w:val="201"/>
        </w:trPr>
        <w:tc>
          <w:tcPr>
            <w:tcW w:w="3140" w:type="dxa"/>
            <w:vAlign w:val="bottom"/>
            <w:shd w:val="clear" w:color="auto" w:fill="CEFFE7"/>
          </w:tcPr>
          <w:p>
            <w:pPr>
              <w:spacing w:after="0"/>
              <w:rPr>
                <w:sz w:val="17"/>
                <w:szCs w:val="17"/>
                <w:color w:val="auto"/>
              </w:rPr>
            </w:pPr>
          </w:p>
        </w:tc>
        <w:tc>
          <w:tcPr>
            <w:tcW w:w="8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energy to Colorado Electric through a PPA expiring in November 2044.</w:t>
            </w:r>
          </w:p>
        </w:tc>
      </w:tr>
      <w:tr>
        <w:trPr>
          <w:trHeight w:val="177"/>
        </w:trPr>
        <w:tc>
          <w:tcPr>
            <w:tcW w:w="3140" w:type="dxa"/>
            <w:vAlign w:val="bottom"/>
          </w:tcPr>
          <w:p>
            <w:pPr>
              <w:ind w:left="20"/>
              <w:spacing w:after="0" w:line="178" w:lineRule="exact"/>
              <w:rPr>
                <w:sz w:val="20"/>
                <w:szCs w:val="20"/>
                <w:color w:val="auto"/>
              </w:rPr>
            </w:pPr>
            <w:r>
              <w:rPr>
                <w:rFonts w:ascii="Arial" w:cs="Arial" w:eastAsia="Arial" w:hAnsi="Arial"/>
                <w:sz w:val="16"/>
                <w:szCs w:val="16"/>
                <w:color w:val="auto"/>
              </w:rPr>
              <w:t>CARES Act</w:t>
            </w:r>
          </w:p>
        </w:tc>
        <w:tc>
          <w:tcPr>
            <w:tcW w:w="8100" w:type="dxa"/>
            <w:vAlign w:val="bottom"/>
          </w:tcPr>
          <w:p>
            <w:pPr>
              <w:ind w:left="160"/>
              <w:spacing w:after="0" w:line="178" w:lineRule="exact"/>
              <w:rPr>
                <w:sz w:val="20"/>
                <w:szCs w:val="20"/>
                <w:color w:val="auto"/>
              </w:rPr>
            </w:pPr>
            <w:r>
              <w:rPr>
                <w:rFonts w:ascii="Arial" w:cs="Arial" w:eastAsia="Arial" w:hAnsi="Arial"/>
                <w:sz w:val="16"/>
                <w:szCs w:val="16"/>
                <w:color w:val="auto"/>
              </w:rPr>
              <w:t>Coronavirus Aid, Relief, and Economic Security Act, signed on March 27, 2020, which is a tax and spending</w:t>
            </w:r>
          </w:p>
        </w:tc>
      </w:tr>
      <w:tr>
        <w:trPr>
          <w:trHeight w:val="198"/>
        </w:trPr>
        <w:tc>
          <w:tcPr>
            <w:tcW w:w="3140" w:type="dxa"/>
            <w:vAlign w:val="bottom"/>
          </w:tcPr>
          <w:p>
            <w:pPr>
              <w:spacing w:after="0"/>
              <w:rPr>
                <w:sz w:val="17"/>
                <w:szCs w:val="17"/>
                <w:color w:val="auto"/>
              </w:rPr>
            </w:pPr>
          </w:p>
        </w:tc>
        <w:tc>
          <w:tcPr>
            <w:tcW w:w="8100" w:type="dxa"/>
            <w:vAlign w:val="bottom"/>
          </w:tcPr>
          <w:p>
            <w:pPr>
              <w:ind w:left="160"/>
              <w:spacing w:after="0"/>
              <w:rPr>
                <w:sz w:val="20"/>
                <w:szCs w:val="20"/>
                <w:color w:val="auto"/>
              </w:rPr>
            </w:pPr>
            <w:r>
              <w:rPr>
                <w:rFonts w:ascii="Arial" w:cs="Arial" w:eastAsia="Arial" w:hAnsi="Arial"/>
                <w:sz w:val="16"/>
                <w:szCs w:val="16"/>
                <w:color w:val="auto"/>
              </w:rPr>
              <w:t>package intended to provide additional economic relief and address the impact of the COVID-19 pandemic.</w:t>
            </w:r>
          </w:p>
        </w:tc>
      </w:tr>
      <w:tr>
        <w:trPr>
          <w:trHeight w:val="219"/>
        </w:trPr>
        <w:tc>
          <w:tcPr>
            <w:tcW w:w="31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CFTC</w:t>
            </w:r>
          </w:p>
        </w:tc>
        <w:tc>
          <w:tcPr>
            <w:tcW w:w="8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United States Commodity Futures Trading Commission</w:t>
            </w:r>
          </w:p>
        </w:tc>
      </w:tr>
      <w:tr>
        <w:trPr>
          <w:trHeight w:val="177"/>
        </w:trPr>
        <w:tc>
          <w:tcPr>
            <w:tcW w:w="3140" w:type="dxa"/>
            <w:vAlign w:val="bottom"/>
          </w:tcPr>
          <w:p>
            <w:pPr>
              <w:ind w:left="20"/>
              <w:spacing w:after="0" w:line="178" w:lineRule="exact"/>
              <w:rPr>
                <w:sz w:val="20"/>
                <w:szCs w:val="20"/>
                <w:color w:val="auto"/>
              </w:rPr>
            </w:pPr>
            <w:r>
              <w:rPr>
                <w:rFonts w:ascii="Arial" w:cs="Arial" w:eastAsia="Arial" w:hAnsi="Arial"/>
                <w:sz w:val="16"/>
                <w:szCs w:val="16"/>
                <w:color w:val="auto"/>
              </w:rPr>
              <w:t>Cheyenne Light</w:t>
            </w:r>
          </w:p>
        </w:tc>
        <w:tc>
          <w:tcPr>
            <w:tcW w:w="8100" w:type="dxa"/>
            <w:vAlign w:val="bottom"/>
          </w:tcPr>
          <w:p>
            <w:pPr>
              <w:ind w:left="160"/>
              <w:spacing w:after="0" w:line="178" w:lineRule="exact"/>
              <w:rPr>
                <w:sz w:val="20"/>
                <w:szCs w:val="20"/>
                <w:color w:val="auto"/>
              </w:rPr>
            </w:pPr>
            <w:r>
              <w:rPr>
                <w:rFonts w:ascii="Arial" w:cs="Arial" w:eastAsia="Arial" w:hAnsi="Arial"/>
                <w:sz w:val="16"/>
                <w:szCs w:val="16"/>
                <w:color w:val="auto"/>
              </w:rPr>
              <w:t>Cheyenne Light, Fuel and Power Company, a direct, wholly-owned subsidiary of Black Hills Corporation,</w:t>
            </w:r>
          </w:p>
        </w:tc>
      </w:tr>
      <w:tr>
        <w:trPr>
          <w:trHeight w:val="162"/>
        </w:trPr>
        <w:tc>
          <w:tcPr>
            <w:tcW w:w="3140" w:type="dxa"/>
            <w:vAlign w:val="bottom"/>
          </w:tcPr>
          <w:p>
            <w:pPr>
              <w:spacing w:after="0"/>
              <w:rPr>
                <w:sz w:val="14"/>
                <w:szCs w:val="14"/>
                <w:color w:val="auto"/>
              </w:rPr>
            </w:pPr>
          </w:p>
        </w:tc>
        <w:tc>
          <w:tcPr>
            <w:tcW w:w="8100" w:type="dxa"/>
            <w:vAlign w:val="bottom"/>
          </w:tcPr>
          <w:p>
            <w:pPr>
              <w:ind w:left="160"/>
              <w:spacing w:after="0" w:line="162" w:lineRule="exact"/>
              <w:rPr>
                <w:sz w:val="20"/>
                <w:szCs w:val="20"/>
                <w:color w:val="auto"/>
              </w:rPr>
            </w:pPr>
            <w:r>
              <w:rPr>
                <w:rFonts w:ascii="Arial" w:cs="Arial" w:eastAsia="Arial" w:hAnsi="Arial"/>
                <w:sz w:val="16"/>
                <w:szCs w:val="16"/>
                <w:color w:val="auto"/>
              </w:rPr>
              <w:t>providing electric service in the Cheyenne, Wyoming area (doing business as Black Hills Energy). Also known</w:t>
            </w:r>
          </w:p>
        </w:tc>
      </w:tr>
      <w:tr>
        <w:trPr>
          <w:trHeight w:val="198"/>
        </w:trPr>
        <w:tc>
          <w:tcPr>
            <w:tcW w:w="3140" w:type="dxa"/>
            <w:vAlign w:val="bottom"/>
          </w:tcPr>
          <w:p>
            <w:pPr>
              <w:spacing w:after="0"/>
              <w:rPr>
                <w:sz w:val="17"/>
                <w:szCs w:val="17"/>
                <w:color w:val="auto"/>
              </w:rPr>
            </w:pPr>
          </w:p>
        </w:tc>
        <w:tc>
          <w:tcPr>
            <w:tcW w:w="8100" w:type="dxa"/>
            <w:vAlign w:val="bottom"/>
          </w:tcPr>
          <w:p>
            <w:pPr>
              <w:ind w:left="160"/>
              <w:spacing w:after="0"/>
              <w:rPr>
                <w:sz w:val="20"/>
                <w:szCs w:val="20"/>
                <w:color w:val="auto"/>
              </w:rPr>
            </w:pPr>
            <w:r>
              <w:rPr>
                <w:rFonts w:ascii="Arial" w:cs="Arial" w:eastAsia="Arial" w:hAnsi="Arial"/>
                <w:sz w:val="16"/>
                <w:szCs w:val="16"/>
                <w:color w:val="auto"/>
              </w:rPr>
              <w:t>as Wyoming Electric.</w:t>
            </w:r>
          </w:p>
        </w:tc>
      </w:tr>
      <w:tr>
        <w:trPr>
          <w:trHeight w:val="180"/>
        </w:trPr>
        <w:tc>
          <w:tcPr>
            <w:tcW w:w="314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Cheyenne Prairie</w:t>
            </w:r>
          </w:p>
        </w:tc>
        <w:tc>
          <w:tcPr>
            <w:tcW w:w="810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Cheyenne Prairie Generating Station serves the utility customers of South Dakota Electric and Wyoming</w:t>
            </w:r>
          </w:p>
        </w:tc>
      </w:tr>
      <w:tr>
        <w:trPr>
          <w:trHeight w:val="162"/>
        </w:trPr>
        <w:tc>
          <w:tcPr>
            <w:tcW w:w="3140" w:type="dxa"/>
            <w:vAlign w:val="bottom"/>
            <w:shd w:val="clear" w:color="auto" w:fill="CEFFE7"/>
          </w:tcPr>
          <w:p>
            <w:pPr>
              <w:spacing w:after="0"/>
              <w:rPr>
                <w:sz w:val="14"/>
                <w:szCs w:val="14"/>
                <w:color w:val="auto"/>
              </w:rPr>
            </w:pPr>
          </w:p>
        </w:tc>
        <w:tc>
          <w:tcPr>
            <w:tcW w:w="810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Electric. The facility includes one simple-cycle, 40 MW combustion turbine that is wholly-owned by Wyoming</w:t>
            </w:r>
          </w:p>
        </w:tc>
      </w:tr>
      <w:tr>
        <w:trPr>
          <w:trHeight w:val="162"/>
        </w:trPr>
        <w:tc>
          <w:tcPr>
            <w:tcW w:w="3140" w:type="dxa"/>
            <w:vAlign w:val="bottom"/>
            <w:shd w:val="clear" w:color="auto" w:fill="CEFFE7"/>
          </w:tcPr>
          <w:p>
            <w:pPr>
              <w:spacing w:after="0"/>
              <w:rPr>
                <w:sz w:val="14"/>
                <w:szCs w:val="14"/>
                <w:color w:val="auto"/>
              </w:rPr>
            </w:pPr>
          </w:p>
        </w:tc>
        <w:tc>
          <w:tcPr>
            <w:tcW w:w="810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Electric and one combined-cycle, 100 MW unit that is jointly-owned by Wyoming Electric (42 MW) and South</w:t>
            </w:r>
          </w:p>
        </w:tc>
      </w:tr>
      <w:tr>
        <w:trPr>
          <w:trHeight w:val="201"/>
        </w:trPr>
        <w:tc>
          <w:tcPr>
            <w:tcW w:w="3140" w:type="dxa"/>
            <w:vAlign w:val="bottom"/>
            <w:shd w:val="clear" w:color="auto" w:fill="CEFFE7"/>
          </w:tcPr>
          <w:p>
            <w:pPr>
              <w:spacing w:after="0"/>
              <w:rPr>
                <w:sz w:val="17"/>
                <w:szCs w:val="17"/>
                <w:color w:val="auto"/>
              </w:rPr>
            </w:pPr>
          </w:p>
        </w:tc>
        <w:tc>
          <w:tcPr>
            <w:tcW w:w="8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Dakota Electric (58 MW).</w:t>
            </w: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Chief Operating Decision Maker (CODM)</w:t>
            </w:r>
          </w:p>
        </w:tc>
        <w:tc>
          <w:tcPr>
            <w:tcW w:w="8100" w:type="dxa"/>
            <w:vAlign w:val="bottom"/>
          </w:tcPr>
          <w:p>
            <w:pPr>
              <w:ind w:left="160"/>
              <w:spacing w:after="0"/>
              <w:rPr>
                <w:sz w:val="20"/>
                <w:szCs w:val="20"/>
                <w:color w:val="auto"/>
              </w:rPr>
            </w:pPr>
            <w:r>
              <w:rPr>
                <w:rFonts w:ascii="Arial" w:cs="Arial" w:eastAsia="Arial" w:hAnsi="Arial"/>
                <w:sz w:val="16"/>
                <w:szCs w:val="16"/>
                <w:color w:val="auto"/>
              </w:rPr>
              <w:t>Chief Executive Officer</w:t>
            </w:r>
          </w:p>
        </w:tc>
      </w:tr>
      <w:tr>
        <w:trPr>
          <w:trHeight w:val="180"/>
        </w:trPr>
        <w:tc>
          <w:tcPr>
            <w:tcW w:w="314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Choice Gas Program</w:t>
            </w:r>
          </w:p>
        </w:tc>
        <w:tc>
          <w:tcPr>
            <w:tcW w:w="810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Regulator-approved programs in Wyoming and Nebraska that allow certain utility customers to select their</w:t>
            </w:r>
          </w:p>
        </w:tc>
      </w:tr>
      <w:tr>
        <w:trPr>
          <w:trHeight w:val="162"/>
        </w:trPr>
        <w:tc>
          <w:tcPr>
            <w:tcW w:w="3140" w:type="dxa"/>
            <w:vAlign w:val="bottom"/>
            <w:shd w:val="clear" w:color="auto" w:fill="CEFFE7"/>
          </w:tcPr>
          <w:p>
            <w:pPr>
              <w:spacing w:after="0"/>
              <w:rPr>
                <w:sz w:val="14"/>
                <w:szCs w:val="14"/>
                <w:color w:val="auto"/>
              </w:rPr>
            </w:pPr>
          </w:p>
        </w:tc>
        <w:tc>
          <w:tcPr>
            <w:tcW w:w="810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natural gas commodity supplier, providing the unbundling of the commodity service from the distribution</w:t>
            </w:r>
          </w:p>
        </w:tc>
      </w:tr>
      <w:tr>
        <w:trPr>
          <w:trHeight w:val="201"/>
        </w:trPr>
        <w:tc>
          <w:tcPr>
            <w:tcW w:w="3140" w:type="dxa"/>
            <w:vAlign w:val="bottom"/>
            <w:shd w:val="clear" w:color="auto" w:fill="CEFFE7"/>
          </w:tcPr>
          <w:p>
            <w:pPr>
              <w:spacing w:after="0"/>
              <w:rPr>
                <w:sz w:val="17"/>
                <w:szCs w:val="17"/>
                <w:color w:val="auto"/>
              </w:rPr>
            </w:pPr>
          </w:p>
        </w:tc>
        <w:tc>
          <w:tcPr>
            <w:tcW w:w="8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delivery service.</w:t>
            </w: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City of Colorado Springs</w:t>
            </w:r>
          </w:p>
        </w:tc>
        <w:tc>
          <w:tcPr>
            <w:tcW w:w="8100" w:type="dxa"/>
            <w:vAlign w:val="bottom"/>
          </w:tcPr>
          <w:p>
            <w:pPr>
              <w:ind w:left="160"/>
              <w:spacing w:after="0"/>
              <w:rPr>
                <w:sz w:val="20"/>
                <w:szCs w:val="20"/>
                <w:color w:val="auto"/>
              </w:rPr>
            </w:pPr>
            <w:r>
              <w:rPr>
                <w:rFonts w:ascii="Arial" w:cs="Arial" w:eastAsia="Arial" w:hAnsi="Arial"/>
                <w:sz w:val="16"/>
                <w:szCs w:val="16"/>
                <w:color w:val="auto"/>
              </w:rPr>
              <w:t>Colorado Springs, Colorado</w:t>
            </w:r>
          </w:p>
        </w:tc>
      </w:tr>
      <w:tr>
        <w:trPr>
          <w:trHeight w:val="219"/>
        </w:trPr>
        <w:tc>
          <w:tcPr>
            <w:tcW w:w="31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City of Gillette</w:t>
            </w:r>
          </w:p>
        </w:tc>
        <w:tc>
          <w:tcPr>
            <w:tcW w:w="8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Gillette, Wyoming</w:t>
            </w:r>
          </w:p>
        </w:tc>
      </w:tr>
      <w:tr>
        <w:trPr>
          <w:trHeight w:val="736"/>
        </w:trPr>
        <w:tc>
          <w:tcPr>
            <w:tcW w:w="3140" w:type="dxa"/>
            <w:vAlign w:val="bottom"/>
          </w:tcPr>
          <w:p>
            <w:pPr>
              <w:spacing w:after="0"/>
              <w:rPr>
                <w:sz w:val="24"/>
                <w:szCs w:val="24"/>
                <w:color w:val="auto"/>
              </w:rPr>
            </w:pPr>
          </w:p>
        </w:tc>
        <w:tc>
          <w:tcPr>
            <w:tcW w:w="8100" w:type="dxa"/>
            <w:vAlign w:val="bottom"/>
          </w:tcPr>
          <w:p>
            <w:pPr>
              <w:ind w:left="2440"/>
              <w:spacing w:after="0"/>
              <w:rPr>
                <w:sz w:val="20"/>
                <w:szCs w:val="20"/>
                <w:color w:val="auto"/>
              </w:rPr>
            </w:pPr>
            <w:r>
              <w:rPr>
                <w:rFonts w:ascii="Arial" w:cs="Arial" w:eastAsia="Arial" w:hAnsi="Arial"/>
                <w:sz w:val="16"/>
                <w:szCs w:val="16"/>
                <w:color w:val="auto"/>
              </w:rPr>
              <w:t>4</w:t>
            </w:r>
          </w:p>
        </w:tc>
      </w:tr>
      <w:tr>
        <w:trPr>
          <w:trHeight w:val="108"/>
        </w:trPr>
        <w:tc>
          <w:tcPr>
            <w:tcW w:w="3140" w:type="dxa"/>
            <w:vAlign w:val="bottom"/>
            <w:tcBorders>
              <w:bottom w:val="single" w:sz="8" w:color="9A9A9A"/>
            </w:tcBorders>
          </w:tcPr>
          <w:p>
            <w:pPr>
              <w:spacing w:after="0"/>
              <w:rPr>
                <w:sz w:val="9"/>
                <w:szCs w:val="9"/>
                <w:color w:val="auto"/>
              </w:rPr>
            </w:pPr>
          </w:p>
        </w:tc>
        <w:tc>
          <w:tcPr>
            <w:tcW w:w="8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246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8780" w:type="dxa"/>
            <w:vAlign w:val="bottom"/>
          </w:tcPr>
          <w:p>
            <w:pPr>
              <w:spacing w:after="0"/>
              <w:rPr>
                <w:sz w:val="16"/>
                <w:szCs w:val="16"/>
                <w:color w:val="auto"/>
              </w:rPr>
            </w:pPr>
          </w:p>
        </w:tc>
      </w:tr>
      <w:tr>
        <w:trPr>
          <w:trHeight w:val="765"/>
        </w:trPr>
        <w:tc>
          <w:tcPr>
            <w:tcW w:w="1360" w:type="dxa"/>
            <w:vAlign w:val="bottom"/>
            <w:tcBorders>
              <w:top w:val="single" w:sz="8" w:color="0000FF"/>
            </w:tcBorders>
          </w:tcPr>
          <w:p>
            <w:pPr>
              <w:ind w:left="20"/>
              <w:spacing w:after="0"/>
              <w:rPr>
                <w:sz w:val="20"/>
                <w:szCs w:val="20"/>
                <w:color w:val="auto"/>
              </w:rPr>
            </w:pPr>
            <w:r>
              <w:rPr>
                <w:rFonts w:ascii="Arial" w:cs="Arial" w:eastAsia="Arial" w:hAnsi="Arial"/>
                <w:sz w:val="16"/>
                <w:szCs w:val="16"/>
                <w:color w:val="auto"/>
              </w:rPr>
              <w:t>Colorado Electric</w:t>
            </w:r>
          </w:p>
        </w:tc>
        <w:tc>
          <w:tcPr>
            <w:tcW w:w="1100" w:type="dxa"/>
            <w:vAlign w:val="bottom"/>
          </w:tcPr>
          <w:p>
            <w:pPr>
              <w:spacing w:after="0"/>
              <w:rPr>
                <w:sz w:val="24"/>
                <w:szCs w:val="24"/>
                <w:color w:val="auto"/>
              </w:rPr>
            </w:pPr>
          </w:p>
        </w:tc>
        <w:tc>
          <w:tcPr>
            <w:tcW w:w="8780" w:type="dxa"/>
            <w:vAlign w:val="bottom"/>
          </w:tcPr>
          <w:p>
            <w:pPr>
              <w:ind w:left="840"/>
              <w:spacing w:after="0"/>
              <w:rPr>
                <w:sz w:val="20"/>
                <w:szCs w:val="20"/>
                <w:color w:val="auto"/>
              </w:rPr>
            </w:pPr>
            <w:r>
              <w:rPr>
                <w:rFonts w:ascii="Arial" w:cs="Arial" w:eastAsia="Arial" w:hAnsi="Arial"/>
                <w:sz w:val="16"/>
                <w:szCs w:val="16"/>
                <w:color w:val="auto"/>
              </w:rPr>
              <w:t>Black Hills Colorado Electric, LLC, a direct, wholly-owned subsidiary of Black Hills Utility Holdings, providing</w:t>
            </w:r>
          </w:p>
        </w:tc>
      </w:tr>
      <w:tr>
        <w:trPr>
          <w:trHeight w:val="198"/>
        </w:trPr>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80" w:type="dxa"/>
            <w:vAlign w:val="bottom"/>
          </w:tcPr>
          <w:p>
            <w:pPr>
              <w:ind w:left="840"/>
              <w:spacing w:after="0"/>
              <w:rPr>
                <w:sz w:val="20"/>
                <w:szCs w:val="20"/>
                <w:color w:val="auto"/>
              </w:rPr>
            </w:pPr>
            <w:r>
              <w:rPr>
                <w:rFonts w:ascii="Arial" w:cs="Arial" w:eastAsia="Arial" w:hAnsi="Arial"/>
                <w:sz w:val="16"/>
                <w:szCs w:val="16"/>
                <w:color w:val="auto"/>
              </w:rPr>
              <w:t>electric service to customers in Colorado (doing business as Black Hills Energy).</w:t>
            </w:r>
          </w:p>
        </w:tc>
      </w:tr>
      <w:tr>
        <w:trPr>
          <w:trHeight w:val="180"/>
        </w:trPr>
        <w:tc>
          <w:tcPr>
            <w:tcW w:w="246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Colorado Gas</w:t>
            </w:r>
          </w:p>
        </w:tc>
        <w:tc>
          <w:tcPr>
            <w:tcW w:w="8780" w:type="dxa"/>
            <w:vAlign w:val="bottom"/>
            <w:shd w:val="clear" w:color="auto" w:fill="CEFFE7"/>
          </w:tcPr>
          <w:p>
            <w:pPr>
              <w:ind w:left="840"/>
              <w:spacing w:after="0" w:line="181" w:lineRule="exact"/>
              <w:rPr>
                <w:sz w:val="20"/>
                <w:szCs w:val="20"/>
                <w:color w:val="auto"/>
              </w:rPr>
            </w:pPr>
            <w:r>
              <w:rPr>
                <w:rFonts w:ascii="Arial" w:cs="Arial" w:eastAsia="Arial" w:hAnsi="Arial"/>
                <w:sz w:val="16"/>
                <w:szCs w:val="16"/>
                <w:color w:val="auto"/>
              </w:rPr>
              <w:t>Black Hills Colorado Gas, Inc., an indirect, wholly-owned subsidiary of Black Hills Utility Holdings, providing</w:t>
            </w:r>
          </w:p>
        </w:tc>
      </w:tr>
      <w:tr>
        <w:trPr>
          <w:trHeight w:val="201"/>
        </w:trPr>
        <w:tc>
          <w:tcPr>
            <w:tcW w:w="1360" w:type="dxa"/>
            <w:vAlign w:val="bottom"/>
            <w:shd w:val="clear" w:color="auto" w:fill="CEFFE7"/>
          </w:tcPr>
          <w:p>
            <w:pPr>
              <w:spacing w:after="0"/>
              <w:rPr>
                <w:sz w:val="17"/>
                <w:szCs w:val="17"/>
                <w:color w:val="auto"/>
              </w:rPr>
            </w:pPr>
          </w:p>
        </w:tc>
        <w:tc>
          <w:tcPr>
            <w:tcW w:w="1100" w:type="dxa"/>
            <w:vAlign w:val="bottom"/>
            <w:shd w:val="clear" w:color="auto" w:fill="CEFFE7"/>
          </w:tcPr>
          <w:p>
            <w:pPr>
              <w:spacing w:after="0"/>
              <w:rPr>
                <w:sz w:val="17"/>
                <w:szCs w:val="17"/>
                <w:color w:val="auto"/>
              </w:rPr>
            </w:pP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natural gas services to customers in Colorado (doing business as Black Hills Energy).</w:t>
            </w:r>
          </w:p>
        </w:tc>
      </w:tr>
      <w:tr>
        <w:trPr>
          <w:trHeight w:val="177"/>
        </w:trPr>
        <w:tc>
          <w:tcPr>
            <w:tcW w:w="24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Common Use System</w:t>
            </w:r>
          </w:p>
        </w:tc>
        <w:tc>
          <w:tcPr>
            <w:tcW w:w="8780" w:type="dxa"/>
            <w:vAlign w:val="bottom"/>
          </w:tcPr>
          <w:p>
            <w:pPr>
              <w:ind w:left="840"/>
              <w:spacing w:after="0" w:line="178" w:lineRule="exact"/>
              <w:rPr>
                <w:sz w:val="20"/>
                <w:szCs w:val="20"/>
                <w:color w:val="auto"/>
              </w:rPr>
            </w:pPr>
            <w:r>
              <w:rPr>
                <w:rFonts w:ascii="Arial" w:cs="Arial" w:eastAsia="Arial" w:hAnsi="Arial"/>
                <w:sz w:val="16"/>
                <w:szCs w:val="16"/>
                <w:color w:val="auto"/>
              </w:rPr>
              <w:t>The Common Use System is a jointly operated transmission system we participate in with Basin Electric</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840"/>
              <w:spacing w:after="0" w:line="162" w:lineRule="exact"/>
              <w:rPr>
                <w:sz w:val="20"/>
                <w:szCs w:val="20"/>
                <w:color w:val="auto"/>
              </w:rPr>
            </w:pPr>
            <w:r>
              <w:rPr>
                <w:rFonts w:ascii="Arial" w:cs="Arial" w:eastAsia="Arial" w:hAnsi="Arial"/>
                <w:sz w:val="16"/>
                <w:szCs w:val="16"/>
                <w:color w:val="auto"/>
              </w:rPr>
              <w:t>Power Cooperative and Powder River Energy Corporation. The Common Use System provides transmission</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840"/>
              <w:spacing w:after="0" w:line="162" w:lineRule="exact"/>
              <w:rPr>
                <w:sz w:val="20"/>
                <w:szCs w:val="20"/>
                <w:color w:val="auto"/>
              </w:rPr>
            </w:pPr>
            <w:r>
              <w:rPr>
                <w:rFonts w:ascii="Arial" w:cs="Arial" w:eastAsia="Arial" w:hAnsi="Arial"/>
                <w:sz w:val="16"/>
                <w:szCs w:val="16"/>
                <w:color w:val="auto"/>
              </w:rPr>
              <w:t>service over these utilities' combined 230-kilovolt (kV) and limited 69-kV transmission facilities within areas of</w:t>
            </w:r>
          </w:p>
        </w:tc>
      </w:tr>
      <w:tr>
        <w:trPr>
          <w:trHeight w:val="195"/>
        </w:trPr>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780" w:type="dxa"/>
            <w:vAlign w:val="bottom"/>
          </w:tcPr>
          <w:p>
            <w:pPr>
              <w:ind w:left="840"/>
              <w:spacing w:after="0"/>
              <w:rPr>
                <w:sz w:val="20"/>
                <w:szCs w:val="20"/>
                <w:color w:val="auto"/>
              </w:rPr>
            </w:pPr>
            <w:r>
              <w:rPr>
                <w:rFonts w:ascii="Arial" w:cs="Arial" w:eastAsia="Arial" w:hAnsi="Arial"/>
                <w:sz w:val="16"/>
                <w:szCs w:val="16"/>
                <w:color w:val="auto"/>
              </w:rPr>
              <w:t>southwestern South Dakota and northeastern Wyoming.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Consolidated Indebtedness to Capitalization  Any Indebtedness outstanding at such time, divided by capital at such time. Capital being consolidated net-</w:t>
      </w:r>
    </w:p>
    <w:p>
      <w:pPr>
        <w:ind w:left="3300" w:right="20" w:hanging="3279"/>
        <w:spacing w:after="0" w:line="232" w:lineRule="auto"/>
        <w:tabs>
          <w:tab w:leader="none" w:pos="3280" w:val="left"/>
        </w:tabs>
        <w:rPr>
          <w:sz w:val="20"/>
          <w:szCs w:val="20"/>
          <w:color w:val="auto"/>
        </w:rPr>
      </w:pPr>
      <w:r>
        <w:rPr>
          <w:rFonts w:ascii="Arial" w:cs="Arial" w:eastAsia="Arial" w:hAnsi="Arial"/>
          <w:sz w:val="16"/>
          <w:szCs w:val="16"/>
          <w:color w:val="auto"/>
        </w:rPr>
        <w:t>Ratio</w:t>
      </w:r>
      <w:r>
        <w:rPr>
          <w:sz w:val="20"/>
          <w:szCs w:val="20"/>
          <w:color w:val="auto"/>
        </w:rPr>
        <w:tab/>
      </w:r>
      <w:r>
        <w:rPr>
          <w:rFonts w:ascii="Arial" w:cs="Arial" w:eastAsia="Arial" w:hAnsi="Arial"/>
          <w:sz w:val="16"/>
          <w:szCs w:val="16"/>
          <w:color w:val="auto"/>
        </w:rPr>
        <w:t>worth (excluding non-controlling interest) plus consolidated indebtedness (including letters of credit and certain guarantees issued) as defined within the current Revolving Credit Facility.</w:t>
      </w:r>
    </w:p>
    <w:tbl>
      <w:tblPr>
        <w:tblLayout w:type="fixed"/>
        <w:tblInd w:w="0" w:type="dxa"/>
        <w:tblCellMar>
          <w:top w:w="0" w:type="dxa"/>
          <w:left w:w="0" w:type="dxa"/>
          <w:bottom w:w="0" w:type="dxa"/>
          <w:right w:w="0" w:type="dxa"/>
        </w:tblCellMar>
      </w:tblPr>
      <w:tr>
        <w:trPr>
          <w:trHeight w:val="184"/>
        </w:trPr>
        <w:tc>
          <w:tcPr>
            <w:tcW w:w="2460" w:type="dxa"/>
            <w:vAlign w:val="bottom"/>
          </w:tcPr>
          <w:p>
            <w:pPr>
              <w:ind w:left="20"/>
              <w:spacing w:after="0"/>
              <w:rPr>
                <w:sz w:val="20"/>
                <w:szCs w:val="20"/>
                <w:color w:val="auto"/>
              </w:rPr>
            </w:pPr>
            <w:r>
              <w:rPr>
                <w:rFonts w:ascii="Arial" w:cs="Arial" w:eastAsia="Arial" w:hAnsi="Arial"/>
                <w:sz w:val="16"/>
                <w:szCs w:val="16"/>
                <w:color w:val="auto"/>
              </w:rPr>
              <w:t>Cooling Degree Day</w:t>
            </w:r>
          </w:p>
        </w:tc>
        <w:tc>
          <w:tcPr>
            <w:tcW w:w="8780" w:type="dxa"/>
            <w:vAlign w:val="bottom"/>
          </w:tcPr>
          <w:p>
            <w:pPr>
              <w:ind w:left="840"/>
              <w:spacing w:after="0"/>
              <w:rPr>
                <w:sz w:val="20"/>
                <w:szCs w:val="20"/>
                <w:color w:val="auto"/>
              </w:rPr>
            </w:pPr>
            <w:r>
              <w:rPr>
                <w:rFonts w:ascii="Arial" w:cs="Arial" w:eastAsia="Arial" w:hAnsi="Arial"/>
                <w:sz w:val="16"/>
                <w:szCs w:val="16"/>
                <w:color w:val="auto"/>
              </w:rPr>
              <w:t>A cooling degree day is equivalent to each degree that the average of the high and low temperature for a day</w:t>
            </w:r>
          </w:p>
        </w:tc>
      </w:tr>
      <w:tr>
        <w:trPr>
          <w:trHeight w:val="162"/>
        </w:trPr>
        <w:tc>
          <w:tcPr>
            <w:tcW w:w="2460" w:type="dxa"/>
            <w:vAlign w:val="bottom"/>
          </w:tcPr>
          <w:p>
            <w:pPr>
              <w:spacing w:after="0"/>
              <w:rPr>
                <w:sz w:val="14"/>
                <w:szCs w:val="14"/>
                <w:color w:val="auto"/>
              </w:rPr>
            </w:pPr>
          </w:p>
        </w:tc>
        <w:tc>
          <w:tcPr>
            <w:tcW w:w="8780" w:type="dxa"/>
            <w:vAlign w:val="bottom"/>
          </w:tcPr>
          <w:p>
            <w:pPr>
              <w:ind w:left="840"/>
              <w:spacing w:after="0" w:line="162" w:lineRule="exact"/>
              <w:rPr>
                <w:sz w:val="20"/>
                <w:szCs w:val="20"/>
                <w:color w:val="auto"/>
              </w:rPr>
            </w:pPr>
            <w:r>
              <w:rPr>
                <w:rFonts w:ascii="Arial" w:cs="Arial" w:eastAsia="Arial" w:hAnsi="Arial"/>
                <w:sz w:val="16"/>
                <w:szCs w:val="16"/>
                <w:color w:val="auto"/>
              </w:rPr>
              <w:t>is above 65 degrees. The warmer the climate, the greater the number of cooling degree days. Cooling degree</w:t>
            </w:r>
          </w:p>
        </w:tc>
      </w:tr>
      <w:tr>
        <w:trPr>
          <w:trHeight w:val="162"/>
        </w:trPr>
        <w:tc>
          <w:tcPr>
            <w:tcW w:w="2460" w:type="dxa"/>
            <w:vAlign w:val="bottom"/>
          </w:tcPr>
          <w:p>
            <w:pPr>
              <w:spacing w:after="0"/>
              <w:rPr>
                <w:sz w:val="14"/>
                <w:szCs w:val="14"/>
                <w:color w:val="auto"/>
              </w:rPr>
            </w:pPr>
          </w:p>
        </w:tc>
        <w:tc>
          <w:tcPr>
            <w:tcW w:w="8780" w:type="dxa"/>
            <w:vAlign w:val="bottom"/>
          </w:tcPr>
          <w:p>
            <w:pPr>
              <w:ind w:left="840"/>
              <w:spacing w:after="0" w:line="162" w:lineRule="exact"/>
              <w:rPr>
                <w:sz w:val="20"/>
                <w:szCs w:val="20"/>
                <w:color w:val="auto"/>
              </w:rPr>
            </w:pPr>
            <w:r>
              <w:rPr>
                <w:rFonts w:ascii="Arial" w:cs="Arial" w:eastAsia="Arial" w:hAnsi="Arial"/>
                <w:sz w:val="16"/>
                <w:szCs w:val="16"/>
                <w:color w:val="auto"/>
              </w:rPr>
              <w:t>days are used in the utility industry to measure the relative warmth of weather and to compare relative</w:t>
            </w:r>
          </w:p>
        </w:tc>
      </w:tr>
      <w:tr>
        <w:trPr>
          <w:trHeight w:val="162"/>
        </w:trPr>
        <w:tc>
          <w:tcPr>
            <w:tcW w:w="2460" w:type="dxa"/>
            <w:vAlign w:val="bottom"/>
          </w:tcPr>
          <w:p>
            <w:pPr>
              <w:spacing w:after="0"/>
              <w:rPr>
                <w:sz w:val="14"/>
                <w:szCs w:val="14"/>
                <w:color w:val="auto"/>
              </w:rPr>
            </w:pPr>
          </w:p>
        </w:tc>
        <w:tc>
          <w:tcPr>
            <w:tcW w:w="8780" w:type="dxa"/>
            <w:vAlign w:val="bottom"/>
          </w:tcPr>
          <w:p>
            <w:pPr>
              <w:ind w:left="840"/>
              <w:spacing w:after="0" w:line="162" w:lineRule="exact"/>
              <w:rPr>
                <w:sz w:val="20"/>
                <w:szCs w:val="20"/>
                <w:color w:val="auto"/>
              </w:rPr>
            </w:pPr>
            <w:r>
              <w:rPr>
                <w:rFonts w:ascii="Arial" w:cs="Arial" w:eastAsia="Arial" w:hAnsi="Arial"/>
                <w:sz w:val="16"/>
                <w:szCs w:val="16"/>
                <w:color w:val="auto"/>
              </w:rPr>
              <w:t>temperatures between one geographic area and another. Normal degree days are based on the National</w:t>
            </w:r>
          </w:p>
        </w:tc>
      </w:tr>
      <w:tr>
        <w:trPr>
          <w:trHeight w:val="198"/>
        </w:trPr>
        <w:tc>
          <w:tcPr>
            <w:tcW w:w="2460" w:type="dxa"/>
            <w:vAlign w:val="bottom"/>
          </w:tcPr>
          <w:p>
            <w:pPr>
              <w:spacing w:after="0"/>
              <w:rPr>
                <w:sz w:val="17"/>
                <w:szCs w:val="17"/>
                <w:color w:val="auto"/>
              </w:rPr>
            </w:pPr>
          </w:p>
        </w:tc>
        <w:tc>
          <w:tcPr>
            <w:tcW w:w="8780" w:type="dxa"/>
            <w:vAlign w:val="bottom"/>
          </w:tcPr>
          <w:p>
            <w:pPr>
              <w:ind w:left="840"/>
              <w:spacing w:after="0"/>
              <w:rPr>
                <w:sz w:val="20"/>
                <w:szCs w:val="20"/>
                <w:color w:val="auto"/>
              </w:rPr>
            </w:pPr>
            <w:r>
              <w:rPr>
                <w:rFonts w:ascii="Arial" w:cs="Arial" w:eastAsia="Arial" w:hAnsi="Arial"/>
                <w:sz w:val="16"/>
                <w:szCs w:val="16"/>
                <w:color w:val="auto"/>
              </w:rPr>
              <w:t>Weather Service data for selected locations.</w:t>
            </w:r>
          </w:p>
        </w:tc>
      </w:tr>
      <w:tr>
        <w:trPr>
          <w:trHeight w:val="180"/>
        </w:trPr>
        <w:tc>
          <w:tcPr>
            <w:tcW w:w="24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Corriedale</w:t>
            </w:r>
          </w:p>
        </w:tc>
        <w:tc>
          <w:tcPr>
            <w:tcW w:w="8780" w:type="dxa"/>
            <w:vAlign w:val="bottom"/>
            <w:shd w:val="clear" w:color="auto" w:fill="CEFFE7"/>
          </w:tcPr>
          <w:p>
            <w:pPr>
              <w:ind w:left="840"/>
              <w:spacing w:after="0" w:line="181" w:lineRule="exact"/>
              <w:rPr>
                <w:sz w:val="20"/>
                <w:szCs w:val="20"/>
                <w:color w:val="auto"/>
              </w:rPr>
            </w:pPr>
            <w:r>
              <w:rPr>
                <w:rFonts w:ascii="Arial" w:cs="Arial" w:eastAsia="Arial" w:hAnsi="Arial"/>
                <w:sz w:val="16"/>
                <w:szCs w:val="16"/>
                <w:color w:val="auto"/>
              </w:rPr>
              <w:t>The 52.5 MW wind farm near Cheyenne, Wyoming, jointly owned by South Dakota Electric (32.5 MW) and</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Wyoming Electric (20 MW), serving as the dedicated wind energy supply to the Renewable Ready program.</w:t>
            </w:r>
          </w:p>
        </w:tc>
      </w:tr>
      <w:tr>
        <w:trPr>
          <w:trHeight w:val="177"/>
        </w:trPr>
        <w:tc>
          <w:tcPr>
            <w:tcW w:w="2460" w:type="dxa"/>
            <w:vAlign w:val="bottom"/>
          </w:tcPr>
          <w:p>
            <w:pPr>
              <w:ind w:left="20"/>
              <w:spacing w:after="0" w:line="178" w:lineRule="exact"/>
              <w:rPr>
                <w:sz w:val="20"/>
                <w:szCs w:val="20"/>
                <w:color w:val="auto"/>
              </w:rPr>
            </w:pPr>
            <w:r>
              <w:rPr>
                <w:rFonts w:ascii="Arial" w:cs="Arial" w:eastAsia="Arial" w:hAnsi="Arial"/>
                <w:sz w:val="16"/>
                <w:szCs w:val="16"/>
                <w:color w:val="auto"/>
              </w:rPr>
              <w:t>COVID-19</w:t>
            </w:r>
          </w:p>
        </w:tc>
        <w:tc>
          <w:tcPr>
            <w:tcW w:w="8780" w:type="dxa"/>
            <w:vAlign w:val="bottom"/>
          </w:tcPr>
          <w:p>
            <w:pPr>
              <w:ind w:left="840"/>
              <w:spacing w:after="0" w:line="178" w:lineRule="exact"/>
              <w:rPr>
                <w:sz w:val="20"/>
                <w:szCs w:val="20"/>
                <w:color w:val="auto"/>
              </w:rPr>
            </w:pPr>
            <w:r>
              <w:rPr>
                <w:rFonts w:ascii="Arial" w:cs="Arial" w:eastAsia="Arial" w:hAnsi="Arial"/>
                <w:sz w:val="16"/>
                <w:szCs w:val="16"/>
                <w:color w:val="auto"/>
              </w:rPr>
              <w:t>The official name for the 2019 novel coronavirus disease announced on February 11, 2020, by the World</w:t>
            </w:r>
          </w:p>
        </w:tc>
      </w:tr>
      <w:tr>
        <w:trPr>
          <w:trHeight w:val="198"/>
        </w:trPr>
        <w:tc>
          <w:tcPr>
            <w:tcW w:w="2460" w:type="dxa"/>
            <w:vAlign w:val="bottom"/>
          </w:tcPr>
          <w:p>
            <w:pPr>
              <w:spacing w:after="0"/>
              <w:rPr>
                <w:sz w:val="17"/>
                <w:szCs w:val="17"/>
                <w:color w:val="auto"/>
              </w:rPr>
            </w:pPr>
          </w:p>
        </w:tc>
        <w:tc>
          <w:tcPr>
            <w:tcW w:w="8780" w:type="dxa"/>
            <w:vAlign w:val="bottom"/>
          </w:tcPr>
          <w:p>
            <w:pPr>
              <w:ind w:left="840"/>
              <w:spacing w:after="0"/>
              <w:rPr>
                <w:sz w:val="20"/>
                <w:szCs w:val="20"/>
                <w:color w:val="auto"/>
              </w:rPr>
            </w:pPr>
            <w:r>
              <w:rPr>
                <w:rFonts w:ascii="Arial" w:cs="Arial" w:eastAsia="Arial" w:hAnsi="Arial"/>
                <w:sz w:val="16"/>
                <w:szCs w:val="16"/>
                <w:color w:val="auto"/>
              </w:rPr>
              <w:t>Health Organization, that is causing a global pandemic.</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CP Program</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Commercial Paper Program</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CPUC</w:t>
            </w:r>
          </w:p>
        </w:tc>
        <w:tc>
          <w:tcPr>
            <w:tcW w:w="8780" w:type="dxa"/>
            <w:vAlign w:val="bottom"/>
          </w:tcPr>
          <w:p>
            <w:pPr>
              <w:ind w:left="840"/>
              <w:spacing w:after="0"/>
              <w:rPr>
                <w:sz w:val="20"/>
                <w:szCs w:val="20"/>
                <w:color w:val="auto"/>
              </w:rPr>
            </w:pPr>
            <w:r>
              <w:rPr>
                <w:rFonts w:ascii="Arial" w:cs="Arial" w:eastAsia="Arial" w:hAnsi="Arial"/>
                <w:sz w:val="16"/>
                <w:szCs w:val="16"/>
                <w:color w:val="auto"/>
              </w:rPr>
              <w:t>Colorado Public Utilities Commission</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CT</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Combustion Turbine</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CTII</w:t>
            </w:r>
          </w:p>
        </w:tc>
        <w:tc>
          <w:tcPr>
            <w:tcW w:w="8780" w:type="dxa"/>
            <w:vAlign w:val="bottom"/>
          </w:tcPr>
          <w:p>
            <w:pPr>
              <w:ind w:left="840"/>
              <w:spacing w:after="0"/>
              <w:rPr>
                <w:sz w:val="20"/>
                <w:szCs w:val="20"/>
                <w:color w:val="auto"/>
              </w:rPr>
            </w:pPr>
            <w:r>
              <w:rPr>
                <w:rFonts w:ascii="Arial" w:cs="Arial" w:eastAsia="Arial" w:hAnsi="Arial"/>
                <w:sz w:val="16"/>
                <w:szCs w:val="16"/>
                <w:color w:val="auto"/>
              </w:rPr>
              <w:t>The 40 MW Gillette CT, a simple-cycle, gas-fired combustion turbine owned by the City of Gillette.</w:t>
            </w:r>
          </w:p>
        </w:tc>
      </w:tr>
      <w:tr>
        <w:trPr>
          <w:trHeight w:val="180"/>
        </w:trPr>
        <w:tc>
          <w:tcPr>
            <w:tcW w:w="24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Cushion Gas</w:t>
            </w:r>
          </w:p>
        </w:tc>
        <w:tc>
          <w:tcPr>
            <w:tcW w:w="8780" w:type="dxa"/>
            <w:vAlign w:val="bottom"/>
            <w:shd w:val="clear" w:color="auto" w:fill="CEFFE7"/>
          </w:tcPr>
          <w:p>
            <w:pPr>
              <w:ind w:left="840"/>
              <w:spacing w:after="0" w:line="181" w:lineRule="exact"/>
              <w:rPr>
                <w:sz w:val="20"/>
                <w:szCs w:val="20"/>
                <w:color w:val="auto"/>
              </w:rPr>
            </w:pPr>
            <w:r>
              <w:rPr>
                <w:rFonts w:ascii="Arial" w:cs="Arial" w:eastAsia="Arial" w:hAnsi="Arial"/>
                <w:sz w:val="16"/>
                <w:szCs w:val="16"/>
                <w:color w:val="auto"/>
              </w:rPr>
              <w:t>The portion of natural gas necessary to force saleable gas from a storage field into the transmission system</w:t>
            </w:r>
          </w:p>
        </w:tc>
      </w:tr>
      <w:tr>
        <w:trPr>
          <w:trHeight w:val="162"/>
        </w:trPr>
        <w:tc>
          <w:tcPr>
            <w:tcW w:w="2460" w:type="dxa"/>
            <w:vAlign w:val="bottom"/>
            <w:shd w:val="clear" w:color="auto" w:fill="CEFFE7"/>
          </w:tcPr>
          <w:p>
            <w:pPr>
              <w:spacing w:after="0"/>
              <w:rPr>
                <w:sz w:val="14"/>
                <w:szCs w:val="14"/>
                <w:color w:val="auto"/>
              </w:rPr>
            </w:pPr>
          </w:p>
        </w:tc>
        <w:tc>
          <w:tcPr>
            <w:tcW w:w="8780" w:type="dxa"/>
            <w:vAlign w:val="bottom"/>
            <w:shd w:val="clear" w:color="auto" w:fill="CEFFE7"/>
          </w:tcPr>
          <w:p>
            <w:pPr>
              <w:ind w:left="840"/>
              <w:spacing w:after="0" w:line="162" w:lineRule="exact"/>
              <w:rPr>
                <w:sz w:val="20"/>
                <w:szCs w:val="20"/>
                <w:color w:val="auto"/>
              </w:rPr>
            </w:pPr>
            <w:r>
              <w:rPr>
                <w:rFonts w:ascii="Arial" w:cs="Arial" w:eastAsia="Arial" w:hAnsi="Arial"/>
                <w:sz w:val="16"/>
                <w:szCs w:val="16"/>
                <w:color w:val="auto"/>
              </w:rPr>
              <w:t>and for system balancing, representing a permanent investment necessary to use storage facilities and</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maintain reliability.</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CVA</w:t>
            </w:r>
          </w:p>
        </w:tc>
        <w:tc>
          <w:tcPr>
            <w:tcW w:w="8780" w:type="dxa"/>
            <w:vAlign w:val="bottom"/>
          </w:tcPr>
          <w:p>
            <w:pPr>
              <w:ind w:left="840"/>
              <w:spacing w:after="0"/>
              <w:rPr>
                <w:sz w:val="20"/>
                <w:szCs w:val="20"/>
                <w:color w:val="auto"/>
              </w:rPr>
            </w:pPr>
            <w:r>
              <w:rPr>
                <w:rFonts w:ascii="Arial" w:cs="Arial" w:eastAsia="Arial" w:hAnsi="Arial"/>
                <w:sz w:val="16"/>
                <w:szCs w:val="16"/>
                <w:color w:val="auto"/>
              </w:rPr>
              <w:t>Credit Valuation Adjustment</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DC</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Direct Current</w:t>
            </w:r>
          </w:p>
        </w:tc>
      </w:tr>
      <w:tr>
        <w:trPr>
          <w:trHeight w:val="177"/>
        </w:trPr>
        <w:tc>
          <w:tcPr>
            <w:tcW w:w="2460" w:type="dxa"/>
            <w:vAlign w:val="bottom"/>
          </w:tcPr>
          <w:p>
            <w:pPr>
              <w:ind w:left="20"/>
              <w:spacing w:after="0" w:line="178" w:lineRule="exact"/>
              <w:rPr>
                <w:sz w:val="20"/>
                <w:szCs w:val="20"/>
                <w:color w:val="auto"/>
              </w:rPr>
            </w:pPr>
            <w:r>
              <w:rPr>
                <w:rFonts w:ascii="Arial" w:cs="Arial" w:eastAsia="Arial" w:hAnsi="Arial"/>
                <w:sz w:val="16"/>
                <w:szCs w:val="16"/>
                <w:color w:val="auto"/>
              </w:rPr>
              <w:t>Dividend Payout Ratio</w:t>
            </w:r>
          </w:p>
        </w:tc>
        <w:tc>
          <w:tcPr>
            <w:tcW w:w="8780" w:type="dxa"/>
            <w:vAlign w:val="bottom"/>
          </w:tcPr>
          <w:p>
            <w:pPr>
              <w:ind w:left="840"/>
              <w:spacing w:after="0" w:line="178" w:lineRule="exact"/>
              <w:rPr>
                <w:sz w:val="20"/>
                <w:szCs w:val="20"/>
                <w:color w:val="auto"/>
              </w:rPr>
            </w:pPr>
            <w:r>
              <w:rPr>
                <w:rFonts w:ascii="Arial" w:cs="Arial" w:eastAsia="Arial" w:hAnsi="Arial"/>
                <w:sz w:val="16"/>
                <w:szCs w:val="16"/>
                <w:color w:val="auto"/>
              </w:rPr>
              <w:t>Annual dividends paid on common stock divided by net income from continuing operations available for</w:t>
            </w:r>
          </w:p>
        </w:tc>
      </w:tr>
      <w:tr>
        <w:trPr>
          <w:trHeight w:val="198"/>
        </w:trPr>
        <w:tc>
          <w:tcPr>
            <w:tcW w:w="2460" w:type="dxa"/>
            <w:vAlign w:val="bottom"/>
          </w:tcPr>
          <w:p>
            <w:pPr>
              <w:spacing w:after="0"/>
              <w:rPr>
                <w:sz w:val="17"/>
                <w:szCs w:val="17"/>
                <w:color w:val="auto"/>
              </w:rPr>
            </w:pPr>
          </w:p>
        </w:tc>
        <w:tc>
          <w:tcPr>
            <w:tcW w:w="8780" w:type="dxa"/>
            <w:vAlign w:val="bottom"/>
          </w:tcPr>
          <w:p>
            <w:pPr>
              <w:ind w:left="840"/>
              <w:spacing w:after="0"/>
              <w:rPr>
                <w:sz w:val="20"/>
                <w:szCs w:val="20"/>
                <w:color w:val="auto"/>
              </w:rPr>
            </w:pPr>
            <w:r>
              <w:rPr>
                <w:rFonts w:ascii="Arial" w:cs="Arial" w:eastAsia="Arial" w:hAnsi="Arial"/>
                <w:sz w:val="16"/>
                <w:szCs w:val="16"/>
                <w:color w:val="auto"/>
              </w:rPr>
              <w:t>common stock</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DRSPP</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Dividend Reinvestment and Stock Purchase Plan</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DSM</w:t>
            </w:r>
          </w:p>
        </w:tc>
        <w:tc>
          <w:tcPr>
            <w:tcW w:w="8780" w:type="dxa"/>
            <w:vAlign w:val="bottom"/>
          </w:tcPr>
          <w:p>
            <w:pPr>
              <w:ind w:left="840"/>
              <w:spacing w:after="0"/>
              <w:rPr>
                <w:sz w:val="20"/>
                <w:szCs w:val="20"/>
                <w:color w:val="auto"/>
              </w:rPr>
            </w:pPr>
            <w:r>
              <w:rPr>
                <w:rFonts w:ascii="Arial" w:cs="Arial" w:eastAsia="Arial" w:hAnsi="Arial"/>
                <w:sz w:val="16"/>
                <w:szCs w:val="16"/>
                <w:color w:val="auto"/>
              </w:rPr>
              <w:t>Demand Side Management</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Dth</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Dekatherm. A unit of energy equal to 10 therms or one million British thermal units (MMBtu).</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EBITDA</w:t>
            </w:r>
          </w:p>
        </w:tc>
        <w:tc>
          <w:tcPr>
            <w:tcW w:w="8780" w:type="dxa"/>
            <w:vAlign w:val="bottom"/>
          </w:tcPr>
          <w:p>
            <w:pPr>
              <w:ind w:left="840"/>
              <w:spacing w:after="0"/>
              <w:rPr>
                <w:sz w:val="20"/>
                <w:szCs w:val="20"/>
                <w:color w:val="auto"/>
              </w:rPr>
            </w:pPr>
            <w:r>
              <w:rPr>
                <w:rFonts w:ascii="Arial" w:cs="Arial" w:eastAsia="Arial" w:hAnsi="Arial"/>
                <w:sz w:val="16"/>
                <w:szCs w:val="16"/>
                <w:color w:val="auto"/>
              </w:rPr>
              <w:t>Earnings before interest, taxes, depreciation and amortization, a non-GAAP measure.</w:t>
            </w:r>
          </w:p>
        </w:tc>
      </w:tr>
      <w:tr>
        <w:trPr>
          <w:trHeight w:val="180"/>
        </w:trPr>
        <w:tc>
          <w:tcPr>
            <w:tcW w:w="24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ECA</w:t>
            </w:r>
          </w:p>
        </w:tc>
        <w:tc>
          <w:tcPr>
            <w:tcW w:w="8780" w:type="dxa"/>
            <w:vAlign w:val="bottom"/>
            <w:shd w:val="clear" w:color="auto" w:fill="CEFFE7"/>
          </w:tcPr>
          <w:p>
            <w:pPr>
              <w:ind w:left="840"/>
              <w:spacing w:after="0" w:line="181" w:lineRule="exact"/>
              <w:rPr>
                <w:sz w:val="20"/>
                <w:szCs w:val="20"/>
                <w:color w:val="auto"/>
              </w:rPr>
            </w:pPr>
            <w:r>
              <w:rPr>
                <w:rFonts w:ascii="Arial" w:cs="Arial" w:eastAsia="Arial" w:hAnsi="Arial"/>
                <w:sz w:val="16"/>
                <w:szCs w:val="16"/>
                <w:color w:val="auto"/>
              </w:rPr>
              <w:t>Energy Cost Adjustment is an adjustment that allows us to pass the prudently-incurred cost of fuel and</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purchased energy through to customers.</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Economy Energy</w:t>
            </w:r>
          </w:p>
        </w:tc>
        <w:tc>
          <w:tcPr>
            <w:tcW w:w="8780" w:type="dxa"/>
            <w:vAlign w:val="bottom"/>
          </w:tcPr>
          <w:p>
            <w:pPr>
              <w:ind w:left="840"/>
              <w:spacing w:after="0"/>
              <w:rPr>
                <w:sz w:val="20"/>
                <w:szCs w:val="20"/>
                <w:color w:val="auto"/>
              </w:rPr>
            </w:pPr>
            <w:r>
              <w:rPr>
                <w:rFonts w:ascii="Arial" w:cs="Arial" w:eastAsia="Arial" w:hAnsi="Arial"/>
                <w:sz w:val="16"/>
                <w:szCs w:val="16"/>
                <w:color w:val="auto"/>
              </w:rPr>
              <w:t>Purchased energy that costs less than that produced with the utilities’ owned generation.</w:t>
            </w:r>
          </w:p>
        </w:tc>
      </w:tr>
      <w:tr>
        <w:trPr>
          <w:trHeight w:val="180"/>
        </w:trPr>
        <w:tc>
          <w:tcPr>
            <w:tcW w:w="24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EECR</w:t>
            </w:r>
          </w:p>
        </w:tc>
        <w:tc>
          <w:tcPr>
            <w:tcW w:w="8780" w:type="dxa"/>
            <w:vAlign w:val="bottom"/>
            <w:shd w:val="clear" w:color="auto" w:fill="CEFFE7"/>
          </w:tcPr>
          <w:p>
            <w:pPr>
              <w:ind w:left="840"/>
              <w:spacing w:after="0" w:line="181" w:lineRule="exact"/>
              <w:rPr>
                <w:sz w:val="20"/>
                <w:szCs w:val="20"/>
                <w:color w:val="auto"/>
              </w:rPr>
            </w:pPr>
            <w:r>
              <w:rPr>
                <w:rFonts w:ascii="Arial" w:cs="Arial" w:eastAsia="Arial" w:hAnsi="Arial"/>
                <w:sz w:val="16"/>
                <w:szCs w:val="16"/>
                <w:color w:val="auto"/>
              </w:rPr>
              <w:t>Energy Efficiency Cost Recovery is an adjustment mechanism that allows us to recover from customers the</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costs associated with providing energy efficiency programs.</w:t>
            </w:r>
          </w:p>
        </w:tc>
      </w:tr>
      <w:tr>
        <w:trPr>
          <w:trHeight w:val="177"/>
        </w:trPr>
        <w:tc>
          <w:tcPr>
            <w:tcW w:w="2460" w:type="dxa"/>
            <w:vAlign w:val="bottom"/>
          </w:tcPr>
          <w:p>
            <w:pPr>
              <w:ind w:left="20"/>
              <w:spacing w:after="0" w:line="178" w:lineRule="exact"/>
              <w:rPr>
                <w:sz w:val="20"/>
                <w:szCs w:val="20"/>
                <w:color w:val="auto"/>
              </w:rPr>
            </w:pPr>
            <w:r>
              <w:rPr>
                <w:rFonts w:ascii="Arial" w:cs="Arial" w:eastAsia="Arial" w:hAnsi="Arial"/>
                <w:sz w:val="16"/>
                <w:szCs w:val="16"/>
                <w:color w:val="auto"/>
              </w:rPr>
              <w:t>EIA</w:t>
            </w:r>
          </w:p>
        </w:tc>
        <w:tc>
          <w:tcPr>
            <w:tcW w:w="8780" w:type="dxa"/>
            <w:vAlign w:val="bottom"/>
          </w:tcPr>
          <w:p>
            <w:pPr>
              <w:ind w:left="840"/>
              <w:spacing w:after="0" w:line="178" w:lineRule="exact"/>
              <w:rPr>
                <w:sz w:val="20"/>
                <w:szCs w:val="20"/>
                <w:color w:val="auto"/>
              </w:rPr>
            </w:pPr>
            <w:r>
              <w:rPr>
                <w:rFonts w:ascii="Arial" w:cs="Arial" w:eastAsia="Arial" w:hAnsi="Arial"/>
                <w:sz w:val="16"/>
                <w:szCs w:val="16"/>
                <w:color w:val="auto"/>
              </w:rPr>
              <w:t>Environmental Improvement Adjustment is an annual adjustment mechanism that allows us to recover from</w:t>
            </w:r>
          </w:p>
        </w:tc>
      </w:tr>
      <w:tr>
        <w:trPr>
          <w:trHeight w:val="198"/>
        </w:trPr>
        <w:tc>
          <w:tcPr>
            <w:tcW w:w="2460" w:type="dxa"/>
            <w:vAlign w:val="bottom"/>
          </w:tcPr>
          <w:p>
            <w:pPr>
              <w:spacing w:after="0"/>
              <w:rPr>
                <w:sz w:val="17"/>
                <w:szCs w:val="17"/>
                <w:color w:val="auto"/>
              </w:rPr>
            </w:pPr>
          </w:p>
        </w:tc>
        <w:tc>
          <w:tcPr>
            <w:tcW w:w="8780" w:type="dxa"/>
            <w:vAlign w:val="bottom"/>
          </w:tcPr>
          <w:p>
            <w:pPr>
              <w:ind w:left="840"/>
              <w:spacing w:after="0"/>
              <w:rPr>
                <w:sz w:val="20"/>
                <w:szCs w:val="20"/>
                <w:color w:val="auto"/>
              </w:rPr>
            </w:pPr>
            <w:r>
              <w:rPr>
                <w:rFonts w:ascii="Arial" w:cs="Arial" w:eastAsia="Arial" w:hAnsi="Arial"/>
                <w:sz w:val="16"/>
                <w:szCs w:val="16"/>
                <w:color w:val="auto"/>
              </w:rPr>
              <w:t>customers eligible investments in, and expense related to, new environmental measures.</w:t>
            </w:r>
          </w:p>
        </w:tc>
      </w:tr>
      <w:tr>
        <w:trPr>
          <w:trHeight w:val="180"/>
        </w:trPr>
        <w:tc>
          <w:tcPr>
            <w:tcW w:w="24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Energy Transition</w:t>
            </w:r>
          </w:p>
        </w:tc>
        <w:tc>
          <w:tcPr>
            <w:tcW w:w="8780" w:type="dxa"/>
            <w:vAlign w:val="bottom"/>
            <w:shd w:val="clear" w:color="auto" w:fill="CEFFE7"/>
          </w:tcPr>
          <w:p>
            <w:pPr>
              <w:ind w:left="840"/>
              <w:spacing w:after="0" w:line="181" w:lineRule="exact"/>
              <w:rPr>
                <w:sz w:val="20"/>
                <w:szCs w:val="20"/>
                <w:color w:val="auto"/>
              </w:rPr>
            </w:pPr>
            <w:r>
              <w:rPr>
                <w:rFonts w:ascii="Arial" w:cs="Arial" w:eastAsia="Arial" w:hAnsi="Arial"/>
                <w:sz w:val="16"/>
                <w:szCs w:val="16"/>
                <w:color w:val="auto"/>
              </w:rPr>
              <w:t>The global energy sector’s shift from fossil-based systems of energy production and consumption, including</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oil, natural gas and coal to renewable energy sources like wind and solar, as well as battery storage solutions.</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EPA</w:t>
            </w:r>
          </w:p>
        </w:tc>
        <w:tc>
          <w:tcPr>
            <w:tcW w:w="8780" w:type="dxa"/>
            <w:vAlign w:val="bottom"/>
          </w:tcPr>
          <w:p>
            <w:pPr>
              <w:ind w:left="840"/>
              <w:spacing w:after="0"/>
              <w:rPr>
                <w:sz w:val="20"/>
                <w:szCs w:val="20"/>
                <w:color w:val="auto"/>
              </w:rPr>
            </w:pPr>
            <w:r>
              <w:rPr>
                <w:rFonts w:ascii="Arial" w:cs="Arial" w:eastAsia="Arial" w:hAnsi="Arial"/>
                <w:sz w:val="16"/>
                <w:szCs w:val="16"/>
                <w:color w:val="auto"/>
              </w:rPr>
              <w:t>United States Environmental Protection Agency</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EWG</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Exempt Wholesale Generator</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FASB</w:t>
            </w:r>
          </w:p>
        </w:tc>
        <w:tc>
          <w:tcPr>
            <w:tcW w:w="8780" w:type="dxa"/>
            <w:vAlign w:val="bottom"/>
          </w:tcPr>
          <w:p>
            <w:pPr>
              <w:ind w:left="840"/>
              <w:spacing w:after="0"/>
              <w:rPr>
                <w:sz w:val="20"/>
                <w:szCs w:val="20"/>
                <w:color w:val="auto"/>
              </w:rPr>
            </w:pPr>
            <w:r>
              <w:rPr>
                <w:rFonts w:ascii="Arial" w:cs="Arial" w:eastAsia="Arial" w:hAnsi="Arial"/>
                <w:sz w:val="16"/>
                <w:szCs w:val="16"/>
                <w:color w:val="auto"/>
              </w:rPr>
              <w:t>Financial Accounting Standards Board</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FERC</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United States Federal Energy Regulatory Commission</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Fitch</w:t>
            </w:r>
          </w:p>
        </w:tc>
        <w:tc>
          <w:tcPr>
            <w:tcW w:w="8780" w:type="dxa"/>
            <w:vAlign w:val="bottom"/>
          </w:tcPr>
          <w:p>
            <w:pPr>
              <w:ind w:left="840"/>
              <w:spacing w:after="0"/>
              <w:rPr>
                <w:sz w:val="20"/>
                <w:szCs w:val="20"/>
                <w:color w:val="auto"/>
              </w:rPr>
            </w:pPr>
            <w:r>
              <w:rPr>
                <w:rFonts w:ascii="Arial" w:cs="Arial" w:eastAsia="Arial" w:hAnsi="Arial"/>
                <w:sz w:val="16"/>
                <w:szCs w:val="16"/>
                <w:color w:val="auto"/>
              </w:rPr>
              <w:t>Fitch Ratings Inc.</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GAAP</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177"/>
        </w:trPr>
        <w:tc>
          <w:tcPr>
            <w:tcW w:w="2460" w:type="dxa"/>
            <w:vAlign w:val="bottom"/>
          </w:tcPr>
          <w:p>
            <w:pPr>
              <w:ind w:left="20"/>
              <w:spacing w:after="0" w:line="178" w:lineRule="exact"/>
              <w:rPr>
                <w:sz w:val="20"/>
                <w:szCs w:val="20"/>
                <w:color w:val="auto"/>
              </w:rPr>
            </w:pPr>
            <w:r>
              <w:rPr>
                <w:rFonts w:ascii="Arial" w:cs="Arial" w:eastAsia="Arial" w:hAnsi="Arial"/>
                <w:sz w:val="16"/>
                <w:szCs w:val="16"/>
                <w:color w:val="auto"/>
              </w:rPr>
              <w:t>GCA</w:t>
            </w:r>
          </w:p>
        </w:tc>
        <w:tc>
          <w:tcPr>
            <w:tcW w:w="8780" w:type="dxa"/>
            <w:vAlign w:val="bottom"/>
          </w:tcPr>
          <w:p>
            <w:pPr>
              <w:ind w:left="840"/>
              <w:spacing w:after="0" w:line="178" w:lineRule="exact"/>
              <w:rPr>
                <w:sz w:val="20"/>
                <w:szCs w:val="20"/>
                <w:color w:val="auto"/>
              </w:rPr>
            </w:pPr>
            <w:r>
              <w:rPr>
                <w:rFonts w:ascii="Arial" w:cs="Arial" w:eastAsia="Arial" w:hAnsi="Arial"/>
                <w:sz w:val="16"/>
                <w:szCs w:val="16"/>
                <w:color w:val="auto"/>
              </w:rPr>
              <w:t>Gas Cost Adjustment is an adjustment that allows us to pass the prudently-incurred cost of gas and certain</w:t>
            </w:r>
          </w:p>
        </w:tc>
      </w:tr>
      <w:tr>
        <w:trPr>
          <w:trHeight w:val="195"/>
        </w:trPr>
        <w:tc>
          <w:tcPr>
            <w:tcW w:w="2460" w:type="dxa"/>
            <w:vAlign w:val="bottom"/>
          </w:tcPr>
          <w:p>
            <w:pPr>
              <w:spacing w:after="0"/>
              <w:rPr>
                <w:sz w:val="16"/>
                <w:szCs w:val="16"/>
                <w:color w:val="auto"/>
              </w:rPr>
            </w:pPr>
          </w:p>
        </w:tc>
        <w:tc>
          <w:tcPr>
            <w:tcW w:w="8780" w:type="dxa"/>
            <w:vAlign w:val="bottom"/>
          </w:tcPr>
          <w:p>
            <w:pPr>
              <w:ind w:left="840"/>
              <w:spacing w:after="0"/>
              <w:rPr>
                <w:sz w:val="20"/>
                <w:szCs w:val="20"/>
                <w:color w:val="auto"/>
              </w:rPr>
            </w:pPr>
            <w:r>
              <w:rPr>
                <w:rFonts w:ascii="Arial" w:cs="Arial" w:eastAsia="Arial" w:hAnsi="Arial"/>
                <w:sz w:val="16"/>
                <w:szCs w:val="16"/>
                <w:color w:val="auto"/>
              </w:rPr>
              <w:t>services through to customers.</w:t>
            </w:r>
          </w:p>
        </w:tc>
      </w:tr>
      <w:tr>
        <w:trPr>
          <w:trHeight w:val="743"/>
        </w:trPr>
        <w:tc>
          <w:tcPr>
            <w:tcW w:w="2460" w:type="dxa"/>
            <w:vAlign w:val="bottom"/>
          </w:tcPr>
          <w:p>
            <w:pPr>
              <w:spacing w:after="0"/>
              <w:rPr>
                <w:sz w:val="24"/>
                <w:szCs w:val="24"/>
                <w:color w:val="auto"/>
              </w:rPr>
            </w:pPr>
          </w:p>
        </w:tc>
        <w:tc>
          <w:tcPr>
            <w:tcW w:w="8780" w:type="dxa"/>
            <w:vAlign w:val="bottom"/>
          </w:tcPr>
          <w:p>
            <w:pPr>
              <w:ind w:left="3120"/>
              <w:spacing w:after="0"/>
              <w:rPr>
                <w:sz w:val="20"/>
                <w:szCs w:val="20"/>
                <w:color w:val="auto"/>
              </w:rPr>
            </w:pPr>
            <w:r>
              <w:rPr>
                <w:rFonts w:ascii="Arial" w:cs="Arial" w:eastAsia="Arial" w:hAnsi="Arial"/>
                <w:sz w:val="16"/>
                <w:szCs w:val="16"/>
                <w:color w:val="auto"/>
              </w:rPr>
              <w:t>5</w:t>
            </w:r>
          </w:p>
        </w:tc>
      </w:tr>
      <w:tr>
        <w:trPr>
          <w:trHeight w:val="108"/>
        </w:trPr>
        <w:tc>
          <w:tcPr>
            <w:tcW w:w="2460" w:type="dxa"/>
            <w:vAlign w:val="bottom"/>
            <w:tcBorders>
              <w:bottom w:val="single" w:sz="8" w:color="9A9A9A"/>
            </w:tcBorders>
          </w:tcPr>
          <w:p>
            <w:pPr>
              <w:spacing w:after="0"/>
              <w:rPr>
                <w:sz w:val="9"/>
                <w:szCs w:val="9"/>
                <w:color w:val="auto"/>
              </w:rPr>
            </w:pPr>
          </w:p>
        </w:tc>
        <w:tc>
          <w:tcPr>
            <w:tcW w:w="8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246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8780" w:type="dxa"/>
            <w:vAlign w:val="bottom"/>
          </w:tcPr>
          <w:p>
            <w:pPr>
              <w:spacing w:after="0"/>
              <w:rPr>
                <w:sz w:val="16"/>
                <w:szCs w:val="16"/>
                <w:color w:val="auto"/>
              </w:rPr>
            </w:pPr>
          </w:p>
        </w:tc>
      </w:tr>
      <w:tr>
        <w:trPr>
          <w:trHeight w:val="588"/>
        </w:trPr>
        <w:tc>
          <w:tcPr>
            <w:tcW w:w="136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8780" w:type="dxa"/>
            <w:vAlign w:val="bottom"/>
          </w:tcPr>
          <w:p>
            <w:pPr>
              <w:spacing w:after="0"/>
              <w:rPr>
                <w:sz w:val="24"/>
                <w:szCs w:val="24"/>
                <w:color w:val="auto"/>
              </w:rPr>
            </w:pPr>
          </w:p>
        </w:tc>
      </w:tr>
      <w:tr>
        <w:trPr>
          <w:trHeight w:val="216"/>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GHG</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Greenhouse gases</w:t>
            </w:r>
          </w:p>
        </w:tc>
      </w:tr>
      <w:tr>
        <w:trPr>
          <w:trHeight w:val="177"/>
        </w:trPr>
        <w:tc>
          <w:tcPr>
            <w:tcW w:w="24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Global Settlement</w:t>
            </w:r>
          </w:p>
        </w:tc>
        <w:tc>
          <w:tcPr>
            <w:tcW w:w="8780" w:type="dxa"/>
            <w:vAlign w:val="bottom"/>
          </w:tcPr>
          <w:p>
            <w:pPr>
              <w:ind w:left="840"/>
              <w:spacing w:after="0" w:line="178" w:lineRule="exact"/>
              <w:rPr>
                <w:sz w:val="20"/>
                <w:szCs w:val="20"/>
                <w:color w:val="auto"/>
              </w:rPr>
            </w:pPr>
            <w:r>
              <w:rPr>
                <w:rFonts w:ascii="Arial" w:cs="Arial" w:eastAsia="Arial" w:hAnsi="Arial"/>
                <w:sz w:val="16"/>
                <w:szCs w:val="16"/>
                <w:color w:val="auto"/>
              </w:rPr>
              <w:t>Settlement with a utility’s commission where the revenue requirement is agreed upon, but the specific</w:t>
            </w:r>
          </w:p>
        </w:tc>
      </w:tr>
      <w:tr>
        <w:trPr>
          <w:trHeight w:val="198"/>
        </w:trPr>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80" w:type="dxa"/>
            <w:vAlign w:val="bottom"/>
          </w:tcPr>
          <w:p>
            <w:pPr>
              <w:ind w:left="840"/>
              <w:spacing w:after="0"/>
              <w:rPr>
                <w:sz w:val="20"/>
                <w:szCs w:val="20"/>
                <w:color w:val="auto"/>
              </w:rPr>
            </w:pPr>
            <w:r>
              <w:rPr>
                <w:rFonts w:ascii="Arial" w:cs="Arial" w:eastAsia="Arial" w:hAnsi="Arial"/>
                <w:sz w:val="16"/>
                <w:szCs w:val="16"/>
                <w:color w:val="auto"/>
              </w:rPr>
              <w:t>adjustments used by each party to arrive at the amount are not specified in public rate orders.</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Happy Jack</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Happy Jack Wind Farm, LLC, owned by Duke Energy Generation Services</w:t>
            </w:r>
          </w:p>
        </w:tc>
      </w:tr>
      <w:tr>
        <w:trPr>
          <w:trHeight w:val="177"/>
        </w:trPr>
        <w:tc>
          <w:tcPr>
            <w:tcW w:w="24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Heating Degree Day</w:t>
            </w:r>
          </w:p>
        </w:tc>
        <w:tc>
          <w:tcPr>
            <w:tcW w:w="8780" w:type="dxa"/>
            <w:vAlign w:val="bottom"/>
          </w:tcPr>
          <w:p>
            <w:pPr>
              <w:ind w:left="840"/>
              <w:spacing w:after="0" w:line="178" w:lineRule="exact"/>
              <w:rPr>
                <w:sz w:val="20"/>
                <w:szCs w:val="20"/>
                <w:color w:val="auto"/>
              </w:rPr>
            </w:pPr>
            <w:r>
              <w:rPr>
                <w:rFonts w:ascii="Arial" w:cs="Arial" w:eastAsia="Arial" w:hAnsi="Arial"/>
                <w:sz w:val="16"/>
                <w:szCs w:val="16"/>
                <w:color w:val="auto"/>
              </w:rPr>
              <w:t>A heating degree day is equivalent to each degree that the average of the high and the low temperatures for a</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840"/>
              <w:spacing w:after="0" w:line="162" w:lineRule="exact"/>
              <w:rPr>
                <w:sz w:val="20"/>
                <w:szCs w:val="20"/>
                <w:color w:val="auto"/>
              </w:rPr>
            </w:pPr>
            <w:r>
              <w:rPr>
                <w:rFonts w:ascii="Arial" w:cs="Arial" w:eastAsia="Arial" w:hAnsi="Arial"/>
                <w:sz w:val="16"/>
                <w:szCs w:val="16"/>
                <w:color w:val="auto"/>
              </w:rPr>
              <w:t>day is below 65 degrees. The colder the climate, the greater the number of heating degree days. Heating</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840"/>
              <w:spacing w:after="0" w:line="162" w:lineRule="exact"/>
              <w:rPr>
                <w:sz w:val="20"/>
                <w:szCs w:val="20"/>
                <w:color w:val="auto"/>
              </w:rPr>
            </w:pPr>
            <w:r>
              <w:rPr>
                <w:rFonts w:ascii="Arial" w:cs="Arial" w:eastAsia="Arial" w:hAnsi="Arial"/>
                <w:sz w:val="16"/>
                <w:szCs w:val="16"/>
                <w:color w:val="auto"/>
              </w:rPr>
              <w:t>degree days are used in the utility industry to measure the relative coldness of weather and to compare</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840"/>
              <w:spacing w:after="0" w:line="162" w:lineRule="exact"/>
              <w:rPr>
                <w:sz w:val="20"/>
                <w:szCs w:val="20"/>
                <w:color w:val="auto"/>
              </w:rPr>
            </w:pPr>
            <w:r>
              <w:rPr>
                <w:rFonts w:ascii="Arial" w:cs="Arial" w:eastAsia="Arial" w:hAnsi="Arial"/>
                <w:sz w:val="16"/>
                <w:szCs w:val="16"/>
                <w:color w:val="auto"/>
              </w:rPr>
              <w:t>relative temperatures between one geographic area and another. Normal degree days are based on the</w:t>
            </w:r>
          </w:p>
        </w:tc>
      </w:tr>
      <w:tr>
        <w:trPr>
          <w:trHeight w:val="198"/>
        </w:trPr>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80" w:type="dxa"/>
            <w:vAlign w:val="bottom"/>
          </w:tcPr>
          <w:p>
            <w:pPr>
              <w:ind w:left="840"/>
              <w:spacing w:after="0"/>
              <w:rPr>
                <w:sz w:val="20"/>
                <w:szCs w:val="20"/>
                <w:color w:val="auto"/>
              </w:rPr>
            </w:pPr>
            <w:r>
              <w:rPr>
                <w:rFonts w:ascii="Arial" w:cs="Arial" w:eastAsia="Arial" w:hAnsi="Arial"/>
                <w:sz w:val="16"/>
                <w:szCs w:val="16"/>
                <w:color w:val="auto"/>
              </w:rPr>
              <w:t>National Weather Service data for selected locations.</w:t>
            </w:r>
          </w:p>
        </w:tc>
      </w:tr>
      <w:tr>
        <w:trPr>
          <w:trHeight w:val="180"/>
        </w:trPr>
        <w:tc>
          <w:tcPr>
            <w:tcW w:w="246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HomeServe</w:t>
            </w:r>
          </w:p>
        </w:tc>
        <w:tc>
          <w:tcPr>
            <w:tcW w:w="8780" w:type="dxa"/>
            <w:vAlign w:val="bottom"/>
            <w:shd w:val="clear" w:color="auto" w:fill="CEFFE7"/>
          </w:tcPr>
          <w:p>
            <w:pPr>
              <w:ind w:left="840"/>
              <w:spacing w:after="0" w:line="181" w:lineRule="exact"/>
              <w:rPr>
                <w:sz w:val="20"/>
                <w:szCs w:val="20"/>
                <w:color w:val="auto"/>
              </w:rPr>
            </w:pPr>
            <w:r>
              <w:rPr>
                <w:rFonts w:ascii="Arial" w:cs="Arial" w:eastAsia="Arial" w:hAnsi="Arial"/>
                <w:sz w:val="16"/>
                <w:szCs w:val="16"/>
                <w:color w:val="auto"/>
              </w:rPr>
              <w:t>We offer HomeServe products to our natural gas residential customers interested in purchasing additional</w:t>
            </w:r>
          </w:p>
        </w:tc>
      </w:tr>
      <w:tr>
        <w:trPr>
          <w:trHeight w:val="201"/>
        </w:trPr>
        <w:tc>
          <w:tcPr>
            <w:tcW w:w="1360" w:type="dxa"/>
            <w:vAlign w:val="bottom"/>
            <w:shd w:val="clear" w:color="auto" w:fill="CEFFE7"/>
          </w:tcPr>
          <w:p>
            <w:pPr>
              <w:spacing w:after="0"/>
              <w:rPr>
                <w:sz w:val="17"/>
                <w:szCs w:val="17"/>
                <w:color w:val="auto"/>
              </w:rPr>
            </w:pPr>
          </w:p>
        </w:tc>
        <w:tc>
          <w:tcPr>
            <w:tcW w:w="1100" w:type="dxa"/>
            <w:vAlign w:val="bottom"/>
            <w:shd w:val="clear" w:color="auto" w:fill="CEFFE7"/>
          </w:tcPr>
          <w:p>
            <w:pPr>
              <w:spacing w:after="0"/>
              <w:rPr>
                <w:sz w:val="17"/>
                <w:szCs w:val="17"/>
                <w:color w:val="auto"/>
              </w:rPr>
            </w:pP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home repair service plans.</w:t>
            </w:r>
          </w:p>
        </w:tc>
      </w:tr>
      <w:tr>
        <w:trPr>
          <w:trHeight w:val="177"/>
        </w:trPr>
        <w:tc>
          <w:tcPr>
            <w:tcW w:w="24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Integrated Generation</w:t>
            </w:r>
          </w:p>
        </w:tc>
        <w:tc>
          <w:tcPr>
            <w:tcW w:w="8780" w:type="dxa"/>
            <w:vAlign w:val="bottom"/>
          </w:tcPr>
          <w:p>
            <w:pPr>
              <w:ind w:left="840"/>
              <w:spacing w:after="0" w:line="178" w:lineRule="exact"/>
              <w:rPr>
                <w:sz w:val="20"/>
                <w:szCs w:val="20"/>
                <w:color w:val="auto"/>
              </w:rPr>
            </w:pPr>
            <w:r>
              <w:rPr>
                <w:rFonts w:ascii="Arial" w:cs="Arial" w:eastAsia="Arial" w:hAnsi="Arial"/>
                <w:sz w:val="16"/>
                <w:szCs w:val="16"/>
                <w:color w:val="auto"/>
              </w:rPr>
              <w:t>Non-regulated power generation and mining businesses that are vertically integrated within our Electric</w:t>
            </w:r>
          </w:p>
        </w:tc>
      </w:tr>
      <w:tr>
        <w:trPr>
          <w:trHeight w:val="198"/>
        </w:trPr>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80" w:type="dxa"/>
            <w:vAlign w:val="bottom"/>
          </w:tcPr>
          <w:p>
            <w:pPr>
              <w:ind w:left="840"/>
              <w:spacing w:after="0"/>
              <w:rPr>
                <w:sz w:val="20"/>
                <w:szCs w:val="20"/>
                <w:color w:val="auto"/>
              </w:rPr>
            </w:pPr>
            <w:r>
              <w:rPr>
                <w:rFonts w:ascii="Arial" w:cs="Arial" w:eastAsia="Arial" w:hAnsi="Arial"/>
                <w:sz w:val="16"/>
                <w:szCs w:val="16"/>
                <w:color w:val="auto"/>
              </w:rPr>
              <w:t>Utilities segment.</w:t>
            </w:r>
          </w:p>
        </w:tc>
      </w:tr>
      <w:tr>
        <w:trPr>
          <w:trHeight w:val="180"/>
        </w:trPr>
        <w:tc>
          <w:tcPr>
            <w:tcW w:w="246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Iowa Gas</w:t>
            </w:r>
          </w:p>
        </w:tc>
        <w:tc>
          <w:tcPr>
            <w:tcW w:w="8780" w:type="dxa"/>
            <w:vAlign w:val="bottom"/>
            <w:shd w:val="clear" w:color="auto" w:fill="CEFFE7"/>
          </w:tcPr>
          <w:p>
            <w:pPr>
              <w:ind w:left="840"/>
              <w:spacing w:after="0" w:line="181" w:lineRule="exact"/>
              <w:rPr>
                <w:sz w:val="20"/>
                <w:szCs w:val="20"/>
                <w:color w:val="auto"/>
              </w:rPr>
            </w:pPr>
            <w:r>
              <w:rPr>
                <w:rFonts w:ascii="Arial" w:cs="Arial" w:eastAsia="Arial" w:hAnsi="Arial"/>
                <w:sz w:val="16"/>
                <w:szCs w:val="16"/>
                <w:color w:val="auto"/>
              </w:rPr>
              <w:t>Black Hills Iowa Gas Utility Company, LLC, a direct, wholly-owned subsidiary of Black Hills Utility Holdings,</w:t>
            </w:r>
          </w:p>
        </w:tc>
      </w:tr>
      <w:tr>
        <w:trPr>
          <w:trHeight w:val="201"/>
        </w:trPr>
        <w:tc>
          <w:tcPr>
            <w:tcW w:w="1360" w:type="dxa"/>
            <w:vAlign w:val="bottom"/>
            <w:shd w:val="clear" w:color="auto" w:fill="CEFFE7"/>
          </w:tcPr>
          <w:p>
            <w:pPr>
              <w:spacing w:after="0"/>
              <w:rPr>
                <w:sz w:val="17"/>
                <w:szCs w:val="17"/>
                <w:color w:val="auto"/>
              </w:rPr>
            </w:pPr>
          </w:p>
        </w:tc>
        <w:tc>
          <w:tcPr>
            <w:tcW w:w="1100" w:type="dxa"/>
            <w:vAlign w:val="bottom"/>
            <w:shd w:val="clear" w:color="auto" w:fill="CEFFE7"/>
          </w:tcPr>
          <w:p>
            <w:pPr>
              <w:spacing w:after="0"/>
              <w:rPr>
                <w:sz w:val="17"/>
                <w:szCs w:val="17"/>
                <w:color w:val="auto"/>
              </w:rPr>
            </w:pP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providing natural gas services to customers in Iowa (doing business as Black Hills Energy).</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IPP</w:t>
            </w:r>
          </w:p>
        </w:tc>
        <w:tc>
          <w:tcPr>
            <w:tcW w:w="8780" w:type="dxa"/>
            <w:vAlign w:val="bottom"/>
          </w:tcPr>
          <w:p>
            <w:pPr>
              <w:ind w:left="840"/>
              <w:spacing w:after="0"/>
              <w:rPr>
                <w:sz w:val="20"/>
                <w:szCs w:val="20"/>
                <w:color w:val="auto"/>
              </w:rPr>
            </w:pPr>
            <w:r>
              <w:rPr>
                <w:rFonts w:ascii="Arial" w:cs="Arial" w:eastAsia="Arial" w:hAnsi="Arial"/>
                <w:sz w:val="16"/>
                <w:szCs w:val="16"/>
                <w:color w:val="auto"/>
              </w:rPr>
              <w:t>Independent Power Producer</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IRC</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Internal Revenue Code</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IRP</w:t>
            </w:r>
          </w:p>
        </w:tc>
        <w:tc>
          <w:tcPr>
            <w:tcW w:w="8780" w:type="dxa"/>
            <w:vAlign w:val="bottom"/>
          </w:tcPr>
          <w:p>
            <w:pPr>
              <w:ind w:left="840"/>
              <w:spacing w:after="0"/>
              <w:rPr>
                <w:sz w:val="20"/>
                <w:szCs w:val="20"/>
                <w:color w:val="auto"/>
              </w:rPr>
            </w:pPr>
            <w:r>
              <w:rPr>
                <w:rFonts w:ascii="Arial" w:cs="Arial" w:eastAsia="Arial" w:hAnsi="Arial"/>
                <w:sz w:val="16"/>
                <w:szCs w:val="16"/>
                <w:color w:val="auto"/>
              </w:rPr>
              <w:t>Integrated Resource Plan</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IRS</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United States Internal Revenue Service</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ITC</w:t>
            </w:r>
          </w:p>
        </w:tc>
        <w:tc>
          <w:tcPr>
            <w:tcW w:w="8780" w:type="dxa"/>
            <w:vAlign w:val="bottom"/>
          </w:tcPr>
          <w:p>
            <w:pPr>
              <w:ind w:left="840"/>
              <w:spacing w:after="0"/>
              <w:rPr>
                <w:sz w:val="20"/>
                <w:szCs w:val="20"/>
                <w:color w:val="auto"/>
              </w:rPr>
            </w:pPr>
            <w:r>
              <w:rPr>
                <w:rFonts w:ascii="Arial" w:cs="Arial" w:eastAsia="Arial" w:hAnsi="Arial"/>
                <w:sz w:val="16"/>
                <w:szCs w:val="16"/>
                <w:color w:val="auto"/>
              </w:rPr>
              <w:t>Investment Tax Credit</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IUB</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Iowa Utilities Board</w:t>
            </w:r>
          </w:p>
        </w:tc>
      </w:tr>
      <w:tr>
        <w:trPr>
          <w:trHeight w:val="177"/>
        </w:trPr>
        <w:tc>
          <w:tcPr>
            <w:tcW w:w="24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Kansas Gas</w:t>
            </w:r>
          </w:p>
        </w:tc>
        <w:tc>
          <w:tcPr>
            <w:tcW w:w="8780" w:type="dxa"/>
            <w:vAlign w:val="bottom"/>
          </w:tcPr>
          <w:p>
            <w:pPr>
              <w:ind w:left="840"/>
              <w:spacing w:after="0" w:line="178" w:lineRule="exact"/>
              <w:rPr>
                <w:sz w:val="20"/>
                <w:szCs w:val="20"/>
                <w:color w:val="auto"/>
              </w:rPr>
            </w:pPr>
            <w:r>
              <w:rPr>
                <w:rFonts w:ascii="Arial" w:cs="Arial" w:eastAsia="Arial" w:hAnsi="Arial"/>
                <w:sz w:val="16"/>
                <w:szCs w:val="16"/>
                <w:color w:val="auto"/>
              </w:rPr>
              <w:t>Black Hills Kansas Gas Utility Company, LLC, a direct, wholly-owned subsidiary of Black Hills Utility Holdings,</w:t>
            </w:r>
          </w:p>
        </w:tc>
      </w:tr>
      <w:tr>
        <w:trPr>
          <w:trHeight w:val="198"/>
        </w:trPr>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80" w:type="dxa"/>
            <w:vAlign w:val="bottom"/>
          </w:tcPr>
          <w:p>
            <w:pPr>
              <w:ind w:left="840"/>
              <w:spacing w:after="0"/>
              <w:rPr>
                <w:sz w:val="20"/>
                <w:szCs w:val="20"/>
                <w:color w:val="auto"/>
              </w:rPr>
            </w:pPr>
            <w:r>
              <w:rPr>
                <w:rFonts w:ascii="Arial" w:cs="Arial" w:eastAsia="Arial" w:hAnsi="Arial"/>
                <w:sz w:val="16"/>
                <w:szCs w:val="16"/>
                <w:color w:val="auto"/>
              </w:rPr>
              <w:t>providing natural gas services to customers in Kansas (doing business as Black Hills Energy).</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KCC</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Kansas Corporation Commission</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kV</w:t>
            </w:r>
          </w:p>
        </w:tc>
        <w:tc>
          <w:tcPr>
            <w:tcW w:w="8780" w:type="dxa"/>
            <w:vAlign w:val="bottom"/>
          </w:tcPr>
          <w:p>
            <w:pPr>
              <w:ind w:left="840"/>
              <w:spacing w:after="0"/>
              <w:rPr>
                <w:sz w:val="20"/>
                <w:szCs w:val="20"/>
                <w:color w:val="auto"/>
              </w:rPr>
            </w:pPr>
            <w:r>
              <w:rPr>
                <w:rFonts w:ascii="Arial" w:cs="Arial" w:eastAsia="Arial" w:hAnsi="Arial"/>
                <w:sz w:val="16"/>
                <w:szCs w:val="16"/>
                <w:color w:val="auto"/>
              </w:rPr>
              <w:t>Kilovolt</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LIBOR</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London Interbank Offered Rate</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Mcf</w:t>
            </w:r>
          </w:p>
        </w:tc>
        <w:tc>
          <w:tcPr>
            <w:tcW w:w="8780" w:type="dxa"/>
            <w:vAlign w:val="bottom"/>
          </w:tcPr>
          <w:p>
            <w:pPr>
              <w:ind w:left="840"/>
              <w:spacing w:after="0"/>
              <w:rPr>
                <w:sz w:val="20"/>
                <w:szCs w:val="20"/>
                <w:color w:val="auto"/>
              </w:rPr>
            </w:pPr>
            <w:r>
              <w:rPr>
                <w:rFonts w:ascii="Arial" w:cs="Arial" w:eastAsia="Arial" w:hAnsi="Arial"/>
                <w:sz w:val="16"/>
                <w:szCs w:val="16"/>
                <w:color w:val="auto"/>
              </w:rPr>
              <w:t>Thousand cubic feet</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Mcfd</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Thousand cubic feet per day</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MDU</w:t>
            </w:r>
          </w:p>
        </w:tc>
        <w:tc>
          <w:tcPr>
            <w:tcW w:w="8780" w:type="dxa"/>
            <w:vAlign w:val="bottom"/>
          </w:tcPr>
          <w:p>
            <w:pPr>
              <w:ind w:left="840"/>
              <w:spacing w:after="0"/>
              <w:rPr>
                <w:sz w:val="20"/>
                <w:szCs w:val="20"/>
                <w:color w:val="auto"/>
              </w:rPr>
            </w:pPr>
            <w:r>
              <w:rPr>
                <w:rFonts w:ascii="Arial" w:cs="Arial" w:eastAsia="Arial" w:hAnsi="Arial"/>
                <w:sz w:val="16"/>
                <w:szCs w:val="16"/>
                <w:color w:val="auto"/>
              </w:rPr>
              <w:t>Montana-Dakota Utilities Co., a subsidiary of MDU Resources Group, Inc.</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MEAN</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Municipal Energy Agency of Nebraska</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MISO</w:t>
            </w:r>
          </w:p>
        </w:tc>
        <w:tc>
          <w:tcPr>
            <w:tcW w:w="8780" w:type="dxa"/>
            <w:vAlign w:val="bottom"/>
          </w:tcPr>
          <w:p>
            <w:pPr>
              <w:ind w:left="840"/>
              <w:spacing w:after="0"/>
              <w:rPr>
                <w:sz w:val="20"/>
                <w:szCs w:val="20"/>
                <w:color w:val="auto"/>
              </w:rPr>
            </w:pPr>
            <w:r>
              <w:rPr>
                <w:rFonts w:ascii="Arial" w:cs="Arial" w:eastAsia="Arial" w:hAnsi="Arial"/>
                <w:sz w:val="16"/>
                <w:szCs w:val="16"/>
                <w:color w:val="auto"/>
              </w:rPr>
              <w:t>Midcontinent Independent System Operator, Inc.</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MMBtu</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Million British thermal units</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Moody’s</w:t>
            </w:r>
          </w:p>
        </w:tc>
        <w:tc>
          <w:tcPr>
            <w:tcW w:w="8780" w:type="dxa"/>
            <w:vAlign w:val="bottom"/>
          </w:tcPr>
          <w:p>
            <w:pPr>
              <w:ind w:left="840"/>
              <w:spacing w:after="0"/>
              <w:rPr>
                <w:sz w:val="20"/>
                <w:szCs w:val="20"/>
                <w:color w:val="auto"/>
              </w:rPr>
            </w:pPr>
            <w:r>
              <w:rPr>
                <w:rFonts w:ascii="Arial" w:cs="Arial" w:eastAsia="Arial" w:hAnsi="Arial"/>
                <w:sz w:val="16"/>
                <w:szCs w:val="16"/>
                <w:color w:val="auto"/>
              </w:rPr>
              <w:t>Moody’s Investors Service, Inc.</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MSHA</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United States Department of Labor’s Mine Safety and Health Administration</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MW</w:t>
            </w:r>
          </w:p>
        </w:tc>
        <w:tc>
          <w:tcPr>
            <w:tcW w:w="8780" w:type="dxa"/>
            <w:vAlign w:val="bottom"/>
          </w:tcPr>
          <w:p>
            <w:pPr>
              <w:ind w:left="840"/>
              <w:spacing w:after="0"/>
              <w:rPr>
                <w:sz w:val="20"/>
                <w:szCs w:val="20"/>
                <w:color w:val="auto"/>
              </w:rPr>
            </w:pPr>
            <w:r>
              <w:rPr>
                <w:rFonts w:ascii="Arial" w:cs="Arial" w:eastAsia="Arial" w:hAnsi="Arial"/>
                <w:sz w:val="16"/>
                <w:szCs w:val="16"/>
                <w:color w:val="auto"/>
              </w:rPr>
              <w:t>Megawatts</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MWh</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Megawatt-hours</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N/A</w:t>
            </w:r>
          </w:p>
        </w:tc>
        <w:tc>
          <w:tcPr>
            <w:tcW w:w="8780" w:type="dxa"/>
            <w:vAlign w:val="bottom"/>
          </w:tcPr>
          <w:p>
            <w:pPr>
              <w:ind w:left="840"/>
              <w:spacing w:after="0"/>
              <w:rPr>
                <w:sz w:val="20"/>
                <w:szCs w:val="20"/>
                <w:color w:val="auto"/>
              </w:rPr>
            </w:pPr>
            <w:r>
              <w:rPr>
                <w:rFonts w:ascii="Arial" w:cs="Arial" w:eastAsia="Arial" w:hAnsi="Arial"/>
                <w:sz w:val="16"/>
                <w:szCs w:val="16"/>
                <w:color w:val="auto"/>
              </w:rPr>
              <w:t>Not Applicable</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NAV</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Net Asset Value</w:t>
            </w:r>
          </w:p>
        </w:tc>
      </w:tr>
      <w:tr>
        <w:trPr>
          <w:trHeight w:val="177"/>
        </w:trPr>
        <w:tc>
          <w:tcPr>
            <w:tcW w:w="24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Nebraska Gas</w:t>
            </w:r>
          </w:p>
        </w:tc>
        <w:tc>
          <w:tcPr>
            <w:tcW w:w="8780" w:type="dxa"/>
            <w:vAlign w:val="bottom"/>
          </w:tcPr>
          <w:p>
            <w:pPr>
              <w:ind w:left="840"/>
              <w:spacing w:after="0" w:line="178" w:lineRule="exact"/>
              <w:rPr>
                <w:sz w:val="20"/>
                <w:szCs w:val="20"/>
                <w:color w:val="auto"/>
              </w:rPr>
            </w:pPr>
            <w:r>
              <w:rPr>
                <w:rFonts w:ascii="Arial" w:cs="Arial" w:eastAsia="Arial" w:hAnsi="Arial"/>
                <w:sz w:val="16"/>
                <w:szCs w:val="16"/>
                <w:color w:val="auto"/>
              </w:rPr>
              <w:t>Black Hills Nebraska Gas, LLC, an indirect, wholly-owned subsidiary of Black Hills Utility Holdings, providing</w:t>
            </w:r>
          </w:p>
        </w:tc>
      </w:tr>
      <w:tr>
        <w:trPr>
          <w:trHeight w:val="198"/>
        </w:trPr>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80" w:type="dxa"/>
            <w:vAlign w:val="bottom"/>
          </w:tcPr>
          <w:p>
            <w:pPr>
              <w:ind w:left="840"/>
              <w:spacing w:after="0"/>
              <w:rPr>
                <w:sz w:val="20"/>
                <w:szCs w:val="20"/>
                <w:color w:val="auto"/>
              </w:rPr>
            </w:pPr>
            <w:r>
              <w:rPr>
                <w:rFonts w:ascii="Arial" w:cs="Arial" w:eastAsia="Arial" w:hAnsi="Arial"/>
                <w:sz w:val="16"/>
                <w:szCs w:val="16"/>
                <w:color w:val="auto"/>
              </w:rPr>
              <w:t>natural gas services to customers in Nebraska (doing business as Black Hills Energy).</w:t>
            </w:r>
          </w:p>
        </w:tc>
      </w:tr>
      <w:tr>
        <w:trPr>
          <w:trHeight w:val="180"/>
        </w:trPr>
        <w:tc>
          <w:tcPr>
            <w:tcW w:w="246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Neil Simpson II</w:t>
            </w:r>
          </w:p>
        </w:tc>
        <w:tc>
          <w:tcPr>
            <w:tcW w:w="8780" w:type="dxa"/>
            <w:vAlign w:val="bottom"/>
            <w:shd w:val="clear" w:color="auto" w:fill="CEFFE7"/>
          </w:tcPr>
          <w:p>
            <w:pPr>
              <w:ind w:left="840"/>
              <w:spacing w:after="0" w:line="181" w:lineRule="exact"/>
              <w:rPr>
                <w:sz w:val="20"/>
                <w:szCs w:val="20"/>
                <w:color w:val="auto"/>
              </w:rPr>
            </w:pPr>
            <w:r>
              <w:rPr>
                <w:rFonts w:ascii="Arial" w:cs="Arial" w:eastAsia="Arial" w:hAnsi="Arial"/>
                <w:sz w:val="16"/>
                <w:szCs w:val="16"/>
                <w:color w:val="auto"/>
              </w:rPr>
              <w:t>A mine-mouth, coal-fired power plant owned and operated by South Dakota Electric with a total capacity of 90</w:t>
            </w:r>
          </w:p>
        </w:tc>
      </w:tr>
      <w:tr>
        <w:trPr>
          <w:trHeight w:val="201"/>
        </w:trPr>
        <w:tc>
          <w:tcPr>
            <w:tcW w:w="1360" w:type="dxa"/>
            <w:vAlign w:val="bottom"/>
            <w:shd w:val="clear" w:color="auto" w:fill="CEFFE7"/>
          </w:tcPr>
          <w:p>
            <w:pPr>
              <w:spacing w:after="0"/>
              <w:rPr>
                <w:sz w:val="17"/>
                <w:szCs w:val="17"/>
                <w:color w:val="auto"/>
              </w:rPr>
            </w:pPr>
          </w:p>
        </w:tc>
        <w:tc>
          <w:tcPr>
            <w:tcW w:w="1100" w:type="dxa"/>
            <w:vAlign w:val="bottom"/>
            <w:shd w:val="clear" w:color="auto" w:fill="CEFFE7"/>
          </w:tcPr>
          <w:p>
            <w:pPr>
              <w:spacing w:after="0"/>
              <w:rPr>
                <w:sz w:val="17"/>
                <w:szCs w:val="17"/>
                <w:color w:val="auto"/>
              </w:rPr>
            </w:pP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MW located at our Gillette, Wyoming energy complex.</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NERC</w:t>
            </w:r>
          </w:p>
        </w:tc>
        <w:tc>
          <w:tcPr>
            <w:tcW w:w="8780" w:type="dxa"/>
            <w:vAlign w:val="bottom"/>
          </w:tcPr>
          <w:p>
            <w:pPr>
              <w:ind w:left="840"/>
              <w:spacing w:after="0"/>
              <w:rPr>
                <w:sz w:val="20"/>
                <w:szCs w:val="20"/>
                <w:color w:val="auto"/>
              </w:rPr>
            </w:pPr>
            <w:r>
              <w:rPr>
                <w:rFonts w:ascii="Arial" w:cs="Arial" w:eastAsia="Arial" w:hAnsi="Arial"/>
                <w:sz w:val="16"/>
                <w:szCs w:val="16"/>
                <w:color w:val="auto"/>
              </w:rPr>
              <w:t>North American Electric Reliability Corporation</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NO</w:t>
            </w:r>
            <w:r>
              <w:rPr>
                <w:rFonts w:ascii="Arial" w:cs="Arial" w:eastAsia="Arial" w:hAnsi="Arial"/>
                <w:sz w:val="10"/>
                <w:szCs w:val="10"/>
                <w:color w:val="auto"/>
              </w:rPr>
              <w:t>x</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Nitrogen oxide</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NOL</w:t>
            </w:r>
          </w:p>
        </w:tc>
        <w:tc>
          <w:tcPr>
            <w:tcW w:w="8780" w:type="dxa"/>
            <w:vAlign w:val="bottom"/>
          </w:tcPr>
          <w:p>
            <w:pPr>
              <w:ind w:left="840"/>
              <w:spacing w:after="0"/>
              <w:rPr>
                <w:sz w:val="20"/>
                <w:szCs w:val="20"/>
                <w:color w:val="auto"/>
              </w:rPr>
            </w:pPr>
            <w:r>
              <w:rPr>
                <w:rFonts w:ascii="Arial" w:cs="Arial" w:eastAsia="Arial" w:hAnsi="Arial"/>
                <w:sz w:val="16"/>
                <w:szCs w:val="16"/>
                <w:color w:val="auto"/>
              </w:rPr>
              <w:t>Net Operating Loss</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NPSC</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Nebraska Public Service Commission</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OCI</w:t>
            </w:r>
          </w:p>
        </w:tc>
        <w:tc>
          <w:tcPr>
            <w:tcW w:w="8780" w:type="dxa"/>
            <w:vAlign w:val="bottom"/>
          </w:tcPr>
          <w:p>
            <w:pPr>
              <w:ind w:left="840"/>
              <w:spacing w:after="0"/>
              <w:rPr>
                <w:sz w:val="20"/>
                <w:szCs w:val="20"/>
                <w:color w:val="auto"/>
              </w:rPr>
            </w:pPr>
            <w:r>
              <w:rPr>
                <w:rFonts w:ascii="Arial" w:cs="Arial" w:eastAsia="Arial" w:hAnsi="Arial"/>
                <w:sz w:val="16"/>
                <w:szCs w:val="16"/>
                <w:color w:val="auto"/>
              </w:rPr>
              <w:t>Other Comprehensive Income</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OPEB</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Other Post-Employment Benefits</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OSHA</w:t>
            </w:r>
          </w:p>
        </w:tc>
        <w:tc>
          <w:tcPr>
            <w:tcW w:w="8780" w:type="dxa"/>
            <w:vAlign w:val="bottom"/>
          </w:tcPr>
          <w:p>
            <w:pPr>
              <w:ind w:left="840"/>
              <w:spacing w:after="0"/>
              <w:rPr>
                <w:sz w:val="20"/>
                <w:szCs w:val="20"/>
                <w:color w:val="auto"/>
              </w:rPr>
            </w:pPr>
            <w:r>
              <w:rPr>
                <w:rFonts w:ascii="Arial" w:cs="Arial" w:eastAsia="Arial" w:hAnsi="Arial"/>
                <w:sz w:val="16"/>
                <w:szCs w:val="16"/>
                <w:color w:val="auto"/>
              </w:rPr>
              <w:t>United States Department of Labor’s Occupational Safety &amp; Health Administration</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OSM</w:t>
            </w:r>
          </w:p>
        </w:tc>
        <w:tc>
          <w:tcPr>
            <w:tcW w:w="8780" w:type="dxa"/>
            <w:vAlign w:val="bottom"/>
            <w:shd w:val="clear" w:color="auto" w:fill="CEFFE7"/>
          </w:tcPr>
          <w:p>
            <w:pPr>
              <w:ind w:left="840"/>
              <w:spacing w:after="0"/>
              <w:rPr>
                <w:sz w:val="20"/>
                <w:szCs w:val="20"/>
                <w:color w:val="auto"/>
              </w:rPr>
            </w:pPr>
            <w:r>
              <w:rPr>
                <w:rFonts w:ascii="Arial" w:cs="Arial" w:eastAsia="Arial" w:hAnsi="Arial"/>
                <w:sz w:val="16"/>
                <w:szCs w:val="16"/>
                <w:color w:val="auto"/>
              </w:rPr>
              <w:t>United States Department of the Interior’s Office of Surface Mining</w:t>
            </w:r>
          </w:p>
        </w:tc>
      </w:tr>
      <w:tr>
        <w:trPr>
          <w:trHeight w:val="177"/>
        </w:trPr>
        <w:tc>
          <w:tcPr>
            <w:tcW w:w="24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PacifiCorp</w:t>
            </w:r>
          </w:p>
        </w:tc>
        <w:tc>
          <w:tcPr>
            <w:tcW w:w="8780" w:type="dxa"/>
            <w:vAlign w:val="bottom"/>
          </w:tcPr>
          <w:p>
            <w:pPr>
              <w:ind w:left="840"/>
              <w:spacing w:after="0" w:line="178" w:lineRule="exact"/>
              <w:rPr>
                <w:sz w:val="20"/>
                <w:szCs w:val="20"/>
                <w:color w:val="auto"/>
              </w:rPr>
            </w:pPr>
            <w:r>
              <w:rPr>
                <w:rFonts w:ascii="Arial" w:cs="Arial" w:eastAsia="Arial" w:hAnsi="Arial"/>
                <w:sz w:val="16"/>
                <w:szCs w:val="16"/>
                <w:color w:val="auto"/>
              </w:rPr>
              <w:t>PacifiCorp, a wholly owned subsidiary of MidAmerican Energy Holdings Company, itself an affiliate of</w:t>
            </w:r>
          </w:p>
        </w:tc>
      </w:tr>
      <w:tr>
        <w:trPr>
          <w:trHeight w:val="195"/>
        </w:trPr>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780" w:type="dxa"/>
            <w:vAlign w:val="bottom"/>
          </w:tcPr>
          <w:p>
            <w:pPr>
              <w:ind w:left="840"/>
              <w:spacing w:after="0"/>
              <w:rPr>
                <w:sz w:val="20"/>
                <w:szCs w:val="20"/>
                <w:color w:val="auto"/>
              </w:rPr>
            </w:pPr>
            <w:r>
              <w:rPr>
                <w:rFonts w:ascii="Arial" w:cs="Arial" w:eastAsia="Arial" w:hAnsi="Arial"/>
                <w:sz w:val="16"/>
                <w:szCs w:val="16"/>
                <w:color w:val="auto"/>
              </w:rPr>
              <w:t>Berkshire Hathaway.</w:t>
            </w:r>
          </w:p>
        </w:tc>
      </w:tr>
      <w:tr>
        <w:trPr>
          <w:trHeight w:val="742"/>
        </w:trPr>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780" w:type="dxa"/>
            <w:vAlign w:val="bottom"/>
          </w:tcPr>
          <w:p>
            <w:pPr>
              <w:ind w:left="3120"/>
              <w:spacing w:after="0"/>
              <w:rPr>
                <w:sz w:val="20"/>
                <w:szCs w:val="20"/>
                <w:color w:val="auto"/>
              </w:rPr>
            </w:pPr>
            <w:r>
              <w:rPr>
                <w:rFonts w:ascii="Arial" w:cs="Arial" w:eastAsia="Arial" w:hAnsi="Arial"/>
                <w:sz w:val="16"/>
                <w:szCs w:val="16"/>
                <w:color w:val="auto"/>
              </w:rPr>
              <w:t>6</w:t>
            </w:r>
          </w:p>
        </w:tc>
      </w:tr>
      <w:tr>
        <w:trPr>
          <w:trHeight w:val="108"/>
        </w:trPr>
        <w:tc>
          <w:tcPr>
            <w:tcW w:w="13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PCA</w:t>
            </w: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Power Cost Adjustment is an annual adjustment mechanism that allows us to pass a portion of prudently-</w:t>
            </w:r>
          </w:p>
        </w:tc>
      </w:tr>
      <w:tr>
        <w:trPr>
          <w:trHeight w:val="162"/>
        </w:trPr>
        <w:tc>
          <w:tcPr>
            <w:tcW w:w="2680" w:type="dxa"/>
            <w:vAlign w:val="bottom"/>
            <w:shd w:val="clear" w:color="auto" w:fill="CEFFE7"/>
          </w:tcPr>
          <w:p>
            <w:pPr>
              <w:spacing w:after="0"/>
              <w:rPr>
                <w:sz w:val="14"/>
                <w:szCs w:val="14"/>
                <w:color w:val="auto"/>
              </w:rPr>
            </w:pPr>
          </w:p>
        </w:tc>
        <w:tc>
          <w:tcPr>
            <w:tcW w:w="8560" w:type="dxa"/>
            <w:vAlign w:val="bottom"/>
            <w:shd w:val="clear" w:color="auto" w:fill="CEFFE7"/>
          </w:tcPr>
          <w:p>
            <w:pPr>
              <w:ind w:left="620"/>
              <w:spacing w:after="0" w:line="162" w:lineRule="exact"/>
              <w:rPr>
                <w:sz w:val="20"/>
                <w:szCs w:val="20"/>
                <w:color w:val="auto"/>
              </w:rPr>
            </w:pPr>
            <w:r>
              <w:rPr>
                <w:rFonts w:ascii="Arial" w:cs="Arial" w:eastAsia="Arial" w:hAnsi="Arial"/>
                <w:sz w:val="16"/>
                <w:szCs w:val="16"/>
                <w:color w:val="auto"/>
              </w:rPr>
              <w:t>incurred delivered power costs, including fuel, purchased capacity and energy, and transmission costs,</w:t>
            </w:r>
          </w:p>
        </w:tc>
      </w:tr>
      <w:tr>
        <w:trPr>
          <w:trHeight w:val="201"/>
        </w:trPr>
        <w:tc>
          <w:tcPr>
            <w:tcW w:w="2680" w:type="dxa"/>
            <w:vAlign w:val="bottom"/>
            <w:shd w:val="clear" w:color="auto" w:fill="CEFFE7"/>
          </w:tcPr>
          <w:p>
            <w:pPr>
              <w:spacing w:after="0"/>
              <w:rPr>
                <w:sz w:val="17"/>
                <w:szCs w:val="17"/>
                <w:color w:val="auto"/>
              </w:rPr>
            </w:pP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through to customers.</w:t>
            </w:r>
          </w:p>
        </w:tc>
      </w:tr>
      <w:tr>
        <w:trPr>
          <w:trHeight w:val="177"/>
        </w:trPr>
        <w:tc>
          <w:tcPr>
            <w:tcW w:w="2680" w:type="dxa"/>
            <w:vAlign w:val="bottom"/>
          </w:tcPr>
          <w:p>
            <w:pPr>
              <w:ind w:left="20"/>
              <w:spacing w:after="0" w:line="178" w:lineRule="exact"/>
              <w:rPr>
                <w:sz w:val="20"/>
                <w:szCs w:val="20"/>
                <w:color w:val="auto"/>
              </w:rPr>
            </w:pPr>
            <w:r>
              <w:rPr>
                <w:rFonts w:ascii="Arial" w:cs="Arial" w:eastAsia="Arial" w:hAnsi="Arial"/>
                <w:sz w:val="16"/>
                <w:szCs w:val="16"/>
                <w:color w:val="auto"/>
              </w:rPr>
              <w:t>PCCA</w:t>
            </w:r>
          </w:p>
        </w:tc>
        <w:tc>
          <w:tcPr>
            <w:tcW w:w="8560" w:type="dxa"/>
            <w:vAlign w:val="bottom"/>
          </w:tcPr>
          <w:p>
            <w:pPr>
              <w:ind w:left="620"/>
              <w:spacing w:after="0" w:line="178" w:lineRule="exact"/>
              <w:rPr>
                <w:sz w:val="20"/>
                <w:szCs w:val="20"/>
                <w:color w:val="auto"/>
              </w:rPr>
            </w:pPr>
            <w:r>
              <w:rPr>
                <w:rFonts w:ascii="Arial" w:cs="Arial" w:eastAsia="Arial" w:hAnsi="Arial"/>
                <w:sz w:val="16"/>
                <w:szCs w:val="16"/>
                <w:color w:val="auto"/>
              </w:rPr>
              <w:t>Power Capacity Cost Adjustment is an annual adjustment that allows us to pass the prudently-incurred</w:t>
            </w:r>
          </w:p>
        </w:tc>
      </w:tr>
      <w:tr>
        <w:trPr>
          <w:trHeight w:val="198"/>
        </w:trPr>
        <w:tc>
          <w:tcPr>
            <w:tcW w:w="2680" w:type="dxa"/>
            <w:vAlign w:val="bottom"/>
          </w:tcPr>
          <w:p>
            <w:pPr>
              <w:spacing w:after="0"/>
              <w:rPr>
                <w:sz w:val="17"/>
                <w:szCs w:val="17"/>
                <w:color w:val="auto"/>
              </w:rPr>
            </w:pPr>
          </w:p>
        </w:tc>
        <w:tc>
          <w:tcPr>
            <w:tcW w:w="8560" w:type="dxa"/>
            <w:vAlign w:val="bottom"/>
          </w:tcPr>
          <w:p>
            <w:pPr>
              <w:ind w:left="620"/>
              <w:spacing w:after="0"/>
              <w:rPr>
                <w:sz w:val="20"/>
                <w:szCs w:val="20"/>
                <w:color w:val="auto"/>
              </w:rPr>
            </w:pPr>
            <w:r>
              <w:rPr>
                <w:rFonts w:ascii="Arial" w:cs="Arial" w:eastAsia="Arial" w:hAnsi="Arial"/>
                <w:sz w:val="16"/>
                <w:szCs w:val="16"/>
                <w:color w:val="auto"/>
              </w:rPr>
              <w:t>purchased capacity costs, incremental to costs included in base rates, through to customers.</w:t>
            </w:r>
          </w:p>
        </w:tc>
      </w:tr>
      <w:tr>
        <w:trPr>
          <w:trHeight w:val="219"/>
        </w:trPr>
        <w:tc>
          <w:tcPr>
            <w:tcW w:w="2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Peak View</w:t>
            </w: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The 60.8 MW wind farm owned by Colorado Electric.</w:t>
            </w: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color w:val="auto"/>
              </w:rPr>
              <w:t>PPA</w:t>
            </w:r>
          </w:p>
        </w:tc>
        <w:tc>
          <w:tcPr>
            <w:tcW w:w="8560" w:type="dxa"/>
            <w:vAlign w:val="bottom"/>
          </w:tcPr>
          <w:p>
            <w:pPr>
              <w:ind w:left="620"/>
              <w:spacing w:after="0"/>
              <w:rPr>
                <w:sz w:val="20"/>
                <w:szCs w:val="20"/>
                <w:color w:val="auto"/>
              </w:rPr>
            </w:pPr>
            <w:r>
              <w:rPr>
                <w:rFonts w:ascii="Arial" w:cs="Arial" w:eastAsia="Arial" w:hAnsi="Arial"/>
                <w:sz w:val="16"/>
                <w:szCs w:val="16"/>
                <w:color w:val="auto"/>
              </w:rPr>
              <w:t>Power Purchase Agreement</w:t>
            </w:r>
          </w:p>
        </w:tc>
      </w:tr>
      <w:tr>
        <w:trPr>
          <w:trHeight w:val="219"/>
        </w:trPr>
        <w:tc>
          <w:tcPr>
            <w:tcW w:w="2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PRPA</w:t>
            </w: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Platte River Power Authority</w:t>
            </w: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color w:val="auto"/>
              </w:rPr>
              <w:t>PSA</w:t>
            </w:r>
          </w:p>
        </w:tc>
        <w:tc>
          <w:tcPr>
            <w:tcW w:w="8560" w:type="dxa"/>
            <w:vAlign w:val="bottom"/>
          </w:tcPr>
          <w:p>
            <w:pPr>
              <w:ind w:left="620"/>
              <w:spacing w:after="0"/>
              <w:rPr>
                <w:sz w:val="20"/>
                <w:szCs w:val="20"/>
                <w:color w:val="auto"/>
              </w:rPr>
            </w:pPr>
            <w:r>
              <w:rPr>
                <w:rFonts w:ascii="Arial" w:cs="Arial" w:eastAsia="Arial" w:hAnsi="Arial"/>
                <w:sz w:val="16"/>
                <w:szCs w:val="16"/>
                <w:color w:val="auto"/>
              </w:rPr>
              <w:t>Power Sales Agreement</w:t>
            </w:r>
          </w:p>
        </w:tc>
      </w:tr>
      <w:tr>
        <w:trPr>
          <w:trHeight w:val="219"/>
        </w:trPr>
        <w:tc>
          <w:tcPr>
            <w:tcW w:w="2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PTC</w:t>
            </w: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Production Tax Credit</w:t>
            </w:r>
          </w:p>
        </w:tc>
      </w:tr>
      <w:tr>
        <w:trPr>
          <w:trHeight w:val="177"/>
        </w:trPr>
        <w:tc>
          <w:tcPr>
            <w:tcW w:w="2680" w:type="dxa"/>
            <w:vAlign w:val="bottom"/>
          </w:tcPr>
          <w:p>
            <w:pPr>
              <w:ind w:left="20"/>
              <w:spacing w:after="0" w:line="178" w:lineRule="exact"/>
              <w:rPr>
                <w:sz w:val="20"/>
                <w:szCs w:val="20"/>
                <w:color w:val="auto"/>
              </w:rPr>
            </w:pPr>
            <w:r>
              <w:rPr>
                <w:rFonts w:ascii="Arial" w:cs="Arial" w:eastAsia="Arial" w:hAnsi="Arial"/>
                <w:sz w:val="16"/>
                <w:szCs w:val="16"/>
                <w:color w:val="auto"/>
              </w:rPr>
              <w:t>Pueblo Airport Generation</w:t>
            </w:r>
          </w:p>
        </w:tc>
        <w:tc>
          <w:tcPr>
            <w:tcW w:w="8560" w:type="dxa"/>
            <w:vAlign w:val="bottom"/>
          </w:tcPr>
          <w:p>
            <w:pPr>
              <w:ind w:left="620"/>
              <w:spacing w:after="0" w:line="178" w:lineRule="exact"/>
              <w:rPr>
                <w:sz w:val="20"/>
                <w:szCs w:val="20"/>
                <w:color w:val="auto"/>
              </w:rPr>
            </w:pPr>
            <w:r>
              <w:rPr>
                <w:rFonts w:ascii="Arial" w:cs="Arial" w:eastAsia="Arial" w:hAnsi="Arial"/>
                <w:sz w:val="16"/>
                <w:szCs w:val="16"/>
                <w:color w:val="auto"/>
              </w:rPr>
              <w:t>The 440 MW combined cycle gas-fired power generation plants jointly owned by Colorado Electric (240 MW)</w:t>
            </w:r>
          </w:p>
        </w:tc>
      </w:tr>
      <w:tr>
        <w:trPr>
          <w:trHeight w:val="162"/>
        </w:trPr>
        <w:tc>
          <w:tcPr>
            <w:tcW w:w="2680" w:type="dxa"/>
            <w:vAlign w:val="bottom"/>
          </w:tcPr>
          <w:p>
            <w:pPr>
              <w:spacing w:after="0"/>
              <w:rPr>
                <w:sz w:val="14"/>
                <w:szCs w:val="14"/>
                <w:color w:val="auto"/>
              </w:rPr>
            </w:pPr>
          </w:p>
        </w:tc>
        <w:tc>
          <w:tcPr>
            <w:tcW w:w="8560" w:type="dxa"/>
            <w:vAlign w:val="bottom"/>
          </w:tcPr>
          <w:p>
            <w:pPr>
              <w:ind w:left="620"/>
              <w:spacing w:after="0" w:line="162" w:lineRule="exact"/>
              <w:rPr>
                <w:sz w:val="20"/>
                <w:szCs w:val="20"/>
                <w:color w:val="auto"/>
              </w:rPr>
            </w:pPr>
            <w:r>
              <w:rPr>
                <w:rFonts w:ascii="Arial" w:cs="Arial" w:eastAsia="Arial" w:hAnsi="Arial"/>
                <w:sz w:val="16"/>
                <w:szCs w:val="16"/>
                <w:color w:val="auto"/>
              </w:rPr>
              <w:t>and Black Hills Colorado IPP (200 MW). Black Hills Colorado IPP owns and operates this facility. The plants</w:t>
            </w:r>
          </w:p>
        </w:tc>
      </w:tr>
      <w:tr>
        <w:trPr>
          <w:trHeight w:val="198"/>
        </w:trPr>
        <w:tc>
          <w:tcPr>
            <w:tcW w:w="2680" w:type="dxa"/>
            <w:vAlign w:val="bottom"/>
          </w:tcPr>
          <w:p>
            <w:pPr>
              <w:spacing w:after="0"/>
              <w:rPr>
                <w:sz w:val="17"/>
                <w:szCs w:val="17"/>
                <w:color w:val="auto"/>
              </w:rPr>
            </w:pPr>
          </w:p>
        </w:tc>
        <w:tc>
          <w:tcPr>
            <w:tcW w:w="8560" w:type="dxa"/>
            <w:vAlign w:val="bottom"/>
          </w:tcPr>
          <w:p>
            <w:pPr>
              <w:ind w:left="620"/>
              <w:spacing w:after="0"/>
              <w:rPr>
                <w:sz w:val="20"/>
                <w:szCs w:val="20"/>
                <w:color w:val="auto"/>
              </w:rPr>
            </w:pPr>
            <w:r>
              <w:rPr>
                <w:rFonts w:ascii="Arial" w:cs="Arial" w:eastAsia="Arial" w:hAnsi="Arial"/>
                <w:sz w:val="16"/>
                <w:szCs w:val="16"/>
                <w:color w:val="auto"/>
              </w:rPr>
              <w:t>commenced operation on January 1, 2012.</w:t>
            </w:r>
          </w:p>
        </w:tc>
      </w:tr>
      <w:tr>
        <w:trPr>
          <w:trHeight w:val="219"/>
        </w:trPr>
        <w:tc>
          <w:tcPr>
            <w:tcW w:w="2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PUHCA 2005</w:t>
            </w: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Public Utility Holding Company Act of 2005</w:t>
            </w:r>
          </w:p>
        </w:tc>
      </w:tr>
      <w:tr>
        <w:trPr>
          <w:trHeight w:val="177"/>
        </w:trPr>
        <w:tc>
          <w:tcPr>
            <w:tcW w:w="2680" w:type="dxa"/>
            <w:vAlign w:val="bottom"/>
          </w:tcPr>
          <w:p>
            <w:pPr>
              <w:ind w:left="20"/>
              <w:spacing w:after="0" w:line="178" w:lineRule="exact"/>
              <w:rPr>
                <w:sz w:val="20"/>
                <w:szCs w:val="20"/>
                <w:color w:val="auto"/>
              </w:rPr>
            </w:pPr>
            <w:r>
              <w:rPr>
                <w:rFonts w:ascii="Arial" w:cs="Arial" w:eastAsia="Arial" w:hAnsi="Arial"/>
                <w:sz w:val="16"/>
                <w:szCs w:val="16"/>
                <w:i w:val="1"/>
                <w:iCs w:val="1"/>
                <w:color w:val="auto"/>
              </w:rPr>
              <w:t>Ready</w:t>
            </w:r>
          </w:p>
        </w:tc>
        <w:tc>
          <w:tcPr>
            <w:tcW w:w="8560" w:type="dxa"/>
            <w:vAlign w:val="bottom"/>
          </w:tcPr>
          <w:p>
            <w:pPr>
              <w:ind w:left="620"/>
              <w:spacing w:after="0" w:line="178" w:lineRule="exact"/>
              <w:rPr>
                <w:sz w:val="20"/>
                <w:szCs w:val="20"/>
                <w:color w:val="auto"/>
              </w:rPr>
            </w:pPr>
            <w:r>
              <w:rPr>
                <w:rFonts w:ascii="Arial" w:cs="Arial" w:eastAsia="Arial" w:hAnsi="Arial"/>
                <w:sz w:val="16"/>
                <w:szCs w:val="16"/>
                <w:color w:val="auto"/>
              </w:rPr>
              <w:t>The Company’s branding platform which emphasizes that we will 1) prioritize our customers; 2) act as a</w:t>
            </w:r>
          </w:p>
        </w:tc>
      </w:tr>
      <w:tr>
        <w:trPr>
          <w:trHeight w:val="162"/>
        </w:trPr>
        <w:tc>
          <w:tcPr>
            <w:tcW w:w="2680" w:type="dxa"/>
            <w:vAlign w:val="bottom"/>
          </w:tcPr>
          <w:p>
            <w:pPr>
              <w:spacing w:after="0"/>
              <w:rPr>
                <w:sz w:val="14"/>
                <w:szCs w:val="14"/>
                <w:color w:val="auto"/>
              </w:rPr>
            </w:pPr>
          </w:p>
        </w:tc>
        <w:tc>
          <w:tcPr>
            <w:tcW w:w="8560" w:type="dxa"/>
            <w:vAlign w:val="bottom"/>
          </w:tcPr>
          <w:p>
            <w:pPr>
              <w:ind w:left="620"/>
              <w:spacing w:after="0" w:line="162" w:lineRule="exact"/>
              <w:rPr>
                <w:sz w:val="20"/>
                <w:szCs w:val="20"/>
                <w:color w:val="auto"/>
              </w:rPr>
            </w:pPr>
            <w:r>
              <w:rPr>
                <w:rFonts w:ascii="Arial" w:cs="Arial" w:eastAsia="Arial" w:hAnsi="Arial"/>
                <w:sz w:val="16"/>
                <w:szCs w:val="16"/>
                <w:color w:val="auto"/>
              </w:rPr>
              <w:t>thoughtful, responsible leader; 3) listen first and lead with a focus on relationships; and 4) be creative in our</w:t>
            </w:r>
          </w:p>
        </w:tc>
      </w:tr>
      <w:tr>
        <w:trPr>
          <w:trHeight w:val="198"/>
        </w:trPr>
        <w:tc>
          <w:tcPr>
            <w:tcW w:w="2680" w:type="dxa"/>
            <w:vAlign w:val="bottom"/>
          </w:tcPr>
          <w:p>
            <w:pPr>
              <w:spacing w:after="0"/>
              <w:rPr>
                <w:sz w:val="17"/>
                <w:szCs w:val="17"/>
                <w:color w:val="auto"/>
              </w:rPr>
            </w:pPr>
          </w:p>
        </w:tc>
        <w:tc>
          <w:tcPr>
            <w:tcW w:w="8560" w:type="dxa"/>
            <w:vAlign w:val="bottom"/>
          </w:tcPr>
          <w:p>
            <w:pPr>
              <w:ind w:left="620"/>
              <w:spacing w:after="0"/>
              <w:rPr>
                <w:sz w:val="20"/>
                <w:szCs w:val="20"/>
                <w:color w:val="auto"/>
              </w:rPr>
            </w:pPr>
            <w:r>
              <w:rPr>
                <w:rFonts w:ascii="Arial" w:cs="Arial" w:eastAsia="Arial" w:hAnsi="Arial"/>
                <w:sz w:val="16"/>
                <w:szCs w:val="16"/>
                <w:color w:val="auto"/>
              </w:rPr>
              <w:t>approach to solutions.</w:t>
            </w:r>
          </w:p>
        </w:tc>
      </w:tr>
      <w:tr>
        <w:trPr>
          <w:trHeight w:val="180"/>
        </w:trPr>
        <w:tc>
          <w:tcPr>
            <w:tcW w:w="268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i w:val="1"/>
                <w:iCs w:val="1"/>
                <w:color w:val="auto"/>
              </w:rPr>
              <w:t>Ready Wyoming</w:t>
            </w:r>
          </w:p>
        </w:tc>
        <w:tc>
          <w:tcPr>
            <w:tcW w:w="8560" w:type="dxa"/>
            <w:vAlign w:val="bottom"/>
            <w:shd w:val="clear" w:color="auto" w:fill="CEFFE7"/>
          </w:tcPr>
          <w:p>
            <w:pPr>
              <w:ind w:left="620"/>
              <w:spacing w:after="0" w:line="181" w:lineRule="exact"/>
              <w:rPr>
                <w:sz w:val="20"/>
                <w:szCs w:val="20"/>
                <w:color w:val="auto"/>
              </w:rPr>
            </w:pPr>
            <w:r>
              <w:rPr>
                <w:rFonts w:ascii="Arial" w:cs="Arial" w:eastAsia="Arial" w:hAnsi="Arial"/>
                <w:sz w:val="16"/>
                <w:szCs w:val="16"/>
                <w:color w:val="auto"/>
              </w:rPr>
              <w:t>A 285-mile, multi-phase transmission expansion project in Wyoming. This transmission project will serve the</w:t>
            </w:r>
          </w:p>
        </w:tc>
      </w:tr>
      <w:tr>
        <w:trPr>
          <w:trHeight w:val="162"/>
        </w:trPr>
        <w:tc>
          <w:tcPr>
            <w:tcW w:w="2680" w:type="dxa"/>
            <w:vAlign w:val="bottom"/>
            <w:shd w:val="clear" w:color="auto" w:fill="CEFFE7"/>
          </w:tcPr>
          <w:p>
            <w:pPr>
              <w:spacing w:after="0"/>
              <w:rPr>
                <w:sz w:val="14"/>
                <w:szCs w:val="14"/>
                <w:color w:val="auto"/>
              </w:rPr>
            </w:pPr>
          </w:p>
        </w:tc>
        <w:tc>
          <w:tcPr>
            <w:tcW w:w="8560" w:type="dxa"/>
            <w:vAlign w:val="bottom"/>
            <w:shd w:val="clear" w:color="auto" w:fill="CEFFE7"/>
          </w:tcPr>
          <w:p>
            <w:pPr>
              <w:ind w:left="620"/>
              <w:spacing w:after="0" w:line="162" w:lineRule="exact"/>
              <w:rPr>
                <w:sz w:val="20"/>
                <w:szCs w:val="20"/>
                <w:color w:val="auto"/>
              </w:rPr>
            </w:pPr>
            <w:r>
              <w:rPr>
                <w:rFonts w:ascii="Arial" w:cs="Arial" w:eastAsia="Arial" w:hAnsi="Arial"/>
                <w:sz w:val="16"/>
                <w:szCs w:val="16"/>
                <w:color w:val="auto"/>
              </w:rPr>
              <w:t>growing needs of customers by enhancing resiliency of Wyoming Electric’s overall electric system and</w:t>
            </w:r>
          </w:p>
        </w:tc>
      </w:tr>
      <w:tr>
        <w:trPr>
          <w:trHeight w:val="162"/>
        </w:trPr>
        <w:tc>
          <w:tcPr>
            <w:tcW w:w="2680" w:type="dxa"/>
            <w:vAlign w:val="bottom"/>
            <w:shd w:val="clear" w:color="auto" w:fill="CEFFE7"/>
          </w:tcPr>
          <w:p>
            <w:pPr>
              <w:spacing w:after="0"/>
              <w:rPr>
                <w:sz w:val="14"/>
                <w:szCs w:val="14"/>
                <w:color w:val="auto"/>
              </w:rPr>
            </w:pPr>
          </w:p>
        </w:tc>
        <w:tc>
          <w:tcPr>
            <w:tcW w:w="8560" w:type="dxa"/>
            <w:vAlign w:val="bottom"/>
            <w:shd w:val="clear" w:color="auto" w:fill="CEFFE7"/>
          </w:tcPr>
          <w:p>
            <w:pPr>
              <w:ind w:left="620"/>
              <w:spacing w:after="0" w:line="162" w:lineRule="exact"/>
              <w:rPr>
                <w:sz w:val="20"/>
                <w:szCs w:val="20"/>
                <w:color w:val="auto"/>
              </w:rPr>
            </w:pPr>
            <w:r>
              <w:rPr>
                <w:rFonts w:ascii="Arial" w:cs="Arial" w:eastAsia="Arial" w:hAnsi="Arial"/>
                <w:sz w:val="16"/>
                <w:szCs w:val="16"/>
                <w:color w:val="auto"/>
              </w:rPr>
              <w:t>expanding access to power markets and renewable resources. The project will help Wyoming Electric</w:t>
            </w:r>
          </w:p>
        </w:tc>
      </w:tr>
      <w:tr>
        <w:trPr>
          <w:trHeight w:val="201"/>
        </w:trPr>
        <w:tc>
          <w:tcPr>
            <w:tcW w:w="2680" w:type="dxa"/>
            <w:vAlign w:val="bottom"/>
            <w:shd w:val="clear" w:color="auto" w:fill="CEFFE7"/>
          </w:tcPr>
          <w:p>
            <w:pPr>
              <w:spacing w:after="0"/>
              <w:rPr>
                <w:sz w:val="17"/>
                <w:szCs w:val="17"/>
                <w:color w:val="auto"/>
              </w:rPr>
            </w:pP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maintain top-quartile reliability and enable economic development in the Cheyenne, Wyoming region.</w:t>
            </w:r>
          </w:p>
        </w:tc>
      </w:tr>
      <w:tr>
        <w:trPr>
          <w:trHeight w:val="177"/>
        </w:trPr>
        <w:tc>
          <w:tcPr>
            <w:tcW w:w="2680" w:type="dxa"/>
            <w:vAlign w:val="bottom"/>
          </w:tcPr>
          <w:p>
            <w:pPr>
              <w:ind w:left="20"/>
              <w:spacing w:after="0" w:line="178" w:lineRule="exact"/>
              <w:rPr>
                <w:sz w:val="20"/>
                <w:szCs w:val="20"/>
                <w:color w:val="auto"/>
              </w:rPr>
            </w:pPr>
            <w:r>
              <w:rPr>
                <w:rFonts w:ascii="Arial" w:cs="Arial" w:eastAsia="Arial" w:hAnsi="Arial"/>
                <w:sz w:val="16"/>
                <w:szCs w:val="16"/>
                <w:color w:val="auto"/>
              </w:rPr>
              <w:t>Renewable Ready</w:t>
            </w:r>
          </w:p>
        </w:tc>
        <w:tc>
          <w:tcPr>
            <w:tcW w:w="8560" w:type="dxa"/>
            <w:vAlign w:val="bottom"/>
          </w:tcPr>
          <w:p>
            <w:pPr>
              <w:ind w:left="620"/>
              <w:spacing w:after="0" w:line="178" w:lineRule="exact"/>
              <w:rPr>
                <w:sz w:val="20"/>
                <w:szCs w:val="20"/>
                <w:color w:val="auto"/>
              </w:rPr>
            </w:pPr>
            <w:r>
              <w:rPr>
                <w:rFonts w:ascii="Arial" w:cs="Arial" w:eastAsia="Arial" w:hAnsi="Arial"/>
                <w:sz w:val="16"/>
                <w:szCs w:val="16"/>
                <w:color w:val="auto"/>
              </w:rPr>
              <w:t>Voluntary renewable energy subscription program for large commercial, industrial and governmental</w:t>
            </w:r>
          </w:p>
        </w:tc>
      </w:tr>
      <w:tr>
        <w:trPr>
          <w:trHeight w:val="198"/>
        </w:trPr>
        <w:tc>
          <w:tcPr>
            <w:tcW w:w="2680" w:type="dxa"/>
            <w:vAlign w:val="bottom"/>
          </w:tcPr>
          <w:p>
            <w:pPr>
              <w:spacing w:after="0"/>
              <w:rPr>
                <w:sz w:val="17"/>
                <w:szCs w:val="17"/>
                <w:color w:val="auto"/>
              </w:rPr>
            </w:pPr>
          </w:p>
        </w:tc>
        <w:tc>
          <w:tcPr>
            <w:tcW w:w="8560" w:type="dxa"/>
            <w:vAlign w:val="bottom"/>
          </w:tcPr>
          <w:p>
            <w:pPr>
              <w:ind w:left="620"/>
              <w:spacing w:after="0"/>
              <w:rPr>
                <w:sz w:val="20"/>
                <w:szCs w:val="20"/>
                <w:color w:val="auto"/>
              </w:rPr>
            </w:pPr>
            <w:r>
              <w:rPr>
                <w:rFonts w:ascii="Arial" w:cs="Arial" w:eastAsia="Arial" w:hAnsi="Arial"/>
                <w:sz w:val="16"/>
                <w:szCs w:val="16"/>
                <w:color w:val="auto"/>
              </w:rPr>
              <w:t>customers in South Dakota and Wyoming.</w:t>
            </w:r>
          </w:p>
        </w:tc>
      </w:tr>
      <w:tr>
        <w:trPr>
          <w:trHeight w:val="180"/>
        </w:trPr>
        <w:tc>
          <w:tcPr>
            <w:tcW w:w="268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RESA</w:t>
            </w:r>
          </w:p>
        </w:tc>
        <w:tc>
          <w:tcPr>
            <w:tcW w:w="8560" w:type="dxa"/>
            <w:vAlign w:val="bottom"/>
            <w:shd w:val="clear" w:color="auto" w:fill="CEFFE7"/>
          </w:tcPr>
          <w:p>
            <w:pPr>
              <w:ind w:left="620"/>
              <w:spacing w:after="0" w:line="181" w:lineRule="exact"/>
              <w:rPr>
                <w:sz w:val="20"/>
                <w:szCs w:val="20"/>
                <w:color w:val="auto"/>
              </w:rPr>
            </w:pPr>
            <w:r>
              <w:rPr>
                <w:rFonts w:ascii="Arial" w:cs="Arial" w:eastAsia="Arial" w:hAnsi="Arial"/>
                <w:sz w:val="16"/>
                <w:szCs w:val="16"/>
                <w:color w:val="auto"/>
              </w:rPr>
              <w:t>Renewable Energy Standard Adjustment is an incremental retail rate limited to 2% for Colorado Electric</w:t>
            </w:r>
          </w:p>
        </w:tc>
      </w:tr>
      <w:tr>
        <w:trPr>
          <w:trHeight w:val="162"/>
        </w:trPr>
        <w:tc>
          <w:tcPr>
            <w:tcW w:w="2680" w:type="dxa"/>
            <w:vAlign w:val="bottom"/>
            <w:shd w:val="clear" w:color="auto" w:fill="CEFFE7"/>
          </w:tcPr>
          <w:p>
            <w:pPr>
              <w:spacing w:after="0"/>
              <w:rPr>
                <w:sz w:val="14"/>
                <w:szCs w:val="14"/>
                <w:color w:val="auto"/>
              </w:rPr>
            </w:pPr>
          </w:p>
        </w:tc>
        <w:tc>
          <w:tcPr>
            <w:tcW w:w="8560" w:type="dxa"/>
            <w:vAlign w:val="bottom"/>
            <w:shd w:val="clear" w:color="auto" w:fill="CEFFE7"/>
          </w:tcPr>
          <w:p>
            <w:pPr>
              <w:ind w:left="620"/>
              <w:spacing w:after="0" w:line="162" w:lineRule="exact"/>
              <w:rPr>
                <w:sz w:val="20"/>
                <w:szCs w:val="20"/>
                <w:color w:val="auto"/>
              </w:rPr>
            </w:pPr>
            <w:r>
              <w:rPr>
                <w:rFonts w:ascii="Arial" w:cs="Arial" w:eastAsia="Arial" w:hAnsi="Arial"/>
                <w:sz w:val="16"/>
                <w:szCs w:val="16"/>
                <w:color w:val="auto"/>
              </w:rPr>
              <w:t>customers that provides funding for renewable energy projects and programs to comply with Colorado’s</w:t>
            </w:r>
          </w:p>
        </w:tc>
      </w:tr>
      <w:tr>
        <w:trPr>
          <w:trHeight w:val="201"/>
        </w:trPr>
        <w:tc>
          <w:tcPr>
            <w:tcW w:w="2680" w:type="dxa"/>
            <w:vAlign w:val="bottom"/>
            <w:shd w:val="clear" w:color="auto" w:fill="CEFFE7"/>
          </w:tcPr>
          <w:p>
            <w:pPr>
              <w:spacing w:after="0"/>
              <w:rPr>
                <w:sz w:val="17"/>
                <w:szCs w:val="17"/>
                <w:color w:val="auto"/>
              </w:rPr>
            </w:pP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Renewable Energy Standard.</w:t>
            </w:r>
          </w:p>
        </w:tc>
      </w:tr>
      <w:tr>
        <w:trPr>
          <w:trHeight w:val="177"/>
        </w:trPr>
        <w:tc>
          <w:tcPr>
            <w:tcW w:w="2680" w:type="dxa"/>
            <w:vAlign w:val="bottom"/>
          </w:tcPr>
          <w:p>
            <w:pPr>
              <w:ind w:left="20"/>
              <w:spacing w:after="0" w:line="178" w:lineRule="exact"/>
              <w:rPr>
                <w:sz w:val="20"/>
                <w:szCs w:val="20"/>
                <w:color w:val="auto"/>
              </w:rPr>
            </w:pPr>
            <w:r>
              <w:rPr>
                <w:rFonts w:ascii="Arial" w:cs="Arial" w:eastAsia="Arial" w:hAnsi="Arial"/>
                <w:sz w:val="16"/>
                <w:szCs w:val="16"/>
                <w:color w:val="auto"/>
              </w:rPr>
              <w:t>Revolving Credit Facility</w:t>
            </w:r>
          </w:p>
        </w:tc>
        <w:tc>
          <w:tcPr>
            <w:tcW w:w="8560" w:type="dxa"/>
            <w:vAlign w:val="bottom"/>
          </w:tcPr>
          <w:p>
            <w:pPr>
              <w:ind w:left="620"/>
              <w:spacing w:after="0" w:line="178" w:lineRule="exact"/>
              <w:rPr>
                <w:sz w:val="20"/>
                <w:szCs w:val="20"/>
                <w:color w:val="auto"/>
              </w:rPr>
            </w:pPr>
            <w:r>
              <w:rPr>
                <w:rFonts w:ascii="Arial" w:cs="Arial" w:eastAsia="Arial" w:hAnsi="Arial"/>
                <w:sz w:val="16"/>
                <w:szCs w:val="16"/>
                <w:color w:val="auto"/>
              </w:rPr>
              <w:t>Our $750 million credit facility used to fund working capital needs, letters of credit and other corporate</w:t>
            </w:r>
          </w:p>
        </w:tc>
      </w:tr>
      <w:tr>
        <w:trPr>
          <w:trHeight w:val="198"/>
        </w:trPr>
        <w:tc>
          <w:tcPr>
            <w:tcW w:w="2680" w:type="dxa"/>
            <w:vAlign w:val="bottom"/>
          </w:tcPr>
          <w:p>
            <w:pPr>
              <w:spacing w:after="0"/>
              <w:rPr>
                <w:sz w:val="17"/>
                <w:szCs w:val="17"/>
                <w:color w:val="auto"/>
              </w:rPr>
            </w:pPr>
          </w:p>
        </w:tc>
        <w:tc>
          <w:tcPr>
            <w:tcW w:w="8560" w:type="dxa"/>
            <w:vAlign w:val="bottom"/>
          </w:tcPr>
          <w:p>
            <w:pPr>
              <w:ind w:left="620"/>
              <w:spacing w:after="0"/>
              <w:rPr>
                <w:sz w:val="20"/>
                <w:szCs w:val="20"/>
                <w:color w:val="auto"/>
              </w:rPr>
            </w:pPr>
            <w:r>
              <w:rPr>
                <w:rFonts w:ascii="Arial" w:cs="Arial" w:eastAsia="Arial" w:hAnsi="Arial"/>
                <w:sz w:val="16"/>
                <w:szCs w:val="16"/>
                <w:color w:val="auto"/>
              </w:rPr>
              <w:t>purposes, which was amended and restated on July 19, 2021, and now terminates on July 19, 2026.</w:t>
            </w:r>
          </w:p>
        </w:tc>
      </w:tr>
      <w:tr>
        <w:trPr>
          <w:trHeight w:val="180"/>
        </w:trPr>
        <w:tc>
          <w:tcPr>
            <w:tcW w:w="268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RMNG</w:t>
            </w:r>
          </w:p>
        </w:tc>
        <w:tc>
          <w:tcPr>
            <w:tcW w:w="8560" w:type="dxa"/>
            <w:vAlign w:val="bottom"/>
            <w:shd w:val="clear" w:color="auto" w:fill="CEFFE7"/>
          </w:tcPr>
          <w:p>
            <w:pPr>
              <w:ind w:left="620"/>
              <w:spacing w:after="0" w:line="181" w:lineRule="exact"/>
              <w:rPr>
                <w:sz w:val="20"/>
                <w:szCs w:val="20"/>
                <w:color w:val="auto"/>
              </w:rPr>
            </w:pPr>
            <w:r>
              <w:rPr>
                <w:rFonts w:ascii="Arial" w:cs="Arial" w:eastAsia="Arial" w:hAnsi="Arial"/>
                <w:sz w:val="16"/>
                <w:szCs w:val="16"/>
                <w:color w:val="auto"/>
              </w:rPr>
              <w:t>Rocky Mountain Natural Gas LLC, an indirect, wholly-owned subsidiary of Black Hills Utility Holdings,</w:t>
            </w:r>
          </w:p>
        </w:tc>
      </w:tr>
      <w:tr>
        <w:trPr>
          <w:trHeight w:val="162"/>
        </w:trPr>
        <w:tc>
          <w:tcPr>
            <w:tcW w:w="2680" w:type="dxa"/>
            <w:vAlign w:val="bottom"/>
            <w:shd w:val="clear" w:color="auto" w:fill="CEFFE7"/>
          </w:tcPr>
          <w:p>
            <w:pPr>
              <w:spacing w:after="0"/>
              <w:rPr>
                <w:sz w:val="14"/>
                <w:szCs w:val="14"/>
                <w:color w:val="auto"/>
              </w:rPr>
            </w:pPr>
          </w:p>
        </w:tc>
        <w:tc>
          <w:tcPr>
            <w:tcW w:w="8560" w:type="dxa"/>
            <w:vAlign w:val="bottom"/>
            <w:shd w:val="clear" w:color="auto" w:fill="CEFFE7"/>
          </w:tcPr>
          <w:p>
            <w:pPr>
              <w:ind w:left="620"/>
              <w:spacing w:after="0" w:line="162" w:lineRule="exact"/>
              <w:rPr>
                <w:sz w:val="20"/>
                <w:szCs w:val="20"/>
                <w:color w:val="auto"/>
              </w:rPr>
            </w:pPr>
            <w:r>
              <w:rPr>
                <w:rFonts w:ascii="Arial" w:cs="Arial" w:eastAsia="Arial" w:hAnsi="Arial"/>
                <w:sz w:val="16"/>
                <w:szCs w:val="16"/>
                <w:color w:val="auto"/>
              </w:rPr>
              <w:t>providing natural gas transmission and wholesale services in western Colorado (doing business as Black Hills</w:t>
            </w:r>
          </w:p>
        </w:tc>
      </w:tr>
      <w:tr>
        <w:trPr>
          <w:trHeight w:val="201"/>
        </w:trPr>
        <w:tc>
          <w:tcPr>
            <w:tcW w:w="2680" w:type="dxa"/>
            <w:vAlign w:val="bottom"/>
            <w:shd w:val="clear" w:color="auto" w:fill="CEFFE7"/>
          </w:tcPr>
          <w:p>
            <w:pPr>
              <w:spacing w:after="0"/>
              <w:rPr>
                <w:sz w:val="17"/>
                <w:szCs w:val="17"/>
                <w:color w:val="auto"/>
              </w:rPr>
            </w:pP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Energy).</w:t>
            </w: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color w:val="auto"/>
              </w:rPr>
              <w:t>RTO</w:t>
            </w:r>
          </w:p>
        </w:tc>
        <w:tc>
          <w:tcPr>
            <w:tcW w:w="8560" w:type="dxa"/>
            <w:vAlign w:val="bottom"/>
          </w:tcPr>
          <w:p>
            <w:pPr>
              <w:ind w:left="620"/>
              <w:spacing w:after="0"/>
              <w:rPr>
                <w:sz w:val="20"/>
                <w:szCs w:val="20"/>
                <w:color w:val="auto"/>
              </w:rPr>
            </w:pPr>
            <w:r>
              <w:rPr>
                <w:rFonts w:ascii="Arial" w:cs="Arial" w:eastAsia="Arial" w:hAnsi="Arial"/>
                <w:sz w:val="16"/>
                <w:szCs w:val="16"/>
                <w:color w:val="auto"/>
              </w:rPr>
              <w:t>Regional Transmission Organization</w:t>
            </w:r>
          </w:p>
        </w:tc>
      </w:tr>
      <w:tr>
        <w:trPr>
          <w:trHeight w:val="219"/>
        </w:trPr>
        <w:tc>
          <w:tcPr>
            <w:tcW w:w="2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SDPUC</w:t>
            </w: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South Dakota Public Utilities Commission</w:t>
            </w: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color w:val="auto"/>
              </w:rPr>
              <w:t>SEC</w:t>
            </w:r>
          </w:p>
        </w:tc>
        <w:tc>
          <w:tcPr>
            <w:tcW w:w="8560" w:type="dxa"/>
            <w:vAlign w:val="bottom"/>
          </w:tcPr>
          <w:p>
            <w:pPr>
              <w:ind w:left="620"/>
              <w:spacing w:after="0"/>
              <w:rPr>
                <w:sz w:val="20"/>
                <w:szCs w:val="20"/>
                <w:color w:val="auto"/>
              </w:rPr>
            </w:pPr>
            <w:r>
              <w:rPr>
                <w:rFonts w:ascii="Arial" w:cs="Arial" w:eastAsia="Arial" w:hAnsi="Arial"/>
                <w:sz w:val="16"/>
                <w:szCs w:val="16"/>
                <w:color w:val="auto"/>
              </w:rPr>
              <w:t>United States Securities and Exchange Commission</w:t>
            </w:r>
          </w:p>
        </w:tc>
      </w:tr>
      <w:tr>
        <w:trPr>
          <w:trHeight w:val="180"/>
        </w:trPr>
        <w:tc>
          <w:tcPr>
            <w:tcW w:w="268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Service Guard Comfort Plan</w:t>
            </w:r>
          </w:p>
        </w:tc>
        <w:tc>
          <w:tcPr>
            <w:tcW w:w="8560" w:type="dxa"/>
            <w:vAlign w:val="bottom"/>
            <w:shd w:val="clear" w:color="auto" w:fill="CEFFE7"/>
          </w:tcPr>
          <w:p>
            <w:pPr>
              <w:ind w:left="620"/>
              <w:spacing w:after="0" w:line="181" w:lineRule="exact"/>
              <w:rPr>
                <w:sz w:val="20"/>
                <w:szCs w:val="20"/>
                <w:color w:val="auto"/>
              </w:rPr>
            </w:pPr>
            <w:r>
              <w:rPr>
                <w:rFonts w:ascii="Arial" w:cs="Arial" w:eastAsia="Arial" w:hAnsi="Arial"/>
                <w:sz w:val="16"/>
                <w:szCs w:val="16"/>
                <w:color w:val="auto"/>
              </w:rPr>
              <w:t>Appliance protection plan that provides home appliance repair services through on-going monthly service</w:t>
            </w:r>
          </w:p>
        </w:tc>
      </w:tr>
      <w:tr>
        <w:trPr>
          <w:trHeight w:val="201"/>
        </w:trPr>
        <w:tc>
          <w:tcPr>
            <w:tcW w:w="2680" w:type="dxa"/>
            <w:vAlign w:val="bottom"/>
            <w:shd w:val="clear" w:color="auto" w:fill="CEFFE7"/>
          </w:tcPr>
          <w:p>
            <w:pPr>
              <w:spacing w:after="0"/>
              <w:rPr>
                <w:sz w:val="17"/>
                <w:szCs w:val="17"/>
                <w:color w:val="auto"/>
              </w:rPr>
            </w:pP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agreements to residential utility customers.</w:t>
            </w: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color w:val="auto"/>
              </w:rPr>
              <w:t>Silver Sage</w:t>
            </w:r>
          </w:p>
        </w:tc>
        <w:tc>
          <w:tcPr>
            <w:tcW w:w="8560" w:type="dxa"/>
            <w:vAlign w:val="bottom"/>
          </w:tcPr>
          <w:p>
            <w:pPr>
              <w:ind w:left="620"/>
              <w:spacing w:after="0"/>
              <w:rPr>
                <w:sz w:val="20"/>
                <w:szCs w:val="20"/>
                <w:color w:val="auto"/>
              </w:rPr>
            </w:pPr>
            <w:r>
              <w:rPr>
                <w:rFonts w:ascii="Arial" w:cs="Arial" w:eastAsia="Arial" w:hAnsi="Arial"/>
                <w:sz w:val="16"/>
                <w:szCs w:val="16"/>
                <w:color w:val="auto"/>
              </w:rPr>
              <w:t>Silver Sage Windpower, LLC, owned by Duke Energy Generation Services</w:t>
            </w:r>
          </w:p>
        </w:tc>
      </w:tr>
      <w:tr>
        <w:trPr>
          <w:trHeight w:val="219"/>
        </w:trPr>
        <w:tc>
          <w:tcPr>
            <w:tcW w:w="2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SO</w:t>
            </w:r>
            <w:r>
              <w:rPr>
                <w:rFonts w:ascii="Arial" w:cs="Arial" w:eastAsia="Arial" w:hAnsi="Arial"/>
                <w:sz w:val="10"/>
                <w:szCs w:val="10"/>
                <w:color w:val="auto"/>
              </w:rPr>
              <w:t>2</w:t>
            </w: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Sulfur dioxide</w:t>
            </w: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color w:val="auto"/>
              </w:rPr>
              <w:t>S&amp;P</w:t>
            </w:r>
          </w:p>
        </w:tc>
        <w:tc>
          <w:tcPr>
            <w:tcW w:w="8560" w:type="dxa"/>
            <w:vAlign w:val="bottom"/>
          </w:tcPr>
          <w:p>
            <w:pPr>
              <w:ind w:left="620"/>
              <w:spacing w:after="0"/>
              <w:rPr>
                <w:sz w:val="20"/>
                <w:szCs w:val="20"/>
                <w:color w:val="auto"/>
              </w:rPr>
            </w:pPr>
            <w:r>
              <w:rPr>
                <w:rFonts w:ascii="Arial" w:cs="Arial" w:eastAsia="Arial" w:hAnsi="Arial"/>
                <w:sz w:val="16"/>
                <w:szCs w:val="16"/>
                <w:color w:val="auto"/>
              </w:rPr>
              <w:t>S&amp;P Global Ratings, a division of S&amp;P Global Inc.</w:t>
            </w:r>
          </w:p>
        </w:tc>
      </w:tr>
      <w:tr>
        <w:trPr>
          <w:trHeight w:val="180"/>
        </w:trPr>
        <w:tc>
          <w:tcPr>
            <w:tcW w:w="268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SourceGas Transaction</w:t>
            </w:r>
          </w:p>
        </w:tc>
        <w:tc>
          <w:tcPr>
            <w:tcW w:w="8560" w:type="dxa"/>
            <w:vAlign w:val="bottom"/>
            <w:shd w:val="clear" w:color="auto" w:fill="CEFFE7"/>
          </w:tcPr>
          <w:p>
            <w:pPr>
              <w:ind w:left="620"/>
              <w:spacing w:after="0" w:line="181" w:lineRule="exact"/>
              <w:rPr>
                <w:sz w:val="20"/>
                <w:szCs w:val="20"/>
                <w:color w:val="auto"/>
              </w:rPr>
            </w:pPr>
            <w:r>
              <w:rPr>
                <w:rFonts w:ascii="Arial" w:cs="Arial" w:eastAsia="Arial" w:hAnsi="Arial"/>
                <w:sz w:val="16"/>
                <w:szCs w:val="16"/>
                <w:color w:val="auto"/>
              </w:rPr>
              <w:t>On February 12, 2016, Black Hills Utility Holdings acquired SourceGas pursuant to a purchase and sale</w:t>
            </w:r>
          </w:p>
        </w:tc>
      </w:tr>
      <w:tr>
        <w:trPr>
          <w:trHeight w:val="162"/>
        </w:trPr>
        <w:tc>
          <w:tcPr>
            <w:tcW w:w="2680" w:type="dxa"/>
            <w:vAlign w:val="bottom"/>
            <w:shd w:val="clear" w:color="auto" w:fill="CEFFE7"/>
          </w:tcPr>
          <w:p>
            <w:pPr>
              <w:spacing w:after="0"/>
              <w:rPr>
                <w:sz w:val="14"/>
                <w:szCs w:val="14"/>
                <w:color w:val="auto"/>
              </w:rPr>
            </w:pPr>
          </w:p>
        </w:tc>
        <w:tc>
          <w:tcPr>
            <w:tcW w:w="8560" w:type="dxa"/>
            <w:vAlign w:val="bottom"/>
            <w:shd w:val="clear" w:color="auto" w:fill="CEFFE7"/>
          </w:tcPr>
          <w:p>
            <w:pPr>
              <w:ind w:left="620"/>
              <w:spacing w:after="0" w:line="162" w:lineRule="exact"/>
              <w:rPr>
                <w:sz w:val="20"/>
                <w:szCs w:val="20"/>
                <w:color w:val="auto"/>
              </w:rPr>
            </w:pPr>
            <w:r>
              <w:rPr>
                <w:rFonts w:ascii="Arial" w:cs="Arial" w:eastAsia="Arial" w:hAnsi="Arial"/>
                <w:sz w:val="16"/>
                <w:szCs w:val="16"/>
                <w:color w:val="auto"/>
              </w:rPr>
              <w:t>agreement executed on July 12, 2015 for approximately $1.89 billion, which included the assumption of $760</w:t>
            </w:r>
          </w:p>
        </w:tc>
      </w:tr>
      <w:tr>
        <w:trPr>
          <w:trHeight w:val="201"/>
        </w:trPr>
        <w:tc>
          <w:tcPr>
            <w:tcW w:w="2680" w:type="dxa"/>
            <w:vAlign w:val="bottom"/>
            <w:shd w:val="clear" w:color="auto" w:fill="CEFFE7"/>
          </w:tcPr>
          <w:p>
            <w:pPr>
              <w:spacing w:after="0"/>
              <w:rPr>
                <w:sz w:val="17"/>
                <w:szCs w:val="17"/>
                <w:color w:val="auto"/>
              </w:rPr>
            </w:pP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million in debt at closing.</w:t>
            </w:r>
          </w:p>
        </w:tc>
      </w:tr>
      <w:tr>
        <w:trPr>
          <w:trHeight w:val="177"/>
        </w:trPr>
        <w:tc>
          <w:tcPr>
            <w:tcW w:w="2680" w:type="dxa"/>
            <w:vAlign w:val="bottom"/>
          </w:tcPr>
          <w:p>
            <w:pPr>
              <w:ind w:left="20"/>
              <w:spacing w:after="0" w:line="178" w:lineRule="exact"/>
              <w:rPr>
                <w:sz w:val="20"/>
                <w:szCs w:val="20"/>
                <w:color w:val="auto"/>
              </w:rPr>
            </w:pPr>
            <w:r>
              <w:rPr>
                <w:rFonts w:ascii="Arial" w:cs="Arial" w:eastAsia="Arial" w:hAnsi="Arial"/>
                <w:sz w:val="16"/>
                <w:szCs w:val="16"/>
                <w:color w:val="auto"/>
              </w:rPr>
              <w:t>South Dakota Electric</w:t>
            </w:r>
          </w:p>
        </w:tc>
        <w:tc>
          <w:tcPr>
            <w:tcW w:w="8560" w:type="dxa"/>
            <w:vAlign w:val="bottom"/>
          </w:tcPr>
          <w:p>
            <w:pPr>
              <w:ind w:left="620"/>
              <w:spacing w:after="0" w:line="178" w:lineRule="exact"/>
              <w:rPr>
                <w:sz w:val="20"/>
                <w:szCs w:val="20"/>
                <w:color w:val="auto"/>
              </w:rPr>
            </w:pPr>
            <w:r>
              <w:rPr>
                <w:rFonts w:ascii="Arial" w:cs="Arial" w:eastAsia="Arial" w:hAnsi="Arial"/>
                <w:sz w:val="16"/>
                <w:szCs w:val="16"/>
                <w:color w:val="auto"/>
              </w:rPr>
              <w:t>Black Hills Power, Inc., a direct, wholly-owned subsidiary of Black Hills Corporation, providing electric service</w:t>
            </w:r>
          </w:p>
        </w:tc>
      </w:tr>
      <w:tr>
        <w:trPr>
          <w:trHeight w:val="198"/>
        </w:trPr>
        <w:tc>
          <w:tcPr>
            <w:tcW w:w="2680" w:type="dxa"/>
            <w:vAlign w:val="bottom"/>
          </w:tcPr>
          <w:p>
            <w:pPr>
              <w:spacing w:after="0"/>
              <w:rPr>
                <w:sz w:val="17"/>
                <w:szCs w:val="17"/>
                <w:color w:val="auto"/>
              </w:rPr>
            </w:pPr>
          </w:p>
        </w:tc>
        <w:tc>
          <w:tcPr>
            <w:tcW w:w="8560" w:type="dxa"/>
            <w:vAlign w:val="bottom"/>
          </w:tcPr>
          <w:p>
            <w:pPr>
              <w:ind w:left="620"/>
              <w:spacing w:after="0"/>
              <w:rPr>
                <w:sz w:val="20"/>
                <w:szCs w:val="20"/>
                <w:color w:val="auto"/>
              </w:rPr>
            </w:pPr>
            <w:r>
              <w:rPr>
                <w:rFonts w:ascii="Arial" w:cs="Arial" w:eastAsia="Arial" w:hAnsi="Arial"/>
                <w:sz w:val="16"/>
                <w:szCs w:val="16"/>
                <w:color w:val="auto"/>
              </w:rPr>
              <w:t>to customers in Montana, South Dakota and Wyoming (doing business as Black Hills Energy).</w:t>
            </w:r>
          </w:p>
        </w:tc>
      </w:tr>
      <w:tr>
        <w:trPr>
          <w:trHeight w:val="180"/>
        </w:trPr>
        <w:tc>
          <w:tcPr>
            <w:tcW w:w="268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SPP</w:t>
            </w:r>
          </w:p>
        </w:tc>
        <w:tc>
          <w:tcPr>
            <w:tcW w:w="8560" w:type="dxa"/>
            <w:vAlign w:val="bottom"/>
            <w:shd w:val="clear" w:color="auto" w:fill="CEFFE7"/>
          </w:tcPr>
          <w:p>
            <w:pPr>
              <w:ind w:left="620"/>
              <w:spacing w:after="0" w:line="181" w:lineRule="exact"/>
              <w:rPr>
                <w:sz w:val="20"/>
                <w:szCs w:val="20"/>
                <w:color w:val="auto"/>
              </w:rPr>
            </w:pPr>
            <w:r>
              <w:rPr>
                <w:rFonts w:ascii="Arial" w:cs="Arial" w:eastAsia="Arial" w:hAnsi="Arial"/>
                <w:sz w:val="16"/>
                <w:szCs w:val="16"/>
                <w:color w:val="auto"/>
              </w:rPr>
              <w:t>Southwest Power Pool, a regional transmission organization (RTO) that oversees the bulk electric grid and</w:t>
            </w:r>
          </w:p>
        </w:tc>
      </w:tr>
      <w:tr>
        <w:trPr>
          <w:trHeight w:val="201"/>
        </w:trPr>
        <w:tc>
          <w:tcPr>
            <w:tcW w:w="2680" w:type="dxa"/>
            <w:vAlign w:val="bottom"/>
            <w:shd w:val="clear" w:color="auto" w:fill="CEFFE7"/>
          </w:tcPr>
          <w:p>
            <w:pPr>
              <w:spacing w:after="0"/>
              <w:rPr>
                <w:sz w:val="17"/>
                <w:szCs w:val="17"/>
                <w:color w:val="auto"/>
              </w:rPr>
            </w:pP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wholesale power market in the central United States.</w:t>
            </w: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color w:val="auto"/>
              </w:rPr>
              <w:t>SSIR</w:t>
            </w:r>
          </w:p>
        </w:tc>
        <w:tc>
          <w:tcPr>
            <w:tcW w:w="8560" w:type="dxa"/>
            <w:vAlign w:val="bottom"/>
          </w:tcPr>
          <w:p>
            <w:pPr>
              <w:ind w:left="620"/>
              <w:spacing w:after="0"/>
              <w:rPr>
                <w:sz w:val="20"/>
                <w:szCs w:val="20"/>
                <w:color w:val="auto"/>
              </w:rPr>
            </w:pPr>
            <w:r>
              <w:rPr>
                <w:rFonts w:ascii="Arial" w:cs="Arial" w:eastAsia="Arial" w:hAnsi="Arial"/>
                <w:sz w:val="16"/>
                <w:szCs w:val="16"/>
                <w:color w:val="auto"/>
              </w:rPr>
              <w:t>System Safety and Integrity Rider</w:t>
            </w:r>
          </w:p>
        </w:tc>
      </w:tr>
      <w:tr>
        <w:trPr>
          <w:trHeight w:val="219"/>
        </w:trPr>
        <w:tc>
          <w:tcPr>
            <w:tcW w:w="2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System Peak Demand</w:t>
            </w: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Represents the highest point of retail customer usage for a single hour.</w:t>
            </w:r>
          </w:p>
        </w:tc>
      </w:tr>
      <w:tr>
        <w:trPr>
          <w:trHeight w:val="177"/>
        </w:trPr>
        <w:tc>
          <w:tcPr>
            <w:tcW w:w="2680" w:type="dxa"/>
            <w:vAlign w:val="bottom"/>
          </w:tcPr>
          <w:p>
            <w:pPr>
              <w:ind w:left="20"/>
              <w:spacing w:after="0" w:line="178" w:lineRule="exact"/>
              <w:rPr>
                <w:sz w:val="20"/>
                <w:szCs w:val="20"/>
                <w:color w:val="auto"/>
              </w:rPr>
            </w:pPr>
            <w:r>
              <w:rPr>
                <w:rFonts w:ascii="Arial" w:cs="Arial" w:eastAsia="Arial" w:hAnsi="Arial"/>
                <w:sz w:val="16"/>
                <w:szCs w:val="16"/>
                <w:color w:val="auto"/>
              </w:rPr>
              <w:t>TCA</w:t>
            </w:r>
          </w:p>
        </w:tc>
        <w:tc>
          <w:tcPr>
            <w:tcW w:w="8560" w:type="dxa"/>
            <w:vAlign w:val="bottom"/>
          </w:tcPr>
          <w:p>
            <w:pPr>
              <w:ind w:left="620"/>
              <w:spacing w:after="0" w:line="178" w:lineRule="exact"/>
              <w:rPr>
                <w:sz w:val="20"/>
                <w:szCs w:val="20"/>
                <w:color w:val="auto"/>
              </w:rPr>
            </w:pPr>
            <w:r>
              <w:rPr>
                <w:rFonts w:ascii="Arial" w:cs="Arial" w:eastAsia="Arial" w:hAnsi="Arial"/>
                <w:sz w:val="16"/>
                <w:szCs w:val="16"/>
                <w:color w:val="auto"/>
              </w:rPr>
              <w:t>Transmission Cost Adjustment is an annual adjustment mechanism that allows us to recover from customers</w:t>
            </w:r>
          </w:p>
        </w:tc>
      </w:tr>
      <w:tr>
        <w:trPr>
          <w:trHeight w:val="198"/>
        </w:trPr>
        <w:tc>
          <w:tcPr>
            <w:tcW w:w="2680" w:type="dxa"/>
            <w:vAlign w:val="bottom"/>
          </w:tcPr>
          <w:p>
            <w:pPr>
              <w:spacing w:after="0"/>
              <w:rPr>
                <w:sz w:val="17"/>
                <w:szCs w:val="17"/>
                <w:color w:val="auto"/>
              </w:rPr>
            </w:pPr>
          </w:p>
        </w:tc>
        <w:tc>
          <w:tcPr>
            <w:tcW w:w="8560" w:type="dxa"/>
            <w:vAlign w:val="bottom"/>
          </w:tcPr>
          <w:p>
            <w:pPr>
              <w:ind w:left="620"/>
              <w:spacing w:after="0"/>
              <w:rPr>
                <w:sz w:val="20"/>
                <w:szCs w:val="20"/>
                <w:color w:val="auto"/>
              </w:rPr>
            </w:pPr>
            <w:r>
              <w:rPr>
                <w:rFonts w:ascii="Arial" w:cs="Arial" w:eastAsia="Arial" w:hAnsi="Arial"/>
                <w:sz w:val="16"/>
                <w:szCs w:val="16"/>
                <w:color w:val="auto"/>
              </w:rPr>
              <w:t>eligible transmission investments prior to the next rate review.</w:t>
            </w:r>
          </w:p>
        </w:tc>
      </w:tr>
      <w:tr>
        <w:trPr>
          <w:trHeight w:val="219"/>
        </w:trPr>
        <w:tc>
          <w:tcPr>
            <w:tcW w:w="2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TCJA</w:t>
            </w: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Tax Cuts and Jobs Act enacted on December 22, 2017</w:t>
            </w:r>
          </w:p>
        </w:tc>
      </w:tr>
      <w:tr>
        <w:trPr>
          <w:trHeight w:val="177"/>
        </w:trPr>
        <w:tc>
          <w:tcPr>
            <w:tcW w:w="2680" w:type="dxa"/>
            <w:vAlign w:val="bottom"/>
          </w:tcPr>
          <w:p>
            <w:pPr>
              <w:ind w:left="20"/>
              <w:spacing w:after="0" w:line="178" w:lineRule="exact"/>
              <w:rPr>
                <w:sz w:val="20"/>
                <w:szCs w:val="20"/>
                <w:color w:val="auto"/>
              </w:rPr>
            </w:pPr>
            <w:r>
              <w:rPr>
                <w:rFonts w:ascii="Arial" w:cs="Arial" w:eastAsia="Arial" w:hAnsi="Arial"/>
                <w:sz w:val="16"/>
                <w:szCs w:val="16"/>
                <w:color w:val="auto"/>
              </w:rPr>
              <w:t>Tech Services</w:t>
            </w:r>
          </w:p>
        </w:tc>
        <w:tc>
          <w:tcPr>
            <w:tcW w:w="8560" w:type="dxa"/>
            <w:vAlign w:val="bottom"/>
          </w:tcPr>
          <w:p>
            <w:pPr>
              <w:ind w:left="620"/>
              <w:spacing w:after="0" w:line="178" w:lineRule="exact"/>
              <w:rPr>
                <w:sz w:val="20"/>
                <w:szCs w:val="20"/>
                <w:color w:val="auto"/>
              </w:rPr>
            </w:pPr>
            <w:r>
              <w:rPr>
                <w:rFonts w:ascii="Arial" w:cs="Arial" w:eastAsia="Arial" w:hAnsi="Arial"/>
                <w:sz w:val="16"/>
                <w:szCs w:val="16"/>
                <w:color w:val="auto"/>
              </w:rPr>
              <w:t>Non-regulated product lines delivered by our Utilities that 1) provide electrical system construction services to</w:t>
            </w:r>
          </w:p>
        </w:tc>
      </w:tr>
      <w:tr>
        <w:trPr>
          <w:trHeight w:val="162"/>
        </w:trPr>
        <w:tc>
          <w:tcPr>
            <w:tcW w:w="2680" w:type="dxa"/>
            <w:vAlign w:val="bottom"/>
          </w:tcPr>
          <w:p>
            <w:pPr>
              <w:spacing w:after="0"/>
              <w:rPr>
                <w:sz w:val="14"/>
                <w:szCs w:val="14"/>
                <w:color w:val="auto"/>
              </w:rPr>
            </w:pPr>
          </w:p>
        </w:tc>
        <w:tc>
          <w:tcPr>
            <w:tcW w:w="8560" w:type="dxa"/>
            <w:vAlign w:val="bottom"/>
          </w:tcPr>
          <w:p>
            <w:pPr>
              <w:ind w:left="620"/>
              <w:spacing w:after="0" w:line="162" w:lineRule="exact"/>
              <w:rPr>
                <w:sz w:val="20"/>
                <w:szCs w:val="20"/>
                <w:color w:val="auto"/>
              </w:rPr>
            </w:pPr>
            <w:r>
              <w:rPr>
                <w:rFonts w:ascii="Arial" w:cs="Arial" w:eastAsia="Arial" w:hAnsi="Arial"/>
                <w:sz w:val="16"/>
                <w:szCs w:val="16"/>
                <w:color w:val="auto"/>
              </w:rPr>
              <w:t>large industrial customers of our electric utilities, and 2) serve gas transportation customers throughout its</w:t>
            </w:r>
          </w:p>
        </w:tc>
      </w:tr>
      <w:tr>
        <w:trPr>
          <w:trHeight w:val="162"/>
        </w:trPr>
        <w:tc>
          <w:tcPr>
            <w:tcW w:w="2680" w:type="dxa"/>
            <w:vAlign w:val="bottom"/>
          </w:tcPr>
          <w:p>
            <w:pPr>
              <w:spacing w:after="0"/>
              <w:rPr>
                <w:sz w:val="14"/>
                <w:szCs w:val="14"/>
                <w:color w:val="auto"/>
              </w:rPr>
            </w:pPr>
          </w:p>
        </w:tc>
        <w:tc>
          <w:tcPr>
            <w:tcW w:w="8560" w:type="dxa"/>
            <w:vAlign w:val="bottom"/>
          </w:tcPr>
          <w:p>
            <w:pPr>
              <w:ind w:left="620"/>
              <w:spacing w:after="0" w:line="162" w:lineRule="exact"/>
              <w:rPr>
                <w:sz w:val="20"/>
                <w:szCs w:val="20"/>
                <w:color w:val="auto"/>
              </w:rPr>
            </w:pPr>
            <w:r>
              <w:rPr>
                <w:rFonts w:ascii="Arial" w:cs="Arial" w:eastAsia="Arial" w:hAnsi="Arial"/>
                <w:sz w:val="16"/>
                <w:szCs w:val="16"/>
                <w:color w:val="auto"/>
              </w:rPr>
              <w:t>service territory by constructing and maintaining customer-owned gas infrastructure facilities, typically through</w:t>
            </w:r>
          </w:p>
        </w:tc>
      </w:tr>
      <w:tr>
        <w:trPr>
          <w:trHeight w:val="198"/>
        </w:trPr>
        <w:tc>
          <w:tcPr>
            <w:tcW w:w="2680" w:type="dxa"/>
            <w:vAlign w:val="bottom"/>
          </w:tcPr>
          <w:p>
            <w:pPr>
              <w:spacing w:after="0"/>
              <w:rPr>
                <w:sz w:val="17"/>
                <w:szCs w:val="17"/>
                <w:color w:val="auto"/>
              </w:rPr>
            </w:pPr>
          </w:p>
        </w:tc>
        <w:tc>
          <w:tcPr>
            <w:tcW w:w="8560" w:type="dxa"/>
            <w:vAlign w:val="bottom"/>
          </w:tcPr>
          <w:p>
            <w:pPr>
              <w:ind w:left="620"/>
              <w:spacing w:after="0"/>
              <w:rPr>
                <w:sz w:val="20"/>
                <w:szCs w:val="20"/>
                <w:color w:val="auto"/>
              </w:rPr>
            </w:pPr>
            <w:r>
              <w:rPr>
                <w:rFonts w:ascii="Arial" w:cs="Arial" w:eastAsia="Arial" w:hAnsi="Arial"/>
                <w:sz w:val="16"/>
                <w:szCs w:val="16"/>
                <w:color w:val="auto"/>
              </w:rPr>
              <w:t>one-time contracts.</w:t>
            </w:r>
          </w:p>
        </w:tc>
      </w:tr>
      <w:tr>
        <w:trPr>
          <w:trHeight w:val="180"/>
        </w:trPr>
        <w:tc>
          <w:tcPr>
            <w:tcW w:w="268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Top of Iowa</w:t>
            </w:r>
          </w:p>
        </w:tc>
        <w:tc>
          <w:tcPr>
            <w:tcW w:w="8560" w:type="dxa"/>
            <w:vAlign w:val="bottom"/>
            <w:shd w:val="clear" w:color="auto" w:fill="CEFFE7"/>
          </w:tcPr>
          <w:p>
            <w:pPr>
              <w:ind w:left="620"/>
              <w:spacing w:after="0" w:line="181" w:lineRule="exact"/>
              <w:rPr>
                <w:sz w:val="20"/>
                <w:szCs w:val="20"/>
                <w:color w:val="auto"/>
              </w:rPr>
            </w:pPr>
            <w:r>
              <w:rPr>
                <w:rFonts w:ascii="Arial" w:cs="Arial" w:eastAsia="Arial" w:hAnsi="Arial"/>
                <w:sz w:val="16"/>
                <w:szCs w:val="16"/>
                <w:color w:val="auto"/>
              </w:rPr>
              <w:t>Northern Iowa Windpower, LLC, a 87.1 MW wind farm located near Joice, Iowa, owned by Black Hills Electric</w:t>
            </w:r>
          </w:p>
        </w:tc>
      </w:tr>
      <w:tr>
        <w:trPr>
          <w:trHeight w:val="201"/>
        </w:trPr>
        <w:tc>
          <w:tcPr>
            <w:tcW w:w="2680" w:type="dxa"/>
            <w:vAlign w:val="bottom"/>
            <w:shd w:val="clear" w:color="auto" w:fill="CEFFE7"/>
          </w:tcPr>
          <w:p>
            <w:pPr>
              <w:spacing w:after="0"/>
              <w:rPr>
                <w:sz w:val="17"/>
                <w:szCs w:val="17"/>
                <w:color w:val="auto"/>
              </w:rPr>
            </w:pPr>
          </w:p>
        </w:tc>
        <w:tc>
          <w:tcPr>
            <w:tcW w:w="8560" w:type="dxa"/>
            <w:vAlign w:val="bottom"/>
            <w:shd w:val="clear" w:color="auto" w:fill="CEFFE7"/>
          </w:tcPr>
          <w:p>
            <w:pPr>
              <w:ind w:left="620"/>
              <w:spacing w:after="0"/>
              <w:rPr>
                <w:sz w:val="20"/>
                <w:szCs w:val="20"/>
                <w:color w:val="auto"/>
              </w:rPr>
            </w:pPr>
            <w:r>
              <w:rPr>
                <w:rFonts w:ascii="Arial" w:cs="Arial" w:eastAsia="Arial" w:hAnsi="Arial"/>
                <w:sz w:val="16"/>
                <w:szCs w:val="16"/>
                <w:color w:val="auto"/>
              </w:rPr>
              <w:t>Generation and operated by a third-party. We sell the wind energy generated in the MISO market.</w:t>
            </w:r>
          </w:p>
        </w:tc>
      </w:tr>
      <w:tr>
        <w:trPr>
          <w:trHeight w:val="736"/>
        </w:trPr>
        <w:tc>
          <w:tcPr>
            <w:tcW w:w="2680" w:type="dxa"/>
            <w:vAlign w:val="bottom"/>
          </w:tcPr>
          <w:p>
            <w:pPr>
              <w:spacing w:after="0"/>
              <w:rPr>
                <w:sz w:val="24"/>
                <w:szCs w:val="24"/>
                <w:color w:val="auto"/>
              </w:rPr>
            </w:pPr>
          </w:p>
        </w:tc>
        <w:tc>
          <w:tcPr>
            <w:tcW w:w="8560" w:type="dxa"/>
            <w:vAlign w:val="bottom"/>
          </w:tcPr>
          <w:p>
            <w:pPr>
              <w:ind w:left="2900"/>
              <w:spacing w:after="0"/>
              <w:rPr>
                <w:sz w:val="20"/>
                <w:szCs w:val="20"/>
                <w:color w:val="auto"/>
              </w:rPr>
            </w:pPr>
            <w:r>
              <w:rPr>
                <w:rFonts w:ascii="Arial" w:cs="Arial" w:eastAsia="Arial" w:hAnsi="Arial"/>
                <w:sz w:val="16"/>
                <w:szCs w:val="16"/>
                <w:color w:val="auto"/>
              </w:rPr>
              <w:t>7</w:t>
            </w:r>
          </w:p>
        </w:tc>
      </w:tr>
      <w:tr>
        <w:trPr>
          <w:trHeight w:val="108"/>
        </w:trPr>
        <w:tc>
          <w:tcPr>
            <w:tcW w:w="2680" w:type="dxa"/>
            <w:vAlign w:val="bottom"/>
            <w:tcBorders>
              <w:bottom w:val="single" w:sz="8" w:color="9A9A9A"/>
            </w:tcBorders>
          </w:tcPr>
          <w:p>
            <w:pPr>
              <w:spacing w:after="0"/>
              <w:rPr>
                <w:sz w:val="9"/>
                <w:szCs w:val="9"/>
                <w:color w:val="auto"/>
              </w:rPr>
            </w:pPr>
          </w:p>
        </w:tc>
        <w:tc>
          <w:tcPr>
            <w:tcW w:w="8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244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8800" w:type="dxa"/>
            <w:vAlign w:val="bottom"/>
          </w:tcPr>
          <w:p>
            <w:pPr>
              <w:spacing w:after="0"/>
              <w:rPr>
                <w:sz w:val="16"/>
                <w:szCs w:val="16"/>
                <w:color w:val="auto"/>
              </w:rPr>
            </w:pPr>
          </w:p>
        </w:tc>
      </w:tr>
      <w:tr>
        <w:trPr>
          <w:trHeight w:val="765"/>
        </w:trPr>
        <w:tc>
          <w:tcPr>
            <w:tcW w:w="1360" w:type="dxa"/>
            <w:vAlign w:val="bottom"/>
            <w:tcBorders>
              <w:top w:val="single" w:sz="8" w:color="0000FF"/>
            </w:tcBorders>
          </w:tcPr>
          <w:p>
            <w:pPr>
              <w:ind w:left="20"/>
              <w:spacing w:after="0"/>
              <w:rPr>
                <w:sz w:val="20"/>
                <w:szCs w:val="20"/>
                <w:color w:val="auto"/>
              </w:rPr>
            </w:pPr>
            <w:r>
              <w:rPr>
                <w:rFonts w:ascii="Arial" w:cs="Arial" w:eastAsia="Arial" w:hAnsi="Arial"/>
                <w:sz w:val="16"/>
                <w:szCs w:val="16"/>
                <w:color w:val="auto"/>
              </w:rPr>
              <w:t>TFA</w:t>
            </w:r>
          </w:p>
        </w:tc>
        <w:tc>
          <w:tcPr>
            <w:tcW w:w="1080" w:type="dxa"/>
            <w:vAlign w:val="bottom"/>
          </w:tcPr>
          <w:p>
            <w:pPr>
              <w:spacing w:after="0"/>
              <w:rPr>
                <w:sz w:val="24"/>
                <w:szCs w:val="24"/>
                <w:color w:val="auto"/>
              </w:rPr>
            </w:pPr>
          </w:p>
        </w:tc>
        <w:tc>
          <w:tcPr>
            <w:tcW w:w="8800" w:type="dxa"/>
            <w:vAlign w:val="bottom"/>
          </w:tcPr>
          <w:p>
            <w:pPr>
              <w:ind w:left="860"/>
              <w:spacing w:after="0"/>
              <w:rPr>
                <w:sz w:val="20"/>
                <w:szCs w:val="20"/>
                <w:color w:val="auto"/>
              </w:rPr>
            </w:pPr>
            <w:r>
              <w:rPr>
                <w:rFonts w:ascii="Arial" w:cs="Arial" w:eastAsia="Arial" w:hAnsi="Arial"/>
                <w:sz w:val="16"/>
                <w:szCs w:val="16"/>
                <w:color w:val="auto"/>
              </w:rPr>
              <w:t>Transmission Facility Adjustment is an annual adjustment mechanism that allows us to recover charges for</w:t>
            </w:r>
          </w:p>
        </w:tc>
      </w:tr>
      <w:tr>
        <w:trPr>
          <w:trHeight w:val="198"/>
        </w:trPr>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0" w:type="dxa"/>
            <w:vAlign w:val="bottom"/>
          </w:tcPr>
          <w:p>
            <w:pPr>
              <w:ind w:left="860"/>
              <w:spacing w:after="0"/>
              <w:rPr>
                <w:sz w:val="20"/>
                <w:szCs w:val="20"/>
                <w:color w:val="auto"/>
              </w:rPr>
            </w:pPr>
            <w:r>
              <w:rPr>
                <w:rFonts w:ascii="Arial" w:cs="Arial" w:eastAsia="Arial" w:hAnsi="Arial"/>
                <w:sz w:val="16"/>
                <w:szCs w:val="16"/>
                <w:color w:val="auto"/>
              </w:rPr>
              <w:t>qualifying new and modified transmission facilities from customers.</w:t>
            </w:r>
          </w:p>
        </w:tc>
      </w:tr>
      <w:tr>
        <w:trPr>
          <w:trHeight w:val="180"/>
        </w:trPr>
        <w:tc>
          <w:tcPr>
            <w:tcW w:w="244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Transmission Tie</w:t>
            </w:r>
          </w:p>
        </w:tc>
        <w:tc>
          <w:tcPr>
            <w:tcW w:w="8800" w:type="dxa"/>
            <w:vAlign w:val="bottom"/>
            <w:shd w:val="clear" w:color="auto" w:fill="CEFFE7"/>
          </w:tcPr>
          <w:p>
            <w:pPr>
              <w:ind w:left="860"/>
              <w:spacing w:after="0" w:line="181" w:lineRule="exact"/>
              <w:rPr>
                <w:sz w:val="20"/>
                <w:szCs w:val="20"/>
                <w:color w:val="auto"/>
              </w:rPr>
            </w:pPr>
            <w:r>
              <w:rPr>
                <w:rFonts w:ascii="Arial" w:cs="Arial" w:eastAsia="Arial" w:hAnsi="Arial"/>
                <w:sz w:val="16"/>
                <w:szCs w:val="16"/>
                <w:color w:val="auto"/>
              </w:rPr>
              <w:t>South Dakota Electric owns 35% of a DC transmission tie that interconnects the Western and Eastern</w:t>
            </w:r>
          </w:p>
        </w:tc>
      </w:tr>
      <w:tr>
        <w:trPr>
          <w:trHeight w:val="162"/>
        </w:trPr>
        <w:tc>
          <w:tcPr>
            <w:tcW w:w="1360" w:type="dxa"/>
            <w:vAlign w:val="bottom"/>
            <w:shd w:val="clear" w:color="auto" w:fill="CEFFE7"/>
          </w:tcPr>
          <w:p>
            <w:pPr>
              <w:spacing w:after="0"/>
              <w:rPr>
                <w:sz w:val="14"/>
                <w:szCs w:val="14"/>
                <w:color w:val="auto"/>
              </w:rPr>
            </w:pPr>
          </w:p>
        </w:tc>
        <w:tc>
          <w:tcPr>
            <w:tcW w:w="1080" w:type="dxa"/>
            <w:vAlign w:val="bottom"/>
            <w:shd w:val="clear" w:color="auto" w:fill="CEFFE7"/>
          </w:tcPr>
          <w:p>
            <w:pPr>
              <w:spacing w:after="0"/>
              <w:rPr>
                <w:sz w:val="14"/>
                <w:szCs w:val="14"/>
                <w:color w:val="auto"/>
              </w:rPr>
            </w:pPr>
          </w:p>
        </w:tc>
        <w:tc>
          <w:tcPr>
            <w:tcW w:w="8800" w:type="dxa"/>
            <w:vAlign w:val="bottom"/>
            <w:shd w:val="clear" w:color="auto" w:fill="CEFFE7"/>
          </w:tcPr>
          <w:p>
            <w:pPr>
              <w:ind w:left="860"/>
              <w:spacing w:after="0" w:line="162" w:lineRule="exact"/>
              <w:rPr>
                <w:sz w:val="20"/>
                <w:szCs w:val="20"/>
                <w:color w:val="auto"/>
              </w:rPr>
            </w:pPr>
            <w:r>
              <w:rPr>
                <w:rFonts w:ascii="Arial" w:cs="Arial" w:eastAsia="Arial" w:hAnsi="Arial"/>
                <w:sz w:val="16"/>
                <w:szCs w:val="16"/>
                <w:color w:val="auto"/>
              </w:rPr>
              <w:t>transmission grids, which are independently-operated transmission grids serving the western and eastern</w:t>
            </w:r>
          </w:p>
        </w:tc>
      </w:tr>
      <w:tr>
        <w:trPr>
          <w:trHeight w:val="162"/>
        </w:trPr>
        <w:tc>
          <w:tcPr>
            <w:tcW w:w="1360" w:type="dxa"/>
            <w:vAlign w:val="bottom"/>
            <w:shd w:val="clear" w:color="auto" w:fill="CEFFE7"/>
          </w:tcPr>
          <w:p>
            <w:pPr>
              <w:spacing w:after="0"/>
              <w:rPr>
                <w:sz w:val="14"/>
                <w:szCs w:val="14"/>
                <w:color w:val="auto"/>
              </w:rPr>
            </w:pPr>
          </w:p>
        </w:tc>
        <w:tc>
          <w:tcPr>
            <w:tcW w:w="1080" w:type="dxa"/>
            <w:vAlign w:val="bottom"/>
            <w:shd w:val="clear" w:color="auto" w:fill="CEFFE7"/>
          </w:tcPr>
          <w:p>
            <w:pPr>
              <w:spacing w:after="0"/>
              <w:rPr>
                <w:sz w:val="14"/>
                <w:szCs w:val="14"/>
                <w:color w:val="auto"/>
              </w:rPr>
            </w:pPr>
          </w:p>
        </w:tc>
        <w:tc>
          <w:tcPr>
            <w:tcW w:w="8800" w:type="dxa"/>
            <w:vAlign w:val="bottom"/>
            <w:shd w:val="clear" w:color="auto" w:fill="CEFFE7"/>
          </w:tcPr>
          <w:p>
            <w:pPr>
              <w:ind w:left="860"/>
              <w:spacing w:after="0" w:line="162" w:lineRule="exact"/>
              <w:rPr>
                <w:sz w:val="20"/>
                <w:szCs w:val="20"/>
                <w:color w:val="auto"/>
              </w:rPr>
            </w:pPr>
            <w:r>
              <w:rPr>
                <w:rFonts w:ascii="Arial" w:cs="Arial" w:eastAsia="Arial" w:hAnsi="Arial"/>
                <w:sz w:val="16"/>
                <w:szCs w:val="16"/>
                <w:color w:val="auto"/>
              </w:rPr>
              <w:t>United States, respectively. Basin Electric Power Cooperative owns the remaining ownership percentage. This</w:t>
            </w:r>
          </w:p>
        </w:tc>
      </w:tr>
      <w:tr>
        <w:trPr>
          <w:trHeight w:val="162"/>
        </w:trPr>
        <w:tc>
          <w:tcPr>
            <w:tcW w:w="1360" w:type="dxa"/>
            <w:vAlign w:val="bottom"/>
            <w:shd w:val="clear" w:color="auto" w:fill="CEFFE7"/>
          </w:tcPr>
          <w:p>
            <w:pPr>
              <w:spacing w:after="0"/>
              <w:rPr>
                <w:sz w:val="14"/>
                <w:szCs w:val="14"/>
                <w:color w:val="auto"/>
              </w:rPr>
            </w:pPr>
          </w:p>
        </w:tc>
        <w:tc>
          <w:tcPr>
            <w:tcW w:w="1080" w:type="dxa"/>
            <w:vAlign w:val="bottom"/>
            <w:shd w:val="clear" w:color="auto" w:fill="CEFFE7"/>
          </w:tcPr>
          <w:p>
            <w:pPr>
              <w:spacing w:after="0"/>
              <w:rPr>
                <w:sz w:val="14"/>
                <w:szCs w:val="14"/>
                <w:color w:val="auto"/>
              </w:rPr>
            </w:pPr>
          </w:p>
        </w:tc>
        <w:tc>
          <w:tcPr>
            <w:tcW w:w="8800" w:type="dxa"/>
            <w:vAlign w:val="bottom"/>
            <w:shd w:val="clear" w:color="auto" w:fill="CEFFE7"/>
          </w:tcPr>
          <w:p>
            <w:pPr>
              <w:ind w:left="860"/>
              <w:spacing w:after="0" w:line="162" w:lineRule="exact"/>
              <w:rPr>
                <w:sz w:val="20"/>
                <w:szCs w:val="20"/>
                <w:color w:val="auto"/>
              </w:rPr>
            </w:pPr>
            <w:r>
              <w:rPr>
                <w:rFonts w:ascii="Arial" w:cs="Arial" w:eastAsia="Arial" w:hAnsi="Arial"/>
                <w:sz w:val="16"/>
                <w:szCs w:val="16"/>
                <w:color w:val="auto"/>
              </w:rPr>
              <w:t>transmission tie allows us to buy and sell energy in the Eastern grid without having to isolate and physically</w:t>
            </w:r>
          </w:p>
        </w:tc>
      </w:tr>
      <w:tr>
        <w:trPr>
          <w:trHeight w:val="162"/>
        </w:trPr>
        <w:tc>
          <w:tcPr>
            <w:tcW w:w="1360" w:type="dxa"/>
            <w:vAlign w:val="bottom"/>
            <w:shd w:val="clear" w:color="auto" w:fill="CEFFE7"/>
          </w:tcPr>
          <w:p>
            <w:pPr>
              <w:spacing w:after="0"/>
              <w:rPr>
                <w:sz w:val="14"/>
                <w:szCs w:val="14"/>
                <w:color w:val="auto"/>
              </w:rPr>
            </w:pPr>
          </w:p>
        </w:tc>
        <w:tc>
          <w:tcPr>
            <w:tcW w:w="1080" w:type="dxa"/>
            <w:vAlign w:val="bottom"/>
            <w:shd w:val="clear" w:color="auto" w:fill="CEFFE7"/>
          </w:tcPr>
          <w:p>
            <w:pPr>
              <w:spacing w:after="0"/>
              <w:rPr>
                <w:sz w:val="14"/>
                <w:szCs w:val="14"/>
                <w:color w:val="auto"/>
              </w:rPr>
            </w:pPr>
          </w:p>
        </w:tc>
        <w:tc>
          <w:tcPr>
            <w:tcW w:w="8800" w:type="dxa"/>
            <w:vAlign w:val="bottom"/>
            <w:shd w:val="clear" w:color="auto" w:fill="CEFFE7"/>
          </w:tcPr>
          <w:p>
            <w:pPr>
              <w:ind w:left="860"/>
              <w:spacing w:after="0" w:line="162" w:lineRule="exact"/>
              <w:rPr>
                <w:sz w:val="20"/>
                <w:szCs w:val="20"/>
                <w:color w:val="auto"/>
              </w:rPr>
            </w:pPr>
            <w:r>
              <w:rPr>
                <w:rFonts w:ascii="Arial" w:cs="Arial" w:eastAsia="Arial" w:hAnsi="Arial"/>
                <w:sz w:val="16"/>
                <w:szCs w:val="16"/>
                <w:color w:val="auto"/>
              </w:rPr>
              <w:t>reconnect load or generation between the two transmission grids, thus enhancing the reliability of our system.</w:t>
            </w:r>
          </w:p>
        </w:tc>
      </w:tr>
      <w:tr>
        <w:trPr>
          <w:trHeight w:val="162"/>
        </w:trPr>
        <w:tc>
          <w:tcPr>
            <w:tcW w:w="1360" w:type="dxa"/>
            <w:vAlign w:val="bottom"/>
            <w:shd w:val="clear" w:color="auto" w:fill="CEFFE7"/>
          </w:tcPr>
          <w:p>
            <w:pPr>
              <w:spacing w:after="0"/>
              <w:rPr>
                <w:sz w:val="14"/>
                <w:szCs w:val="14"/>
                <w:color w:val="auto"/>
              </w:rPr>
            </w:pPr>
          </w:p>
        </w:tc>
        <w:tc>
          <w:tcPr>
            <w:tcW w:w="1080" w:type="dxa"/>
            <w:vAlign w:val="bottom"/>
            <w:shd w:val="clear" w:color="auto" w:fill="CEFFE7"/>
          </w:tcPr>
          <w:p>
            <w:pPr>
              <w:spacing w:after="0"/>
              <w:rPr>
                <w:sz w:val="14"/>
                <w:szCs w:val="14"/>
                <w:color w:val="auto"/>
              </w:rPr>
            </w:pPr>
          </w:p>
        </w:tc>
        <w:tc>
          <w:tcPr>
            <w:tcW w:w="8800" w:type="dxa"/>
            <w:vAlign w:val="bottom"/>
            <w:shd w:val="clear" w:color="auto" w:fill="CEFFE7"/>
          </w:tcPr>
          <w:p>
            <w:pPr>
              <w:ind w:left="860"/>
              <w:spacing w:after="0" w:line="162" w:lineRule="exact"/>
              <w:rPr>
                <w:sz w:val="20"/>
                <w:szCs w:val="20"/>
                <w:color w:val="auto"/>
              </w:rPr>
            </w:pPr>
            <w:r>
              <w:rPr>
                <w:rFonts w:ascii="Arial" w:cs="Arial" w:eastAsia="Arial" w:hAnsi="Arial"/>
                <w:sz w:val="16"/>
                <w:szCs w:val="16"/>
                <w:color w:val="auto"/>
              </w:rPr>
              <w:t>It accommodates scheduling transactions in both directions simultaneously, provides additional opportunities</w:t>
            </w:r>
          </w:p>
        </w:tc>
      </w:tr>
      <w:tr>
        <w:trPr>
          <w:trHeight w:val="162"/>
        </w:trPr>
        <w:tc>
          <w:tcPr>
            <w:tcW w:w="1360" w:type="dxa"/>
            <w:vAlign w:val="bottom"/>
            <w:shd w:val="clear" w:color="auto" w:fill="CEFFE7"/>
          </w:tcPr>
          <w:p>
            <w:pPr>
              <w:spacing w:after="0"/>
              <w:rPr>
                <w:sz w:val="14"/>
                <w:szCs w:val="14"/>
                <w:color w:val="auto"/>
              </w:rPr>
            </w:pPr>
          </w:p>
        </w:tc>
        <w:tc>
          <w:tcPr>
            <w:tcW w:w="1080" w:type="dxa"/>
            <w:vAlign w:val="bottom"/>
            <w:shd w:val="clear" w:color="auto" w:fill="CEFFE7"/>
          </w:tcPr>
          <w:p>
            <w:pPr>
              <w:spacing w:after="0"/>
              <w:rPr>
                <w:sz w:val="14"/>
                <w:szCs w:val="14"/>
                <w:color w:val="auto"/>
              </w:rPr>
            </w:pPr>
          </w:p>
        </w:tc>
        <w:tc>
          <w:tcPr>
            <w:tcW w:w="8800" w:type="dxa"/>
            <w:vAlign w:val="bottom"/>
            <w:shd w:val="clear" w:color="auto" w:fill="CEFFE7"/>
          </w:tcPr>
          <w:p>
            <w:pPr>
              <w:ind w:left="860"/>
              <w:spacing w:after="0" w:line="162" w:lineRule="exact"/>
              <w:rPr>
                <w:sz w:val="20"/>
                <w:szCs w:val="20"/>
                <w:color w:val="auto"/>
              </w:rPr>
            </w:pPr>
            <w:r>
              <w:rPr>
                <w:rFonts w:ascii="Arial" w:cs="Arial" w:eastAsia="Arial" w:hAnsi="Arial"/>
                <w:sz w:val="16"/>
                <w:szCs w:val="16"/>
                <w:color w:val="auto"/>
              </w:rPr>
              <w:t>to sell excess generation or to make economic purchases to serve our native load and contract obligations,</w:t>
            </w:r>
          </w:p>
        </w:tc>
      </w:tr>
      <w:tr>
        <w:trPr>
          <w:trHeight w:val="162"/>
        </w:trPr>
        <w:tc>
          <w:tcPr>
            <w:tcW w:w="1360" w:type="dxa"/>
            <w:vAlign w:val="bottom"/>
            <w:shd w:val="clear" w:color="auto" w:fill="CEFFE7"/>
          </w:tcPr>
          <w:p>
            <w:pPr>
              <w:spacing w:after="0"/>
              <w:rPr>
                <w:sz w:val="14"/>
                <w:szCs w:val="14"/>
                <w:color w:val="auto"/>
              </w:rPr>
            </w:pPr>
          </w:p>
        </w:tc>
        <w:tc>
          <w:tcPr>
            <w:tcW w:w="1080" w:type="dxa"/>
            <w:vAlign w:val="bottom"/>
            <w:shd w:val="clear" w:color="auto" w:fill="CEFFE7"/>
          </w:tcPr>
          <w:p>
            <w:pPr>
              <w:spacing w:after="0"/>
              <w:rPr>
                <w:sz w:val="14"/>
                <w:szCs w:val="14"/>
                <w:color w:val="auto"/>
              </w:rPr>
            </w:pPr>
          </w:p>
        </w:tc>
        <w:tc>
          <w:tcPr>
            <w:tcW w:w="8800" w:type="dxa"/>
            <w:vAlign w:val="bottom"/>
            <w:shd w:val="clear" w:color="auto" w:fill="CEFFE7"/>
          </w:tcPr>
          <w:p>
            <w:pPr>
              <w:ind w:left="860"/>
              <w:spacing w:after="0" w:line="162" w:lineRule="exact"/>
              <w:rPr>
                <w:sz w:val="20"/>
                <w:szCs w:val="20"/>
                <w:color w:val="auto"/>
              </w:rPr>
            </w:pPr>
            <w:r>
              <w:rPr>
                <w:rFonts w:ascii="Arial" w:cs="Arial" w:eastAsia="Arial" w:hAnsi="Arial"/>
                <w:sz w:val="16"/>
                <w:szCs w:val="16"/>
                <w:color w:val="auto"/>
              </w:rPr>
              <w:t>and enables us to take advantage of power price differentials between the two grids. The total transfer</w:t>
            </w:r>
          </w:p>
        </w:tc>
      </w:tr>
      <w:tr>
        <w:trPr>
          <w:trHeight w:val="201"/>
        </w:trPr>
        <w:tc>
          <w:tcPr>
            <w:tcW w:w="136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c>
          <w:tcPr>
            <w:tcW w:w="8800" w:type="dxa"/>
            <w:vAlign w:val="bottom"/>
            <w:shd w:val="clear" w:color="auto" w:fill="CEFFE7"/>
          </w:tcPr>
          <w:p>
            <w:pPr>
              <w:ind w:left="860"/>
              <w:spacing w:after="0"/>
              <w:rPr>
                <w:sz w:val="20"/>
                <w:szCs w:val="20"/>
                <w:color w:val="auto"/>
              </w:rPr>
            </w:pPr>
            <w:r>
              <w:rPr>
                <w:rFonts w:ascii="Arial" w:cs="Arial" w:eastAsia="Arial" w:hAnsi="Arial"/>
                <w:sz w:val="16"/>
                <w:szCs w:val="16"/>
                <w:color w:val="auto"/>
              </w:rPr>
              <w:t>capacity of the tie is 400 MW, including 200 MW from West to East and 200 MW from East to West.</w:t>
            </w:r>
          </w:p>
        </w:tc>
      </w:tr>
      <w:tr>
        <w:trPr>
          <w:trHeight w:val="213"/>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TSA</w:t>
            </w:r>
          </w:p>
        </w:tc>
        <w:tc>
          <w:tcPr>
            <w:tcW w:w="8800" w:type="dxa"/>
            <w:vAlign w:val="bottom"/>
          </w:tcPr>
          <w:p>
            <w:pPr>
              <w:ind w:left="860"/>
              <w:spacing w:after="0"/>
              <w:rPr>
                <w:sz w:val="20"/>
                <w:szCs w:val="20"/>
                <w:color w:val="auto"/>
              </w:rPr>
            </w:pPr>
            <w:r>
              <w:rPr>
                <w:rFonts w:ascii="Arial" w:cs="Arial" w:eastAsia="Arial" w:hAnsi="Arial"/>
                <w:sz w:val="16"/>
                <w:szCs w:val="16"/>
                <w:color w:val="auto"/>
              </w:rPr>
              <w:t>United States Department of Homeland Security’s Transportation Security Administration</w:t>
            </w:r>
          </w:p>
        </w:tc>
      </w:tr>
      <w:tr>
        <w:trPr>
          <w:trHeight w:val="219"/>
        </w:trPr>
        <w:tc>
          <w:tcPr>
            <w:tcW w:w="24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Utilities</w:t>
            </w:r>
          </w:p>
        </w:tc>
        <w:tc>
          <w:tcPr>
            <w:tcW w:w="8800" w:type="dxa"/>
            <w:vAlign w:val="bottom"/>
            <w:shd w:val="clear" w:color="auto" w:fill="CEFFE7"/>
          </w:tcPr>
          <w:p>
            <w:pPr>
              <w:ind w:left="860"/>
              <w:spacing w:after="0"/>
              <w:rPr>
                <w:sz w:val="20"/>
                <w:szCs w:val="20"/>
                <w:color w:val="auto"/>
              </w:rPr>
            </w:pPr>
            <w:r>
              <w:rPr>
                <w:rFonts w:ascii="Arial" w:cs="Arial" w:eastAsia="Arial" w:hAnsi="Arial"/>
                <w:sz w:val="16"/>
                <w:szCs w:val="16"/>
                <w:color w:val="auto"/>
              </w:rPr>
              <w:t>Black Hills’ Electric and Gas Utilities</w:t>
            </w:r>
          </w:p>
        </w:tc>
      </w:tr>
      <w:tr>
        <w:trPr>
          <w:trHeight w:val="213"/>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VEBA</w:t>
            </w:r>
          </w:p>
        </w:tc>
        <w:tc>
          <w:tcPr>
            <w:tcW w:w="8800" w:type="dxa"/>
            <w:vAlign w:val="bottom"/>
          </w:tcPr>
          <w:p>
            <w:pPr>
              <w:ind w:left="860"/>
              <w:spacing w:after="0"/>
              <w:rPr>
                <w:sz w:val="20"/>
                <w:szCs w:val="20"/>
                <w:color w:val="auto"/>
              </w:rPr>
            </w:pPr>
            <w:r>
              <w:rPr>
                <w:rFonts w:ascii="Arial" w:cs="Arial" w:eastAsia="Arial" w:hAnsi="Arial"/>
                <w:sz w:val="16"/>
                <w:szCs w:val="16"/>
                <w:color w:val="auto"/>
              </w:rPr>
              <w:t>Voluntary Employee Benefit Association</w:t>
            </w:r>
          </w:p>
        </w:tc>
      </w:tr>
      <w:tr>
        <w:trPr>
          <w:trHeight w:val="219"/>
        </w:trPr>
        <w:tc>
          <w:tcPr>
            <w:tcW w:w="24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VIE</w:t>
            </w:r>
          </w:p>
        </w:tc>
        <w:tc>
          <w:tcPr>
            <w:tcW w:w="8800" w:type="dxa"/>
            <w:vAlign w:val="bottom"/>
            <w:shd w:val="clear" w:color="auto" w:fill="CEFFE7"/>
          </w:tcPr>
          <w:p>
            <w:pPr>
              <w:ind w:left="860"/>
              <w:spacing w:after="0"/>
              <w:rPr>
                <w:sz w:val="20"/>
                <w:szCs w:val="20"/>
                <w:color w:val="auto"/>
              </w:rPr>
            </w:pPr>
            <w:r>
              <w:rPr>
                <w:rFonts w:ascii="Arial" w:cs="Arial" w:eastAsia="Arial" w:hAnsi="Arial"/>
                <w:sz w:val="16"/>
                <w:szCs w:val="16"/>
                <w:color w:val="auto"/>
              </w:rPr>
              <w:t>Variable Interest Entity</w:t>
            </w:r>
          </w:p>
        </w:tc>
      </w:tr>
      <w:tr>
        <w:trPr>
          <w:trHeight w:val="177"/>
        </w:trPr>
        <w:tc>
          <w:tcPr>
            <w:tcW w:w="244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Wind Capacity Factor</w:t>
            </w:r>
          </w:p>
        </w:tc>
        <w:tc>
          <w:tcPr>
            <w:tcW w:w="8800" w:type="dxa"/>
            <w:vAlign w:val="bottom"/>
          </w:tcPr>
          <w:p>
            <w:pPr>
              <w:ind w:left="860"/>
              <w:spacing w:after="0" w:line="178" w:lineRule="exact"/>
              <w:rPr>
                <w:sz w:val="20"/>
                <w:szCs w:val="20"/>
                <w:color w:val="auto"/>
              </w:rPr>
            </w:pPr>
            <w:r>
              <w:rPr>
                <w:rFonts w:ascii="Arial" w:cs="Arial" w:eastAsia="Arial" w:hAnsi="Arial"/>
                <w:sz w:val="16"/>
                <w:szCs w:val="16"/>
                <w:color w:val="auto"/>
              </w:rPr>
              <w:t>Measures the amount of electricity a wind turbine produces in a given time period relative to its maximum</w:t>
            </w:r>
          </w:p>
        </w:tc>
      </w:tr>
      <w:tr>
        <w:trPr>
          <w:trHeight w:val="198"/>
        </w:trPr>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0" w:type="dxa"/>
            <w:vAlign w:val="bottom"/>
          </w:tcPr>
          <w:p>
            <w:pPr>
              <w:ind w:left="860"/>
              <w:spacing w:after="0"/>
              <w:rPr>
                <w:sz w:val="20"/>
                <w:szCs w:val="20"/>
                <w:color w:val="auto"/>
              </w:rPr>
            </w:pPr>
            <w:r>
              <w:rPr>
                <w:rFonts w:ascii="Arial" w:cs="Arial" w:eastAsia="Arial" w:hAnsi="Arial"/>
                <w:sz w:val="16"/>
                <w:szCs w:val="16"/>
                <w:color w:val="auto"/>
              </w:rPr>
              <w:t>potential</w:t>
            </w:r>
          </w:p>
        </w:tc>
      </w:tr>
      <w:tr>
        <w:trPr>
          <w:trHeight w:val="180"/>
        </w:trPr>
        <w:tc>
          <w:tcPr>
            <w:tcW w:w="244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Winter Storm Uri</w:t>
            </w:r>
          </w:p>
        </w:tc>
        <w:tc>
          <w:tcPr>
            <w:tcW w:w="8800" w:type="dxa"/>
            <w:vAlign w:val="bottom"/>
            <w:shd w:val="clear" w:color="auto" w:fill="CEFFE7"/>
          </w:tcPr>
          <w:p>
            <w:pPr>
              <w:ind w:left="860"/>
              <w:spacing w:after="0" w:line="181" w:lineRule="exact"/>
              <w:rPr>
                <w:sz w:val="20"/>
                <w:szCs w:val="20"/>
                <w:color w:val="auto"/>
              </w:rPr>
            </w:pPr>
            <w:r>
              <w:rPr>
                <w:rFonts w:ascii="Arial" w:cs="Arial" w:eastAsia="Arial" w:hAnsi="Arial"/>
                <w:sz w:val="16"/>
                <w:szCs w:val="16"/>
                <w:color w:val="auto"/>
              </w:rPr>
              <w:t>February 2021 winter weather event that caused extreme cold temperatures in the central United States and</w:t>
            </w:r>
          </w:p>
        </w:tc>
      </w:tr>
      <w:tr>
        <w:trPr>
          <w:trHeight w:val="201"/>
        </w:trPr>
        <w:tc>
          <w:tcPr>
            <w:tcW w:w="136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c>
          <w:tcPr>
            <w:tcW w:w="8800" w:type="dxa"/>
            <w:vAlign w:val="bottom"/>
            <w:shd w:val="clear" w:color="auto" w:fill="CEFFE7"/>
          </w:tcPr>
          <w:p>
            <w:pPr>
              <w:ind w:left="860"/>
              <w:spacing w:after="0"/>
              <w:rPr>
                <w:sz w:val="20"/>
                <w:szCs w:val="20"/>
                <w:color w:val="auto"/>
              </w:rPr>
            </w:pPr>
            <w:r>
              <w:rPr>
                <w:rFonts w:ascii="Arial" w:cs="Arial" w:eastAsia="Arial" w:hAnsi="Arial"/>
                <w:sz w:val="16"/>
                <w:szCs w:val="16"/>
                <w:color w:val="auto"/>
              </w:rPr>
              <w:t>led to unprecedented fluctuations in customer demand and market pricing for natural gas and energy.</w:t>
            </w:r>
          </w:p>
        </w:tc>
      </w:tr>
      <w:tr>
        <w:trPr>
          <w:trHeight w:val="213"/>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Working Capacity</w:t>
            </w:r>
          </w:p>
        </w:tc>
        <w:tc>
          <w:tcPr>
            <w:tcW w:w="8800" w:type="dxa"/>
            <w:vAlign w:val="bottom"/>
          </w:tcPr>
          <w:p>
            <w:pPr>
              <w:ind w:left="860"/>
              <w:spacing w:after="0"/>
              <w:rPr>
                <w:sz w:val="20"/>
                <w:szCs w:val="20"/>
                <w:color w:val="auto"/>
              </w:rPr>
            </w:pPr>
            <w:r>
              <w:rPr>
                <w:rFonts w:ascii="Arial" w:cs="Arial" w:eastAsia="Arial" w:hAnsi="Arial"/>
                <w:sz w:val="16"/>
                <w:szCs w:val="16"/>
                <w:color w:val="auto"/>
              </w:rPr>
              <w:t>Total gas storage capacity minus cushion gas</w:t>
            </w:r>
          </w:p>
        </w:tc>
      </w:tr>
      <w:tr>
        <w:trPr>
          <w:trHeight w:val="219"/>
        </w:trPr>
        <w:tc>
          <w:tcPr>
            <w:tcW w:w="24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WPSC</w:t>
            </w:r>
          </w:p>
        </w:tc>
        <w:tc>
          <w:tcPr>
            <w:tcW w:w="8800" w:type="dxa"/>
            <w:vAlign w:val="bottom"/>
            <w:shd w:val="clear" w:color="auto" w:fill="CEFFE7"/>
          </w:tcPr>
          <w:p>
            <w:pPr>
              <w:ind w:left="860"/>
              <w:spacing w:after="0"/>
              <w:rPr>
                <w:sz w:val="20"/>
                <w:szCs w:val="20"/>
                <w:color w:val="auto"/>
              </w:rPr>
            </w:pPr>
            <w:r>
              <w:rPr>
                <w:rFonts w:ascii="Arial" w:cs="Arial" w:eastAsia="Arial" w:hAnsi="Arial"/>
                <w:sz w:val="16"/>
                <w:szCs w:val="16"/>
                <w:color w:val="auto"/>
              </w:rPr>
              <w:t>Wyoming Public Service Commission</w:t>
            </w:r>
          </w:p>
        </w:tc>
      </w:tr>
      <w:tr>
        <w:trPr>
          <w:trHeight w:val="177"/>
        </w:trPr>
        <w:tc>
          <w:tcPr>
            <w:tcW w:w="244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WRDC</w:t>
            </w:r>
          </w:p>
        </w:tc>
        <w:tc>
          <w:tcPr>
            <w:tcW w:w="8800" w:type="dxa"/>
            <w:vAlign w:val="bottom"/>
          </w:tcPr>
          <w:p>
            <w:pPr>
              <w:ind w:left="860"/>
              <w:spacing w:after="0" w:line="178" w:lineRule="exact"/>
              <w:rPr>
                <w:sz w:val="20"/>
                <w:szCs w:val="20"/>
                <w:color w:val="auto"/>
              </w:rPr>
            </w:pPr>
            <w:r>
              <w:rPr>
                <w:rFonts w:ascii="Arial" w:cs="Arial" w:eastAsia="Arial" w:hAnsi="Arial"/>
                <w:sz w:val="16"/>
                <w:szCs w:val="16"/>
                <w:color w:val="auto"/>
              </w:rPr>
              <w:t>Wyodak Resources Development Corp., a direct, wholly-owned subsidiary of Black Hills Non-regulated</w:t>
            </w:r>
          </w:p>
        </w:tc>
      </w:tr>
      <w:tr>
        <w:trPr>
          <w:trHeight w:val="162"/>
        </w:trPr>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0" w:type="dxa"/>
            <w:vAlign w:val="bottom"/>
          </w:tcPr>
          <w:p>
            <w:pPr>
              <w:ind w:left="860"/>
              <w:spacing w:after="0" w:line="162" w:lineRule="exact"/>
              <w:rPr>
                <w:sz w:val="20"/>
                <w:szCs w:val="20"/>
                <w:color w:val="auto"/>
              </w:rPr>
            </w:pPr>
            <w:r>
              <w:rPr>
                <w:rFonts w:ascii="Arial" w:cs="Arial" w:eastAsia="Arial" w:hAnsi="Arial"/>
                <w:sz w:val="16"/>
                <w:szCs w:val="16"/>
                <w:color w:val="auto"/>
              </w:rPr>
              <w:t>Holdings, providing coal supply primarily to five on-site, mine-mouth generating facilities (doing business as</w:t>
            </w:r>
          </w:p>
        </w:tc>
      </w:tr>
      <w:tr>
        <w:trPr>
          <w:trHeight w:val="198"/>
        </w:trPr>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0" w:type="dxa"/>
            <w:vAlign w:val="bottom"/>
          </w:tcPr>
          <w:p>
            <w:pPr>
              <w:ind w:left="860"/>
              <w:spacing w:after="0"/>
              <w:rPr>
                <w:sz w:val="20"/>
                <w:szCs w:val="20"/>
                <w:color w:val="auto"/>
              </w:rPr>
            </w:pPr>
            <w:r>
              <w:rPr>
                <w:rFonts w:ascii="Arial" w:cs="Arial" w:eastAsia="Arial" w:hAnsi="Arial"/>
                <w:sz w:val="16"/>
                <w:szCs w:val="16"/>
                <w:color w:val="auto"/>
              </w:rPr>
              <w:t>Black Hills Energy).</w:t>
            </w:r>
          </w:p>
        </w:tc>
      </w:tr>
      <w:tr>
        <w:trPr>
          <w:trHeight w:val="180"/>
        </w:trPr>
        <w:tc>
          <w:tcPr>
            <w:tcW w:w="244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Wygen I</w:t>
            </w:r>
          </w:p>
        </w:tc>
        <w:tc>
          <w:tcPr>
            <w:tcW w:w="8800" w:type="dxa"/>
            <w:vAlign w:val="bottom"/>
            <w:shd w:val="clear" w:color="auto" w:fill="CEFFE7"/>
          </w:tcPr>
          <w:p>
            <w:pPr>
              <w:ind w:left="860"/>
              <w:spacing w:after="0" w:line="181" w:lineRule="exact"/>
              <w:rPr>
                <w:sz w:val="20"/>
                <w:szCs w:val="20"/>
                <w:color w:val="auto"/>
              </w:rPr>
            </w:pPr>
            <w:r>
              <w:rPr>
                <w:rFonts w:ascii="Arial" w:cs="Arial" w:eastAsia="Arial" w:hAnsi="Arial"/>
                <w:sz w:val="16"/>
                <w:szCs w:val="16"/>
                <w:color w:val="auto"/>
              </w:rPr>
              <w:t>A mine-mouth, coal-fired generating facility with a total capacity of 90 MW located at our Gillette, Wyoming</w:t>
            </w:r>
          </w:p>
        </w:tc>
      </w:tr>
      <w:tr>
        <w:trPr>
          <w:trHeight w:val="162"/>
        </w:trPr>
        <w:tc>
          <w:tcPr>
            <w:tcW w:w="1360" w:type="dxa"/>
            <w:vAlign w:val="bottom"/>
            <w:shd w:val="clear" w:color="auto" w:fill="CEFFE7"/>
          </w:tcPr>
          <w:p>
            <w:pPr>
              <w:spacing w:after="0"/>
              <w:rPr>
                <w:sz w:val="14"/>
                <w:szCs w:val="14"/>
                <w:color w:val="auto"/>
              </w:rPr>
            </w:pPr>
          </w:p>
        </w:tc>
        <w:tc>
          <w:tcPr>
            <w:tcW w:w="1080" w:type="dxa"/>
            <w:vAlign w:val="bottom"/>
            <w:shd w:val="clear" w:color="auto" w:fill="CEFFE7"/>
          </w:tcPr>
          <w:p>
            <w:pPr>
              <w:spacing w:after="0"/>
              <w:rPr>
                <w:sz w:val="14"/>
                <w:szCs w:val="14"/>
                <w:color w:val="auto"/>
              </w:rPr>
            </w:pPr>
          </w:p>
        </w:tc>
        <w:tc>
          <w:tcPr>
            <w:tcW w:w="8800" w:type="dxa"/>
            <w:vAlign w:val="bottom"/>
            <w:shd w:val="clear" w:color="auto" w:fill="CEFFE7"/>
          </w:tcPr>
          <w:p>
            <w:pPr>
              <w:ind w:left="860"/>
              <w:spacing w:after="0" w:line="162" w:lineRule="exact"/>
              <w:rPr>
                <w:sz w:val="20"/>
                <w:szCs w:val="20"/>
                <w:color w:val="auto"/>
              </w:rPr>
            </w:pPr>
            <w:r>
              <w:rPr>
                <w:rFonts w:ascii="Arial" w:cs="Arial" w:eastAsia="Arial" w:hAnsi="Arial"/>
                <w:sz w:val="16"/>
                <w:szCs w:val="16"/>
                <w:color w:val="auto"/>
              </w:rPr>
              <w:t>energy complex. Black Hills Wyoming owns 76.5% of the facility and Municipal Energy Agency of Nebraska</w:t>
            </w:r>
          </w:p>
        </w:tc>
      </w:tr>
      <w:tr>
        <w:trPr>
          <w:trHeight w:val="201"/>
        </w:trPr>
        <w:tc>
          <w:tcPr>
            <w:tcW w:w="136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c>
          <w:tcPr>
            <w:tcW w:w="8800" w:type="dxa"/>
            <w:vAlign w:val="bottom"/>
            <w:shd w:val="clear" w:color="auto" w:fill="CEFFE7"/>
          </w:tcPr>
          <w:p>
            <w:pPr>
              <w:ind w:left="860"/>
              <w:spacing w:after="0"/>
              <w:rPr>
                <w:sz w:val="20"/>
                <w:szCs w:val="20"/>
                <w:color w:val="auto"/>
              </w:rPr>
            </w:pPr>
            <w:r>
              <w:rPr>
                <w:rFonts w:ascii="Arial" w:cs="Arial" w:eastAsia="Arial" w:hAnsi="Arial"/>
                <w:sz w:val="16"/>
                <w:szCs w:val="16"/>
                <w:color w:val="auto"/>
              </w:rPr>
              <w:t>(MEAN) owns the remaining 23.5%.</w:t>
            </w:r>
          </w:p>
        </w:tc>
      </w:tr>
      <w:tr>
        <w:trPr>
          <w:trHeight w:val="177"/>
        </w:trPr>
        <w:tc>
          <w:tcPr>
            <w:tcW w:w="244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Wygen II</w:t>
            </w:r>
          </w:p>
        </w:tc>
        <w:tc>
          <w:tcPr>
            <w:tcW w:w="8800" w:type="dxa"/>
            <w:vAlign w:val="bottom"/>
          </w:tcPr>
          <w:p>
            <w:pPr>
              <w:ind w:left="860"/>
              <w:spacing w:after="0" w:line="178" w:lineRule="exact"/>
              <w:rPr>
                <w:sz w:val="20"/>
                <w:szCs w:val="20"/>
                <w:color w:val="auto"/>
              </w:rPr>
            </w:pPr>
            <w:r>
              <w:rPr>
                <w:rFonts w:ascii="Arial" w:cs="Arial" w:eastAsia="Arial" w:hAnsi="Arial"/>
                <w:sz w:val="16"/>
                <w:szCs w:val="16"/>
                <w:color w:val="auto"/>
              </w:rPr>
              <w:t>A mine-mouth, coal-fired power plant owned by Wyoming Electric with a total capacity of 95 MW located at our</w:t>
            </w:r>
          </w:p>
        </w:tc>
      </w:tr>
      <w:tr>
        <w:trPr>
          <w:trHeight w:val="198"/>
        </w:trPr>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0" w:type="dxa"/>
            <w:vAlign w:val="bottom"/>
          </w:tcPr>
          <w:p>
            <w:pPr>
              <w:ind w:left="860"/>
              <w:spacing w:after="0"/>
              <w:rPr>
                <w:sz w:val="20"/>
                <w:szCs w:val="20"/>
                <w:color w:val="auto"/>
              </w:rPr>
            </w:pPr>
            <w:r>
              <w:rPr>
                <w:rFonts w:ascii="Arial" w:cs="Arial" w:eastAsia="Arial" w:hAnsi="Arial"/>
                <w:sz w:val="16"/>
                <w:szCs w:val="16"/>
                <w:color w:val="auto"/>
              </w:rPr>
              <w:t>Gillette, Wyoming energy complex.</w:t>
            </w:r>
          </w:p>
        </w:tc>
      </w:tr>
      <w:tr>
        <w:trPr>
          <w:trHeight w:val="180"/>
        </w:trPr>
        <w:tc>
          <w:tcPr>
            <w:tcW w:w="244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Wygen III</w:t>
            </w:r>
          </w:p>
        </w:tc>
        <w:tc>
          <w:tcPr>
            <w:tcW w:w="8800" w:type="dxa"/>
            <w:vAlign w:val="bottom"/>
            <w:shd w:val="clear" w:color="auto" w:fill="CEFFE7"/>
          </w:tcPr>
          <w:p>
            <w:pPr>
              <w:ind w:left="860"/>
              <w:spacing w:after="0" w:line="181" w:lineRule="exact"/>
              <w:rPr>
                <w:sz w:val="20"/>
                <w:szCs w:val="20"/>
                <w:color w:val="auto"/>
              </w:rPr>
            </w:pPr>
            <w:r>
              <w:rPr>
                <w:rFonts w:ascii="Arial" w:cs="Arial" w:eastAsia="Arial" w:hAnsi="Arial"/>
                <w:sz w:val="16"/>
                <w:szCs w:val="16"/>
                <w:color w:val="auto"/>
              </w:rPr>
              <w:t>A mine-mouth, coal-fired power plant operated by South Dakota Electric with a total capacity of 116 MW</w:t>
            </w:r>
          </w:p>
        </w:tc>
      </w:tr>
      <w:tr>
        <w:trPr>
          <w:trHeight w:val="162"/>
        </w:trPr>
        <w:tc>
          <w:tcPr>
            <w:tcW w:w="1360" w:type="dxa"/>
            <w:vAlign w:val="bottom"/>
            <w:shd w:val="clear" w:color="auto" w:fill="CEFFE7"/>
          </w:tcPr>
          <w:p>
            <w:pPr>
              <w:spacing w:after="0"/>
              <w:rPr>
                <w:sz w:val="14"/>
                <w:szCs w:val="14"/>
                <w:color w:val="auto"/>
              </w:rPr>
            </w:pPr>
          </w:p>
        </w:tc>
        <w:tc>
          <w:tcPr>
            <w:tcW w:w="1080" w:type="dxa"/>
            <w:vAlign w:val="bottom"/>
            <w:shd w:val="clear" w:color="auto" w:fill="CEFFE7"/>
          </w:tcPr>
          <w:p>
            <w:pPr>
              <w:spacing w:after="0"/>
              <w:rPr>
                <w:sz w:val="14"/>
                <w:szCs w:val="14"/>
                <w:color w:val="auto"/>
              </w:rPr>
            </w:pPr>
          </w:p>
        </w:tc>
        <w:tc>
          <w:tcPr>
            <w:tcW w:w="8800" w:type="dxa"/>
            <w:vAlign w:val="bottom"/>
            <w:shd w:val="clear" w:color="auto" w:fill="CEFFE7"/>
          </w:tcPr>
          <w:p>
            <w:pPr>
              <w:ind w:left="860"/>
              <w:spacing w:after="0" w:line="162" w:lineRule="exact"/>
              <w:rPr>
                <w:sz w:val="20"/>
                <w:szCs w:val="20"/>
                <w:color w:val="auto"/>
              </w:rPr>
            </w:pPr>
            <w:r>
              <w:rPr>
                <w:rFonts w:ascii="Arial" w:cs="Arial" w:eastAsia="Arial" w:hAnsi="Arial"/>
                <w:sz w:val="16"/>
                <w:szCs w:val="16"/>
                <w:color w:val="auto"/>
              </w:rPr>
              <w:t>located at our Gillette, Wyoming energy complex. South Dakota Electric owns 52% of the power plant, MDU</w:t>
            </w:r>
          </w:p>
        </w:tc>
      </w:tr>
      <w:tr>
        <w:trPr>
          <w:trHeight w:val="201"/>
        </w:trPr>
        <w:tc>
          <w:tcPr>
            <w:tcW w:w="136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c>
          <w:tcPr>
            <w:tcW w:w="8800" w:type="dxa"/>
            <w:vAlign w:val="bottom"/>
            <w:shd w:val="clear" w:color="auto" w:fill="CEFFE7"/>
          </w:tcPr>
          <w:p>
            <w:pPr>
              <w:ind w:left="860"/>
              <w:spacing w:after="0"/>
              <w:rPr>
                <w:sz w:val="20"/>
                <w:szCs w:val="20"/>
                <w:color w:val="auto"/>
              </w:rPr>
            </w:pPr>
            <w:r>
              <w:rPr>
                <w:rFonts w:ascii="Arial" w:cs="Arial" w:eastAsia="Arial" w:hAnsi="Arial"/>
                <w:sz w:val="16"/>
                <w:szCs w:val="16"/>
                <w:color w:val="auto"/>
              </w:rPr>
              <w:t>owns 25% and the City of Gillette owns the remaining 23%.</w:t>
            </w:r>
          </w:p>
        </w:tc>
      </w:tr>
      <w:tr>
        <w:trPr>
          <w:trHeight w:val="177"/>
        </w:trPr>
        <w:tc>
          <w:tcPr>
            <w:tcW w:w="244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Wyodak Plant</w:t>
            </w:r>
          </w:p>
        </w:tc>
        <w:tc>
          <w:tcPr>
            <w:tcW w:w="8800" w:type="dxa"/>
            <w:vAlign w:val="bottom"/>
          </w:tcPr>
          <w:p>
            <w:pPr>
              <w:ind w:left="860"/>
              <w:spacing w:after="0" w:line="178" w:lineRule="exact"/>
              <w:rPr>
                <w:sz w:val="20"/>
                <w:szCs w:val="20"/>
                <w:color w:val="auto"/>
              </w:rPr>
            </w:pPr>
            <w:r>
              <w:rPr>
                <w:rFonts w:ascii="Arial" w:cs="Arial" w:eastAsia="Arial" w:hAnsi="Arial"/>
                <w:sz w:val="16"/>
                <w:szCs w:val="16"/>
                <w:color w:val="auto"/>
              </w:rPr>
              <w:t>The 402.3 MW mine-mouth, coal-fired generating facility located at our Gillette, Wyoming energy complex,</w:t>
            </w:r>
          </w:p>
        </w:tc>
      </w:tr>
      <w:tr>
        <w:trPr>
          <w:trHeight w:val="162"/>
        </w:trPr>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0" w:type="dxa"/>
            <w:vAlign w:val="bottom"/>
          </w:tcPr>
          <w:p>
            <w:pPr>
              <w:ind w:left="860"/>
              <w:spacing w:after="0" w:line="162" w:lineRule="exact"/>
              <w:rPr>
                <w:sz w:val="20"/>
                <w:szCs w:val="20"/>
                <w:color w:val="auto"/>
              </w:rPr>
            </w:pPr>
            <w:r>
              <w:rPr>
                <w:rFonts w:ascii="Arial" w:cs="Arial" w:eastAsia="Arial" w:hAnsi="Arial"/>
                <w:sz w:val="16"/>
                <w:szCs w:val="16"/>
                <w:color w:val="auto"/>
              </w:rPr>
              <w:t>jointly owned by PacifiCorp (80%) and South Dakota Electric (20%). Our WRDC mine supplies all of the fuel</w:t>
            </w:r>
          </w:p>
        </w:tc>
      </w:tr>
      <w:tr>
        <w:trPr>
          <w:trHeight w:val="198"/>
        </w:trPr>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0" w:type="dxa"/>
            <w:vAlign w:val="bottom"/>
          </w:tcPr>
          <w:p>
            <w:pPr>
              <w:ind w:left="860"/>
              <w:spacing w:after="0"/>
              <w:rPr>
                <w:sz w:val="20"/>
                <w:szCs w:val="20"/>
                <w:color w:val="auto"/>
              </w:rPr>
            </w:pPr>
            <w:r>
              <w:rPr>
                <w:rFonts w:ascii="Arial" w:cs="Arial" w:eastAsia="Arial" w:hAnsi="Arial"/>
                <w:sz w:val="16"/>
                <w:szCs w:val="16"/>
                <w:color w:val="auto"/>
              </w:rPr>
              <w:t>for the facility.</w:t>
            </w:r>
          </w:p>
        </w:tc>
      </w:tr>
      <w:tr>
        <w:trPr>
          <w:trHeight w:val="180"/>
        </w:trPr>
        <w:tc>
          <w:tcPr>
            <w:tcW w:w="244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Wyoming Electric</w:t>
            </w:r>
          </w:p>
        </w:tc>
        <w:tc>
          <w:tcPr>
            <w:tcW w:w="8800" w:type="dxa"/>
            <w:vAlign w:val="bottom"/>
            <w:shd w:val="clear" w:color="auto" w:fill="CEFFE7"/>
          </w:tcPr>
          <w:p>
            <w:pPr>
              <w:ind w:left="860"/>
              <w:spacing w:after="0" w:line="181" w:lineRule="exact"/>
              <w:rPr>
                <w:sz w:val="20"/>
                <w:szCs w:val="20"/>
                <w:color w:val="auto"/>
              </w:rPr>
            </w:pPr>
            <w:r>
              <w:rPr>
                <w:rFonts w:ascii="Arial" w:cs="Arial" w:eastAsia="Arial" w:hAnsi="Arial"/>
                <w:sz w:val="16"/>
                <w:szCs w:val="16"/>
                <w:color w:val="auto"/>
              </w:rPr>
              <w:t>Cheyenne Light, Fuel and Power Company, a direct, wholly-owned subsidiary of Black Hills Corporation,</w:t>
            </w:r>
          </w:p>
        </w:tc>
      </w:tr>
      <w:tr>
        <w:trPr>
          <w:trHeight w:val="162"/>
        </w:trPr>
        <w:tc>
          <w:tcPr>
            <w:tcW w:w="1360" w:type="dxa"/>
            <w:vAlign w:val="bottom"/>
            <w:shd w:val="clear" w:color="auto" w:fill="CEFFE7"/>
          </w:tcPr>
          <w:p>
            <w:pPr>
              <w:spacing w:after="0"/>
              <w:rPr>
                <w:sz w:val="14"/>
                <w:szCs w:val="14"/>
                <w:color w:val="auto"/>
              </w:rPr>
            </w:pPr>
          </w:p>
        </w:tc>
        <w:tc>
          <w:tcPr>
            <w:tcW w:w="1080" w:type="dxa"/>
            <w:vAlign w:val="bottom"/>
            <w:shd w:val="clear" w:color="auto" w:fill="CEFFE7"/>
          </w:tcPr>
          <w:p>
            <w:pPr>
              <w:spacing w:after="0"/>
              <w:rPr>
                <w:sz w:val="14"/>
                <w:szCs w:val="14"/>
                <w:color w:val="auto"/>
              </w:rPr>
            </w:pPr>
          </w:p>
        </w:tc>
        <w:tc>
          <w:tcPr>
            <w:tcW w:w="8800" w:type="dxa"/>
            <w:vAlign w:val="bottom"/>
            <w:shd w:val="clear" w:color="auto" w:fill="CEFFE7"/>
          </w:tcPr>
          <w:p>
            <w:pPr>
              <w:ind w:left="860"/>
              <w:spacing w:after="0" w:line="162" w:lineRule="exact"/>
              <w:rPr>
                <w:sz w:val="20"/>
                <w:szCs w:val="20"/>
                <w:color w:val="auto"/>
              </w:rPr>
            </w:pPr>
            <w:r>
              <w:rPr>
                <w:rFonts w:ascii="Arial" w:cs="Arial" w:eastAsia="Arial" w:hAnsi="Arial"/>
                <w:sz w:val="16"/>
                <w:szCs w:val="16"/>
                <w:color w:val="auto"/>
              </w:rPr>
              <w:t>providing electric service to customers in the Cheyenne, Wyoming area (doing business as Black Hills</w:t>
            </w:r>
          </w:p>
        </w:tc>
      </w:tr>
      <w:tr>
        <w:trPr>
          <w:trHeight w:val="201"/>
        </w:trPr>
        <w:tc>
          <w:tcPr>
            <w:tcW w:w="136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c>
          <w:tcPr>
            <w:tcW w:w="8800" w:type="dxa"/>
            <w:vAlign w:val="bottom"/>
            <w:shd w:val="clear" w:color="auto" w:fill="CEFFE7"/>
          </w:tcPr>
          <w:p>
            <w:pPr>
              <w:ind w:left="860"/>
              <w:spacing w:after="0"/>
              <w:rPr>
                <w:sz w:val="20"/>
                <w:szCs w:val="20"/>
                <w:color w:val="auto"/>
              </w:rPr>
            </w:pPr>
            <w:r>
              <w:rPr>
                <w:rFonts w:ascii="Arial" w:cs="Arial" w:eastAsia="Arial" w:hAnsi="Arial"/>
                <w:sz w:val="16"/>
                <w:szCs w:val="16"/>
                <w:color w:val="auto"/>
              </w:rPr>
              <w:t>Energy).</w:t>
            </w:r>
          </w:p>
        </w:tc>
      </w:tr>
      <w:tr>
        <w:trPr>
          <w:trHeight w:val="177"/>
        </w:trPr>
        <w:tc>
          <w:tcPr>
            <w:tcW w:w="244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Wyoming Gas</w:t>
            </w:r>
          </w:p>
        </w:tc>
        <w:tc>
          <w:tcPr>
            <w:tcW w:w="8800" w:type="dxa"/>
            <w:vAlign w:val="bottom"/>
          </w:tcPr>
          <w:p>
            <w:pPr>
              <w:ind w:left="860"/>
              <w:spacing w:after="0" w:line="178" w:lineRule="exact"/>
              <w:rPr>
                <w:sz w:val="20"/>
                <w:szCs w:val="20"/>
                <w:color w:val="auto"/>
              </w:rPr>
            </w:pPr>
            <w:r>
              <w:rPr>
                <w:rFonts w:ascii="Arial" w:cs="Arial" w:eastAsia="Arial" w:hAnsi="Arial"/>
                <w:sz w:val="16"/>
                <w:szCs w:val="16"/>
                <w:color w:val="auto"/>
              </w:rPr>
              <w:t>Black Hills Wyoming Gas, LLC, an indirect, wholly-owned subsidiary of Black Hills Utility Holdings, providing</w:t>
            </w:r>
          </w:p>
        </w:tc>
      </w:tr>
      <w:tr>
        <w:trPr>
          <w:trHeight w:val="195"/>
        </w:trPr>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0" w:type="dxa"/>
            <w:vAlign w:val="bottom"/>
          </w:tcPr>
          <w:p>
            <w:pPr>
              <w:ind w:left="860"/>
              <w:spacing w:after="0"/>
              <w:rPr>
                <w:sz w:val="20"/>
                <w:szCs w:val="20"/>
                <w:color w:val="auto"/>
              </w:rPr>
            </w:pPr>
            <w:r>
              <w:rPr>
                <w:rFonts w:ascii="Arial" w:cs="Arial" w:eastAsia="Arial" w:hAnsi="Arial"/>
                <w:sz w:val="16"/>
                <w:szCs w:val="16"/>
                <w:color w:val="auto"/>
              </w:rPr>
              <w:t>natural gas services to customers in Wyoming (doing business as Black Hills Energy).</w:t>
            </w:r>
          </w:p>
        </w:tc>
      </w:tr>
      <w:tr>
        <w:trPr>
          <w:trHeight w:val="743"/>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0" w:type="dxa"/>
            <w:vAlign w:val="bottom"/>
          </w:tcPr>
          <w:p>
            <w:pPr>
              <w:ind w:left="3140"/>
              <w:spacing w:after="0"/>
              <w:rPr>
                <w:sz w:val="20"/>
                <w:szCs w:val="20"/>
                <w:color w:val="auto"/>
              </w:rPr>
            </w:pPr>
            <w:r>
              <w:rPr>
                <w:rFonts w:ascii="Arial" w:cs="Arial" w:eastAsia="Arial" w:hAnsi="Arial"/>
                <w:sz w:val="16"/>
                <w:szCs w:val="16"/>
                <w:color w:val="auto"/>
              </w:rPr>
              <w:t>8</w:t>
            </w:r>
          </w:p>
        </w:tc>
      </w:tr>
      <w:tr>
        <w:trPr>
          <w:trHeight w:val="108"/>
        </w:trPr>
        <w:tc>
          <w:tcPr>
            <w:tcW w:w="1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WEBSITE ACCESS TO REPORTS</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reports we file with the SEC are available free of charge at our website www.blackhillscorp.com as soon as reasonably practicable after they are filed. In addition, the charters of our Audit, Governance and Compensation Committees are located on our website along with our Code of Business Conduct, Code of Ethics for our Chief Executive Officer and Senior Finance Officers, Corporate Governance Guidelines of the Board of Directors and Policy for Director Independence. The information contained on our website is not part of this document.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FORWARD-LOOKING INFORMATION</w:t>
      </w:r>
    </w:p>
    <w:p>
      <w:pPr>
        <w:spacing w:after="0" w:line="268" w:lineRule="exact"/>
        <w:rPr>
          <w:sz w:val="20"/>
          <w:szCs w:val="20"/>
          <w:color w:val="auto"/>
        </w:rPr>
      </w:pPr>
    </w:p>
    <w:p>
      <w:pPr>
        <w:spacing w:after="0" w:line="249" w:lineRule="auto"/>
        <w:rPr>
          <w:rFonts w:ascii="Arial" w:cs="Arial" w:eastAsia="Arial" w:hAnsi="Arial"/>
          <w:sz w:val="16"/>
          <w:szCs w:val="16"/>
          <w:color w:val="0000FF"/>
        </w:rPr>
      </w:pPr>
      <w:r>
        <w:rPr>
          <w:rFonts w:ascii="Arial" w:cs="Arial" w:eastAsia="Arial" w:hAnsi="Arial"/>
          <w:sz w:val="16"/>
          <w:szCs w:val="16"/>
          <w:color w:val="auto"/>
        </w:rPr>
        <w:t>This Form 10-K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w:t>
      </w:r>
      <w:hyperlink w:anchor="page30">
        <w:r>
          <w:rPr>
            <w:rFonts w:ascii="Arial" w:cs="Arial" w:eastAsia="Arial" w:hAnsi="Arial"/>
            <w:sz w:val="16"/>
            <w:szCs w:val="16"/>
            <w:color w:val="auto"/>
          </w:rPr>
          <w:t xml:space="preserve">looking statements of this nature, including statements contained within </w:t>
        </w:r>
        <w:r>
          <w:rPr>
            <w:rFonts w:ascii="Arial" w:cs="Arial" w:eastAsia="Arial" w:hAnsi="Arial"/>
            <w:sz w:val="16"/>
            <w:szCs w:val="16"/>
            <w:u w:val="single" w:color="auto"/>
            <w:color w:val="0000FF"/>
          </w:rPr>
          <w:t>Item 7 - Management’s Discussion &amp; Analysis of Financial Condition and Results of</w:t>
        </w:r>
      </w:hyperlink>
      <w:r>
        <w:rPr>
          <w:rFonts w:ascii="Arial" w:cs="Arial" w:eastAsia="Arial" w:hAnsi="Arial"/>
          <w:sz w:val="16"/>
          <w:szCs w:val="16"/>
          <w:color w:val="auto"/>
        </w:rPr>
        <w:t xml:space="preserve"> </w:t>
      </w:r>
      <w:hyperlink w:anchor="page30">
        <w:r>
          <w:rPr>
            <w:rFonts w:ascii="Arial" w:cs="Arial" w:eastAsia="Arial" w:hAnsi="Arial"/>
            <w:sz w:val="16"/>
            <w:szCs w:val="16"/>
            <w:u w:val="single" w:color="auto"/>
            <w:color w:val="0000FF"/>
          </w:rPr>
          <w:t>Operations</w:t>
        </w:r>
        <w:r>
          <w:rPr>
            <w:rFonts w:ascii="Arial" w:cs="Arial" w:eastAsia="Arial" w:hAnsi="Arial"/>
            <w:sz w:val="16"/>
            <w:szCs w:val="16"/>
            <w:color w:val="000000"/>
          </w:rPr>
          <w:t>.</w:t>
        </w:r>
      </w:hyperlink>
    </w:p>
    <w:p>
      <w:pPr>
        <w:spacing w:after="0" w:line="232"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229" w:lineRule="exact"/>
        <w:rPr>
          <w:sz w:val="20"/>
          <w:szCs w:val="20"/>
          <w:color w:val="auto"/>
        </w:rPr>
      </w:pPr>
    </w:p>
    <w:p>
      <w:pPr>
        <w:spacing w:after="0" w:line="248" w:lineRule="auto"/>
        <w:rPr>
          <w:rFonts w:ascii="Arial" w:cs="Arial" w:eastAsia="Arial" w:hAnsi="Arial"/>
          <w:sz w:val="16"/>
          <w:szCs w:val="16"/>
          <w:color w:val="auto"/>
        </w:rPr>
      </w:pPr>
      <w:r>
        <w:rPr>
          <w:rFonts w:ascii="Arial" w:cs="Arial" w:eastAsia="Arial" w:hAnsi="Arial"/>
          <w:sz w:val="16"/>
          <w:szCs w:val="16"/>
          <w:color w:val="auto"/>
        </w:rPr>
        <w:t xml:space="preserve">Any forward-looking statement contained in this document speaks only as of the date on which the statement is made and the Company undertakes no obligation to update any forward-looking statement or statements to reflect events or circumstances that occur after the date on which the statement is made or to reflect the occurrence of unanticipated events. New factors emerge from time to time, such as the COVID-19 pandemic or Winter Storm Uri,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in this Annual Report on Form 10-K, including statements contained within </w:t>
      </w:r>
      <w:hyperlink w:anchor="page20">
        <w:r>
          <w:rPr>
            <w:rFonts w:ascii="Arial" w:cs="Arial" w:eastAsia="Arial" w:hAnsi="Arial"/>
            <w:sz w:val="16"/>
            <w:szCs w:val="16"/>
            <w:u w:val="single" w:color="auto"/>
            <w:color w:val="0000FF"/>
          </w:rPr>
          <w:t>Item 1A - Risk Factors</w:t>
        </w:r>
      </w:hyperlink>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History and Organization</w:t>
      </w:r>
    </w:p>
    <w:p>
      <w:pPr>
        <w:spacing w:after="0" w:line="26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Black Hills Corporation, a South Dakota corporation (together with its subsidiaries, referred to herein as the “Company,” “we,” “us” or “our”), is a customer-focused, growth-oriented utility company headquartered in Rapid City, South Dakota (incorporated in South Dakota in 1941).</w:t>
      </w:r>
    </w:p>
    <w:p>
      <w:pPr>
        <w:spacing w:after="0" w:line="222" w:lineRule="exact"/>
        <w:rPr>
          <w:sz w:val="20"/>
          <w:szCs w:val="20"/>
          <w:color w:val="auto"/>
        </w:rPr>
      </w:pPr>
    </w:p>
    <w:p>
      <w:pPr>
        <w:ind w:right="260"/>
        <w:spacing w:after="0" w:line="250" w:lineRule="auto"/>
        <w:rPr>
          <w:rFonts w:ascii="Arial" w:cs="Arial" w:eastAsia="Arial" w:hAnsi="Arial"/>
          <w:sz w:val="16"/>
          <w:szCs w:val="16"/>
          <w:color w:val="auto"/>
        </w:rPr>
      </w:pPr>
      <w:r>
        <w:rPr>
          <w:rFonts w:ascii="Arial" w:cs="Arial" w:eastAsia="Arial" w:hAnsi="Arial"/>
          <w:sz w:val="16"/>
          <w:szCs w:val="16"/>
          <w:color w:val="auto"/>
        </w:rPr>
        <w:t xml:space="preserve">We operate our business in the United States, reporting our operating results through our Electric Utilities and Gas Utilities segments. Certain unallocated corporate expenses that support our operating segments are presented as Corporate and Other. In the fourth quarter of 2021, we integrated our power generation and mining businesses within the Electric Utilities segment. The alignment is consistent with the current way our CODM evaluates the performance of the business and makes decisions related to the allocation of resources. Comparative periods presented reflect this change. See further segment information in </w:t>
      </w:r>
      <w:hyperlink w:anchor="page111">
        <w:r>
          <w:rPr>
            <w:rFonts w:ascii="Arial" w:cs="Arial" w:eastAsia="Arial" w:hAnsi="Arial"/>
            <w:sz w:val="16"/>
            <w:szCs w:val="16"/>
            <w:u w:val="single" w:color="auto"/>
            <w:color w:val="0000FF"/>
          </w:rPr>
          <w:t>Note 16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3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Our Electric Utilities segment generates, transmits and distributes electricity to approximately 218,000 electric utility customers in Colorado, Montana, South Dakota and Wyoming. We also own and operate non-regulated power generation and mining assets that are vertically integrated into our Electric Utilities. Our Electric Utilities own 1,481.5 MW of generation and 8,899 miles of electric transmission and distribution lines.</w:t>
      </w:r>
    </w:p>
    <w:p>
      <w:pPr>
        <w:spacing w:after="0" w:line="22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Gas Utilities segment serves approximately 1,094,000 natural gas utility customers in Arkansas, Colorado, Iowa, Kansas, Nebraska, and Wyoming. Our Gas Utilities own and operate 4,732 miles of intrastate gas transmission pipelines and 41,644 miles of gas distribution mains and service lines, six natural gas storage sites, more than 50,000 horsepower of compression and over 515 miles of gathering lines.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Electric Utilities</w:t>
      </w:r>
    </w:p>
    <w:p>
      <w:pPr>
        <w:spacing w:after="0" w:line="26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conduct electric utility operations through our Colorado, South Dakota and Wyoming subsidiaries. Our electric generating facilities and power purchase agreements provide for the supply of electricity principally to our retail customers. Additionally, we sell excess power to other utilities and marketing companies, including our affiliates. We also provide non-regulated services to our retail customers under the Service Guard Comfort Plan and Tech Services.</w:t>
      </w:r>
    </w:p>
    <w:p>
      <w:pPr>
        <w:spacing w:after="0" w:line="22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Additionally, we own and operate non-regulated power generation and mining assets that are vertically integrated into and primarily support our Electric Utilities. Nearly all of these operations are located at our electric generating complexes and are physically integrated into our Electric Utilities’ operations.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0" w:type="dxa"/>
            <w:vAlign w:val="bottom"/>
          </w:tcPr>
          <w:p>
            <w:pPr>
              <w:jc w:val="center"/>
              <w:ind w:right="179"/>
              <w:spacing w:after="0"/>
              <w:rPr>
                <w:sz w:val="20"/>
                <w:szCs w:val="20"/>
                <w:color w:val="auto"/>
              </w:rPr>
            </w:pPr>
            <w:r>
              <w:rPr>
                <w:rFonts w:ascii="Arial" w:cs="Arial" w:eastAsia="Arial" w:hAnsi="Arial"/>
                <w:sz w:val="16"/>
                <w:szCs w:val="16"/>
                <w:color w:val="auto"/>
              </w:rPr>
              <w:t>As of December 31,</w:t>
            </w: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Retail Customers</w:t>
            </w:r>
          </w:p>
        </w:tc>
        <w:tc>
          <w:tcPr>
            <w:tcW w:w="364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color w:val="auto"/>
              </w:rPr>
              <w:t>2021</w:t>
            </w:r>
          </w:p>
        </w:tc>
        <w:tc>
          <w:tcPr>
            <w:tcW w:w="18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2020</w:t>
            </w: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480" w:type="dxa"/>
            <w:vAlign w:val="bottom"/>
            <w:shd w:val="clear" w:color="auto" w:fill="CEFFE7"/>
          </w:tcPr>
          <w:p>
            <w:pPr>
              <w:spacing w:after="0"/>
              <w:rPr>
                <w:sz w:val="20"/>
                <w:szCs w:val="20"/>
                <w:color w:val="auto"/>
              </w:rPr>
            </w:pPr>
            <w:r>
              <w:rPr>
                <w:rFonts w:ascii="Arial" w:cs="Arial" w:eastAsia="Arial" w:hAnsi="Arial"/>
                <w:sz w:val="16"/>
                <w:szCs w:val="16"/>
                <w:color w:val="auto"/>
              </w:rPr>
              <w:t>Residential</w:t>
            </w:r>
          </w:p>
        </w:tc>
        <w:tc>
          <w:tcPr>
            <w:tcW w:w="364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186,852</w:t>
            </w:r>
          </w:p>
        </w:tc>
        <w:tc>
          <w:tcPr>
            <w:tcW w:w="180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184,872</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183,232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Commercial</w:t>
            </w:r>
          </w:p>
        </w:tc>
        <w:tc>
          <w:tcPr>
            <w:tcW w:w="3640" w:type="dxa"/>
            <w:vAlign w:val="bottom"/>
            <w:gridSpan w:val="2"/>
          </w:tcPr>
          <w:p>
            <w:pPr>
              <w:jc w:val="right"/>
              <w:spacing w:after="0"/>
              <w:rPr>
                <w:sz w:val="20"/>
                <w:szCs w:val="20"/>
                <w:color w:val="auto"/>
              </w:rPr>
            </w:pPr>
            <w:r>
              <w:rPr>
                <w:rFonts w:ascii="Arial" w:cs="Arial" w:eastAsia="Arial" w:hAnsi="Arial"/>
                <w:sz w:val="16"/>
                <w:szCs w:val="16"/>
                <w:color w:val="auto"/>
              </w:rPr>
              <w:t>30,326</w:t>
            </w:r>
          </w:p>
        </w:tc>
        <w:tc>
          <w:tcPr>
            <w:tcW w:w="1800" w:type="dxa"/>
            <w:vAlign w:val="bottom"/>
          </w:tcPr>
          <w:p>
            <w:pPr>
              <w:jc w:val="right"/>
              <w:ind w:right="259"/>
              <w:spacing w:after="0"/>
              <w:rPr>
                <w:sz w:val="20"/>
                <w:szCs w:val="20"/>
                <w:color w:val="auto"/>
              </w:rPr>
            </w:pPr>
            <w:r>
              <w:rPr>
                <w:rFonts w:ascii="Arial" w:cs="Arial" w:eastAsia="Arial" w:hAnsi="Arial"/>
                <w:sz w:val="16"/>
                <w:szCs w:val="16"/>
                <w:color w:val="auto"/>
              </w:rPr>
              <w:t>30,225</w:t>
            </w:r>
          </w:p>
        </w:tc>
        <w:tc>
          <w:tcPr>
            <w:tcW w:w="1260" w:type="dxa"/>
            <w:vAlign w:val="bottom"/>
          </w:tcPr>
          <w:p>
            <w:pPr>
              <w:jc w:val="right"/>
              <w:spacing w:after="0"/>
              <w:rPr>
                <w:sz w:val="20"/>
                <w:szCs w:val="20"/>
                <w:color w:val="auto"/>
              </w:rPr>
            </w:pPr>
            <w:r>
              <w:rPr>
                <w:rFonts w:ascii="Arial" w:cs="Arial" w:eastAsia="Arial" w:hAnsi="Arial"/>
                <w:sz w:val="16"/>
                <w:szCs w:val="16"/>
                <w:color w:val="auto"/>
              </w:rPr>
              <w:t>29,921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480" w:type="dxa"/>
            <w:vAlign w:val="bottom"/>
            <w:shd w:val="clear" w:color="auto" w:fill="CEFFE7"/>
          </w:tcPr>
          <w:p>
            <w:pPr>
              <w:spacing w:after="0"/>
              <w:rPr>
                <w:sz w:val="20"/>
                <w:szCs w:val="20"/>
                <w:color w:val="auto"/>
              </w:rPr>
            </w:pPr>
            <w:r>
              <w:rPr>
                <w:rFonts w:ascii="Arial" w:cs="Arial" w:eastAsia="Arial" w:hAnsi="Arial"/>
                <w:sz w:val="16"/>
                <w:szCs w:val="16"/>
                <w:color w:val="auto"/>
              </w:rPr>
              <w:t>Industrial</w:t>
            </w:r>
          </w:p>
        </w:tc>
        <w:tc>
          <w:tcPr>
            <w:tcW w:w="364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81</w:t>
            </w:r>
          </w:p>
        </w:tc>
        <w:tc>
          <w:tcPr>
            <w:tcW w:w="180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83</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480" w:type="dxa"/>
            <w:vAlign w:val="bottom"/>
            <w:tcBorders>
              <w:bottom w:val="single" w:sz="8" w:color="CEFFE7"/>
            </w:tcBorders>
          </w:tcPr>
          <w:p>
            <w:pPr>
              <w:spacing w:after="0"/>
              <w:rPr>
                <w:sz w:val="20"/>
                <w:szCs w:val="20"/>
                <w:color w:val="auto"/>
              </w:rPr>
            </w:pPr>
            <w:r>
              <w:rPr>
                <w:rFonts w:ascii="Arial" w:cs="Arial" w:eastAsia="Arial" w:hAnsi="Arial"/>
                <w:sz w:val="16"/>
                <w:szCs w:val="16"/>
                <w:color w:val="auto"/>
              </w:rPr>
              <w:t>Other</w:t>
            </w:r>
          </w:p>
        </w:tc>
        <w:tc>
          <w:tcPr>
            <w:tcW w:w="2120" w:type="dxa"/>
            <w:vAlign w:val="bottom"/>
            <w:tcBorders>
              <w:bottom w:val="single" w:sz="8" w:color="CEFFE7"/>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1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1,017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4480" w:type="dxa"/>
            <w:vAlign w:val="bottom"/>
            <w:shd w:val="clear" w:color="auto" w:fill="CEFFE7"/>
          </w:tcPr>
          <w:p>
            <w:pPr>
              <w:ind w:left="200"/>
              <w:spacing w:after="0"/>
              <w:rPr>
                <w:sz w:val="20"/>
                <w:szCs w:val="20"/>
                <w:color w:val="auto"/>
              </w:rPr>
            </w:pPr>
            <w:r>
              <w:rPr>
                <w:rFonts w:ascii="Arial" w:cs="Arial" w:eastAsia="Arial" w:hAnsi="Arial"/>
                <w:sz w:val="16"/>
                <w:szCs w:val="16"/>
                <w:color w:val="auto"/>
              </w:rPr>
              <w:t>Total Electric Retail Customers at End of Year</w:t>
            </w:r>
          </w:p>
        </w:tc>
        <w:tc>
          <w:tcPr>
            <w:tcW w:w="364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218,269</w:t>
            </w:r>
          </w:p>
        </w:tc>
        <w:tc>
          <w:tcPr>
            <w:tcW w:w="180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216,197</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214,260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80" w:type="dxa"/>
            <w:vAlign w:val="bottom"/>
            <w:tcBorders>
              <w:top w:val="single" w:sz="8" w:color="CEFFE7"/>
            </w:tcBorders>
          </w:tcPr>
          <w:p>
            <w:pPr>
              <w:spacing w:after="0" w:line="20" w:lineRule="exact"/>
              <w:rPr>
                <w:sz w:val="1"/>
                <w:szCs w:val="1"/>
                <w:color w:val="auto"/>
              </w:rPr>
            </w:pPr>
          </w:p>
        </w:tc>
        <w:tc>
          <w:tcPr>
            <w:tcW w:w="2120" w:type="dxa"/>
            <w:vAlign w:val="bottom"/>
            <w:tcBorders>
              <w:top w:val="single" w:sz="8" w:color="CEFFE7"/>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0" w:type="dxa"/>
            <w:vAlign w:val="bottom"/>
          </w:tcPr>
          <w:p>
            <w:pPr>
              <w:jc w:val="center"/>
              <w:ind w:right="179"/>
              <w:spacing w:after="0"/>
              <w:rPr>
                <w:sz w:val="20"/>
                <w:szCs w:val="20"/>
                <w:color w:val="auto"/>
              </w:rPr>
            </w:pPr>
            <w:r>
              <w:rPr>
                <w:rFonts w:ascii="Arial" w:cs="Arial" w:eastAsia="Arial" w:hAnsi="Arial"/>
                <w:sz w:val="16"/>
                <w:szCs w:val="16"/>
                <w:color w:val="auto"/>
              </w:rPr>
              <w:t>As of December 31,</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Retail Customers</w:t>
            </w:r>
          </w:p>
        </w:tc>
        <w:tc>
          <w:tcPr>
            <w:tcW w:w="364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color w:val="auto"/>
              </w:rPr>
              <w:t>2021</w:t>
            </w:r>
          </w:p>
        </w:tc>
        <w:tc>
          <w:tcPr>
            <w:tcW w:w="18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2020</w:t>
            </w: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480" w:type="dxa"/>
            <w:vAlign w:val="bottom"/>
            <w:shd w:val="clear" w:color="auto" w:fill="CEFFE7"/>
          </w:tcPr>
          <w:p>
            <w:pPr>
              <w:spacing w:after="0"/>
              <w:rPr>
                <w:sz w:val="20"/>
                <w:szCs w:val="20"/>
                <w:color w:val="auto"/>
              </w:rPr>
            </w:pPr>
            <w:r>
              <w:rPr>
                <w:rFonts w:ascii="Arial" w:cs="Arial" w:eastAsia="Arial" w:hAnsi="Arial"/>
                <w:sz w:val="16"/>
                <w:szCs w:val="16"/>
                <w:color w:val="auto"/>
              </w:rPr>
              <w:t>Colorado Electric</w:t>
            </w:r>
          </w:p>
        </w:tc>
        <w:tc>
          <w:tcPr>
            <w:tcW w:w="364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99,709</w:t>
            </w:r>
          </w:p>
        </w:tc>
        <w:tc>
          <w:tcPr>
            <w:tcW w:w="180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98,735</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97,890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South Dakota Electric</w:t>
            </w:r>
          </w:p>
        </w:tc>
        <w:tc>
          <w:tcPr>
            <w:tcW w:w="3640" w:type="dxa"/>
            <w:vAlign w:val="bottom"/>
            <w:gridSpan w:val="2"/>
          </w:tcPr>
          <w:p>
            <w:pPr>
              <w:jc w:val="right"/>
              <w:spacing w:after="0"/>
              <w:rPr>
                <w:sz w:val="20"/>
                <w:szCs w:val="20"/>
                <w:color w:val="auto"/>
              </w:rPr>
            </w:pPr>
            <w:r>
              <w:rPr>
                <w:rFonts w:ascii="Arial" w:cs="Arial" w:eastAsia="Arial" w:hAnsi="Arial"/>
                <w:sz w:val="16"/>
                <w:szCs w:val="16"/>
                <w:color w:val="auto"/>
              </w:rPr>
              <w:t>74,509</w:t>
            </w:r>
          </w:p>
        </w:tc>
        <w:tc>
          <w:tcPr>
            <w:tcW w:w="1800" w:type="dxa"/>
            <w:vAlign w:val="bottom"/>
          </w:tcPr>
          <w:p>
            <w:pPr>
              <w:jc w:val="right"/>
              <w:ind w:right="259"/>
              <w:spacing w:after="0"/>
              <w:rPr>
                <w:sz w:val="20"/>
                <w:szCs w:val="20"/>
                <w:color w:val="auto"/>
              </w:rPr>
            </w:pPr>
            <w:r>
              <w:rPr>
                <w:rFonts w:ascii="Arial" w:cs="Arial" w:eastAsia="Arial" w:hAnsi="Arial"/>
                <w:sz w:val="16"/>
                <w:szCs w:val="16"/>
                <w:color w:val="auto"/>
              </w:rPr>
              <w:t>73,700</w:t>
            </w:r>
          </w:p>
        </w:tc>
        <w:tc>
          <w:tcPr>
            <w:tcW w:w="1260" w:type="dxa"/>
            <w:vAlign w:val="bottom"/>
          </w:tcPr>
          <w:p>
            <w:pPr>
              <w:jc w:val="right"/>
              <w:spacing w:after="0"/>
              <w:rPr>
                <w:sz w:val="20"/>
                <w:szCs w:val="20"/>
                <w:color w:val="auto"/>
              </w:rPr>
            </w:pPr>
            <w:r>
              <w:rPr>
                <w:rFonts w:ascii="Arial" w:cs="Arial" w:eastAsia="Arial" w:hAnsi="Arial"/>
                <w:sz w:val="16"/>
                <w:szCs w:val="16"/>
                <w:color w:val="auto"/>
              </w:rPr>
              <w:t>73,052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480" w:type="dxa"/>
            <w:vAlign w:val="bottom"/>
            <w:shd w:val="clear" w:color="auto" w:fill="CEFFE7"/>
          </w:tcPr>
          <w:p>
            <w:pPr>
              <w:spacing w:after="0"/>
              <w:rPr>
                <w:sz w:val="20"/>
                <w:szCs w:val="20"/>
                <w:color w:val="auto"/>
              </w:rPr>
            </w:pPr>
            <w:r>
              <w:rPr>
                <w:rFonts w:ascii="Arial" w:cs="Arial" w:eastAsia="Arial" w:hAnsi="Arial"/>
                <w:sz w:val="16"/>
                <w:szCs w:val="16"/>
                <w:color w:val="auto"/>
              </w:rPr>
              <w:t>Wyoming Electric</w:t>
            </w:r>
          </w:p>
        </w:tc>
        <w:tc>
          <w:tcPr>
            <w:tcW w:w="2120" w:type="dxa"/>
            <w:vAlign w:val="bottom"/>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44,051</w:t>
            </w:r>
          </w:p>
        </w:tc>
        <w:tc>
          <w:tcPr>
            <w:tcW w:w="180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43,762</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6"/>
                <w:szCs w:val="16"/>
                <w:color w:val="auto"/>
              </w:rPr>
              <w:t>Total Electric Retail Customers at End of Year</w:t>
            </w:r>
          </w:p>
        </w:tc>
        <w:tc>
          <w:tcPr>
            <w:tcW w:w="3640" w:type="dxa"/>
            <w:vAlign w:val="bottom"/>
            <w:gridSpan w:val="2"/>
          </w:tcPr>
          <w:p>
            <w:pPr>
              <w:jc w:val="right"/>
              <w:spacing w:after="0"/>
              <w:rPr>
                <w:sz w:val="20"/>
                <w:szCs w:val="20"/>
                <w:color w:val="auto"/>
              </w:rPr>
            </w:pPr>
            <w:r>
              <w:rPr>
                <w:rFonts w:ascii="Arial" w:cs="Arial" w:eastAsia="Arial" w:hAnsi="Arial"/>
                <w:sz w:val="16"/>
                <w:szCs w:val="16"/>
                <w:color w:val="auto"/>
              </w:rPr>
              <w:t>218,269</w:t>
            </w:r>
          </w:p>
        </w:tc>
        <w:tc>
          <w:tcPr>
            <w:tcW w:w="1800" w:type="dxa"/>
            <w:vAlign w:val="bottom"/>
          </w:tcPr>
          <w:p>
            <w:pPr>
              <w:jc w:val="right"/>
              <w:ind w:right="259"/>
              <w:spacing w:after="0"/>
              <w:rPr>
                <w:sz w:val="20"/>
                <w:szCs w:val="20"/>
                <w:color w:val="auto"/>
              </w:rPr>
            </w:pPr>
            <w:r>
              <w:rPr>
                <w:rFonts w:ascii="Arial" w:cs="Arial" w:eastAsia="Arial" w:hAnsi="Arial"/>
                <w:sz w:val="16"/>
                <w:szCs w:val="16"/>
                <w:color w:val="auto"/>
              </w:rPr>
              <w:t>216,197</w:t>
            </w:r>
          </w:p>
        </w:tc>
        <w:tc>
          <w:tcPr>
            <w:tcW w:w="1260" w:type="dxa"/>
            <w:vAlign w:val="bottom"/>
          </w:tcPr>
          <w:p>
            <w:pPr>
              <w:jc w:val="right"/>
              <w:spacing w:after="0"/>
              <w:rPr>
                <w:sz w:val="20"/>
                <w:szCs w:val="20"/>
                <w:color w:val="auto"/>
              </w:rPr>
            </w:pPr>
            <w:r>
              <w:rPr>
                <w:rFonts w:ascii="Arial" w:cs="Arial" w:eastAsia="Arial" w:hAnsi="Arial"/>
                <w:sz w:val="16"/>
                <w:szCs w:val="16"/>
                <w:color w:val="auto"/>
              </w:rPr>
              <w:t>214,260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120" w:type="dxa"/>
            <w:vAlign w:val="bottom"/>
            <w:vMerge w:val="restart"/>
          </w:tcPr>
          <w:p>
            <w:pPr>
              <w:jc w:val="right"/>
              <w:ind w:right="839"/>
              <w:spacing w:after="0"/>
              <w:rPr>
                <w:sz w:val="20"/>
                <w:szCs w:val="20"/>
                <w:color w:val="auto"/>
              </w:rPr>
            </w:pPr>
            <w:r>
              <w:rPr>
                <w:rFonts w:ascii="Arial" w:cs="Arial" w:eastAsia="Arial" w:hAnsi="Arial"/>
                <w:sz w:val="16"/>
                <w:szCs w:val="16"/>
                <w:color w:val="auto"/>
              </w:rPr>
              <w:t>10</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1"/>
        </w:trPr>
        <w:tc>
          <w:tcPr>
            <w:tcW w:w="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Borders>
              <w:bottom w:val="single" w:sz="8" w:color="9A9A9A"/>
            </w:tcBorders>
          </w:tcPr>
          <w:p>
            <w:pPr>
              <w:spacing w:after="0"/>
              <w:rPr>
                <w:sz w:val="9"/>
                <w:szCs w:val="9"/>
                <w:color w:val="auto"/>
              </w:rPr>
            </w:pPr>
          </w:p>
        </w:tc>
        <w:tc>
          <w:tcPr>
            <w:tcW w:w="448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Capacity and Demand. </w:t>
      </w:r>
      <w:r>
        <w:rPr>
          <w:rFonts w:ascii="Arial" w:cs="Arial" w:eastAsia="Arial" w:hAnsi="Arial"/>
          <w:sz w:val="16"/>
          <w:szCs w:val="16"/>
          <w:color w:val="auto"/>
        </w:rPr>
        <w:t>System Peak Demand for the Electric Utilities’ retail customers for each of the last three years are listed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rPr>
              <w:t>System Peak Demand (in MW)</w:t>
            </w:r>
          </w:p>
        </w:tc>
        <w:tc>
          <w:tcPr>
            <w:tcW w:w="8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09"/>
        </w:trPr>
        <w:tc>
          <w:tcPr>
            <w:tcW w:w="44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2019</w:t>
            </w:r>
          </w:p>
        </w:tc>
      </w:tr>
      <w:tr>
        <w:trPr>
          <w:trHeight w:val="209"/>
        </w:trPr>
        <w:tc>
          <w:tcPr>
            <w:tcW w:w="4400" w:type="dxa"/>
            <w:vAlign w:val="bottom"/>
            <w:tcBorders>
              <w:bottom w:val="single" w:sz="8" w:color="CEFFE7"/>
            </w:tcBorders>
          </w:tcPr>
          <w:p>
            <w:pPr>
              <w:spacing w:after="0"/>
              <w:rPr>
                <w:sz w:val="18"/>
                <w:szCs w:val="18"/>
                <w:color w:val="auto"/>
              </w:rPr>
            </w:pPr>
          </w:p>
        </w:tc>
        <w:tc>
          <w:tcPr>
            <w:tcW w:w="8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99"/>
              </w:rPr>
              <w:t>Summer</w:t>
            </w:r>
          </w:p>
        </w:tc>
        <w:tc>
          <w:tcPr>
            <w:tcW w:w="12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99"/>
              </w:rPr>
              <w:t>Winter</w:t>
            </w:r>
          </w:p>
        </w:tc>
        <w:tc>
          <w:tcPr>
            <w:tcW w:w="220" w:type="dxa"/>
            <w:vAlign w:val="bottom"/>
            <w:tcBorders>
              <w:bottom w:val="single" w:sz="8" w:color="CEFFE7"/>
            </w:tcBorders>
          </w:tcPr>
          <w:p>
            <w:pPr>
              <w:spacing w:after="0"/>
              <w:rPr>
                <w:sz w:val="18"/>
                <w:szCs w:val="18"/>
                <w:color w:val="auto"/>
              </w:rPr>
            </w:pPr>
          </w:p>
        </w:tc>
        <w:tc>
          <w:tcPr>
            <w:tcW w:w="8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Summer</w:t>
            </w:r>
          </w:p>
        </w:tc>
        <w:tc>
          <w:tcPr>
            <w:tcW w:w="12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Winter</w:t>
            </w:r>
          </w:p>
        </w:tc>
        <w:tc>
          <w:tcPr>
            <w:tcW w:w="200" w:type="dxa"/>
            <w:vAlign w:val="bottom"/>
            <w:tcBorders>
              <w:bottom w:val="single" w:sz="8" w:color="CEFFE7"/>
            </w:tcBorders>
          </w:tcPr>
          <w:p>
            <w:pPr>
              <w:spacing w:after="0"/>
              <w:rPr>
                <w:sz w:val="18"/>
                <w:szCs w:val="18"/>
                <w:color w:val="auto"/>
              </w:rPr>
            </w:pPr>
          </w:p>
        </w:tc>
        <w:tc>
          <w:tcPr>
            <w:tcW w:w="86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w w:val="99"/>
              </w:rPr>
              <w:t>Summer</w:t>
            </w:r>
          </w:p>
        </w:tc>
        <w:tc>
          <w:tcPr>
            <w:tcW w:w="128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w w:val="99"/>
              </w:rPr>
              <w:t>Winter</w:t>
            </w:r>
          </w:p>
        </w:tc>
      </w:tr>
      <w:tr>
        <w:trPr>
          <w:trHeight w:val="213"/>
        </w:trPr>
        <w:tc>
          <w:tcPr>
            <w:tcW w:w="44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Colorado Electric</w:t>
            </w:r>
          </w:p>
        </w:tc>
        <w:tc>
          <w:tcPr>
            <w:tcW w:w="88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rPr>
              <w:t>407</w:t>
            </w:r>
          </w:p>
        </w:tc>
        <w:tc>
          <w:tcPr>
            <w:tcW w:w="126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w w:val="97"/>
              </w:rPr>
              <w:t>279</w:t>
            </w:r>
          </w:p>
        </w:tc>
        <w:tc>
          <w:tcPr>
            <w:tcW w:w="1080" w:type="dxa"/>
            <w:vAlign w:val="bottom"/>
            <w:gridSpan w:val="2"/>
            <w:shd w:val="clear" w:color="auto" w:fill="CEFFE7"/>
          </w:tcPr>
          <w:p>
            <w:pPr>
              <w:jc w:val="center"/>
              <w:ind w:left="339"/>
              <w:spacing w:after="0"/>
              <w:rPr>
                <w:sz w:val="20"/>
                <w:szCs w:val="20"/>
                <w:color w:val="auto"/>
              </w:rPr>
            </w:pPr>
            <w:r>
              <w:rPr>
                <w:rFonts w:ascii="Arial" w:cs="Arial" w:eastAsia="Arial" w:hAnsi="Arial"/>
                <w:sz w:val="16"/>
                <w:szCs w:val="16"/>
                <w:color w:val="auto"/>
                <w:w w:val="97"/>
              </w:rPr>
              <w:t>401</w:t>
            </w:r>
          </w:p>
        </w:tc>
        <w:tc>
          <w:tcPr>
            <w:tcW w:w="128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rPr>
              <w:t>297</w:t>
            </w:r>
          </w:p>
        </w:tc>
        <w:tc>
          <w:tcPr>
            <w:tcW w:w="200" w:type="dxa"/>
            <w:vAlign w:val="bottom"/>
            <w:shd w:val="clear" w:color="auto" w:fill="CEFFE7"/>
          </w:tcPr>
          <w:p>
            <w:pPr>
              <w:spacing w:after="0"/>
              <w:rPr>
                <w:sz w:val="18"/>
                <w:szCs w:val="18"/>
                <w:color w:val="auto"/>
              </w:rPr>
            </w:pPr>
          </w:p>
        </w:tc>
        <w:tc>
          <w:tcPr>
            <w:tcW w:w="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422</w:t>
            </w:r>
          </w:p>
        </w:tc>
        <w:tc>
          <w:tcPr>
            <w:tcW w:w="128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w w:val="97"/>
              </w:rPr>
              <w:t>297</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880" w:type="dxa"/>
            <w:vAlign w:val="bottom"/>
          </w:tcPr>
          <w:p>
            <w:pPr>
              <w:jc w:val="center"/>
              <w:ind w:left="119"/>
              <w:spacing w:after="0"/>
              <w:rPr>
                <w:sz w:val="20"/>
                <w:szCs w:val="20"/>
                <w:color w:val="auto"/>
              </w:rPr>
            </w:pPr>
            <w:r>
              <w:rPr>
                <w:rFonts w:ascii="Arial" w:cs="Arial" w:eastAsia="Arial" w:hAnsi="Arial"/>
                <w:sz w:val="16"/>
                <w:szCs w:val="16"/>
                <w:color w:val="auto"/>
              </w:rPr>
              <w:t>397</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w w:val="97"/>
              </w:rPr>
              <w:t>299</w:t>
            </w:r>
          </w:p>
        </w:tc>
        <w:tc>
          <w:tcPr>
            <w:tcW w:w="1080" w:type="dxa"/>
            <w:vAlign w:val="bottom"/>
            <w:gridSpan w:val="2"/>
          </w:tcPr>
          <w:p>
            <w:pPr>
              <w:jc w:val="center"/>
              <w:ind w:left="339"/>
              <w:spacing w:after="0"/>
              <w:rPr>
                <w:sz w:val="20"/>
                <w:szCs w:val="20"/>
                <w:color w:val="auto"/>
              </w:rPr>
            </w:pPr>
            <w:r>
              <w:rPr>
                <w:rFonts w:ascii="Arial" w:cs="Arial" w:eastAsia="Arial" w:hAnsi="Arial"/>
                <w:sz w:val="16"/>
                <w:szCs w:val="16"/>
                <w:color w:val="auto"/>
                <w:w w:val="97"/>
              </w:rPr>
              <w:t>378</w:t>
            </w:r>
          </w:p>
        </w:tc>
        <w:tc>
          <w:tcPr>
            <w:tcW w:w="1280" w:type="dxa"/>
            <w:vAlign w:val="bottom"/>
          </w:tcPr>
          <w:p>
            <w:pPr>
              <w:jc w:val="center"/>
              <w:ind w:left="119"/>
              <w:spacing w:after="0"/>
              <w:rPr>
                <w:sz w:val="20"/>
                <w:szCs w:val="20"/>
                <w:color w:val="auto"/>
              </w:rPr>
            </w:pPr>
            <w:r>
              <w:rPr>
                <w:rFonts w:ascii="Arial" w:cs="Arial" w:eastAsia="Arial" w:hAnsi="Arial"/>
                <w:sz w:val="16"/>
                <w:szCs w:val="16"/>
                <w:color w:val="auto"/>
              </w:rPr>
              <w:t>304</w:t>
            </w:r>
          </w:p>
        </w:tc>
        <w:tc>
          <w:tcPr>
            <w:tcW w:w="200" w:type="dxa"/>
            <w:vAlign w:val="bottom"/>
          </w:tcPr>
          <w:p>
            <w:pPr>
              <w:spacing w:after="0"/>
              <w:rPr>
                <w:sz w:val="18"/>
                <w:szCs w:val="18"/>
                <w:color w:val="auto"/>
              </w:rPr>
            </w:pPr>
          </w:p>
        </w:tc>
        <w:tc>
          <w:tcPr>
            <w:tcW w:w="860" w:type="dxa"/>
            <w:vAlign w:val="bottom"/>
          </w:tcPr>
          <w:p>
            <w:pPr>
              <w:jc w:val="center"/>
              <w:ind w:left="139"/>
              <w:spacing w:after="0"/>
              <w:rPr>
                <w:sz w:val="20"/>
                <w:szCs w:val="20"/>
                <w:color w:val="auto"/>
              </w:rPr>
            </w:pPr>
            <w:r>
              <w:rPr>
                <w:rFonts w:ascii="Arial" w:cs="Arial" w:eastAsia="Arial" w:hAnsi="Arial"/>
                <w:sz w:val="16"/>
                <w:szCs w:val="16"/>
                <w:color w:val="auto"/>
              </w:rPr>
              <w:t>335</w:t>
            </w:r>
          </w:p>
        </w:tc>
        <w:tc>
          <w:tcPr>
            <w:tcW w:w="1280" w:type="dxa"/>
            <w:vAlign w:val="bottom"/>
          </w:tcPr>
          <w:p>
            <w:pPr>
              <w:jc w:val="center"/>
              <w:ind w:left="139"/>
              <w:spacing w:after="0"/>
              <w:rPr>
                <w:sz w:val="20"/>
                <w:szCs w:val="20"/>
                <w:color w:val="auto"/>
              </w:rPr>
            </w:pPr>
            <w:r>
              <w:rPr>
                <w:rFonts w:ascii="Arial" w:cs="Arial" w:eastAsia="Arial" w:hAnsi="Arial"/>
                <w:sz w:val="16"/>
                <w:szCs w:val="16"/>
                <w:color w:val="auto"/>
                <w:w w:val="97"/>
              </w:rPr>
              <w:t>320</w:t>
            </w:r>
          </w:p>
        </w:tc>
      </w:tr>
      <w:tr>
        <w:trPr>
          <w:trHeight w:val="219"/>
        </w:trPr>
        <w:tc>
          <w:tcPr>
            <w:tcW w:w="440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Wyoming Electric</w:t>
            </w:r>
          </w:p>
        </w:tc>
        <w:tc>
          <w:tcPr>
            <w:tcW w:w="88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rPr>
              <w:t>274</w:t>
            </w:r>
          </w:p>
        </w:tc>
        <w:tc>
          <w:tcPr>
            <w:tcW w:w="126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w w:val="97"/>
              </w:rPr>
              <w:t>246</w:t>
            </w:r>
          </w:p>
        </w:tc>
        <w:tc>
          <w:tcPr>
            <w:tcW w:w="1080" w:type="dxa"/>
            <w:vAlign w:val="bottom"/>
            <w:gridSpan w:val="2"/>
            <w:shd w:val="clear" w:color="auto" w:fill="CEFFE7"/>
          </w:tcPr>
          <w:p>
            <w:pPr>
              <w:jc w:val="center"/>
              <w:ind w:left="339"/>
              <w:spacing w:after="0"/>
              <w:rPr>
                <w:sz w:val="20"/>
                <w:szCs w:val="20"/>
                <w:color w:val="auto"/>
              </w:rPr>
            </w:pPr>
            <w:r>
              <w:rPr>
                <w:rFonts w:ascii="Arial" w:cs="Arial" w:eastAsia="Arial" w:hAnsi="Arial"/>
                <w:sz w:val="16"/>
                <w:szCs w:val="16"/>
                <w:color w:val="auto"/>
                <w:w w:val="97"/>
              </w:rPr>
              <w:t>271</w:t>
            </w:r>
          </w:p>
        </w:tc>
        <w:tc>
          <w:tcPr>
            <w:tcW w:w="128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rPr>
              <w:t>246</w:t>
            </w:r>
          </w:p>
        </w:tc>
        <w:tc>
          <w:tcPr>
            <w:tcW w:w="200" w:type="dxa"/>
            <w:vAlign w:val="bottom"/>
            <w:shd w:val="clear" w:color="auto" w:fill="CEFFE7"/>
          </w:tcPr>
          <w:p>
            <w:pPr>
              <w:spacing w:after="0"/>
              <w:rPr>
                <w:sz w:val="19"/>
                <w:szCs w:val="19"/>
                <w:color w:val="auto"/>
              </w:rPr>
            </w:pPr>
          </w:p>
        </w:tc>
        <w:tc>
          <w:tcPr>
            <w:tcW w:w="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265</w:t>
            </w:r>
          </w:p>
        </w:tc>
        <w:tc>
          <w:tcPr>
            <w:tcW w:w="128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w w:val="97"/>
              </w:rPr>
              <w:t>247</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our Electric Utilities’ ownership interests in electric generating plants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260" w:type="dxa"/>
            <w:vAlign w:val="bottom"/>
          </w:tcPr>
          <w:p>
            <w:pPr>
              <w:jc w:val="center"/>
              <w:ind w:left="119"/>
              <w:spacing w:after="0"/>
              <w:rPr>
                <w:sz w:val="20"/>
                <w:szCs w:val="20"/>
                <w:color w:val="auto"/>
              </w:rPr>
            </w:pPr>
            <w:r>
              <w:rPr>
                <w:rFonts w:ascii="Arial" w:cs="Arial" w:eastAsia="Arial" w:hAnsi="Arial"/>
                <w:sz w:val="16"/>
                <w:szCs w:val="16"/>
                <w:color w:val="auto"/>
                <w:w w:val="96"/>
              </w:rPr>
              <w:t>Fuel</w:t>
            </w:r>
          </w:p>
        </w:tc>
        <w:tc>
          <w:tcPr>
            <w:tcW w:w="24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Ownership</w:t>
            </w:r>
          </w:p>
        </w:tc>
        <w:tc>
          <w:tcPr>
            <w:tcW w:w="1700" w:type="dxa"/>
            <w:vAlign w:val="bottom"/>
          </w:tcPr>
          <w:p>
            <w:pPr>
              <w:jc w:val="center"/>
              <w:spacing w:after="0"/>
              <w:rPr>
                <w:sz w:val="20"/>
                <w:szCs w:val="20"/>
                <w:color w:val="auto"/>
              </w:rPr>
            </w:pPr>
            <w:r>
              <w:rPr>
                <w:rFonts w:ascii="Arial" w:cs="Arial" w:eastAsia="Arial" w:hAnsi="Arial"/>
                <w:sz w:val="16"/>
                <w:szCs w:val="16"/>
                <w:color w:val="auto"/>
              </w:rPr>
              <w:t>Owned Nameplate</w:t>
            </w:r>
          </w:p>
        </w:tc>
        <w:tc>
          <w:tcPr>
            <w:tcW w:w="1320" w:type="dxa"/>
            <w:vAlign w:val="bottom"/>
          </w:tcPr>
          <w:p>
            <w:pPr>
              <w:spacing w:after="0"/>
              <w:rPr>
                <w:sz w:val="16"/>
                <w:szCs w:val="16"/>
                <w:color w:val="auto"/>
              </w:rPr>
            </w:pPr>
          </w:p>
        </w:tc>
      </w:tr>
      <w:tr>
        <w:trPr>
          <w:trHeight w:val="20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Unit</w:t>
            </w:r>
          </w:p>
        </w:tc>
        <w:tc>
          <w:tcPr>
            <w:tcW w:w="12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95"/>
              </w:rPr>
              <w:t>Type</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Location</w:t>
            </w:r>
          </w:p>
        </w:tc>
        <w:tc>
          <w:tcPr>
            <w:tcW w:w="1500" w:type="dxa"/>
            <w:vAlign w:val="bottom"/>
            <w:tcBorders>
              <w:bottom w:val="single" w:sz="8" w:color="auto"/>
            </w:tcBorders>
          </w:tcPr>
          <w:p>
            <w:pPr>
              <w:jc w:val="center"/>
              <w:spacing w:after="0" w:line="204" w:lineRule="exact"/>
              <w:rPr>
                <w:sz w:val="20"/>
                <w:szCs w:val="20"/>
                <w:color w:val="auto"/>
              </w:rPr>
            </w:pPr>
            <w:r>
              <w:rPr>
                <w:rFonts w:ascii="Arial" w:cs="Arial" w:eastAsia="Arial" w:hAnsi="Arial"/>
                <w:sz w:val="16"/>
                <w:szCs w:val="16"/>
                <w:color w:val="auto"/>
                <w:w w:val="98"/>
              </w:rPr>
              <w:t xml:space="preserve">Interest % </w:t>
            </w:r>
            <w:r>
              <w:rPr>
                <w:rFonts w:ascii="Arial" w:cs="Arial" w:eastAsia="Arial" w:hAnsi="Arial"/>
                <w:sz w:val="21"/>
                <w:szCs w:val="21"/>
                <w:color w:val="auto"/>
                <w:w w:val="98"/>
                <w:vertAlign w:val="superscript"/>
              </w:rPr>
              <w:t>(d)</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Capacity (MW)</w:t>
            </w: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 Service Date</w:t>
            </w:r>
          </w:p>
        </w:tc>
      </w:tr>
      <w:tr>
        <w:trPr>
          <w:trHeight w:val="207"/>
        </w:trPr>
        <w:tc>
          <w:tcPr>
            <w:tcW w:w="3060" w:type="dxa"/>
            <w:vAlign w:val="bottom"/>
          </w:tcPr>
          <w:p>
            <w:pPr>
              <w:ind w:left="20"/>
              <w:spacing w:after="0"/>
              <w:rPr>
                <w:sz w:val="20"/>
                <w:szCs w:val="20"/>
                <w:color w:val="auto"/>
              </w:rPr>
            </w:pPr>
            <w:r>
              <w:rPr>
                <w:rFonts w:ascii="Arial" w:cs="Arial" w:eastAsia="Arial" w:hAnsi="Arial"/>
                <w:sz w:val="16"/>
                <w:szCs w:val="16"/>
                <w:color w:val="auto"/>
              </w:rPr>
              <w:t>Colorado Electric:</w:t>
            </w:r>
          </w:p>
        </w:tc>
        <w:tc>
          <w:tcPr>
            <w:tcW w:w="1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3060" w:type="dxa"/>
            <w:vAlign w:val="bottom"/>
            <w:shd w:val="clear" w:color="auto" w:fill="CEFEE7"/>
          </w:tcPr>
          <w:p>
            <w:pPr>
              <w:ind w:left="220"/>
              <w:spacing w:after="0" w:line="219" w:lineRule="exact"/>
              <w:rPr>
                <w:sz w:val="20"/>
                <w:szCs w:val="20"/>
                <w:color w:val="auto"/>
              </w:rPr>
            </w:pPr>
            <w:r>
              <w:rPr>
                <w:rFonts w:ascii="Arial" w:cs="Arial" w:eastAsia="Arial" w:hAnsi="Arial"/>
                <w:sz w:val="16"/>
                <w:szCs w:val="16"/>
                <w:color w:val="auto"/>
              </w:rPr>
              <w:t xml:space="preserve">Busch Ranch I </w:t>
            </w:r>
            <w:r>
              <w:rPr>
                <w:rFonts w:ascii="Arial" w:cs="Arial" w:eastAsia="Arial" w:hAnsi="Arial"/>
                <w:sz w:val="21"/>
                <w:szCs w:val="21"/>
                <w:color w:val="auto"/>
                <w:vertAlign w:val="superscript"/>
              </w:rPr>
              <w:t>(a)</w:t>
            </w:r>
          </w:p>
        </w:tc>
        <w:tc>
          <w:tcPr>
            <w:tcW w:w="1260" w:type="dxa"/>
            <w:vAlign w:val="bottom"/>
            <w:shd w:val="clear" w:color="auto" w:fill="CEFEE7"/>
          </w:tcPr>
          <w:p>
            <w:pPr>
              <w:jc w:val="center"/>
              <w:ind w:left="119"/>
              <w:spacing w:after="0"/>
              <w:rPr>
                <w:sz w:val="20"/>
                <w:szCs w:val="20"/>
                <w:color w:val="auto"/>
              </w:rPr>
            </w:pPr>
            <w:r>
              <w:rPr>
                <w:rFonts w:ascii="Arial" w:cs="Arial" w:eastAsia="Arial" w:hAnsi="Arial"/>
                <w:sz w:val="16"/>
                <w:szCs w:val="16"/>
                <w:color w:val="auto"/>
              </w:rPr>
              <w:t>Wind</w:t>
            </w:r>
          </w:p>
        </w:tc>
        <w:tc>
          <w:tcPr>
            <w:tcW w:w="2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50%</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14.5</w:t>
            </w:r>
          </w:p>
        </w:tc>
        <w:tc>
          <w:tcPr>
            <w:tcW w:w="13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2012</w:t>
            </w:r>
          </w:p>
        </w:tc>
      </w:tr>
      <w:tr>
        <w:trPr>
          <w:trHeight w:val="216"/>
        </w:trPr>
        <w:tc>
          <w:tcPr>
            <w:tcW w:w="306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Peak View </w:t>
            </w:r>
            <w:r>
              <w:rPr>
                <w:rFonts w:ascii="Arial" w:cs="Arial" w:eastAsia="Arial" w:hAnsi="Arial"/>
                <w:sz w:val="21"/>
                <w:szCs w:val="21"/>
                <w:color w:val="auto"/>
                <w:vertAlign w:val="superscript"/>
              </w:rPr>
              <w:t>(b)</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rPr>
              <w:t>Wind</w:t>
            </w:r>
          </w:p>
        </w:tc>
        <w:tc>
          <w:tcPr>
            <w:tcW w:w="240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Pr>
          <w:p>
            <w:pPr>
              <w:jc w:val="center"/>
              <w:spacing w:after="0"/>
              <w:rPr>
                <w:sz w:val="20"/>
                <w:szCs w:val="20"/>
                <w:color w:val="auto"/>
              </w:rPr>
            </w:pPr>
            <w:r>
              <w:rPr>
                <w:rFonts w:ascii="Arial" w:cs="Arial" w:eastAsia="Arial" w:hAnsi="Arial"/>
                <w:sz w:val="16"/>
                <w:szCs w:val="16"/>
                <w:color w:val="auto"/>
              </w:rPr>
              <w:t>60.8</w:t>
            </w:r>
          </w:p>
        </w:tc>
        <w:tc>
          <w:tcPr>
            <w:tcW w:w="1320" w:type="dxa"/>
            <w:vAlign w:val="bottom"/>
          </w:tcPr>
          <w:p>
            <w:pPr>
              <w:jc w:val="center"/>
              <w:spacing w:after="0"/>
              <w:rPr>
                <w:sz w:val="20"/>
                <w:szCs w:val="20"/>
                <w:color w:val="auto"/>
              </w:rPr>
            </w:pPr>
            <w:r>
              <w:rPr>
                <w:rFonts w:ascii="Arial" w:cs="Arial" w:eastAsia="Arial" w:hAnsi="Arial"/>
                <w:sz w:val="16"/>
                <w:szCs w:val="16"/>
                <w:color w:val="auto"/>
              </w:rPr>
              <w:t>2016</w:t>
            </w:r>
          </w:p>
        </w:tc>
      </w:tr>
      <w:tr>
        <w:trPr>
          <w:trHeight w:val="216"/>
        </w:trPr>
        <w:tc>
          <w:tcPr>
            <w:tcW w:w="3060" w:type="dxa"/>
            <w:vAlign w:val="bottom"/>
            <w:shd w:val="clear" w:color="auto" w:fill="CEFEE7"/>
          </w:tcPr>
          <w:p>
            <w:pPr>
              <w:ind w:left="220"/>
              <w:spacing w:after="0"/>
              <w:rPr>
                <w:sz w:val="20"/>
                <w:szCs w:val="20"/>
                <w:color w:val="auto"/>
              </w:rPr>
            </w:pPr>
            <w:r>
              <w:rPr>
                <w:rFonts w:ascii="Arial" w:cs="Arial" w:eastAsia="Arial" w:hAnsi="Arial"/>
                <w:sz w:val="16"/>
                <w:szCs w:val="16"/>
                <w:color w:val="auto"/>
              </w:rPr>
              <w:t>Pueblo Airport Generation #1-2</w:t>
            </w:r>
          </w:p>
        </w:tc>
        <w:tc>
          <w:tcPr>
            <w:tcW w:w="1260" w:type="dxa"/>
            <w:vAlign w:val="bottom"/>
            <w:shd w:val="clear" w:color="auto" w:fill="CEFEE7"/>
          </w:tcPr>
          <w:p>
            <w:pPr>
              <w:jc w:val="center"/>
              <w:ind w:left="119"/>
              <w:spacing w:after="0"/>
              <w:rPr>
                <w:sz w:val="20"/>
                <w:szCs w:val="20"/>
                <w:color w:val="auto"/>
              </w:rPr>
            </w:pPr>
            <w:r>
              <w:rPr>
                <w:rFonts w:ascii="Arial" w:cs="Arial" w:eastAsia="Arial" w:hAnsi="Arial"/>
                <w:sz w:val="16"/>
                <w:szCs w:val="16"/>
                <w:color w:val="auto"/>
              </w:rPr>
              <w:t>Gas</w:t>
            </w:r>
          </w:p>
        </w:tc>
        <w:tc>
          <w:tcPr>
            <w:tcW w:w="2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200.0</w:t>
            </w:r>
          </w:p>
        </w:tc>
        <w:tc>
          <w:tcPr>
            <w:tcW w:w="13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2011</w:t>
            </w:r>
          </w:p>
        </w:tc>
      </w:tr>
      <w:tr>
        <w:trPr>
          <w:trHeight w:val="213"/>
        </w:trPr>
        <w:tc>
          <w:tcPr>
            <w:tcW w:w="3060" w:type="dxa"/>
            <w:vAlign w:val="bottom"/>
          </w:tcPr>
          <w:p>
            <w:pPr>
              <w:ind w:left="220"/>
              <w:spacing w:after="0"/>
              <w:rPr>
                <w:sz w:val="20"/>
                <w:szCs w:val="20"/>
                <w:color w:val="auto"/>
              </w:rPr>
            </w:pPr>
            <w:r>
              <w:rPr>
                <w:rFonts w:ascii="Arial" w:cs="Arial" w:eastAsia="Arial" w:hAnsi="Arial"/>
                <w:sz w:val="16"/>
                <w:szCs w:val="16"/>
                <w:color w:val="auto"/>
              </w:rPr>
              <w:t>Pueblo Airport Generation CT #6</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rPr>
              <w:t>Gas</w:t>
            </w:r>
          </w:p>
        </w:tc>
        <w:tc>
          <w:tcPr>
            <w:tcW w:w="240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Pr>
          <w:p>
            <w:pPr>
              <w:jc w:val="center"/>
              <w:spacing w:after="0"/>
              <w:rPr>
                <w:sz w:val="20"/>
                <w:szCs w:val="20"/>
                <w:color w:val="auto"/>
              </w:rPr>
            </w:pPr>
            <w:r>
              <w:rPr>
                <w:rFonts w:ascii="Arial" w:cs="Arial" w:eastAsia="Arial" w:hAnsi="Arial"/>
                <w:sz w:val="16"/>
                <w:szCs w:val="16"/>
                <w:color w:val="auto"/>
              </w:rPr>
              <w:t>40.0</w:t>
            </w:r>
          </w:p>
        </w:tc>
        <w:tc>
          <w:tcPr>
            <w:tcW w:w="1320" w:type="dxa"/>
            <w:vAlign w:val="bottom"/>
          </w:tcPr>
          <w:p>
            <w:pPr>
              <w:jc w:val="center"/>
              <w:spacing w:after="0"/>
              <w:rPr>
                <w:sz w:val="20"/>
                <w:szCs w:val="20"/>
                <w:color w:val="auto"/>
              </w:rPr>
            </w:pPr>
            <w:r>
              <w:rPr>
                <w:rFonts w:ascii="Arial" w:cs="Arial" w:eastAsia="Arial" w:hAnsi="Arial"/>
                <w:sz w:val="16"/>
                <w:szCs w:val="16"/>
                <w:color w:val="auto"/>
              </w:rPr>
              <w:t>2016</w:t>
            </w:r>
          </w:p>
        </w:tc>
      </w:tr>
      <w:tr>
        <w:trPr>
          <w:trHeight w:val="219"/>
        </w:trPr>
        <w:tc>
          <w:tcPr>
            <w:tcW w:w="3060" w:type="dxa"/>
            <w:vAlign w:val="bottom"/>
            <w:shd w:val="clear" w:color="auto" w:fill="CEFEE7"/>
          </w:tcPr>
          <w:p>
            <w:pPr>
              <w:ind w:left="220"/>
              <w:spacing w:after="0"/>
              <w:rPr>
                <w:sz w:val="20"/>
                <w:szCs w:val="20"/>
                <w:color w:val="auto"/>
              </w:rPr>
            </w:pPr>
            <w:r>
              <w:rPr>
                <w:rFonts w:ascii="Arial" w:cs="Arial" w:eastAsia="Arial" w:hAnsi="Arial"/>
                <w:sz w:val="16"/>
                <w:szCs w:val="16"/>
                <w:color w:val="auto"/>
              </w:rPr>
              <w:t>AIP Diesel</w:t>
            </w:r>
          </w:p>
        </w:tc>
        <w:tc>
          <w:tcPr>
            <w:tcW w:w="1260" w:type="dxa"/>
            <w:vAlign w:val="bottom"/>
            <w:shd w:val="clear" w:color="auto" w:fill="CEFEE7"/>
          </w:tcPr>
          <w:p>
            <w:pPr>
              <w:jc w:val="center"/>
              <w:ind w:left="99"/>
              <w:spacing w:after="0"/>
              <w:rPr>
                <w:sz w:val="20"/>
                <w:szCs w:val="20"/>
                <w:color w:val="auto"/>
              </w:rPr>
            </w:pPr>
            <w:r>
              <w:rPr>
                <w:rFonts w:ascii="Arial" w:cs="Arial" w:eastAsia="Arial" w:hAnsi="Arial"/>
                <w:sz w:val="16"/>
                <w:szCs w:val="16"/>
                <w:color w:val="auto"/>
              </w:rPr>
              <w:t>Oil</w:t>
            </w:r>
          </w:p>
        </w:tc>
        <w:tc>
          <w:tcPr>
            <w:tcW w:w="2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10.0</w:t>
            </w:r>
          </w:p>
        </w:tc>
        <w:tc>
          <w:tcPr>
            <w:tcW w:w="13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2001</w:t>
            </w:r>
          </w:p>
        </w:tc>
      </w:tr>
      <w:tr>
        <w:trPr>
          <w:trHeight w:val="213"/>
        </w:trPr>
        <w:tc>
          <w:tcPr>
            <w:tcW w:w="3060" w:type="dxa"/>
            <w:vAlign w:val="bottom"/>
          </w:tcPr>
          <w:p>
            <w:pPr>
              <w:ind w:left="220"/>
              <w:spacing w:after="0"/>
              <w:rPr>
                <w:sz w:val="20"/>
                <w:szCs w:val="20"/>
                <w:color w:val="auto"/>
              </w:rPr>
            </w:pPr>
            <w:r>
              <w:rPr>
                <w:rFonts w:ascii="Arial" w:cs="Arial" w:eastAsia="Arial" w:hAnsi="Arial"/>
                <w:sz w:val="16"/>
                <w:szCs w:val="16"/>
                <w:color w:val="auto"/>
              </w:rPr>
              <w:t>Diesel #1 and #3-5</w:t>
            </w:r>
          </w:p>
        </w:tc>
        <w:tc>
          <w:tcPr>
            <w:tcW w:w="1260" w:type="dxa"/>
            <w:vAlign w:val="bottom"/>
          </w:tcPr>
          <w:p>
            <w:pPr>
              <w:jc w:val="center"/>
              <w:ind w:left="99"/>
              <w:spacing w:after="0"/>
              <w:rPr>
                <w:sz w:val="20"/>
                <w:szCs w:val="20"/>
                <w:color w:val="auto"/>
              </w:rPr>
            </w:pPr>
            <w:r>
              <w:rPr>
                <w:rFonts w:ascii="Arial" w:cs="Arial" w:eastAsia="Arial" w:hAnsi="Arial"/>
                <w:sz w:val="16"/>
                <w:szCs w:val="16"/>
                <w:color w:val="auto"/>
              </w:rPr>
              <w:t>Oil</w:t>
            </w:r>
          </w:p>
        </w:tc>
        <w:tc>
          <w:tcPr>
            <w:tcW w:w="240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8.0</w:t>
            </w:r>
          </w:p>
        </w:tc>
        <w:tc>
          <w:tcPr>
            <w:tcW w:w="1320" w:type="dxa"/>
            <w:vAlign w:val="bottom"/>
          </w:tcPr>
          <w:p>
            <w:pPr>
              <w:jc w:val="center"/>
              <w:spacing w:after="0"/>
              <w:rPr>
                <w:sz w:val="20"/>
                <w:szCs w:val="20"/>
                <w:color w:val="auto"/>
              </w:rPr>
            </w:pPr>
            <w:r>
              <w:rPr>
                <w:rFonts w:ascii="Arial" w:cs="Arial" w:eastAsia="Arial" w:hAnsi="Arial"/>
                <w:sz w:val="16"/>
                <w:szCs w:val="16"/>
                <w:color w:val="auto"/>
              </w:rPr>
              <w:t>1964</w:t>
            </w:r>
          </w:p>
        </w:tc>
      </w:tr>
      <w:tr>
        <w:trPr>
          <w:trHeight w:val="219"/>
        </w:trPr>
        <w:tc>
          <w:tcPr>
            <w:tcW w:w="3060" w:type="dxa"/>
            <w:vAlign w:val="bottom"/>
            <w:shd w:val="clear" w:color="auto" w:fill="CEFEE7"/>
          </w:tcPr>
          <w:p>
            <w:pPr>
              <w:ind w:left="220"/>
              <w:spacing w:after="0"/>
              <w:rPr>
                <w:sz w:val="20"/>
                <w:szCs w:val="20"/>
                <w:color w:val="auto"/>
              </w:rPr>
            </w:pPr>
            <w:r>
              <w:rPr>
                <w:rFonts w:ascii="Arial" w:cs="Arial" w:eastAsia="Arial" w:hAnsi="Arial"/>
                <w:sz w:val="16"/>
                <w:szCs w:val="16"/>
                <w:color w:val="auto"/>
              </w:rPr>
              <w:t>Diesel #1-5</w:t>
            </w:r>
          </w:p>
        </w:tc>
        <w:tc>
          <w:tcPr>
            <w:tcW w:w="1260" w:type="dxa"/>
            <w:vAlign w:val="bottom"/>
            <w:shd w:val="clear" w:color="auto" w:fill="CEFEE7"/>
          </w:tcPr>
          <w:p>
            <w:pPr>
              <w:jc w:val="center"/>
              <w:ind w:left="99"/>
              <w:spacing w:after="0"/>
              <w:rPr>
                <w:sz w:val="20"/>
                <w:szCs w:val="20"/>
                <w:color w:val="auto"/>
              </w:rPr>
            </w:pPr>
            <w:r>
              <w:rPr>
                <w:rFonts w:ascii="Arial" w:cs="Arial" w:eastAsia="Arial" w:hAnsi="Arial"/>
                <w:sz w:val="16"/>
                <w:szCs w:val="16"/>
                <w:color w:val="auto"/>
              </w:rPr>
              <w:t>Oil</w:t>
            </w:r>
          </w:p>
        </w:tc>
        <w:tc>
          <w:tcPr>
            <w:tcW w:w="2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Rocky Ford, Colorado</w:t>
            </w:r>
          </w:p>
        </w:tc>
        <w:tc>
          <w:tcPr>
            <w:tcW w:w="15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10.0</w:t>
            </w:r>
          </w:p>
        </w:tc>
        <w:tc>
          <w:tcPr>
            <w:tcW w:w="13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1964</w:t>
            </w: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1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3060" w:type="dxa"/>
            <w:vAlign w:val="bottom"/>
            <w:shd w:val="clear" w:color="auto" w:fill="CEFEE7"/>
          </w:tcPr>
          <w:p>
            <w:pPr>
              <w:ind w:left="220"/>
              <w:spacing w:after="0"/>
              <w:rPr>
                <w:sz w:val="20"/>
                <w:szCs w:val="20"/>
                <w:color w:val="auto"/>
              </w:rPr>
            </w:pPr>
            <w:r>
              <w:rPr>
                <w:rFonts w:ascii="Arial" w:cs="Arial" w:eastAsia="Arial" w:hAnsi="Arial"/>
                <w:sz w:val="16"/>
                <w:szCs w:val="16"/>
                <w:color w:val="auto"/>
              </w:rPr>
              <w:t>Cheyenne Prairie</w:t>
            </w:r>
          </w:p>
        </w:tc>
        <w:tc>
          <w:tcPr>
            <w:tcW w:w="1260" w:type="dxa"/>
            <w:vAlign w:val="bottom"/>
            <w:shd w:val="clear" w:color="auto" w:fill="CEFEE7"/>
          </w:tcPr>
          <w:p>
            <w:pPr>
              <w:jc w:val="center"/>
              <w:ind w:left="119"/>
              <w:spacing w:after="0"/>
              <w:rPr>
                <w:sz w:val="20"/>
                <w:szCs w:val="20"/>
                <w:color w:val="auto"/>
              </w:rPr>
            </w:pPr>
            <w:r>
              <w:rPr>
                <w:rFonts w:ascii="Arial" w:cs="Arial" w:eastAsia="Arial" w:hAnsi="Arial"/>
                <w:sz w:val="16"/>
                <w:szCs w:val="16"/>
                <w:color w:val="auto"/>
              </w:rPr>
              <w:t>Gas</w:t>
            </w:r>
          </w:p>
        </w:tc>
        <w:tc>
          <w:tcPr>
            <w:tcW w:w="2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Cheyenne, Wyoming</w:t>
            </w:r>
          </w:p>
        </w:tc>
        <w:tc>
          <w:tcPr>
            <w:tcW w:w="15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58%</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58.0</w:t>
            </w:r>
          </w:p>
        </w:tc>
        <w:tc>
          <w:tcPr>
            <w:tcW w:w="13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2014</w:t>
            </w:r>
          </w:p>
        </w:tc>
      </w:tr>
      <w:tr>
        <w:trPr>
          <w:trHeight w:val="216"/>
        </w:trPr>
        <w:tc>
          <w:tcPr>
            <w:tcW w:w="306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Corriedale </w:t>
            </w:r>
            <w:r>
              <w:rPr>
                <w:rFonts w:ascii="Arial" w:cs="Arial" w:eastAsia="Arial" w:hAnsi="Arial"/>
                <w:sz w:val="21"/>
                <w:szCs w:val="21"/>
                <w:color w:val="auto"/>
                <w:vertAlign w:val="superscript"/>
              </w:rPr>
              <w:t>(c)</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rPr>
              <w:t>Wind</w:t>
            </w:r>
          </w:p>
        </w:tc>
        <w:tc>
          <w:tcPr>
            <w:tcW w:w="2400" w:type="dxa"/>
            <w:vAlign w:val="bottom"/>
          </w:tcPr>
          <w:p>
            <w:pPr>
              <w:jc w:val="center"/>
              <w:spacing w:after="0"/>
              <w:rPr>
                <w:sz w:val="20"/>
                <w:szCs w:val="20"/>
                <w:color w:val="auto"/>
              </w:rPr>
            </w:pPr>
            <w:r>
              <w:rPr>
                <w:rFonts w:ascii="Arial" w:cs="Arial" w:eastAsia="Arial" w:hAnsi="Arial"/>
                <w:sz w:val="16"/>
                <w:szCs w:val="16"/>
                <w:color w:val="auto"/>
              </w:rPr>
              <w:t>Cheyenne, Wyoming</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700" w:type="dxa"/>
            <w:vAlign w:val="bottom"/>
          </w:tcPr>
          <w:p>
            <w:pPr>
              <w:jc w:val="center"/>
              <w:spacing w:after="0"/>
              <w:rPr>
                <w:sz w:val="20"/>
                <w:szCs w:val="20"/>
                <w:color w:val="auto"/>
              </w:rPr>
            </w:pPr>
            <w:r>
              <w:rPr>
                <w:rFonts w:ascii="Arial" w:cs="Arial" w:eastAsia="Arial" w:hAnsi="Arial"/>
                <w:sz w:val="16"/>
                <w:szCs w:val="16"/>
                <w:color w:val="auto"/>
              </w:rPr>
              <w:t>32.5</w:t>
            </w:r>
          </w:p>
        </w:tc>
        <w:tc>
          <w:tcPr>
            <w:tcW w:w="1320" w:type="dxa"/>
            <w:vAlign w:val="bottom"/>
          </w:tcPr>
          <w:p>
            <w:pPr>
              <w:jc w:val="center"/>
              <w:spacing w:after="0"/>
              <w:rPr>
                <w:sz w:val="20"/>
                <w:szCs w:val="20"/>
                <w:color w:val="auto"/>
              </w:rPr>
            </w:pPr>
            <w:r>
              <w:rPr>
                <w:rFonts w:ascii="Arial" w:cs="Arial" w:eastAsia="Arial" w:hAnsi="Arial"/>
                <w:sz w:val="16"/>
                <w:szCs w:val="16"/>
                <w:color w:val="auto"/>
              </w:rPr>
              <w:t>2020</w:t>
            </w:r>
          </w:p>
        </w:tc>
      </w:tr>
      <w:tr>
        <w:trPr>
          <w:trHeight w:val="216"/>
        </w:trPr>
        <w:tc>
          <w:tcPr>
            <w:tcW w:w="3060" w:type="dxa"/>
            <w:vAlign w:val="bottom"/>
            <w:shd w:val="clear" w:color="auto" w:fill="CEFEE7"/>
          </w:tcPr>
          <w:p>
            <w:pPr>
              <w:ind w:left="220"/>
              <w:spacing w:after="0"/>
              <w:rPr>
                <w:sz w:val="20"/>
                <w:szCs w:val="20"/>
                <w:color w:val="auto"/>
              </w:rPr>
            </w:pPr>
            <w:r>
              <w:rPr>
                <w:rFonts w:ascii="Arial" w:cs="Arial" w:eastAsia="Arial" w:hAnsi="Arial"/>
                <w:sz w:val="16"/>
                <w:szCs w:val="16"/>
                <w:color w:val="auto"/>
              </w:rPr>
              <w:t>Wygen III</w:t>
            </w:r>
          </w:p>
        </w:tc>
        <w:tc>
          <w:tcPr>
            <w:tcW w:w="1260" w:type="dxa"/>
            <w:vAlign w:val="bottom"/>
            <w:shd w:val="clear" w:color="auto" w:fill="CEFEE7"/>
          </w:tcPr>
          <w:p>
            <w:pPr>
              <w:jc w:val="center"/>
              <w:ind w:left="119"/>
              <w:spacing w:after="0"/>
              <w:rPr>
                <w:sz w:val="20"/>
                <w:szCs w:val="20"/>
                <w:color w:val="auto"/>
              </w:rPr>
            </w:pPr>
            <w:r>
              <w:rPr>
                <w:rFonts w:ascii="Arial" w:cs="Arial" w:eastAsia="Arial" w:hAnsi="Arial"/>
                <w:sz w:val="16"/>
                <w:szCs w:val="16"/>
                <w:color w:val="auto"/>
              </w:rPr>
              <w:t>Coal</w:t>
            </w:r>
          </w:p>
        </w:tc>
        <w:tc>
          <w:tcPr>
            <w:tcW w:w="2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Gillette, Wyoming</w:t>
            </w:r>
          </w:p>
        </w:tc>
        <w:tc>
          <w:tcPr>
            <w:tcW w:w="15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52%</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60.3</w:t>
            </w:r>
          </w:p>
        </w:tc>
        <w:tc>
          <w:tcPr>
            <w:tcW w:w="13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2010</w:t>
            </w:r>
          </w:p>
        </w:tc>
      </w:tr>
      <w:tr>
        <w:trPr>
          <w:trHeight w:val="213"/>
        </w:trPr>
        <w:tc>
          <w:tcPr>
            <w:tcW w:w="3060" w:type="dxa"/>
            <w:vAlign w:val="bottom"/>
          </w:tcPr>
          <w:p>
            <w:pPr>
              <w:ind w:left="220"/>
              <w:spacing w:after="0"/>
              <w:rPr>
                <w:sz w:val="20"/>
                <w:szCs w:val="20"/>
                <w:color w:val="auto"/>
              </w:rPr>
            </w:pPr>
            <w:r>
              <w:rPr>
                <w:rFonts w:ascii="Arial" w:cs="Arial" w:eastAsia="Arial" w:hAnsi="Arial"/>
                <w:sz w:val="16"/>
                <w:szCs w:val="16"/>
                <w:color w:val="auto"/>
              </w:rPr>
              <w:t>Neil Simpson II</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rPr>
              <w:t>Coal</w:t>
            </w:r>
          </w:p>
        </w:tc>
        <w:tc>
          <w:tcPr>
            <w:tcW w:w="2400" w:type="dxa"/>
            <w:vAlign w:val="bottom"/>
          </w:tcPr>
          <w:p>
            <w:pPr>
              <w:jc w:val="center"/>
              <w:spacing w:after="0"/>
              <w:rPr>
                <w:sz w:val="20"/>
                <w:szCs w:val="20"/>
                <w:color w:val="auto"/>
              </w:rPr>
            </w:pPr>
            <w:r>
              <w:rPr>
                <w:rFonts w:ascii="Arial" w:cs="Arial" w:eastAsia="Arial" w:hAnsi="Arial"/>
                <w:sz w:val="16"/>
                <w:szCs w:val="16"/>
                <w:color w:val="auto"/>
              </w:rPr>
              <w:t>Gillette, Wyoming</w:t>
            </w: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Pr>
          <w:p>
            <w:pPr>
              <w:jc w:val="center"/>
              <w:spacing w:after="0"/>
              <w:rPr>
                <w:sz w:val="20"/>
                <w:szCs w:val="20"/>
                <w:color w:val="auto"/>
              </w:rPr>
            </w:pPr>
            <w:r>
              <w:rPr>
                <w:rFonts w:ascii="Arial" w:cs="Arial" w:eastAsia="Arial" w:hAnsi="Arial"/>
                <w:sz w:val="16"/>
                <w:szCs w:val="16"/>
                <w:color w:val="auto"/>
              </w:rPr>
              <w:t>90.0</w:t>
            </w:r>
          </w:p>
        </w:tc>
        <w:tc>
          <w:tcPr>
            <w:tcW w:w="1320" w:type="dxa"/>
            <w:vAlign w:val="bottom"/>
          </w:tcPr>
          <w:p>
            <w:pPr>
              <w:jc w:val="center"/>
              <w:spacing w:after="0"/>
              <w:rPr>
                <w:sz w:val="20"/>
                <w:szCs w:val="20"/>
                <w:color w:val="auto"/>
              </w:rPr>
            </w:pPr>
            <w:r>
              <w:rPr>
                <w:rFonts w:ascii="Arial" w:cs="Arial" w:eastAsia="Arial" w:hAnsi="Arial"/>
                <w:sz w:val="16"/>
                <w:szCs w:val="16"/>
                <w:color w:val="auto"/>
              </w:rPr>
              <w:t>1995</w:t>
            </w:r>
          </w:p>
        </w:tc>
      </w:tr>
      <w:tr>
        <w:trPr>
          <w:trHeight w:val="219"/>
        </w:trPr>
        <w:tc>
          <w:tcPr>
            <w:tcW w:w="3060" w:type="dxa"/>
            <w:vAlign w:val="bottom"/>
            <w:shd w:val="clear" w:color="auto" w:fill="CEFEE7"/>
          </w:tcPr>
          <w:p>
            <w:pPr>
              <w:ind w:left="220"/>
              <w:spacing w:after="0"/>
              <w:rPr>
                <w:sz w:val="20"/>
                <w:szCs w:val="20"/>
                <w:color w:val="auto"/>
              </w:rPr>
            </w:pPr>
            <w:r>
              <w:rPr>
                <w:rFonts w:ascii="Arial" w:cs="Arial" w:eastAsia="Arial" w:hAnsi="Arial"/>
                <w:sz w:val="16"/>
                <w:szCs w:val="16"/>
                <w:color w:val="auto"/>
              </w:rPr>
              <w:t>Wyodak Plant</w:t>
            </w:r>
          </w:p>
        </w:tc>
        <w:tc>
          <w:tcPr>
            <w:tcW w:w="1260" w:type="dxa"/>
            <w:vAlign w:val="bottom"/>
            <w:shd w:val="clear" w:color="auto" w:fill="CEFEE7"/>
          </w:tcPr>
          <w:p>
            <w:pPr>
              <w:jc w:val="center"/>
              <w:ind w:left="119"/>
              <w:spacing w:after="0"/>
              <w:rPr>
                <w:sz w:val="20"/>
                <w:szCs w:val="20"/>
                <w:color w:val="auto"/>
              </w:rPr>
            </w:pPr>
            <w:r>
              <w:rPr>
                <w:rFonts w:ascii="Arial" w:cs="Arial" w:eastAsia="Arial" w:hAnsi="Arial"/>
                <w:sz w:val="16"/>
                <w:szCs w:val="16"/>
                <w:color w:val="auto"/>
              </w:rPr>
              <w:t>Coal</w:t>
            </w:r>
          </w:p>
        </w:tc>
        <w:tc>
          <w:tcPr>
            <w:tcW w:w="2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Gillette, Wyoming</w:t>
            </w:r>
          </w:p>
        </w:tc>
        <w:tc>
          <w:tcPr>
            <w:tcW w:w="15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20%</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80.5</w:t>
            </w:r>
          </w:p>
        </w:tc>
        <w:tc>
          <w:tcPr>
            <w:tcW w:w="13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1978</w:t>
            </w:r>
          </w:p>
        </w:tc>
      </w:tr>
      <w:tr>
        <w:trPr>
          <w:trHeight w:val="213"/>
        </w:trPr>
        <w:tc>
          <w:tcPr>
            <w:tcW w:w="3060" w:type="dxa"/>
            <w:vAlign w:val="bottom"/>
          </w:tcPr>
          <w:p>
            <w:pPr>
              <w:ind w:left="220"/>
              <w:spacing w:after="0"/>
              <w:rPr>
                <w:sz w:val="20"/>
                <w:szCs w:val="20"/>
                <w:color w:val="auto"/>
              </w:rPr>
            </w:pPr>
            <w:r>
              <w:rPr>
                <w:rFonts w:ascii="Arial" w:cs="Arial" w:eastAsia="Arial" w:hAnsi="Arial"/>
                <w:sz w:val="16"/>
                <w:szCs w:val="16"/>
                <w:color w:val="auto"/>
              </w:rPr>
              <w:t>Neil Simpson CT</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rPr>
              <w:t>Gas</w:t>
            </w:r>
          </w:p>
        </w:tc>
        <w:tc>
          <w:tcPr>
            <w:tcW w:w="2400" w:type="dxa"/>
            <w:vAlign w:val="bottom"/>
          </w:tcPr>
          <w:p>
            <w:pPr>
              <w:jc w:val="center"/>
              <w:spacing w:after="0"/>
              <w:rPr>
                <w:sz w:val="20"/>
                <w:szCs w:val="20"/>
                <w:color w:val="auto"/>
              </w:rPr>
            </w:pPr>
            <w:r>
              <w:rPr>
                <w:rFonts w:ascii="Arial" w:cs="Arial" w:eastAsia="Arial" w:hAnsi="Arial"/>
                <w:sz w:val="16"/>
                <w:szCs w:val="16"/>
                <w:color w:val="auto"/>
              </w:rPr>
              <w:t>Gillette, Wyoming</w:t>
            </w: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Pr>
          <w:p>
            <w:pPr>
              <w:jc w:val="center"/>
              <w:spacing w:after="0"/>
              <w:rPr>
                <w:sz w:val="20"/>
                <w:szCs w:val="20"/>
                <w:color w:val="auto"/>
              </w:rPr>
            </w:pPr>
            <w:r>
              <w:rPr>
                <w:rFonts w:ascii="Arial" w:cs="Arial" w:eastAsia="Arial" w:hAnsi="Arial"/>
                <w:sz w:val="16"/>
                <w:szCs w:val="16"/>
                <w:color w:val="auto"/>
              </w:rPr>
              <w:t>40.0</w:t>
            </w:r>
          </w:p>
        </w:tc>
        <w:tc>
          <w:tcPr>
            <w:tcW w:w="1320" w:type="dxa"/>
            <w:vAlign w:val="bottom"/>
          </w:tcPr>
          <w:p>
            <w:pPr>
              <w:jc w:val="center"/>
              <w:spacing w:after="0"/>
              <w:rPr>
                <w:sz w:val="20"/>
                <w:szCs w:val="20"/>
                <w:color w:val="auto"/>
              </w:rPr>
            </w:pPr>
            <w:r>
              <w:rPr>
                <w:rFonts w:ascii="Arial" w:cs="Arial" w:eastAsia="Arial" w:hAnsi="Arial"/>
                <w:sz w:val="16"/>
                <w:szCs w:val="16"/>
                <w:color w:val="auto"/>
              </w:rPr>
              <w:t>2000</w:t>
            </w:r>
          </w:p>
        </w:tc>
      </w:tr>
      <w:tr>
        <w:trPr>
          <w:trHeight w:val="219"/>
        </w:trPr>
        <w:tc>
          <w:tcPr>
            <w:tcW w:w="3060" w:type="dxa"/>
            <w:vAlign w:val="bottom"/>
            <w:shd w:val="clear" w:color="auto" w:fill="CEFEE7"/>
          </w:tcPr>
          <w:p>
            <w:pPr>
              <w:ind w:left="220"/>
              <w:spacing w:after="0"/>
              <w:rPr>
                <w:sz w:val="20"/>
                <w:szCs w:val="20"/>
                <w:color w:val="auto"/>
              </w:rPr>
            </w:pPr>
            <w:r>
              <w:rPr>
                <w:rFonts w:ascii="Arial" w:cs="Arial" w:eastAsia="Arial" w:hAnsi="Arial"/>
                <w:sz w:val="16"/>
                <w:szCs w:val="16"/>
                <w:color w:val="auto"/>
              </w:rPr>
              <w:t>Lange CT</w:t>
            </w:r>
          </w:p>
        </w:tc>
        <w:tc>
          <w:tcPr>
            <w:tcW w:w="1260" w:type="dxa"/>
            <w:vAlign w:val="bottom"/>
            <w:shd w:val="clear" w:color="auto" w:fill="CEFEE7"/>
          </w:tcPr>
          <w:p>
            <w:pPr>
              <w:jc w:val="center"/>
              <w:ind w:left="119"/>
              <w:spacing w:after="0"/>
              <w:rPr>
                <w:sz w:val="20"/>
                <w:szCs w:val="20"/>
                <w:color w:val="auto"/>
              </w:rPr>
            </w:pPr>
            <w:r>
              <w:rPr>
                <w:rFonts w:ascii="Arial" w:cs="Arial" w:eastAsia="Arial" w:hAnsi="Arial"/>
                <w:sz w:val="16"/>
                <w:szCs w:val="16"/>
                <w:color w:val="auto"/>
              </w:rPr>
              <w:t>Gas</w:t>
            </w:r>
          </w:p>
        </w:tc>
        <w:tc>
          <w:tcPr>
            <w:tcW w:w="2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Rapid City, South Dakota</w:t>
            </w:r>
          </w:p>
        </w:tc>
        <w:tc>
          <w:tcPr>
            <w:tcW w:w="15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40.0</w:t>
            </w:r>
          </w:p>
        </w:tc>
        <w:tc>
          <w:tcPr>
            <w:tcW w:w="13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2002</w:t>
            </w:r>
          </w:p>
        </w:tc>
      </w:tr>
      <w:tr>
        <w:trPr>
          <w:trHeight w:val="213"/>
        </w:trPr>
        <w:tc>
          <w:tcPr>
            <w:tcW w:w="3060" w:type="dxa"/>
            <w:vAlign w:val="bottom"/>
          </w:tcPr>
          <w:p>
            <w:pPr>
              <w:ind w:left="220"/>
              <w:spacing w:after="0"/>
              <w:rPr>
                <w:sz w:val="20"/>
                <w:szCs w:val="20"/>
                <w:color w:val="auto"/>
              </w:rPr>
            </w:pPr>
            <w:r>
              <w:rPr>
                <w:rFonts w:ascii="Arial" w:cs="Arial" w:eastAsia="Arial" w:hAnsi="Arial"/>
                <w:sz w:val="16"/>
                <w:szCs w:val="16"/>
                <w:color w:val="auto"/>
              </w:rPr>
              <w:t>Ben French Diesel #1-5</w:t>
            </w:r>
          </w:p>
        </w:tc>
        <w:tc>
          <w:tcPr>
            <w:tcW w:w="1260" w:type="dxa"/>
            <w:vAlign w:val="bottom"/>
          </w:tcPr>
          <w:p>
            <w:pPr>
              <w:jc w:val="center"/>
              <w:ind w:left="99"/>
              <w:spacing w:after="0"/>
              <w:rPr>
                <w:sz w:val="20"/>
                <w:szCs w:val="20"/>
                <w:color w:val="auto"/>
              </w:rPr>
            </w:pPr>
            <w:r>
              <w:rPr>
                <w:rFonts w:ascii="Arial" w:cs="Arial" w:eastAsia="Arial" w:hAnsi="Arial"/>
                <w:sz w:val="16"/>
                <w:szCs w:val="16"/>
                <w:color w:val="auto"/>
              </w:rPr>
              <w:t>Oil</w:t>
            </w:r>
          </w:p>
        </w:tc>
        <w:tc>
          <w:tcPr>
            <w:tcW w:w="2400" w:type="dxa"/>
            <w:vAlign w:val="bottom"/>
          </w:tcPr>
          <w:p>
            <w:pPr>
              <w:jc w:val="center"/>
              <w:spacing w:after="0"/>
              <w:rPr>
                <w:sz w:val="20"/>
                <w:szCs w:val="20"/>
                <w:color w:val="auto"/>
              </w:rPr>
            </w:pPr>
            <w:r>
              <w:rPr>
                <w:rFonts w:ascii="Arial" w:cs="Arial" w:eastAsia="Arial" w:hAnsi="Arial"/>
                <w:sz w:val="16"/>
                <w:szCs w:val="16"/>
                <w:color w:val="auto"/>
              </w:rPr>
              <w:t>Rapid City, South Dakota</w:t>
            </w: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Pr>
          <w:p>
            <w:pPr>
              <w:jc w:val="center"/>
              <w:spacing w:after="0"/>
              <w:rPr>
                <w:sz w:val="20"/>
                <w:szCs w:val="20"/>
                <w:color w:val="auto"/>
              </w:rPr>
            </w:pPr>
            <w:r>
              <w:rPr>
                <w:rFonts w:ascii="Arial" w:cs="Arial" w:eastAsia="Arial" w:hAnsi="Arial"/>
                <w:sz w:val="16"/>
                <w:szCs w:val="16"/>
                <w:color w:val="auto"/>
              </w:rPr>
              <w:t>10.0</w:t>
            </w:r>
          </w:p>
        </w:tc>
        <w:tc>
          <w:tcPr>
            <w:tcW w:w="1320" w:type="dxa"/>
            <w:vAlign w:val="bottom"/>
          </w:tcPr>
          <w:p>
            <w:pPr>
              <w:jc w:val="center"/>
              <w:spacing w:after="0"/>
              <w:rPr>
                <w:sz w:val="20"/>
                <w:szCs w:val="20"/>
                <w:color w:val="auto"/>
              </w:rPr>
            </w:pPr>
            <w:r>
              <w:rPr>
                <w:rFonts w:ascii="Arial" w:cs="Arial" w:eastAsia="Arial" w:hAnsi="Arial"/>
                <w:sz w:val="16"/>
                <w:szCs w:val="16"/>
                <w:color w:val="auto"/>
              </w:rPr>
              <w:t>1965</w:t>
            </w:r>
          </w:p>
        </w:tc>
      </w:tr>
      <w:tr>
        <w:trPr>
          <w:trHeight w:val="219"/>
        </w:trPr>
        <w:tc>
          <w:tcPr>
            <w:tcW w:w="3060" w:type="dxa"/>
            <w:vAlign w:val="bottom"/>
            <w:shd w:val="clear" w:color="auto" w:fill="CEFEE7"/>
          </w:tcPr>
          <w:p>
            <w:pPr>
              <w:ind w:left="220"/>
              <w:spacing w:after="0"/>
              <w:rPr>
                <w:sz w:val="20"/>
                <w:szCs w:val="20"/>
                <w:color w:val="auto"/>
              </w:rPr>
            </w:pPr>
            <w:r>
              <w:rPr>
                <w:rFonts w:ascii="Arial" w:cs="Arial" w:eastAsia="Arial" w:hAnsi="Arial"/>
                <w:sz w:val="16"/>
                <w:szCs w:val="16"/>
                <w:color w:val="auto"/>
              </w:rPr>
              <w:t>Ben French CTs #1-4</w:t>
            </w:r>
          </w:p>
        </w:tc>
        <w:tc>
          <w:tcPr>
            <w:tcW w:w="1260" w:type="dxa"/>
            <w:vAlign w:val="bottom"/>
            <w:shd w:val="clear" w:color="auto" w:fill="CEFEE7"/>
          </w:tcPr>
          <w:p>
            <w:pPr>
              <w:jc w:val="center"/>
              <w:ind w:left="119"/>
              <w:spacing w:after="0"/>
              <w:rPr>
                <w:sz w:val="20"/>
                <w:szCs w:val="20"/>
                <w:color w:val="auto"/>
              </w:rPr>
            </w:pPr>
            <w:r>
              <w:rPr>
                <w:rFonts w:ascii="Arial" w:cs="Arial" w:eastAsia="Arial" w:hAnsi="Arial"/>
                <w:sz w:val="16"/>
                <w:szCs w:val="16"/>
                <w:color w:val="auto"/>
              </w:rPr>
              <w:t>Gas/Oil</w:t>
            </w:r>
          </w:p>
        </w:tc>
        <w:tc>
          <w:tcPr>
            <w:tcW w:w="2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Rapid City, South Dakota</w:t>
            </w:r>
          </w:p>
        </w:tc>
        <w:tc>
          <w:tcPr>
            <w:tcW w:w="15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100.0</w:t>
            </w:r>
          </w:p>
        </w:tc>
        <w:tc>
          <w:tcPr>
            <w:tcW w:w="132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1977-1979</w:t>
            </w: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Wyoming Electric:</w:t>
            </w:r>
          </w:p>
        </w:tc>
        <w:tc>
          <w:tcPr>
            <w:tcW w:w="1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3060" w:type="dxa"/>
            <w:vAlign w:val="bottom"/>
            <w:shd w:val="clear" w:color="auto" w:fill="CEFEE7"/>
          </w:tcPr>
          <w:p>
            <w:pPr>
              <w:ind w:left="220"/>
              <w:spacing w:after="0"/>
              <w:rPr>
                <w:sz w:val="20"/>
                <w:szCs w:val="20"/>
                <w:color w:val="auto"/>
              </w:rPr>
            </w:pPr>
            <w:r>
              <w:rPr>
                <w:rFonts w:ascii="Arial" w:cs="Arial" w:eastAsia="Arial" w:hAnsi="Arial"/>
                <w:sz w:val="16"/>
                <w:szCs w:val="16"/>
                <w:color w:val="auto"/>
              </w:rPr>
              <w:t>Cheyenne Prairie</w:t>
            </w:r>
          </w:p>
        </w:tc>
        <w:tc>
          <w:tcPr>
            <w:tcW w:w="1260" w:type="dxa"/>
            <w:vAlign w:val="bottom"/>
            <w:shd w:val="clear" w:color="auto" w:fill="CEFEE7"/>
          </w:tcPr>
          <w:p>
            <w:pPr>
              <w:jc w:val="center"/>
              <w:ind w:left="119"/>
              <w:spacing w:after="0"/>
              <w:rPr>
                <w:sz w:val="20"/>
                <w:szCs w:val="20"/>
                <w:color w:val="auto"/>
              </w:rPr>
            </w:pPr>
            <w:r>
              <w:rPr>
                <w:rFonts w:ascii="Arial" w:cs="Arial" w:eastAsia="Arial" w:hAnsi="Arial"/>
                <w:sz w:val="16"/>
                <w:szCs w:val="16"/>
                <w:color w:val="auto"/>
              </w:rPr>
              <w:t>Gas</w:t>
            </w:r>
          </w:p>
        </w:tc>
        <w:tc>
          <w:tcPr>
            <w:tcW w:w="2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Cheyenne, Wyoming</w:t>
            </w:r>
          </w:p>
        </w:tc>
        <w:tc>
          <w:tcPr>
            <w:tcW w:w="15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42%</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42.0</w:t>
            </w:r>
          </w:p>
        </w:tc>
        <w:tc>
          <w:tcPr>
            <w:tcW w:w="13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2014</w:t>
            </w:r>
          </w:p>
        </w:tc>
      </w:tr>
      <w:tr>
        <w:trPr>
          <w:trHeight w:val="213"/>
        </w:trPr>
        <w:tc>
          <w:tcPr>
            <w:tcW w:w="3060" w:type="dxa"/>
            <w:vAlign w:val="bottom"/>
          </w:tcPr>
          <w:p>
            <w:pPr>
              <w:ind w:left="220"/>
              <w:spacing w:after="0"/>
              <w:rPr>
                <w:sz w:val="20"/>
                <w:szCs w:val="20"/>
                <w:color w:val="auto"/>
              </w:rPr>
            </w:pPr>
            <w:r>
              <w:rPr>
                <w:rFonts w:ascii="Arial" w:cs="Arial" w:eastAsia="Arial" w:hAnsi="Arial"/>
                <w:sz w:val="16"/>
                <w:szCs w:val="16"/>
                <w:color w:val="auto"/>
              </w:rPr>
              <w:t>Cheyenne Prairie CT</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rPr>
              <w:t>Gas</w:t>
            </w:r>
          </w:p>
        </w:tc>
        <w:tc>
          <w:tcPr>
            <w:tcW w:w="2400" w:type="dxa"/>
            <w:vAlign w:val="bottom"/>
          </w:tcPr>
          <w:p>
            <w:pPr>
              <w:jc w:val="center"/>
              <w:spacing w:after="0"/>
              <w:rPr>
                <w:sz w:val="20"/>
                <w:szCs w:val="20"/>
                <w:color w:val="auto"/>
              </w:rPr>
            </w:pPr>
            <w:r>
              <w:rPr>
                <w:rFonts w:ascii="Arial" w:cs="Arial" w:eastAsia="Arial" w:hAnsi="Arial"/>
                <w:sz w:val="16"/>
                <w:szCs w:val="16"/>
                <w:color w:val="auto"/>
              </w:rPr>
              <w:t>Cheyenne, Wyoming</w:t>
            </w: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Pr>
          <w:p>
            <w:pPr>
              <w:jc w:val="center"/>
              <w:spacing w:after="0"/>
              <w:rPr>
                <w:sz w:val="20"/>
                <w:szCs w:val="20"/>
                <w:color w:val="auto"/>
              </w:rPr>
            </w:pPr>
            <w:r>
              <w:rPr>
                <w:rFonts w:ascii="Arial" w:cs="Arial" w:eastAsia="Arial" w:hAnsi="Arial"/>
                <w:sz w:val="16"/>
                <w:szCs w:val="16"/>
                <w:color w:val="auto"/>
              </w:rPr>
              <w:t>40.0</w:t>
            </w:r>
          </w:p>
        </w:tc>
        <w:tc>
          <w:tcPr>
            <w:tcW w:w="1320" w:type="dxa"/>
            <w:vAlign w:val="bottom"/>
          </w:tcPr>
          <w:p>
            <w:pPr>
              <w:jc w:val="center"/>
              <w:spacing w:after="0"/>
              <w:rPr>
                <w:sz w:val="20"/>
                <w:szCs w:val="20"/>
                <w:color w:val="auto"/>
              </w:rPr>
            </w:pPr>
            <w:r>
              <w:rPr>
                <w:rFonts w:ascii="Arial" w:cs="Arial" w:eastAsia="Arial" w:hAnsi="Arial"/>
                <w:sz w:val="16"/>
                <w:szCs w:val="16"/>
                <w:color w:val="auto"/>
              </w:rPr>
              <w:t>2014</w:t>
            </w:r>
          </w:p>
        </w:tc>
      </w:tr>
      <w:tr>
        <w:trPr>
          <w:trHeight w:val="219"/>
        </w:trPr>
        <w:tc>
          <w:tcPr>
            <w:tcW w:w="3060" w:type="dxa"/>
            <w:vAlign w:val="bottom"/>
            <w:shd w:val="clear" w:color="auto" w:fill="CEFEE7"/>
          </w:tcPr>
          <w:p>
            <w:pPr>
              <w:ind w:left="220"/>
              <w:spacing w:after="0" w:line="219" w:lineRule="exact"/>
              <w:rPr>
                <w:sz w:val="20"/>
                <w:szCs w:val="20"/>
                <w:color w:val="auto"/>
              </w:rPr>
            </w:pPr>
            <w:r>
              <w:rPr>
                <w:rFonts w:ascii="Arial" w:cs="Arial" w:eastAsia="Arial" w:hAnsi="Arial"/>
                <w:sz w:val="16"/>
                <w:szCs w:val="16"/>
                <w:color w:val="auto"/>
              </w:rPr>
              <w:t xml:space="preserve">Corriedale </w:t>
            </w:r>
            <w:r>
              <w:rPr>
                <w:rFonts w:ascii="Arial" w:cs="Arial" w:eastAsia="Arial" w:hAnsi="Arial"/>
                <w:sz w:val="21"/>
                <w:szCs w:val="21"/>
                <w:color w:val="auto"/>
                <w:vertAlign w:val="superscript"/>
              </w:rPr>
              <w:t>(c)</w:t>
            </w:r>
          </w:p>
        </w:tc>
        <w:tc>
          <w:tcPr>
            <w:tcW w:w="1260" w:type="dxa"/>
            <w:vAlign w:val="bottom"/>
            <w:shd w:val="clear" w:color="auto" w:fill="CEFEE7"/>
          </w:tcPr>
          <w:p>
            <w:pPr>
              <w:jc w:val="center"/>
              <w:ind w:left="119"/>
              <w:spacing w:after="0"/>
              <w:rPr>
                <w:sz w:val="20"/>
                <w:szCs w:val="20"/>
                <w:color w:val="auto"/>
              </w:rPr>
            </w:pPr>
            <w:r>
              <w:rPr>
                <w:rFonts w:ascii="Arial" w:cs="Arial" w:eastAsia="Arial" w:hAnsi="Arial"/>
                <w:sz w:val="16"/>
                <w:szCs w:val="16"/>
                <w:color w:val="auto"/>
              </w:rPr>
              <w:t>Wind</w:t>
            </w:r>
          </w:p>
        </w:tc>
        <w:tc>
          <w:tcPr>
            <w:tcW w:w="2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Cheyenne, Wyoming</w:t>
            </w:r>
          </w:p>
        </w:tc>
        <w:tc>
          <w:tcPr>
            <w:tcW w:w="15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38%</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20.0</w:t>
            </w:r>
          </w:p>
        </w:tc>
        <w:tc>
          <w:tcPr>
            <w:tcW w:w="13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2020</w:t>
            </w:r>
          </w:p>
        </w:tc>
      </w:tr>
      <w:tr>
        <w:trPr>
          <w:trHeight w:val="213"/>
        </w:trPr>
        <w:tc>
          <w:tcPr>
            <w:tcW w:w="3060" w:type="dxa"/>
            <w:vAlign w:val="bottom"/>
          </w:tcPr>
          <w:p>
            <w:pPr>
              <w:ind w:left="220"/>
              <w:spacing w:after="0"/>
              <w:rPr>
                <w:sz w:val="20"/>
                <w:szCs w:val="20"/>
                <w:color w:val="auto"/>
              </w:rPr>
            </w:pPr>
            <w:r>
              <w:rPr>
                <w:rFonts w:ascii="Arial" w:cs="Arial" w:eastAsia="Arial" w:hAnsi="Arial"/>
                <w:sz w:val="16"/>
                <w:szCs w:val="16"/>
                <w:color w:val="auto"/>
              </w:rPr>
              <w:t>Wygen II</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rPr>
              <w:t>Coal</w:t>
            </w:r>
          </w:p>
        </w:tc>
        <w:tc>
          <w:tcPr>
            <w:tcW w:w="2400" w:type="dxa"/>
            <w:vAlign w:val="bottom"/>
          </w:tcPr>
          <w:p>
            <w:pPr>
              <w:jc w:val="center"/>
              <w:spacing w:after="0"/>
              <w:rPr>
                <w:sz w:val="20"/>
                <w:szCs w:val="20"/>
                <w:color w:val="auto"/>
              </w:rPr>
            </w:pPr>
            <w:r>
              <w:rPr>
                <w:rFonts w:ascii="Arial" w:cs="Arial" w:eastAsia="Arial" w:hAnsi="Arial"/>
                <w:sz w:val="16"/>
                <w:szCs w:val="16"/>
                <w:color w:val="auto"/>
              </w:rPr>
              <w:t>Gillette, Wyoming</w:t>
            </w: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Pr>
          <w:p>
            <w:pPr>
              <w:jc w:val="center"/>
              <w:spacing w:after="0"/>
              <w:rPr>
                <w:sz w:val="20"/>
                <w:szCs w:val="20"/>
                <w:color w:val="auto"/>
              </w:rPr>
            </w:pPr>
            <w:r>
              <w:rPr>
                <w:rFonts w:ascii="Arial" w:cs="Arial" w:eastAsia="Arial" w:hAnsi="Arial"/>
                <w:sz w:val="16"/>
                <w:szCs w:val="16"/>
                <w:color w:val="auto"/>
              </w:rPr>
              <w:t>95.0</w:t>
            </w:r>
          </w:p>
        </w:tc>
        <w:tc>
          <w:tcPr>
            <w:tcW w:w="1320" w:type="dxa"/>
            <w:vAlign w:val="bottom"/>
          </w:tcPr>
          <w:p>
            <w:pPr>
              <w:jc w:val="center"/>
              <w:spacing w:after="0"/>
              <w:rPr>
                <w:sz w:val="20"/>
                <w:szCs w:val="20"/>
                <w:color w:val="auto"/>
              </w:rPr>
            </w:pPr>
            <w:r>
              <w:rPr>
                <w:rFonts w:ascii="Arial" w:cs="Arial" w:eastAsia="Arial" w:hAnsi="Arial"/>
                <w:sz w:val="16"/>
                <w:szCs w:val="16"/>
                <w:color w:val="auto"/>
              </w:rPr>
              <w:t>2008</w:t>
            </w:r>
          </w:p>
        </w:tc>
      </w:tr>
      <w:tr>
        <w:trPr>
          <w:trHeight w:val="219"/>
        </w:trPr>
        <w:tc>
          <w:tcPr>
            <w:tcW w:w="3060" w:type="dxa"/>
            <w:vAlign w:val="bottom"/>
            <w:shd w:val="clear" w:color="auto" w:fill="CEFEE7"/>
          </w:tcPr>
          <w:p>
            <w:pPr>
              <w:ind w:left="20"/>
              <w:spacing w:after="0"/>
              <w:rPr>
                <w:sz w:val="20"/>
                <w:szCs w:val="20"/>
                <w:color w:val="auto"/>
              </w:rPr>
            </w:pPr>
            <w:r>
              <w:rPr>
                <w:rFonts w:ascii="Arial" w:cs="Arial" w:eastAsia="Arial" w:hAnsi="Arial"/>
                <w:sz w:val="16"/>
                <w:szCs w:val="16"/>
                <w:color w:val="auto"/>
              </w:rPr>
              <w:t>Integrated Generation:</w:t>
            </w:r>
          </w:p>
        </w:tc>
        <w:tc>
          <w:tcPr>
            <w:tcW w:w="1260" w:type="dxa"/>
            <w:vAlign w:val="bottom"/>
            <w:shd w:val="clear" w:color="auto" w:fill="CEFEE7"/>
          </w:tcPr>
          <w:p>
            <w:pPr>
              <w:spacing w:after="0"/>
              <w:rPr>
                <w:sz w:val="19"/>
                <w:szCs w:val="19"/>
                <w:color w:val="auto"/>
              </w:rPr>
            </w:pPr>
          </w:p>
        </w:tc>
        <w:tc>
          <w:tcPr>
            <w:tcW w:w="2400" w:type="dxa"/>
            <w:vAlign w:val="bottom"/>
            <w:shd w:val="clear" w:color="auto" w:fill="CEFEE7"/>
          </w:tcPr>
          <w:p>
            <w:pPr>
              <w:spacing w:after="0"/>
              <w:rPr>
                <w:sz w:val="19"/>
                <w:szCs w:val="19"/>
                <w:color w:val="auto"/>
              </w:rPr>
            </w:pPr>
          </w:p>
        </w:tc>
        <w:tc>
          <w:tcPr>
            <w:tcW w:w="1500" w:type="dxa"/>
            <w:vAlign w:val="bottom"/>
            <w:shd w:val="clear" w:color="auto" w:fill="CEFEE7"/>
          </w:tcPr>
          <w:p>
            <w:pPr>
              <w:spacing w:after="0"/>
              <w:rPr>
                <w:sz w:val="19"/>
                <w:szCs w:val="19"/>
                <w:color w:val="auto"/>
              </w:rPr>
            </w:pPr>
          </w:p>
        </w:tc>
        <w:tc>
          <w:tcPr>
            <w:tcW w:w="1700" w:type="dxa"/>
            <w:vAlign w:val="bottom"/>
            <w:shd w:val="clear" w:color="auto" w:fill="CEFEE7"/>
          </w:tcPr>
          <w:p>
            <w:pPr>
              <w:spacing w:after="0"/>
              <w:rPr>
                <w:sz w:val="19"/>
                <w:szCs w:val="19"/>
                <w:color w:val="auto"/>
              </w:rPr>
            </w:pPr>
          </w:p>
        </w:tc>
        <w:tc>
          <w:tcPr>
            <w:tcW w:w="1320" w:type="dxa"/>
            <w:vAlign w:val="bottom"/>
            <w:shd w:val="clear" w:color="auto" w:fill="CEFEE7"/>
          </w:tcPr>
          <w:p>
            <w:pPr>
              <w:spacing w:after="0"/>
              <w:rPr>
                <w:sz w:val="19"/>
                <w:szCs w:val="19"/>
                <w:color w:val="auto"/>
              </w:rPr>
            </w:pPr>
          </w:p>
        </w:tc>
      </w:tr>
      <w:tr>
        <w:trPr>
          <w:trHeight w:val="213"/>
        </w:trPr>
        <w:tc>
          <w:tcPr>
            <w:tcW w:w="3060" w:type="dxa"/>
            <w:vAlign w:val="bottom"/>
          </w:tcPr>
          <w:p>
            <w:pPr>
              <w:ind w:left="240"/>
              <w:spacing w:after="0"/>
              <w:rPr>
                <w:sz w:val="20"/>
                <w:szCs w:val="20"/>
                <w:color w:val="auto"/>
              </w:rPr>
            </w:pPr>
            <w:r>
              <w:rPr>
                <w:rFonts w:ascii="Arial" w:cs="Arial" w:eastAsia="Arial" w:hAnsi="Arial"/>
                <w:sz w:val="16"/>
                <w:szCs w:val="16"/>
                <w:color w:val="auto"/>
              </w:rPr>
              <w:t>Wygen I</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rPr>
              <w:t>Coal</w:t>
            </w:r>
          </w:p>
        </w:tc>
        <w:tc>
          <w:tcPr>
            <w:tcW w:w="2400" w:type="dxa"/>
            <w:vAlign w:val="bottom"/>
          </w:tcPr>
          <w:p>
            <w:pPr>
              <w:jc w:val="center"/>
              <w:spacing w:after="0"/>
              <w:rPr>
                <w:sz w:val="20"/>
                <w:szCs w:val="20"/>
                <w:color w:val="auto"/>
              </w:rPr>
            </w:pPr>
            <w:r>
              <w:rPr>
                <w:rFonts w:ascii="Arial" w:cs="Arial" w:eastAsia="Arial" w:hAnsi="Arial"/>
                <w:sz w:val="16"/>
                <w:szCs w:val="16"/>
                <w:color w:val="auto"/>
              </w:rPr>
              <w:t>Gillette, Wyoming</w:t>
            </w:r>
          </w:p>
        </w:tc>
        <w:tc>
          <w:tcPr>
            <w:tcW w:w="1500" w:type="dxa"/>
            <w:vAlign w:val="bottom"/>
          </w:tcPr>
          <w:p>
            <w:pPr>
              <w:jc w:val="center"/>
              <w:spacing w:after="0"/>
              <w:rPr>
                <w:sz w:val="20"/>
                <w:szCs w:val="20"/>
                <w:color w:val="auto"/>
              </w:rPr>
            </w:pPr>
            <w:r>
              <w:rPr>
                <w:rFonts w:ascii="Arial" w:cs="Arial" w:eastAsia="Arial" w:hAnsi="Arial"/>
                <w:sz w:val="16"/>
                <w:szCs w:val="16"/>
                <w:color w:val="auto"/>
                <w:w w:val="96"/>
              </w:rPr>
              <w:t>76.5%</w:t>
            </w:r>
          </w:p>
        </w:tc>
        <w:tc>
          <w:tcPr>
            <w:tcW w:w="1700" w:type="dxa"/>
            <w:vAlign w:val="bottom"/>
          </w:tcPr>
          <w:p>
            <w:pPr>
              <w:jc w:val="center"/>
              <w:spacing w:after="0"/>
              <w:rPr>
                <w:sz w:val="20"/>
                <w:szCs w:val="20"/>
                <w:color w:val="auto"/>
              </w:rPr>
            </w:pPr>
            <w:r>
              <w:rPr>
                <w:rFonts w:ascii="Arial" w:cs="Arial" w:eastAsia="Arial" w:hAnsi="Arial"/>
                <w:sz w:val="16"/>
                <w:szCs w:val="16"/>
                <w:color w:val="auto"/>
              </w:rPr>
              <w:t>68.9</w:t>
            </w:r>
          </w:p>
        </w:tc>
        <w:tc>
          <w:tcPr>
            <w:tcW w:w="1320" w:type="dxa"/>
            <w:vAlign w:val="bottom"/>
          </w:tcPr>
          <w:p>
            <w:pPr>
              <w:jc w:val="center"/>
              <w:spacing w:after="0"/>
              <w:rPr>
                <w:sz w:val="20"/>
                <w:szCs w:val="20"/>
                <w:color w:val="auto"/>
              </w:rPr>
            </w:pPr>
            <w:r>
              <w:rPr>
                <w:rFonts w:ascii="Arial" w:cs="Arial" w:eastAsia="Arial" w:hAnsi="Arial"/>
                <w:sz w:val="16"/>
                <w:szCs w:val="16"/>
                <w:color w:val="auto"/>
              </w:rPr>
              <w:t>2003</w:t>
            </w:r>
          </w:p>
        </w:tc>
      </w:tr>
      <w:tr>
        <w:trPr>
          <w:trHeight w:val="219"/>
        </w:trPr>
        <w:tc>
          <w:tcPr>
            <w:tcW w:w="3060" w:type="dxa"/>
            <w:vAlign w:val="bottom"/>
            <w:shd w:val="clear" w:color="auto" w:fill="CEFEE7"/>
          </w:tcPr>
          <w:p>
            <w:pPr>
              <w:ind w:left="240"/>
              <w:spacing w:after="0"/>
              <w:rPr>
                <w:sz w:val="20"/>
                <w:szCs w:val="20"/>
                <w:color w:val="auto"/>
              </w:rPr>
            </w:pPr>
            <w:r>
              <w:rPr>
                <w:rFonts w:ascii="Arial" w:cs="Arial" w:eastAsia="Arial" w:hAnsi="Arial"/>
                <w:sz w:val="16"/>
                <w:szCs w:val="16"/>
                <w:color w:val="auto"/>
              </w:rPr>
              <w:t>Pueblo Airport Generation #4-5</w:t>
            </w:r>
          </w:p>
        </w:tc>
        <w:tc>
          <w:tcPr>
            <w:tcW w:w="1260" w:type="dxa"/>
            <w:vAlign w:val="bottom"/>
            <w:shd w:val="clear" w:color="auto" w:fill="CEFEE7"/>
          </w:tcPr>
          <w:p>
            <w:pPr>
              <w:jc w:val="center"/>
              <w:ind w:left="119"/>
              <w:spacing w:after="0"/>
              <w:rPr>
                <w:sz w:val="20"/>
                <w:szCs w:val="20"/>
                <w:color w:val="auto"/>
              </w:rPr>
            </w:pPr>
            <w:r>
              <w:rPr>
                <w:rFonts w:ascii="Arial" w:cs="Arial" w:eastAsia="Arial" w:hAnsi="Arial"/>
                <w:sz w:val="16"/>
                <w:szCs w:val="16"/>
                <w:color w:val="auto"/>
              </w:rPr>
              <w:t>Gas</w:t>
            </w:r>
          </w:p>
        </w:tc>
        <w:tc>
          <w:tcPr>
            <w:tcW w:w="2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shd w:val="clear" w:color="auto" w:fill="CEFEE7"/>
          </w:tcPr>
          <w:p>
            <w:pPr>
              <w:jc w:val="center"/>
              <w:spacing w:after="0" w:line="219" w:lineRule="exact"/>
              <w:rPr>
                <w:sz w:val="20"/>
                <w:szCs w:val="20"/>
                <w:color w:val="auto"/>
              </w:rPr>
            </w:pPr>
            <w:r>
              <w:rPr>
                <w:rFonts w:ascii="Arial" w:cs="Arial" w:eastAsia="Arial" w:hAnsi="Arial"/>
                <w:sz w:val="16"/>
                <w:szCs w:val="16"/>
                <w:color w:val="auto"/>
                <w:w w:val="89"/>
              </w:rPr>
              <w:t xml:space="preserve">50.1% </w:t>
            </w:r>
            <w:r>
              <w:rPr>
                <w:rFonts w:ascii="Arial" w:cs="Arial" w:eastAsia="Arial" w:hAnsi="Arial"/>
                <w:sz w:val="21"/>
                <w:szCs w:val="21"/>
                <w:color w:val="auto"/>
                <w:w w:val="89"/>
                <w:vertAlign w:val="superscript"/>
              </w:rPr>
              <w:t>(e)</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200.0</w:t>
            </w:r>
          </w:p>
        </w:tc>
        <w:tc>
          <w:tcPr>
            <w:tcW w:w="13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2012</w:t>
            </w:r>
          </w:p>
        </w:tc>
      </w:tr>
      <w:tr>
        <w:trPr>
          <w:trHeight w:val="216"/>
        </w:trPr>
        <w:tc>
          <w:tcPr>
            <w:tcW w:w="306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Busch Ranch I </w:t>
            </w:r>
            <w:r>
              <w:rPr>
                <w:rFonts w:ascii="Arial" w:cs="Arial" w:eastAsia="Arial" w:hAnsi="Arial"/>
                <w:sz w:val="21"/>
                <w:szCs w:val="21"/>
                <w:color w:val="auto"/>
                <w:vertAlign w:val="superscript"/>
              </w:rPr>
              <w:t>(a)</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rPr>
              <w:t>Wind</w:t>
            </w:r>
          </w:p>
        </w:tc>
        <w:tc>
          <w:tcPr>
            <w:tcW w:w="240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700" w:type="dxa"/>
            <w:vAlign w:val="bottom"/>
          </w:tcPr>
          <w:p>
            <w:pPr>
              <w:jc w:val="center"/>
              <w:spacing w:after="0"/>
              <w:rPr>
                <w:sz w:val="20"/>
                <w:szCs w:val="20"/>
                <w:color w:val="auto"/>
              </w:rPr>
            </w:pPr>
            <w:r>
              <w:rPr>
                <w:rFonts w:ascii="Arial" w:cs="Arial" w:eastAsia="Arial" w:hAnsi="Arial"/>
                <w:sz w:val="16"/>
                <w:szCs w:val="16"/>
                <w:color w:val="auto"/>
              </w:rPr>
              <w:t>14.5</w:t>
            </w:r>
          </w:p>
        </w:tc>
        <w:tc>
          <w:tcPr>
            <w:tcW w:w="1320" w:type="dxa"/>
            <w:vAlign w:val="bottom"/>
          </w:tcPr>
          <w:p>
            <w:pPr>
              <w:jc w:val="center"/>
              <w:spacing w:after="0"/>
              <w:rPr>
                <w:sz w:val="20"/>
                <w:szCs w:val="20"/>
                <w:color w:val="auto"/>
              </w:rPr>
            </w:pPr>
            <w:r>
              <w:rPr>
                <w:rFonts w:ascii="Arial" w:cs="Arial" w:eastAsia="Arial" w:hAnsi="Arial"/>
                <w:sz w:val="16"/>
                <w:szCs w:val="16"/>
                <w:color w:val="auto"/>
              </w:rPr>
              <w:t>2012</w:t>
            </w:r>
          </w:p>
        </w:tc>
      </w:tr>
      <w:tr>
        <w:trPr>
          <w:trHeight w:val="216"/>
        </w:trPr>
        <w:tc>
          <w:tcPr>
            <w:tcW w:w="3060" w:type="dxa"/>
            <w:vAlign w:val="bottom"/>
            <w:shd w:val="clear" w:color="auto" w:fill="CEFEE7"/>
          </w:tcPr>
          <w:p>
            <w:pPr>
              <w:ind w:left="240"/>
              <w:spacing w:after="0" w:line="216" w:lineRule="exact"/>
              <w:rPr>
                <w:sz w:val="20"/>
                <w:szCs w:val="20"/>
                <w:color w:val="auto"/>
              </w:rPr>
            </w:pPr>
            <w:r>
              <w:rPr>
                <w:rFonts w:ascii="Arial" w:cs="Arial" w:eastAsia="Arial" w:hAnsi="Arial"/>
                <w:sz w:val="16"/>
                <w:szCs w:val="16"/>
                <w:color w:val="auto"/>
              </w:rPr>
              <w:t xml:space="preserve">Busch Ranch II </w:t>
            </w:r>
            <w:r>
              <w:rPr>
                <w:rFonts w:ascii="Arial" w:cs="Arial" w:eastAsia="Arial" w:hAnsi="Arial"/>
                <w:sz w:val="21"/>
                <w:szCs w:val="21"/>
                <w:color w:val="auto"/>
                <w:vertAlign w:val="superscript"/>
              </w:rPr>
              <w:t>(c)</w:t>
            </w:r>
          </w:p>
        </w:tc>
        <w:tc>
          <w:tcPr>
            <w:tcW w:w="1260" w:type="dxa"/>
            <w:vAlign w:val="bottom"/>
            <w:shd w:val="clear" w:color="auto" w:fill="CEFEE7"/>
          </w:tcPr>
          <w:p>
            <w:pPr>
              <w:jc w:val="center"/>
              <w:ind w:left="119"/>
              <w:spacing w:after="0"/>
              <w:rPr>
                <w:sz w:val="20"/>
                <w:szCs w:val="20"/>
                <w:color w:val="auto"/>
              </w:rPr>
            </w:pPr>
            <w:r>
              <w:rPr>
                <w:rFonts w:ascii="Arial" w:cs="Arial" w:eastAsia="Arial" w:hAnsi="Arial"/>
                <w:sz w:val="16"/>
                <w:szCs w:val="16"/>
                <w:color w:val="auto"/>
              </w:rPr>
              <w:t>Wind</w:t>
            </w:r>
          </w:p>
        </w:tc>
        <w:tc>
          <w:tcPr>
            <w:tcW w:w="2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59.4</w:t>
            </w:r>
          </w:p>
        </w:tc>
        <w:tc>
          <w:tcPr>
            <w:tcW w:w="13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2019</w:t>
            </w:r>
          </w:p>
        </w:tc>
      </w:tr>
      <w:tr>
        <w:trPr>
          <w:trHeight w:val="216"/>
        </w:trPr>
        <w:tc>
          <w:tcPr>
            <w:tcW w:w="3060" w:type="dxa"/>
            <w:vAlign w:val="bottom"/>
            <w:tcBorders>
              <w:bottom w:val="single" w:sz="8" w:color="CEFEE7"/>
            </w:tcBorders>
          </w:tcPr>
          <w:p>
            <w:pPr>
              <w:ind w:left="240"/>
              <w:spacing w:after="0" w:line="216" w:lineRule="exact"/>
              <w:rPr>
                <w:sz w:val="20"/>
                <w:szCs w:val="20"/>
                <w:color w:val="auto"/>
              </w:rPr>
            </w:pPr>
            <w:r>
              <w:rPr>
                <w:rFonts w:ascii="Arial" w:cs="Arial" w:eastAsia="Arial" w:hAnsi="Arial"/>
                <w:sz w:val="16"/>
                <w:szCs w:val="16"/>
                <w:color w:val="auto"/>
              </w:rPr>
              <w:t xml:space="preserve">Top of Iowa </w:t>
            </w:r>
            <w:r>
              <w:rPr>
                <w:rFonts w:ascii="Arial" w:cs="Arial" w:eastAsia="Arial" w:hAnsi="Arial"/>
                <w:sz w:val="21"/>
                <w:szCs w:val="21"/>
                <w:color w:val="auto"/>
                <w:vertAlign w:val="superscript"/>
              </w:rPr>
              <w:t>(c)</w:t>
            </w:r>
          </w:p>
        </w:tc>
        <w:tc>
          <w:tcPr>
            <w:tcW w:w="1260" w:type="dxa"/>
            <w:vAlign w:val="bottom"/>
            <w:tcBorders>
              <w:bottom w:val="single" w:sz="8" w:color="CEFEE7"/>
            </w:tcBorders>
          </w:tcPr>
          <w:p>
            <w:pPr>
              <w:jc w:val="center"/>
              <w:ind w:left="119"/>
              <w:spacing w:after="0"/>
              <w:rPr>
                <w:sz w:val="20"/>
                <w:szCs w:val="20"/>
                <w:color w:val="auto"/>
              </w:rPr>
            </w:pPr>
            <w:r>
              <w:rPr>
                <w:rFonts w:ascii="Arial" w:cs="Arial" w:eastAsia="Arial" w:hAnsi="Arial"/>
                <w:sz w:val="16"/>
                <w:szCs w:val="16"/>
                <w:color w:val="auto"/>
              </w:rPr>
              <w:t>Wind</w:t>
            </w:r>
          </w:p>
        </w:tc>
        <w:tc>
          <w:tcPr>
            <w:tcW w:w="2400" w:type="dxa"/>
            <w:vAlign w:val="bottom"/>
            <w:tcBorders>
              <w:bottom w:val="single" w:sz="8" w:color="CEFEE7"/>
            </w:tcBorders>
          </w:tcPr>
          <w:p>
            <w:pPr>
              <w:jc w:val="center"/>
              <w:spacing w:after="0"/>
              <w:rPr>
                <w:sz w:val="20"/>
                <w:szCs w:val="20"/>
                <w:color w:val="auto"/>
              </w:rPr>
            </w:pPr>
            <w:r>
              <w:rPr>
                <w:rFonts w:ascii="Arial" w:cs="Arial" w:eastAsia="Arial" w:hAnsi="Arial"/>
                <w:sz w:val="16"/>
                <w:szCs w:val="16"/>
                <w:color w:val="auto"/>
                <w:w w:val="99"/>
              </w:rPr>
              <w:t>Joice, Iowa</w:t>
            </w:r>
          </w:p>
        </w:tc>
        <w:tc>
          <w:tcPr>
            <w:tcW w:w="1500" w:type="dxa"/>
            <w:vAlign w:val="bottom"/>
            <w:tcBorders>
              <w:bottom w:val="single" w:sz="8" w:color="CEFEE7"/>
            </w:tcBorders>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87.1</w:t>
            </w:r>
          </w:p>
        </w:tc>
        <w:tc>
          <w:tcPr>
            <w:tcW w:w="1320" w:type="dxa"/>
            <w:vAlign w:val="bottom"/>
            <w:tcBorders>
              <w:bottom w:val="single" w:sz="8" w:color="CEFEE7"/>
            </w:tcBorders>
          </w:tcPr>
          <w:p>
            <w:pPr>
              <w:jc w:val="center"/>
              <w:spacing w:after="0"/>
              <w:rPr>
                <w:sz w:val="20"/>
                <w:szCs w:val="20"/>
                <w:color w:val="auto"/>
              </w:rPr>
            </w:pPr>
            <w:r>
              <w:rPr>
                <w:rFonts w:ascii="Arial" w:cs="Arial" w:eastAsia="Arial" w:hAnsi="Arial"/>
                <w:sz w:val="16"/>
                <w:szCs w:val="16"/>
                <w:color w:val="auto"/>
              </w:rPr>
              <w:t>2019</w:t>
            </w:r>
          </w:p>
        </w:tc>
      </w:tr>
      <w:tr>
        <w:trPr>
          <w:trHeight w:val="234"/>
        </w:trPr>
        <w:tc>
          <w:tcPr>
            <w:tcW w:w="306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6"/>
                <w:szCs w:val="16"/>
                <w:color w:val="auto"/>
              </w:rPr>
              <w:t>Total MW Capacity</w:t>
            </w:r>
          </w:p>
        </w:tc>
        <w:tc>
          <w:tcPr>
            <w:tcW w:w="1260" w:type="dxa"/>
            <w:vAlign w:val="bottom"/>
            <w:tcBorders>
              <w:bottom w:val="single" w:sz="8" w:color="CEFEE7"/>
            </w:tcBorders>
            <w:shd w:val="clear" w:color="auto" w:fill="CEFEE7"/>
          </w:tcPr>
          <w:p>
            <w:pPr>
              <w:spacing w:after="0"/>
              <w:rPr>
                <w:sz w:val="19"/>
                <w:szCs w:val="19"/>
                <w:color w:val="auto"/>
              </w:rPr>
            </w:pPr>
          </w:p>
        </w:tc>
        <w:tc>
          <w:tcPr>
            <w:tcW w:w="2400" w:type="dxa"/>
            <w:vAlign w:val="bottom"/>
            <w:tcBorders>
              <w:bottom w:val="single" w:sz="8" w:color="CEFEE7"/>
            </w:tcBorders>
            <w:shd w:val="clear" w:color="auto" w:fill="CEFEE7"/>
          </w:tcPr>
          <w:p>
            <w:pPr>
              <w:spacing w:after="0"/>
              <w:rPr>
                <w:sz w:val="19"/>
                <w:szCs w:val="19"/>
                <w:color w:val="auto"/>
              </w:rPr>
            </w:pPr>
          </w:p>
        </w:tc>
        <w:tc>
          <w:tcPr>
            <w:tcW w:w="1500" w:type="dxa"/>
            <w:vAlign w:val="bottom"/>
            <w:tcBorders>
              <w:bottom w:val="single" w:sz="8" w:color="CEFEE7"/>
            </w:tcBorders>
            <w:shd w:val="clear" w:color="auto" w:fill="CEFEE7"/>
          </w:tcPr>
          <w:p>
            <w:pPr>
              <w:spacing w:after="0"/>
              <w:rPr>
                <w:sz w:val="19"/>
                <w:szCs w:val="19"/>
                <w:color w:val="auto"/>
              </w:rPr>
            </w:pPr>
          </w:p>
        </w:tc>
        <w:tc>
          <w:tcPr>
            <w:tcW w:w="1700" w:type="dxa"/>
            <w:vAlign w:val="bottom"/>
            <w:tcBorders>
              <w:bottom w:val="single" w:sz="8" w:color="auto"/>
            </w:tcBorders>
            <w:shd w:val="clear" w:color="auto" w:fill="CEFEE7"/>
          </w:tcPr>
          <w:p>
            <w:pPr>
              <w:jc w:val="center"/>
              <w:spacing w:after="0"/>
              <w:rPr>
                <w:sz w:val="20"/>
                <w:szCs w:val="20"/>
                <w:color w:val="auto"/>
              </w:rPr>
            </w:pPr>
            <w:r>
              <w:rPr>
                <w:rFonts w:ascii="Arial" w:cs="Arial" w:eastAsia="Arial" w:hAnsi="Arial"/>
                <w:sz w:val="16"/>
                <w:szCs w:val="16"/>
                <w:color w:val="auto"/>
              </w:rPr>
              <w:t>1,481.5</w:t>
            </w:r>
          </w:p>
        </w:tc>
        <w:tc>
          <w:tcPr>
            <w:tcW w:w="1320" w:type="dxa"/>
            <w:vAlign w:val="bottom"/>
            <w:tcBorders>
              <w:bottom w:val="single" w:sz="8" w:color="CEFEE7"/>
            </w:tcBorders>
            <w:shd w:val="clear" w:color="auto" w:fill="CEFEE7"/>
          </w:tcPr>
          <w:p>
            <w:pPr>
              <w:spacing w:after="0"/>
              <w:rPr>
                <w:sz w:val="19"/>
                <w:szCs w:val="19"/>
                <w:color w:val="auto"/>
              </w:rPr>
            </w:pPr>
          </w:p>
        </w:tc>
      </w:tr>
      <w:tr>
        <w:trPr>
          <w:trHeight w:val="20"/>
        </w:trPr>
        <w:tc>
          <w:tcPr>
            <w:tcW w:w="3060" w:type="dxa"/>
            <w:vAlign w:val="bottom"/>
            <w:tcBorders>
              <w:top w:val="single" w:sz="8" w:color="CEFEE7"/>
            </w:tcBorders>
          </w:tcPr>
          <w:p>
            <w:pPr>
              <w:spacing w:after="0" w:line="20" w:lineRule="exact"/>
              <w:rPr>
                <w:sz w:val="1"/>
                <w:szCs w:val="1"/>
                <w:color w:val="auto"/>
              </w:rPr>
            </w:pPr>
          </w:p>
        </w:tc>
        <w:tc>
          <w:tcPr>
            <w:tcW w:w="1260" w:type="dxa"/>
            <w:vAlign w:val="bottom"/>
            <w:tcBorders>
              <w:top w:val="single" w:sz="8" w:color="CEFEE7"/>
            </w:tcBorders>
          </w:tcPr>
          <w:p>
            <w:pPr>
              <w:spacing w:after="0" w:line="20" w:lineRule="exact"/>
              <w:rPr>
                <w:sz w:val="1"/>
                <w:szCs w:val="1"/>
                <w:color w:val="auto"/>
              </w:rPr>
            </w:pPr>
          </w:p>
        </w:tc>
        <w:tc>
          <w:tcPr>
            <w:tcW w:w="2400" w:type="dxa"/>
            <w:vAlign w:val="bottom"/>
            <w:tcBorders>
              <w:top w:val="single" w:sz="8" w:color="CEFEE7"/>
            </w:tcBorders>
          </w:tcPr>
          <w:p>
            <w:pPr>
              <w:spacing w:after="0" w:line="20" w:lineRule="exact"/>
              <w:rPr>
                <w:sz w:val="1"/>
                <w:szCs w:val="1"/>
                <w:color w:val="auto"/>
              </w:rPr>
            </w:pPr>
          </w:p>
        </w:tc>
        <w:tc>
          <w:tcPr>
            <w:tcW w:w="1500" w:type="dxa"/>
            <w:vAlign w:val="bottom"/>
            <w:tcBorders>
              <w:top w:val="single" w:sz="8" w:color="CEFEE7"/>
            </w:tcBorders>
          </w:tcPr>
          <w:p>
            <w:pPr>
              <w:spacing w:after="0" w:line="20" w:lineRule="exact"/>
              <w:rPr>
                <w:sz w:val="1"/>
                <w:szCs w:val="1"/>
                <w:color w:val="auto"/>
              </w:rPr>
            </w:pPr>
          </w:p>
        </w:tc>
        <w:tc>
          <w:tcPr>
            <w:tcW w:w="1700" w:type="dxa"/>
            <w:vAlign w:val="bottom"/>
            <w:tcBorders>
              <w:top w:val="single" w:sz="8" w:color="CEFEE7"/>
              <w:bottom w:val="single" w:sz="8" w:color="auto"/>
            </w:tcBorders>
          </w:tcPr>
          <w:p>
            <w:pPr>
              <w:spacing w:after="0" w:line="20" w:lineRule="exact"/>
              <w:rPr>
                <w:sz w:val="1"/>
                <w:szCs w:val="1"/>
                <w:color w:val="auto"/>
              </w:rPr>
            </w:pPr>
          </w:p>
        </w:tc>
        <w:tc>
          <w:tcPr>
            <w:tcW w:w="1320" w:type="dxa"/>
            <w:vAlign w:val="bottom"/>
            <w:tcBorders>
              <w:top w:val="single" w:sz="8" w:color="CEFEE7"/>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2013, Busch Ranch I was awarded a one-time cash grant in lieu of ITCs under the Section 1603 program created under the American Recovery and Reinvestment Act.</w:t>
      </w:r>
    </w:p>
    <w:p>
      <w:pPr>
        <w:spacing w:after="0" w:line="1" w:lineRule="exact"/>
        <w:rPr>
          <w:rFonts w:ascii="Arial" w:cs="Arial" w:eastAsia="Arial" w:hAnsi="Arial"/>
          <w:sz w:val="14"/>
          <w:szCs w:val="14"/>
          <w:color w:val="auto"/>
        </w:rPr>
      </w:pPr>
    </w:p>
    <w:p>
      <w:pPr>
        <w:ind w:left="340" w:right="100" w:hanging="332"/>
        <w:spacing w:after="0" w:line="241" w:lineRule="auto"/>
        <w:tabs>
          <w:tab w:leader="none" w:pos="349"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Peak View facility qualifies for PTCs at $25/MWh under IRC 45 during the 10-year period beginning November 2016. The PTCs for this facility flow back to customers through a rider mechanism as a reduction to Colorado Electric’s margins.</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facility qualifies for PTCs at $25/MWh under IRC 45 during the 10-year period beginning on the date the facility was originally placed in service.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Jointly owned facilities are discussed in </w:t>
      </w:r>
      <w:hyperlink w:anchor="page86">
        <w:r>
          <w:rPr>
            <w:rFonts w:ascii="Arial" w:cs="Arial" w:eastAsia="Arial" w:hAnsi="Arial"/>
            <w:sz w:val="14"/>
            <w:szCs w:val="14"/>
            <w:u w:val="single" w:color="auto"/>
            <w:color w:val="0000FF"/>
          </w:rPr>
          <w:t>Note 6</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Consolidated Financial Statements in this Annual Report on Form 10-K.</w:t>
      </w:r>
    </w:p>
    <w:p>
      <w:pPr>
        <w:spacing w:after="0" w:line="1" w:lineRule="exact"/>
        <w:rPr>
          <w:rFonts w:ascii="Arial" w:cs="Arial" w:eastAsia="Arial" w:hAnsi="Arial"/>
          <w:sz w:val="14"/>
          <w:szCs w:val="14"/>
          <w:color w:val="auto"/>
        </w:rPr>
      </w:pPr>
    </w:p>
    <w:p>
      <w:pPr>
        <w:ind w:left="340" w:right="600" w:hanging="332"/>
        <w:spacing w:after="0" w:line="258" w:lineRule="auto"/>
        <w:tabs>
          <w:tab w:leader="none" w:pos="352"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 2016, Black Hills Electric Generation sold a 49.9% non-controlling interest in Black Hills Colorado IPP to a third party. See </w:t>
      </w:r>
      <w:hyperlink w:anchor="page97">
        <w:r>
          <w:rPr>
            <w:rFonts w:ascii="Arial" w:cs="Arial" w:eastAsia="Arial" w:hAnsi="Arial"/>
            <w:sz w:val="14"/>
            <w:szCs w:val="14"/>
            <w:u w:val="single" w:color="auto"/>
            <w:color w:val="0000FF"/>
          </w:rPr>
          <w:t>Note 12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Consolidated Financial Statements in this Annual Report on Form 10-K for additional information.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27"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Our Electric Utilities’ power supply by resource as a percent of the total power supply for our energy needs for the years ended December 31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Power Supply</w:t>
            </w:r>
          </w:p>
        </w:tc>
        <w:tc>
          <w:tcPr>
            <w:tcW w:w="19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2021</w:t>
            </w:r>
          </w:p>
        </w:tc>
        <w:tc>
          <w:tcPr>
            <w:tcW w:w="166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2020</w:t>
            </w: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2019</w:t>
            </w:r>
          </w:p>
        </w:tc>
      </w:tr>
      <w:tr>
        <w:trPr>
          <w:trHeight w:val="213"/>
        </w:trPr>
        <w:tc>
          <w:tcPr>
            <w:tcW w:w="628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Coal</w:t>
            </w:r>
          </w:p>
        </w:tc>
        <w:tc>
          <w:tcPr>
            <w:tcW w:w="196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34.2 %</w:t>
            </w:r>
          </w:p>
        </w:tc>
        <w:tc>
          <w:tcPr>
            <w:tcW w:w="166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40.3 %</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40.0 %</w:t>
            </w:r>
          </w:p>
        </w:tc>
      </w:tr>
      <w:tr>
        <w:trPr>
          <w:trHeight w:val="216"/>
        </w:trPr>
        <w:tc>
          <w:tcPr>
            <w:tcW w:w="6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and Diesel Oil </w:t>
            </w:r>
            <w:r>
              <w:rPr>
                <w:rFonts w:ascii="Arial" w:cs="Arial" w:eastAsia="Arial" w:hAnsi="Arial"/>
                <w:sz w:val="21"/>
                <w:szCs w:val="21"/>
                <w:color w:val="auto"/>
                <w:vertAlign w:val="superscript"/>
              </w:rPr>
              <w:t>(a)</w:t>
            </w:r>
          </w:p>
        </w:tc>
        <w:tc>
          <w:tcPr>
            <w:tcW w:w="1960" w:type="dxa"/>
            <w:vAlign w:val="bottom"/>
          </w:tcPr>
          <w:p>
            <w:pPr>
              <w:jc w:val="right"/>
              <w:ind w:right="439"/>
              <w:spacing w:after="0"/>
              <w:rPr>
                <w:sz w:val="20"/>
                <w:szCs w:val="20"/>
                <w:color w:val="auto"/>
              </w:rPr>
            </w:pPr>
            <w:r>
              <w:rPr>
                <w:rFonts w:ascii="Arial" w:cs="Arial" w:eastAsia="Arial" w:hAnsi="Arial"/>
                <w:sz w:val="16"/>
                <w:szCs w:val="16"/>
                <w:color w:val="auto"/>
              </w:rPr>
              <w:t>24.4</w:t>
            </w:r>
          </w:p>
        </w:tc>
        <w:tc>
          <w:tcPr>
            <w:tcW w:w="1660" w:type="dxa"/>
            <w:vAlign w:val="bottom"/>
          </w:tcPr>
          <w:p>
            <w:pPr>
              <w:jc w:val="right"/>
              <w:ind w:right="439"/>
              <w:spacing w:after="0"/>
              <w:rPr>
                <w:sz w:val="20"/>
                <w:szCs w:val="20"/>
                <w:color w:val="auto"/>
              </w:rPr>
            </w:pPr>
            <w:r>
              <w:rPr>
                <w:rFonts w:ascii="Arial" w:cs="Arial" w:eastAsia="Arial" w:hAnsi="Arial"/>
                <w:sz w:val="16"/>
                <w:szCs w:val="16"/>
                <w:color w:val="auto"/>
              </w:rPr>
              <w:t>25.0</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22.2</w:t>
            </w:r>
          </w:p>
        </w:tc>
      </w:tr>
      <w:tr>
        <w:trPr>
          <w:trHeight w:val="213"/>
        </w:trPr>
        <w:tc>
          <w:tcPr>
            <w:tcW w:w="6280" w:type="dxa"/>
            <w:vAlign w:val="bottom"/>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196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rPr>
              <w:t>11.3</w:t>
            </w:r>
          </w:p>
        </w:tc>
        <w:tc>
          <w:tcPr>
            <w:tcW w:w="166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rPr>
              <w:t>8.8</w:t>
            </w:r>
          </w:p>
        </w:tc>
        <w:tc>
          <w:tcPr>
            <w:tcW w:w="134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5.8</w:t>
            </w:r>
          </w:p>
        </w:tc>
      </w:tr>
      <w:tr>
        <w:trPr>
          <w:trHeight w:val="209"/>
        </w:trPr>
        <w:tc>
          <w:tcPr>
            <w:tcW w:w="6280" w:type="dxa"/>
            <w:vAlign w:val="bottom"/>
            <w:tcBorders>
              <w:bottom w:val="single" w:sz="8" w:color="CEFFE7"/>
            </w:tcBorders>
          </w:tcPr>
          <w:p>
            <w:pPr>
              <w:ind w:left="480"/>
              <w:spacing w:after="0"/>
              <w:rPr>
                <w:sz w:val="20"/>
                <w:szCs w:val="20"/>
                <w:color w:val="auto"/>
              </w:rPr>
            </w:pPr>
            <w:r>
              <w:rPr>
                <w:rFonts w:ascii="Arial" w:cs="Arial" w:eastAsia="Arial" w:hAnsi="Arial"/>
                <w:sz w:val="16"/>
                <w:szCs w:val="16"/>
                <w:color w:val="auto"/>
              </w:rPr>
              <w:t>Total Generated</w:t>
            </w:r>
          </w:p>
        </w:tc>
        <w:tc>
          <w:tcPr>
            <w:tcW w:w="1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69.9</w:t>
            </w:r>
          </w:p>
        </w:tc>
        <w:tc>
          <w:tcPr>
            <w:tcW w:w="16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74.1</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68.0</w:t>
            </w:r>
          </w:p>
        </w:tc>
      </w:tr>
      <w:tr>
        <w:trPr>
          <w:trHeight w:val="213"/>
        </w:trPr>
        <w:tc>
          <w:tcPr>
            <w:tcW w:w="628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Coal, Natural Gas, Oil and Other Market Purchases</w:t>
            </w:r>
          </w:p>
        </w:tc>
        <w:tc>
          <w:tcPr>
            <w:tcW w:w="1960" w:type="dxa"/>
            <w:vAlign w:val="bottom"/>
            <w:shd w:val="clear" w:color="auto" w:fill="CEFFE7"/>
          </w:tcPr>
          <w:p>
            <w:pPr>
              <w:jc w:val="right"/>
              <w:ind w:right="439"/>
              <w:spacing w:after="0"/>
              <w:rPr>
                <w:sz w:val="20"/>
                <w:szCs w:val="20"/>
                <w:color w:val="auto"/>
              </w:rPr>
            </w:pPr>
            <w:r>
              <w:rPr>
                <w:rFonts w:ascii="Arial" w:cs="Arial" w:eastAsia="Arial" w:hAnsi="Arial"/>
                <w:sz w:val="16"/>
                <w:szCs w:val="16"/>
                <w:color w:val="auto"/>
              </w:rPr>
              <w:t>25.1</w:t>
            </w:r>
          </w:p>
        </w:tc>
        <w:tc>
          <w:tcPr>
            <w:tcW w:w="1660" w:type="dxa"/>
            <w:vAlign w:val="bottom"/>
            <w:shd w:val="clear" w:color="auto" w:fill="CEFFE7"/>
          </w:tcPr>
          <w:p>
            <w:pPr>
              <w:jc w:val="right"/>
              <w:ind w:right="439"/>
              <w:spacing w:after="0"/>
              <w:rPr>
                <w:sz w:val="20"/>
                <w:szCs w:val="20"/>
                <w:color w:val="auto"/>
              </w:rPr>
            </w:pPr>
            <w:r>
              <w:rPr>
                <w:rFonts w:ascii="Arial" w:cs="Arial" w:eastAsia="Arial" w:hAnsi="Arial"/>
                <w:sz w:val="16"/>
                <w:szCs w:val="16"/>
                <w:color w:val="auto"/>
              </w:rPr>
              <w:t>21.1</w:t>
            </w:r>
          </w:p>
        </w:tc>
        <w:tc>
          <w:tcPr>
            <w:tcW w:w="134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29.1</w:t>
            </w:r>
          </w:p>
        </w:tc>
      </w:tr>
      <w:tr>
        <w:trPr>
          <w:trHeight w:val="213"/>
        </w:trPr>
        <w:tc>
          <w:tcPr>
            <w:tcW w:w="62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Wind Purchases</w:t>
            </w:r>
          </w:p>
        </w:tc>
        <w:tc>
          <w:tcPr>
            <w:tcW w:w="1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5.0</w:t>
            </w:r>
          </w:p>
        </w:tc>
        <w:tc>
          <w:tcPr>
            <w:tcW w:w="16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4.8</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w:t>
            </w:r>
          </w:p>
        </w:tc>
      </w:tr>
      <w:tr>
        <w:trPr>
          <w:trHeight w:val="209"/>
        </w:trPr>
        <w:tc>
          <w:tcPr>
            <w:tcW w:w="628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Purchased</w:t>
            </w:r>
          </w:p>
        </w:tc>
        <w:tc>
          <w:tcPr>
            <w:tcW w:w="196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rPr>
              <w:t>30.1</w:t>
            </w:r>
          </w:p>
        </w:tc>
        <w:tc>
          <w:tcPr>
            <w:tcW w:w="166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rPr>
              <w:t>25.9</w:t>
            </w:r>
          </w:p>
        </w:tc>
        <w:tc>
          <w:tcPr>
            <w:tcW w:w="134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32.0</w:t>
            </w:r>
          </w:p>
        </w:tc>
      </w:tr>
      <w:tr>
        <w:trPr>
          <w:trHeight w:val="212"/>
        </w:trPr>
        <w:tc>
          <w:tcPr>
            <w:tcW w:w="6280" w:type="dxa"/>
            <w:vAlign w:val="bottom"/>
          </w:tcPr>
          <w:p>
            <w:pPr>
              <w:ind w:left="140"/>
              <w:spacing w:after="0"/>
              <w:rPr>
                <w:sz w:val="20"/>
                <w:szCs w:val="20"/>
                <w:color w:val="auto"/>
              </w:rPr>
            </w:pPr>
            <w:r>
              <w:rPr>
                <w:rFonts w:ascii="Arial" w:cs="Arial" w:eastAsia="Arial" w:hAnsi="Arial"/>
                <w:sz w:val="16"/>
                <w:szCs w:val="16"/>
                <w:color w:val="auto"/>
              </w:rPr>
              <w:t>Total</w:t>
            </w:r>
          </w:p>
        </w:tc>
        <w:tc>
          <w:tcPr>
            <w:tcW w:w="1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100.0 %</w:t>
            </w:r>
          </w:p>
        </w:tc>
        <w:tc>
          <w:tcPr>
            <w:tcW w:w="16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100.0 %</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1"/>
        </w:trPr>
        <w:tc>
          <w:tcPr>
            <w:tcW w:w="62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80" w:hanging="332"/>
        <w:spacing w:after="0" w:line="258" w:lineRule="auto"/>
        <w:tabs>
          <w:tab w:leader="none" w:pos="349"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diesel-fueled generating units are generally used as supplemental peaking units. Power generated from these units, as a percentage of total power supply, was 0.0%, 0.0% and 0.1% for the years ended December 31, 2021, 2020, and 2019, respectively.</w:t>
      </w:r>
    </w:p>
    <w:p>
      <w:pPr>
        <w:spacing w:after="0" w:line="218"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Our Electric Utilities’ weighted average cost of fuel utilized to generate electricity and the average price paid for purchased power (excluding contracted capacity) per MWh for the years ended December 31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Fuel and Purchased Power (dollars per MWh)</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5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2019</w:t>
            </w:r>
          </w:p>
        </w:tc>
      </w:tr>
      <w:tr>
        <w:trPr>
          <w:trHeight w:val="213"/>
        </w:trPr>
        <w:tc>
          <w:tcPr>
            <w:tcW w:w="65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Coal</w:t>
            </w:r>
          </w:p>
        </w:tc>
        <w:tc>
          <w:tcPr>
            <w:tcW w:w="1040" w:type="dxa"/>
            <w:vAlign w:val="bottom"/>
            <w:shd w:val="clear" w:color="auto" w:fill="CEFFE7"/>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11.55</w:t>
            </w:r>
          </w:p>
        </w:tc>
        <w:tc>
          <w:tcPr>
            <w:tcW w:w="1060" w:type="dxa"/>
            <w:vAlign w:val="bottom"/>
            <w:shd w:val="clear" w:color="auto" w:fill="CEFFE7"/>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11.38</w:t>
            </w:r>
          </w:p>
        </w:tc>
        <w:tc>
          <w:tcPr>
            <w:tcW w:w="3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12.42</w:t>
            </w:r>
          </w:p>
        </w:tc>
      </w:tr>
      <w:tr>
        <w:trPr>
          <w:trHeight w:val="216"/>
        </w:trPr>
        <w:tc>
          <w:tcPr>
            <w:tcW w:w="6500" w:type="dxa"/>
            <w:vAlign w:val="bottom"/>
            <w:tcBorders>
              <w:bottom w:val="single" w:sz="8" w:color="CEFFE7"/>
            </w:tcBorders>
          </w:tcPr>
          <w:p>
            <w:pPr>
              <w:ind w:left="20"/>
              <w:spacing w:after="0" w:line="216" w:lineRule="exact"/>
              <w:rPr>
                <w:sz w:val="20"/>
                <w:szCs w:val="20"/>
                <w:color w:val="auto"/>
              </w:rPr>
            </w:pPr>
            <w:r>
              <w:rPr>
                <w:rFonts w:ascii="Arial" w:cs="Arial" w:eastAsia="Arial" w:hAnsi="Arial"/>
                <w:sz w:val="16"/>
                <w:szCs w:val="16"/>
                <w:color w:val="auto"/>
              </w:rPr>
              <w:t xml:space="preserve">Natural Gas and Diesel Oil </w:t>
            </w:r>
            <w:r>
              <w:rPr>
                <w:rFonts w:ascii="Arial" w:cs="Arial" w:eastAsia="Arial" w:hAnsi="Arial"/>
                <w:sz w:val="21"/>
                <w:szCs w:val="21"/>
                <w:color w:val="auto"/>
                <w:vertAlign w:val="superscript"/>
              </w:rPr>
              <w:t>(a)</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33.65</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r>
      <w:tr>
        <w:trPr>
          <w:trHeight w:val="210"/>
        </w:trPr>
        <w:tc>
          <w:tcPr>
            <w:tcW w:w="650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Generated Weighted Average Fuel Cost</w:t>
            </w:r>
          </w:p>
        </w:tc>
        <w:tc>
          <w:tcPr>
            <w:tcW w:w="1040" w:type="dxa"/>
            <w:vAlign w:val="bottom"/>
            <w:tcBorders>
              <w:bottom w:val="single" w:sz="8" w:color="auto"/>
            </w:tcBorders>
            <w:shd w:val="clear" w:color="auto" w:fill="CEFFE7"/>
          </w:tcPr>
          <w:p>
            <w:pPr>
              <w:spacing w:after="0"/>
              <w:rPr>
                <w:sz w:val="18"/>
                <w:szCs w:val="18"/>
                <w:color w:val="auto"/>
              </w:rPr>
            </w:pPr>
          </w:p>
        </w:tc>
        <w:tc>
          <w:tcPr>
            <w:tcW w:w="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17.40</w:t>
            </w:r>
          </w:p>
        </w:tc>
        <w:tc>
          <w:tcPr>
            <w:tcW w:w="1060" w:type="dxa"/>
            <w:vAlign w:val="bottom"/>
            <w:tcBorders>
              <w:bottom w:val="single" w:sz="8" w:color="auto"/>
            </w:tcBorders>
            <w:shd w:val="clear" w:color="auto" w:fill="CEFFE7"/>
          </w:tcPr>
          <w:p>
            <w:pPr>
              <w:spacing w:after="0"/>
              <w:rPr>
                <w:sz w:val="18"/>
                <w:szCs w:val="18"/>
                <w:color w:val="auto"/>
              </w:rPr>
            </w:pPr>
          </w:p>
        </w:tc>
        <w:tc>
          <w:tcPr>
            <w:tcW w:w="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9.09</w:t>
            </w:r>
          </w:p>
        </w:tc>
        <w:tc>
          <w:tcPr>
            <w:tcW w:w="38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12.48</w:t>
            </w:r>
          </w:p>
        </w:tc>
      </w:tr>
      <w:tr>
        <w:trPr>
          <w:trHeight w:val="209"/>
        </w:trPr>
        <w:tc>
          <w:tcPr>
            <w:tcW w:w="650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Coal, Natural Gas, Oil and Other Market Purchases </w:t>
            </w:r>
            <w:r>
              <w:rPr>
                <w:rFonts w:ascii="Arial" w:cs="Arial" w:eastAsia="Arial" w:hAnsi="Arial"/>
                <w:sz w:val="21"/>
                <w:szCs w:val="21"/>
                <w:color w:val="auto"/>
                <w:vertAlign w:val="superscript"/>
              </w:rPr>
              <w:t>(a)</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64.85</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40.80</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44.16</w:t>
            </w:r>
          </w:p>
        </w:tc>
      </w:tr>
      <w:tr>
        <w:trPr>
          <w:trHeight w:val="213"/>
        </w:trPr>
        <w:tc>
          <w:tcPr>
            <w:tcW w:w="6500" w:type="dxa"/>
            <w:vAlign w:val="bottom"/>
            <w:shd w:val="clear" w:color="auto" w:fill="CEFFE7"/>
          </w:tcPr>
          <w:p>
            <w:pPr>
              <w:ind w:left="20"/>
              <w:spacing w:after="0"/>
              <w:rPr>
                <w:sz w:val="20"/>
                <w:szCs w:val="20"/>
                <w:color w:val="auto"/>
              </w:rPr>
            </w:pPr>
            <w:r>
              <w:rPr>
                <w:rFonts w:ascii="Arial" w:cs="Arial" w:eastAsia="Arial" w:hAnsi="Arial"/>
                <w:sz w:val="16"/>
                <w:szCs w:val="16"/>
                <w:color w:val="auto"/>
              </w:rPr>
              <w:t>Wind Purchases</w:t>
            </w:r>
          </w:p>
        </w:tc>
        <w:tc>
          <w:tcPr>
            <w:tcW w:w="1040" w:type="dxa"/>
            <w:vAlign w:val="bottom"/>
            <w:tcBorders>
              <w:bottom w:val="single" w:sz="8" w:color="auto"/>
            </w:tcBorders>
            <w:shd w:val="clear" w:color="auto" w:fill="CEFFE7"/>
          </w:tcPr>
          <w:p>
            <w:pPr>
              <w:spacing w:after="0"/>
              <w:rPr>
                <w:sz w:val="18"/>
                <w:szCs w:val="18"/>
                <w:color w:val="auto"/>
              </w:rPr>
            </w:pPr>
          </w:p>
        </w:tc>
        <w:tc>
          <w:tcPr>
            <w:tcW w:w="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34.69</w:t>
            </w:r>
          </w:p>
        </w:tc>
        <w:tc>
          <w:tcPr>
            <w:tcW w:w="1060" w:type="dxa"/>
            <w:vAlign w:val="bottom"/>
            <w:tcBorders>
              <w:bottom w:val="single" w:sz="8" w:color="auto"/>
            </w:tcBorders>
            <w:shd w:val="clear" w:color="auto" w:fill="CEFFE7"/>
          </w:tcPr>
          <w:p>
            <w:pPr>
              <w:spacing w:after="0"/>
              <w:rPr>
                <w:sz w:val="18"/>
                <w:szCs w:val="18"/>
                <w:color w:val="auto"/>
              </w:rPr>
            </w:pPr>
          </w:p>
        </w:tc>
        <w:tc>
          <w:tcPr>
            <w:tcW w:w="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42.06</w:t>
            </w:r>
          </w:p>
        </w:tc>
        <w:tc>
          <w:tcPr>
            <w:tcW w:w="38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49.19</w:t>
            </w:r>
          </w:p>
        </w:tc>
      </w:tr>
      <w:tr>
        <w:trPr>
          <w:trHeight w:val="209"/>
        </w:trPr>
        <w:tc>
          <w:tcPr>
            <w:tcW w:w="6500" w:type="dxa"/>
            <w:vAlign w:val="bottom"/>
            <w:tcBorders>
              <w:bottom w:val="single" w:sz="8" w:color="CEFFE7"/>
            </w:tcBorders>
          </w:tcPr>
          <w:p>
            <w:pPr>
              <w:ind w:left="480"/>
              <w:spacing w:after="0"/>
              <w:rPr>
                <w:sz w:val="20"/>
                <w:szCs w:val="20"/>
                <w:color w:val="auto"/>
              </w:rPr>
            </w:pPr>
            <w:r>
              <w:rPr>
                <w:rFonts w:ascii="Arial" w:cs="Arial" w:eastAsia="Arial" w:hAnsi="Arial"/>
                <w:sz w:val="16"/>
                <w:szCs w:val="16"/>
                <w:color w:val="auto"/>
              </w:rPr>
              <w:t>Total Purchased Power Weighted Average Cost</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59.84</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41.03</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44.62</w:t>
            </w:r>
          </w:p>
        </w:tc>
      </w:tr>
      <w:tr>
        <w:trPr>
          <w:trHeight w:val="238"/>
        </w:trPr>
        <w:tc>
          <w:tcPr>
            <w:tcW w:w="650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Total Weighted Average Fuel and Purchased Power Cost</w:t>
            </w:r>
          </w:p>
        </w:tc>
        <w:tc>
          <w:tcPr>
            <w:tcW w:w="1040" w:type="dxa"/>
            <w:vAlign w:val="bottom"/>
            <w:tcBorders>
              <w:bottom w:val="single" w:sz="8" w:color="auto"/>
            </w:tcBorders>
            <w:shd w:val="clear" w:color="auto" w:fill="CEFFE7"/>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30.17</w:t>
            </w:r>
          </w:p>
        </w:tc>
        <w:tc>
          <w:tcPr>
            <w:tcW w:w="1060" w:type="dxa"/>
            <w:vAlign w:val="bottom"/>
            <w:tcBorders>
              <w:bottom w:val="single" w:sz="8" w:color="auto"/>
            </w:tcBorders>
            <w:shd w:val="clear" w:color="auto" w:fill="CEFFE7"/>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17.36</w:t>
            </w:r>
          </w:p>
        </w:tc>
        <w:tc>
          <w:tcPr>
            <w:tcW w:w="38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22.76</w:t>
            </w:r>
          </w:p>
        </w:tc>
      </w:tr>
      <w:tr>
        <w:trPr>
          <w:trHeight w:val="20"/>
        </w:trPr>
        <w:tc>
          <w:tcPr>
            <w:tcW w:w="6500" w:type="dxa"/>
            <w:vAlign w:val="bottom"/>
            <w:tcBorders>
              <w:top w:val="single" w:sz="8" w:color="CEFFE7"/>
            </w:tcBorders>
          </w:tcPr>
          <w:p>
            <w:pPr>
              <w:spacing w:after="0" w:line="20" w:lineRule="exact"/>
              <w:rPr>
                <w:sz w:val="1"/>
                <w:szCs w:val="1"/>
                <w:color w:val="auto"/>
              </w:rPr>
            </w:pPr>
          </w:p>
        </w:tc>
        <w:tc>
          <w:tcPr>
            <w:tcW w:w="1040" w:type="dxa"/>
            <w:vAlign w:val="bottom"/>
            <w:tcBorders>
              <w:top w:val="single" w:sz="8" w:color="CEFFE7"/>
              <w:bottom w:val="single" w:sz="8" w:color="auto"/>
            </w:tcBorders>
          </w:tcPr>
          <w:p>
            <w:pPr>
              <w:spacing w:after="0" w:line="20" w:lineRule="exact"/>
              <w:rPr>
                <w:sz w:val="1"/>
                <w:szCs w:val="1"/>
                <w:color w:val="auto"/>
              </w:rPr>
            </w:pPr>
          </w:p>
        </w:tc>
        <w:tc>
          <w:tcPr>
            <w:tcW w:w="520" w:type="dxa"/>
            <w:vAlign w:val="bottom"/>
            <w:tcBorders>
              <w:top w:val="single" w:sz="8" w:color="CEFFE7"/>
              <w:bottom w:val="single" w:sz="8" w:color="auto"/>
            </w:tcBorders>
          </w:tcPr>
          <w:p>
            <w:pPr>
              <w:spacing w:after="0" w:line="20" w:lineRule="exact"/>
              <w:rPr>
                <w:sz w:val="1"/>
                <w:szCs w:val="1"/>
                <w:color w:val="auto"/>
              </w:rPr>
            </w:pPr>
          </w:p>
        </w:tc>
        <w:tc>
          <w:tcPr>
            <w:tcW w:w="1060" w:type="dxa"/>
            <w:vAlign w:val="bottom"/>
            <w:tcBorders>
              <w:top w:val="single" w:sz="8" w:color="CEFFE7"/>
              <w:bottom w:val="single" w:sz="8" w:color="auto"/>
            </w:tcBorders>
          </w:tcPr>
          <w:p>
            <w:pPr>
              <w:spacing w:after="0" w:line="20" w:lineRule="exact"/>
              <w:rPr>
                <w:sz w:val="1"/>
                <w:szCs w:val="1"/>
                <w:color w:val="auto"/>
              </w:rPr>
            </w:pPr>
          </w:p>
        </w:tc>
        <w:tc>
          <w:tcPr>
            <w:tcW w:w="52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jc w:val="both"/>
        <w:ind w:left="340" w:right="400" w:hanging="332"/>
        <w:spacing w:after="0" w:line="249" w:lineRule="auto"/>
        <w:tabs>
          <w:tab w:leader="none" w:pos="34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The 2021 increase in prices paid for fuel and purchased power was primarily driven by unforeseeable and unprecedented market prices for natural gas and electricity during Winter Storm Uri. See further information in the </w:t>
      </w:r>
      <w:hyperlink w:anchor="page33">
        <w:r>
          <w:rPr>
            <w:rFonts w:ascii="Arial" w:cs="Arial" w:eastAsia="Arial" w:hAnsi="Arial"/>
            <w:sz w:val="14"/>
            <w:szCs w:val="14"/>
            <w:u w:val="single" w:color="auto"/>
            <w:color w:val="0000FF"/>
          </w:rPr>
          <w:t>Recent Developments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section of Management’s Discussion and Analysis of Financial Condition and Results of Operations in </w:t>
      </w:r>
      <w:hyperlink w:anchor="page30">
        <w:r>
          <w:rPr>
            <w:rFonts w:ascii="Arial" w:cs="Arial" w:eastAsia="Arial" w:hAnsi="Arial"/>
            <w:sz w:val="14"/>
            <w:szCs w:val="14"/>
            <w:u w:val="single" w:color="auto"/>
            <w:color w:val="0000FF"/>
          </w:rPr>
          <w:t>Item 7</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and </w:t>
      </w:r>
      <w:hyperlink w:anchor="page74">
        <w:r>
          <w:rPr>
            <w:rFonts w:ascii="Arial" w:cs="Arial" w:eastAsia="Arial" w:hAnsi="Arial"/>
            <w:sz w:val="14"/>
            <w:szCs w:val="14"/>
            <w:u w:val="single" w:color="auto"/>
            <w:color w:val="0000FF"/>
          </w:rPr>
          <w:t>Note 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Consolidated Financial Statements in this Annual Report on Form 10-K.</w:t>
      </w:r>
    </w:p>
    <w:p>
      <w:pPr>
        <w:spacing w:after="0" w:line="205" w:lineRule="exact"/>
        <w:rPr>
          <w:rFonts w:ascii="Arial" w:cs="Arial" w:eastAsia="Arial" w:hAnsi="Arial"/>
          <w:sz w:val="14"/>
          <w:szCs w:val="14"/>
          <w:color w:val="auto"/>
        </w:rPr>
      </w:pPr>
    </w:p>
    <w:p>
      <w:pPr>
        <w:jc w:val="both"/>
        <w:ind w:right="160"/>
        <w:spacing w:after="0" w:line="266"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Power Purchase and Power Sales Agreements. </w:t>
      </w:r>
      <w:r>
        <w:rPr>
          <w:rFonts w:ascii="Arial" w:cs="Arial" w:eastAsia="Arial" w:hAnsi="Arial"/>
          <w:sz w:val="16"/>
          <w:szCs w:val="16"/>
          <w:color w:val="auto"/>
        </w:rPr>
        <w:t>We have executed various PPAs to support our Electric Utilities’ capacity and energy needs beyond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regulated power plants’ generation, which include long-term related party agreements with our non-regulated power generation businesses. We also have various long-term PSAs. Key contracts are disclosed in </w:t>
      </w:r>
      <w:hyperlink w:anchor="page79">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198" w:lineRule="exact"/>
        <w:rPr>
          <w:rFonts w:ascii="Arial" w:cs="Arial" w:eastAsia="Arial" w:hAnsi="Arial"/>
          <w:sz w:val="14"/>
          <w:szCs w:val="14"/>
          <w:color w:val="auto"/>
        </w:rPr>
      </w:pPr>
    </w:p>
    <w:p>
      <w:pPr>
        <w:jc w:val="both"/>
        <w:ind w:right="220"/>
        <w:spacing w:after="0" w:line="266" w:lineRule="auto"/>
        <w:rPr>
          <w:sz w:val="20"/>
          <w:szCs w:val="20"/>
          <w:color w:val="auto"/>
        </w:rPr>
      </w:pPr>
      <w:r>
        <w:rPr>
          <w:rFonts w:ascii="Arial" w:cs="Arial" w:eastAsia="Arial" w:hAnsi="Arial"/>
          <w:sz w:val="16"/>
          <w:szCs w:val="16"/>
          <w:b w:val="1"/>
          <w:bCs w:val="1"/>
          <w:i w:val="1"/>
          <w:iCs w:val="1"/>
          <w:color w:val="auto"/>
        </w:rPr>
        <w:t xml:space="preserve">Coal Mining. </w:t>
      </w:r>
      <w:r>
        <w:rPr>
          <w:rFonts w:ascii="Arial" w:cs="Arial" w:eastAsia="Arial" w:hAnsi="Arial"/>
          <w:sz w:val="16"/>
          <w:szCs w:val="16"/>
          <w:color w:val="auto"/>
        </w:rPr>
        <w:t>We own and operate a single coal mine through our WRDC subsidiary. We surface mine, process and sell low-sulfur sub-bituminous coal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mine located immediately adjacent to our Gillette energy complex in the Powder River Basin in northeastern Wyoming, where our five coal-fired power plants are located. We produced approximately 3.5 million tons of coal in 2021.</w:t>
      </w:r>
    </w:p>
    <w:p>
      <w:pPr>
        <w:spacing w:after="0" w:line="218" w:lineRule="exact"/>
        <w:rPr>
          <w:rFonts w:ascii="Arial" w:cs="Arial" w:eastAsia="Arial" w:hAnsi="Arial"/>
          <w:sz w:val="14"/>
          <w:szCs w:val="14"/>
          <w:color w:val="auto"/>
        </w:rPr>
      </w:pPr>
    </w:p>
    <w:p>
      <w:pPr>
        <w:jc w:val="both"/>
        <w:ind w:right="20"/>
        <w:spacing w:after="0" w:line="253" w:lineRule="auto"/>
        <w:rPr>
          <w:sz w:val="20"/>
          <w:szCs w:val="20"/>
          <w:color w:val="auto"/>
        </w:rPr>
      </w:pPr>
      <w:r>
        <w:rPr>
          <w:rFonts w:ascii="Arial" w:cs="Arial" w:eastAsia="Arial" w:hAnsi="Arial"/>
          <w:sz w:val="16"/>
          <w:szCs w:val="16"/>
          <w:color w:val="auto"/>
        </w:rPr>
        <w:t>The mine provides low-sulfur coal directly to these five power plants via a conveyor belt system, minimizing transportation costs. On average, the fuel can be delivered to the adjacent power plants at less than $1.00 per MMBtu, providing very cost competitive fuel to our power plants when compared to alternatives. Nearly all of the mine’s production is sold to our on-site generation facilities under long-term supply contracts.</w:t>
      </w:r>
    </w:p>
    <w:p>
      <w:pPr>
        <w:spacing w:after="0" w:line="228" w:lineRule="exact"/>
        <w:rPr>
          <w:rFonts w:ascii="Arial" w:cs="Arial" w:eastAsia="Arial" w:hAnsi="Arial"/>
          <w:sz w:val="14"/>
          <w:szCs w:val="14"/>
          <w:color w:val="auto"/>
        </w:rPr>
      </w:pPr>
    </w:p>
    <w:p>
      <w:pPr>
        <w:ind w:right="20"/>
        <w:spacing w:after="0" w:line="253" w:lineRule="auto"/>
        <w:rPr>
          <w:sz w:val="20"/>
          <w:szCs w:val="20"/>
          <w:color w:val="auto"/>
        </w:rPr>
      </w:pPr>
      <w:r>
        <w:rPr>
          <w:rFonts w:ascii="Arial" w:cs="Arial" w:eastAsia="Arial" w:hAnsi="Arial"/>
          <w:sz w:val="16"/>
          <w:szCs w:val="16"/>
          <w:color w:val="auto"/>
        </w:rPr>
        <w:t>As of December 31, 2021, we estimated our recoverable reserves to be approximately 178 million tons, based on a life-of-mine engineering study utilizing currently available drilling data and geological information prepared by internal engineering studies. The recoverable reserve life is equal to approximately 51 years at the current production levels.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9"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line="255"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Transmission and Distribution. </w:t>
      </w:r>
      <w:r>
        <w:rPr>
          <w:rFonts w:ascii="Arial" w:cs="Arial" w:eastAsia="Arial" w:hAnsi="Arial"/>
          <w:sz w:val="16"/>
          <w:szCs w:val="16"/>
          <w:color w:val="auto"/>
        </w:rPr>
        <w:t>Through our Electric Utilities, we own electric transmission and distribution systems composed of high voltage lines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(greater than 69 kV) and low voltage lines (69 kV or less). We also jointly operate an electric transmission system, referred to as the Common Use System, with Basin Electric Power Cooperative and Powder River Energy Corporation. Each participant in the Common Use System individually owns assets that are operated together for a single system. The Common Use System also provides transmission service to our Transmission Tie. South Dakota Electric owns 35% of the Transmission Tie. The Transmission Tie is further discussed in </w:t>
      </w:r>
      <w:hyperlink w:anchor="page86">
        <w:r>
          <w:rPr>
            <w:rFonts w:ascii="Arial" w:cs="Arial" w:eastAsia="Arial" w:hAnsi="Arial"/>
            <w:sz w:val="16"/>
            <w:szCs w:val="16"/>
            <w:u w:val="single" w:color="auto"/>
            <w:color w:val="0000FF"/>
          </w:rPr>
          <w:t>Note 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2021, our Electric Utilities owned the electric transmission and distribution lines shown below: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4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 xml:space="preserve">Transmission </w:t>
            </w:r>
            <w:r>
              <w:rPr>
                <w:rFonts w:ascii="Arial" w:cs="Arial" w:eastAsia="Arial" w:hAnsi="Arial"/>
                <w:sz w:val="21"/>
                <w:szCs w:val="21"/>
                <w:color w:val="auto"/>
                <w:vertAlign w:val="superscript"/>
              </w:rPr>
              <w:t>(a)</w:t>
            </w: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Distribution</w:t>
            </w:r>
          </w:p>
        </w:tc>
      </w:tr>
      <w:tr>
        <w:trPr>
          <w:trHeight w:val="19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Utility</w:t>
            </w:r>
          </w:p>
        </w:tc>
        <w:tc>
          <w:tcPr>
            <w:tcW w:w="4280" w:type="dxa"/>
            <w:vAlign w:val="bottom"/>
            <w:tcBorders>
              <w:bottom w:val="single" w:sz="8" w:color="auto"/>
            </w:tcBorders>
          </w:tcPr>
          <w:p>
            <w:pPr>
              <w:jc w:val="center"/>
              <w:ind w:left="1179"/>
              <w:spacing w:after="0"/>
              <w:rPr>
                <w:sz w:val="20"/>
                <w:szCs w:val="20"/>
                <w:color w:val="auto"/>
              </w:rPr>
            </w:pPr>
            <w:r>
              <w:rPr>
                <w:rFonts w:ascii="Arial" w:cs="Arial" w:eastAsia="Arial" w:hAnsi="Arial"/>
                <w:sz w:val="16"/>
                <w:szCs w:val="16"/>
                <w:color w:val="auto"/>
              </w:rPr>
              <w:t>State</w:t>
            </w: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(in Line Miles)</w:t>
            </w: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(in Line Miles)</w:t>
            </w:r>
          </w:p>
        </w:tc>
      </w:tr>
      <w:tr>
        <w:trPr>
          <w:trHeight w:val="213"/>
        </w:trPr>
        <w:tc>
          <w:tcPr>
            <w:tcW w:w="3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Colorado Electric</w:t>
            </w:r>
          </w:p>
        </w:tc>
        <w:tc>
          <w:tcPr>
            <w:tcW w:w="4280" w:type="dxa"/>
            <w:vAlign w:val="bottom"/>
            <w:shd w:val="clear" w:color="auto" w:fill="CEFFE7"/>
          </w:tcPr>
          <w:p>
            <w:pPr>
              <w:jc w:val="center"/>
              <w:ind w:left="1179"/>
              <w:spacing w:after="0"/>
              <w:rPr>
                <w:sz w:val="20"/>
                <w:szCs w:val="20"/>
                <w:color w:val="auto"/>
              </w:rPr>
            </w:pPr>
            <w:r>
              <w:rPr>
                <w:rFonts w:ascii="Arial" w:cs="Arial" w:eastAsia="Arial" w:hAnsi="Arial"/>
                <w:sz w:val="16"/>
                <w:szCs w:val="16"/>
                <w:color w:val="auto"/>
              </w:rPr>
              <w:t>Colorado</w:t>
            </w:r>
          </w:p>
        </w:tc>
        <w:tc>
          <w:tcPr>
            <w:tcW w:w="176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598</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3,157</w:t>
            </w:r>
          </w:p>
        </w:tc>
      </w:tr>
      <w:tr>
        <w:trPr>
          <w:trHeight w:val="216"/>
        </w:trPr>
        <w:tc>
          <w:tcPr>
            <w:tcW w:w="36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(b)</w:t>
            </w:r>
          </w:p>
        </w:tc>
        <w:tc>
          <w:tcPr>
            <w:tcW w:w="4280" w:type="dxa"/>
            <w:vAlign w:val="bottom"/>
          </w:tcPr>
          <w:p>
            <w:pPr>
              <w:jc w:val="center"/>
              <w:ind w:left="1179"/>
              <w:spacing w:after="0"/>
              <w:rPr>
                <w:sz w:val="20"/>
                <w:szCs w:val="20"/>
                <w:color w:val="auto"/>
              </w:rPr>
            </w:pPr>
            <w:r>
              <w:rPr>
                <w:rFonts w:ascii="Arial" w:cs="Arial" w:eastAsia="Arial" w:hAnsi="Arial"/>
                <w:sz w:val="16"/>
                <w:szCs w:val="16"/>
                <w:color w:val="auto"/>
              </w:rPr>
              <w:t>South Dakota, Wyoming</w:t>
            </w:r>
          </w:p>
        </w:tc>
        <w:tc>
          <w:tcPr>
            <w:tcW w:w="1760" w:type="dxa"/>
            <w:vAlign w:val="bottom"/>
          </w:tcPr>
          <w:p>
            <w:pPr>
              <w:jc w:val="right"/>
              <w:ind w:right="99"/>
              <w:spacing w:after="0"/>
              <w:rPr>
                <w:sz w:val="20"/>
                <w:szCs w:val="20"/>
                <w:color w:val="auto"/>
              </w:rPr>
            </w:pPr>
            <w:r>
              <w:rPr>
                <w:rFonts w:ascii="Arial" w:cs="Arial" w:eastAsia="Arial" w:hAnsi="Arial"/>
                <w:sz w:val="16"/>
                <w:szCs w:val="16"/>
                <w:color w:val="auto"/>
              </w:rPr>
              <w:t>1,192</w:t>
            </w:r>
          </w:p>
        </w:tc>
        <w:tc>
          <w:tcPr>
            <w:tcW w:w="1540" w:type="dxa"/>
            <w:vAlign w:val="bottom"/>
          </w:tcPr>
          <w:p>
            <w:pPr>
              <w:jc w:val="right"/>
              <w:spacing w:after="0"/>
              <w:rPr>
                <w:sz w:val="20"/>
                <w:szCs w:val="20"/>
                <w:color w:val="auto"/>
              </w:rPr>
            </w:pPr>
            <w:r>
              <w:rPr>
                <w:rFonts w:ascii="Arial" w:cs="Arial" w:eastAsia="Arial" w:hAnsi="Arial"/>
                <w:sz w:val="16"/>
                <w:szCs w:val="16"/>
                <w:color w:val="auto"/>
              </w:rPr>
              <w:t>2,566</w:t>
            </w:r>
          </w:p>
        </w:tc>
      </w:tr>
      <w:tr>
        <w:trPr>
          <w:trHeight w:val="213"/>
        </w:trPr>
        <w:tc>
          <w:tcPr>
            <w:tcW w:w="3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Wyoming Electric</w:t>
            </w:r>
          </w:p>
        </w:tc>
        <w:tc>
          <w:tcPr>
            <w:tcW w:w="4280" w:type="dxa"/>
            <w:vAlign w:val="bottom"/>
            <w:shd w:val="clear" w:color="auto" w:fill="CEFFE7"/>
          </w:tcPr>
          <w:p>
            <w:pPr>
              <w:jc w:val="center"/>
              <w:ind w:left="1199"/>
              <w:spacing w:after="0"/>
              <w:rPr>
                <w:sz w:val="20"/>
                <w:szCs w:val="20"/>
                <w:color w:val="auto"/>
              </w:rPr>
            </w:pPr>
            <w:r>
              <w:rPr>
                <w:rFonts w:ascii="Arial" w:cs="Arial" w:eastAsia="Arial" w:hAnsi="Arial"/>
                <w:sz w:val="16"/>
                <w:szCs w:val="16"/>
                <w:color w:val="auto"/>
              </w:rPr>
              <w:t>Wyoming</w:t>
            </w:r>
          </w:p>
        </w:tc>
        <w:tc>
          <w:tcPr>
            <w:tcW w:w="176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59</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1,327</w:t>
            </w:r>
          </w:p>
        </w:tc>
      </w:tr>
      <w:tr>
        <w:trPr>
          <w:trHeight w:val="209"/>
        </w:trPr>
        <w:tc>
          <w:tcPr>
            <w:tcW w:w="36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1,849</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7,050</w:t>
            </w:r>
          </w:p>
        </w:tc>
      </w:tr>
      <w:tr>
        <w:trPr>
          <w:trHeight w:val="23"/>
        </w:trPr>
        <w:tc>
          <w:tcPr>
            <w:tcW w:w="36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Electric transmission line miles include voltages of 69 kV and above.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South Dakota Electric transmission line miles include 43 miles within the Common Use System.</w:t>
      </w:r>
    </w:p>
    <w:p>
      <w:pPr>
        <w:spacing w:after="0" w:line="241"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Material transmission services agreements are disclosed in </w:t>
      </w:r>
      <w:hyperlink w:anchor="page79">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2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i w:val="1"/>
          <w:iCs w:val="1"/>
          <w:color w:val="auto"/>
        </w:rPr>
        <w:t xml:space="preserve">Seasonal Variations of Business. </w:t>
      </w:r>
      <w:r>
        <w:rPr>
          <w:rFonts w:ascii="Arial" w:cs="Arial" w:eastAsia="Arial" w:hAnsi="Arial"/>
          <w:sz w:val="16"/>
          <w:szCs w:val="16"/>
          <w:color w:val="auto"/>
        </w:rPr>
        <w:t>Our Electric Utilities are seasonal businesses and weather patterns may impact their operating performance. Demand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electricity is sensitive to seasonal cooling, heating and industrial load requirements, as well as market price. In particular, cooling demand is often greater in the summer and heating demand in often greater in the winter.</w:t>
      </w:r>
    </w:p>
    <w:p>
      <w:pPr>
        <w:spacing w:after="0" w:line="198"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We generally have limited competition for the retail generation and distribution of electricity in our service areas. Various legislative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restructuring and competitive initiatives have been discussed in several of the states in which our utilities operate. These initiatives would be aimed at increasing competition or providing for distributed generation. To date, these initiatives have not had a material impact on our utilities. In Colorado, our electric utility is subject to rules which may require competitive bidding for generation supply. Because of these rules, we face competition from other utilities and non-affiliated IPPs for the right to supply electric energy and capacity for Colorado Electric when resource plans require additional resources. Additionally, electrification initiatives in our service territories could increase demand for electricity and increase customer growth.</w:t>
      </w:r>
    </w:p>
    <w:p>
      <w:pPr>
        <w:spacing w:after="0" w:line="229"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independent power industry consists of many strong and capable competitors, some of which may have more extensive operations or greater financial resources than we possess. With respect to the merchant power sector, FERC has taken steps to increase access to the national transmission grid by utility and non-utility purchasers and sellers of electricity to foster competition within the wholesale electricity markets. Our non-regulated power generation businesses could face greater competition if utilities are permitted to robustly invest in power generation assets. Conversely, state regulatory rules requiring utilities to competitively bid generation resources may provide opportunity for IPPs in some regions. To date, these initiatives have not had a material impact on our non-regulated power generation businesses.</w:t>
      </w:r>
    </w:p>
    <w:p>
      <w:pPr>
        <w:spacing w:after="0" w:line="23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strategy for our mining business is to sell nearly all of our production to on-site generation facilities under long-term supply contracts. Historically, any off-site sales have been to consumers within close proximity to the WRDC mine. Rail transport market opportunities for WRDC are limited due to the lower heating value (Btu) of the coal, combined with the fact that the WRDC mine is served by only one railroad, resulting in less competitive transportation rates. Additionally, coal competes with other energy sources, such as natural gas, wind, solar and hydropower. Costs and other factors relating to these alternative fuels, such as safety, environmental and availability considerations affect the overall demand for coal as a fuel.</w:t>
      </w:r>
    </w:p>
    <w:p>
      <w:pPr>
        <w:spacing w:after="0" w:line="21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b w:val="1"/>
          <w:bCs w:val="1"/>
          <w:i w:val="1"/>
          <w:iCs w:val="1"/>
          <w:color w:val="auto"/>
        </w:rPr>
        <w:t xml:space="preserve">Rates and Regulation. </w:t>
      </w:r>
      <w:r>
        <w:rPr>
          <w:rFonts w:ascii="Arial" w:cs="Arial" w:eastAsia="Arial" w:hAnsi="Arial"/>
          <w:sz w:val="16"/>
          <w:szCs w:val="16"/>
          <w:color w:val="auto"/>
        </w:rPr>
        <w:t>Our Electric Utilities are subject to the jurisdiction of the public utilities commissions in the states where they operate and the FERC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certain assets and transactions. These commissions oversee services and facilities, rates and charges, accounting, valuation of property, depreciation rates and various other matters. Rate decisions are influenced by many factors, including the cost of providing service, capital expenditures, the prudence of costs we incur, views concerning appropriate rates of return, general economic conditions and the political environment. Certain commissions also have jurisdiction over the issuance of debt or securities and the creation of liens on property located in their states to secure bonds or other securities.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regulatory information for each of our Electric Utilities: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Authorized Rate</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Authorized</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Authorized</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Authorized</w:t>
            </w:r>
          </w:p>
        </w:tc>
        <w:tc>
          <w:tcPr>
            <w:tcW w:w="8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Effective</w:t>
            </w:r>
          </w:p>
        </w:tc>
        <w:tc>
          <w:tcPr>
            <w:tcW w:w="282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4"/>
                <w:szCs w:val="14"/>
                <w:color w:val="auto"/>
              </w:rPr>
              <w:t>Power Marketing</w:t>
            </w:r>
          </w:p>
        </w:tc>
        <w:tc>
          <w:tcPr>
            <w:tcW w:w="0" w:type="dxa"/>
            <w:vAlign w:val="bottom"/>
          </w:tcPr>
          <w:p>
            <w:pPr>
              <w:spacing w:after="0"/>
              <w:rPr>
                <w:sz w:val="1"/>
                <w:szCs w:val="1"/>
                <w:color w:val="auto"/>
              </w:rPr>
            </w:pPr>
          </w:p>
        </w:tc>
      </w:tr>
      <w:tr>
        <w:trPr>
          <w:trHeight w:val="135"/>
        </w:trPr>
        <w:tc>
          <w:tcPr>
            <w:tcW w:w="940" w:type="dxa"/>
            <w:vAlign w:val="bottom"/>
            <w:vMerge w:val="restart"/>
          </w:tcPr>
          <w:p>
            <w:pPr>
              <w:ind w:left="160"/>
              <w:spacing w:after="0"/>
              <w:rPr>
                <w:sz w:val="20"/>
                <w:szCs w:val="20"/>
                <w:color w:val="auto"/>
              </w:rPr>
            </w:pPr>
            <w:r>
              <w:rPr>
                <w:rFonts w:ascii="Arial" w:cs="Arial" w:eastAsia="Arial" w:hAnsi="Arial"/>
                <w:sz w:val="14"/>
                <w:szCs w:val="14"/>
                <w:color w:val="auto"/>
              </w:rPr>
              <w:t>Subsidiary</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Jurisdic-tion</w:t>
            </w:r>
          </w:p>
        </w:tc>
        <w:tc>
          <w:tcPr>
            <w:tcW w:w="1100" w:type="dxa"/>
            <w:vAlign w:val="bottom"/>
          </w:tcPr>
          <w:p>
            <w:pPr>
              <w:jc w:val="center"/>
              <w:spacing w:after="0" w:line="135" w:lineRule="exact"/>
              <w:rPr>
                <w:sz w:val="20"/>
                <w:szCs w:val="20"/>
                <w:color w:val="auto"/>
              </w:rPr>
            </w:pPr>
            <w:r>
              <w:rPr>
                <w:rFonts w:ascii="Arial" w:cs="Arial" w:eastAsia="Arial" w:hAnsi="Arial"/>
                <w:sz w:val="14"/>
                <w:szCs w:val="14"/>
                <w:color w:val="auto"/>
              </w:rPr>
              <w:t>of Return on</w:t>
            </w: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rPr>
              <w:t>Return on Rate</w:t>
            </w:r>
          </w:p>
        </w:tc>
        <w:tc>
          <w:tcPr>
            <w:tcW w:w="1200" w:type="dxa"/>
            <w:vAlign w:val="bottom"/>
          </w:tcPr>
          <w:p>
            <w:pPr>
              <w:jc w:val="center"/>
              <w:spacing w:after="0" w:line="135" w:lineRule="exact"/>
              <w:rPr>
                <w:sz w:val="20"/>
                <w:szCs w:val="20"/>
                <w:color w:val="auto"/>
              </w:rPr>
            </w:pPr>
            <w:r>
              <w:rPr>
                <w:rFonts w:ascii="Arial" w:cs="Arial" w:eastAsia="Arial" w:hAnsi="Arial"/>
                <w:sz w:val="14"/>
                <w:szCs w:val="14"/>
                <w:color w:val="auto"/>
              </w:rPr>
              <w:t>Capital Structure</w:t>
            </w:r>
          </w:p>
        </w:tc>
        <w:tc>
          <w:tcPr>
            <w:tcW w:w="1080" w:type="dxa"/>
            <w:vAlign w:val="bottom"/>
          </w:tcPr>
          <w:p>
            <w:pPr>
              <w:jc w:val="center"/>
              <w:spacing w:after="0" w:line="135" w:lineRule="exact"/>
              <w:rPr>
                <w:sz w:val="20"/>
                <w:szCs w:val="20"/>
                <w:color w:val="auto"/>
              </w:rPr>
            </w:pPr>
            <w:r>
              <w:rPr>
                <w:rFonts w:ascii="Arial" w:cs="Arial" w:eastAsia="Arial" w:hAnsi="Arial"/>
                <w:sz w:val="14"/>
                <w:szCs w:val="14"/>
                <w:color w:val="auto"/>
              </w:rPr>
              <w:t>Rate Base (in</w:t>
            </w:r>
          </w:p>
        </w:tc>
        <w:tc>
          <w:tcPr>
            <w:tcW w:w="820" w:type="dxa"/>
            <w:vAlign w:val="bottom"/>
            <w:vMerge w:val="continue"/>
          </w:tcPr>
          <w:p>
            <w:pPr>
              <w:spacing w:after="0"/>
              <w:rPr>
                <w:sz w:val="11"/>
                <w:szCs w:val="11"/>
                <w:color w:val="auto"/>
              </w:rPr>
            </w:pPr>
          </w:p>
        </w:tc>
        <w:tc>
          <w:tcPr>
            <w:tcW w:w="2820" w:type="dxa"/>
            <w:vAlign w:val="bottom"/>
            <w:vMerge w:val="restart"/>
          </w:tcPr>
          <w:p>
            <w:pPr>
              <w:ind w:left="320"/>
              <w:spacing w:after="0"/>
              <w:rPr>
                <w:sz w:val="20"/>
                <w:szCs w:val="20"/>
                <w:color w:val="auto"/>
              </w:rPr>
            </w:pPr>
            <w:r>
              <w:rPr>
                <w:rFonts w:ascii="Arial" w:cs="Arial" w:eastAsia="Arial" w:hAnsi="Arial"/>
                <w:sz w:val="14"/>
                <w:szCs w:val="14"/>
                <w:color w:val="auto"/>
              </w:rPr>
              <w:t>Additional Regulatory Mechanisms</w:t>
            </w:r>
          </w:p>
        </w:tc>
        <w:tc>
          <w:tcPr>
            <w:tcW w:w="1320" w:type="dxa"/>
            <w:vAlign w:val="bottom"/>
          </w:tcPr>
          <w:p>
            <w:pPr>
              <w:jc w:val="center"/>
              <w:spacing w:after="0" w:line="135" w:lineRule="exact"/>
              <w:rPr>
                <w:sz w:val="20"/>
                <w:szCs w:val="20"/>
                <w:color w:val="auto"/>
              </w:rPr>
            </w:pPr>
            <w:r>
              <w:rPr>
                <w:rFonts w:ascii="Arial" w:cs="Arial" w:eastAsia="Arial" w:hAnsi="Arial"/>
                <w:sz w:val="14"/>
                <w:szCs w:val="14"/>
                <w:color w:val="auto"/>
              </w:rPr>
              <w:t>Profit Shared with</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Base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Debt/Equity</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millions)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Date</w:t>
            </w:r>
          </w:p>
        </w:tc>
        <w:tc>
          <w:tcPr>
            <w:tcW w:w="282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Customers</w:t>
            </w:r>
          </w:p>
        </w:tc>
        <w:tc>
          <w:tcPr>
            <w:tcW w:w="0" w:type="dxa"/>
            <w:vAlign w:val="bottom"/>
          </w:tcPr>
          <w:p>
            <w:pPr>
              <w:spacing w:after="0"/>
              <w:rPr>
                <w:sz w:val="1"/>
                <w:szCs w:val="1"/>
                <w:color w:val="auto"/>
              </w:rPr>
            </w:pPr>
          </w:p>
        </w:tc>
      </w:tr>
      <w:tr>
        <w:trPr>
          <w:trHeight w:val="250"/>
        </w:trPr>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Colorado</w:t>
            </w:r>
          </w:p>
        </w:tc>
        <w:tc>
          <w:tcPr>
            <w:tcW w:w="900" w:type="dxa"/>
            <w:vAlign w:val="bottom"/>
            <w:vMerge w:val="restart"/>
            <w:shd w:val="clear" w:color="auto" w:fill="CEFEE7"/>
          </w:tcPr>
          <w:p>
            <w:pPr>
              <w:jc w:val="center"/>
              <w:spacing w:after="0"/>
              <w:rPr>
                <w:sz w:val="20"/>
                <w:szCs w:val="20"/>
                <w:color w:val="auto"/>
              </w:rPr>
            </w:pPr>
            <w:r>
              <w:rPr>
                <w:rFonts w:ascii="Arial" w:cs="Arial" w:eastAsia="Arial" w:hAnsi="Arial"/>
                <w:sz w:val="16"/>
                <w:szCs w:val="16"/>
                <w:color w:val="auto"/>
                <w:w w:val="99"/>
              </w:rPr>
              <w:t>CO</w:t>
            </w:r>
          </w:p>
        </w:tc>
        <w:tc>
          <w:tcPr>
            <w:tcW w:w="1100" w:type="dxa"/>
            <w:vAlign w:val="bottom"/>
            <w:vMerge w:val="restart"/>
            <w:shd w:val="clear" w:color="auto" w:fill="CEFEE7"/>
          </w:tcPr>
          <w:p>
            <w:pPr>
              <w:jc w:val="center"/>
              <w:spacing w:after="0"/>
              <w:rPr>
                <w:sz w:val="20"/>
                <w:szCs w:val="20"/>
                <w:color w:val="auto"/>
              </w:rPr>
            </w:pPr>
            <w:r>
              <w:rPr>
                <w:rFonts w:ascii="Arial" w:cs="Arial" w:eastAsia="Arial" w:hAnsi="Arial"/>
                <w:sz w:val="16"/>
                <w:szCs w:val="16"/>
                <w:color w:val="auto"/>
              </w:rPr>
              <w:t>9.37%</w:t>
            </w:r>
          </w:p>
        </w:tc>
        <w:tc>
          <w:tcPr>
            <w:tcW w:w="1060" w:type="dxa"/>
            <w:vAlign w:val="bottom"/>
            <w:vMerge w:val="restart"/>
            <w:shd w:val="clear" w:color="auto" w:fill="CEFEE7"/>
          </w:tcPr>
          <w:p>
            <w:pPr>
              <w:jc w:val="center"/>
              <w:spacing w:after="0"/>
              <w:rPr>
                <w:sz w:val="20"/>
                <w:szCs w:val="20"/>
                <w:color w:val="auto"/>
              </w:rPr>
            </w:pPr>
            <w:r>
              <w:rPr>
                <w:rFonts w:ascii="Arial" w:cs="Arial" w:eastAsia="Arial" w:hAnsi="Arial"/>
                <w:sz w:val="16"/>
                <w:szCs w:val="16"/>
                <w:color w:val="auto"/>
              </w:rPr>
              <w:t>7.43%</w:t>
            </w:r>
          </w:p>
        </w:tc>
        <w:tc>
          <w:tcPr>
            <w:tcW w:w="1200" w:type="dxa"/>
            <w:vAlign w:val="bottom"/>
            <w:vMerge w:val="restart"/>
            <w:shd w:val="clear" w:color="auto" w:fill="CEFEE7"/>
          </w:tcPr>
          <w:p>
            <w:pPr>
              <w:jc w:val="center"/>
              <w:spacing w:after="0"/>
              <w:rPr>
                <w:sz w:val="20"/>
                <w:szCs w:val="20"/>
                <w:color w:val="auto"/>
              </w:rPr>
            </w:pPr>
            <w:r>
              <w:rPr>
                <w:rFonts w:ascii="Arial" w:cs="Arial" w:eastAsia="Arial" w:hAnsi="Arial"/>
                <w:sz w:val="16"/>
                <w:szCs w:val="16"/>
                <w:color w:val="auto"/>
              </w:rPr>
              <w:t>48%/52%</w:t>
            </w:r>
          </w:p>
        </w:tc>
        <w:tc>
          <w:tcPr>
            <w:tcW w:w="1080" w:type="dxa"/>
            <w:vAlign w:val="bottom"/>
            <w:vMerge w:val="restart"/>
            <w:shd w:val="clear" w:color="auto" w:fill="CEFEE7"/>
          </w:tcPr>
          <w:p>
            <w:pPr>
              <w:jc w:val="center"/>
              <w:spacing w:after="0"/>
              <w:rPr>
                <w:sz w:val="20"/>
                <w:szCs w:val="20"/>
                <w:color w:val="auto"/>
              </w:rPr>
            </w:pPr>
            <w:r>
              <w:rPr>
                <w:rFonts w:ascii="Arial" w:cs="Arial" w:eastAsia="Arial" w:hAnsi="Arial"/>
                <w:sz w:val="16"/>
                <w:szCs w:val="16"/>
                <w:color w:val="auto"/>
              </w:rPr>
              <w:t>$539.6</w:t>
            </w:r>
          </w:p>
        </w:tc>
        <w:tc>
          <w:tcPr>
            <w:tcW w:w="820" w:type="dxa"/>
            <w:vAlign w:val="bottom"/>
            <w:vMerge w:val="restart"/>
            <w:shd w:val="clear" w:color="auto" w:fill="CEFEE7"/>
          </w:tcPr>
          <w:p>
            <w:pPr>
              <w:jc w:val="center"/>
              <w:spacing w:after="0"/>
              <w:rPr>
                <w:sz w:val="20"/>
                <w:szCs w:val="20"/>
                <w:color w:val="auto"/>
              </w:rPr>
            </w:pPr>
            <w:r>
              <w:rPr>
                <w:rFonts w:ascii="Arial" w:cs="Arial" w:eastAsia="Arial" w:hAnsi="Arial"/>
                <w:sz w:val="16"/>
                <w:szCs w:val="16"/>
                <w:color w:val="auto"/>
              </w:rPr>
              <w:t>1/2017</w:t>
            </w:r>
          </w:p>
        </w:tc>
        <w:tc>
          <w:tcPr>
            <w:tcW w:w="2820" w:type="dxa"/>
            <w:vAlign w:val="bottom"/>
            <w:shd w:val="clear" w:color="auto" w:fill="CEFEE7"/>
          </w:tcPr>
          <w:p>
            <w:pPr>
              <w:ind w:left="80"/>
              <w:spacing w:after="0" w:line="175" w:lineRule="exact"/>
              <w:rPr>
                <w:sz w:val="20"/>
                <w:szCs w:val="20"/>
                <w:color w:val="auto"/>
              </w:rPr>
            </w:pPr>
            <w:r>
              <w:rPr>
                <w:rFonts w:ascii="Arial" w:cs="Arial" w:eastAsia="Arial" w:hAnsi="Arial"/>
                <w:sz w:val="16"/>
                <w:szCs w:val="16"/>
                <w:color w:val="auto"/>
              </w:rPr>
              <w:t>ECA, TCA, PCCA, EECR/DSM,</w:t>
            </w:r>
          </w:p>
        </w:tc>
        <w:tc>
          <w:tcPr>
            <w:tcW w:w="1320" w:type="dxa"/>
            <w:vAlign w:val="bottom"/>
            <w:vMerge w:val="restart"/>
            <w:shd w:val="clear" w:color="auto" w:fill="CEFEE7"/>
          </w:tcPr>
          <w:p>
            <w:pPr>
              <w:jc w:val="center"/>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3"/>
        </w:trPr>
        <w:tc>
          <w:tcPr>
            <w:tcW w:w="940" w:type="dxa"/>
            <w:vAlign w:val="bottom"/>
            <w:shd w:val="clear" w:color="auto" w:fill="CEFEE7"/>
          </w:tcPr>
          <w:p>
            <w:pPr>
              <w:ind w:left="20"/>
              <w:spacing w:after="0" w:line="204" w:lineRule="exact"/>
              <w:rPr>
                <w:sz w:val="20"/>
                <w:szCs w:val="20"/>
                <w:color w:val="auto"/>
              </w:rPr>
            </w:pPr>
            <w:r>
              <w:rPr>
                <w:rFonts w:ascii="Arial" w:cs="Arial" w:eastAsia="Arial" w:hAnsi="Arial"/>
                <w:sz w:val="16"/>
                <w:szCs w:val="16"/>
                <w:color w:val="auto"/>
              </w:rPr>
              <w:t xml:space="preserve">Electric </w:t>
            </w:r>
            <w:r>
              <w:rPr>
                <w:rFonts w:ascii="Arial" w:cs="Arial" w:eastAsia="Arial" w:hAnsi="Arial"/>
                <w:sz w:val="21"/>
                <w:szCs w:val="21"/>
                <w:color w:val="auto"/>
                <w:vertAlign w:val="superscript"/>
              </w:rPr>
              <w:t>(a)</w:t>
            </w:r>
          </w:p>
        </w:tc>
        <w:tc>
          <w:tcPr>
            <w:tcW w:w="900" w:type="dxa"/>
            <w:vAlign w:val="bottom"/>
            <w:vMerge w:val="continue"/>
            <w:shd w:val="clear" w:color="auto" w:fill="CEFEE7"/>
          </w:tcPr>
          <w:p>
            <w:pPr>
              <w:spacing w:after="0"/>
              <w:rPr>
                <w:sz w:val="17"/>
                <w:szCs w:val="17"/>
                <w:color w:val="auto"/>
              </w:rPr>
            </w:pPr>
          </w:p>
        </w:tc>
        <w:tc>
          <w:tcPr>
            <w:tcW w:w="1100" w:type="dxa"/>
            <w:vAlign w:val="bottom"/>
            <w:vMerge w:val="continue"/>
            <w:shd w:val="clear" w:color="auto" w:fill="CEFEE7"/>
          </w:tcPr>
          <w:p>
            <w:pPr>
              <w:spacing w:after="0"/>
              <w:rPr>
                <w:sz w:val="17"/>
                <w:szCs w:val="17"/>
                <w:color w:val="auto"/>
              </w:rPr>
            </w:pPr>
          </w:p>
        </w:tc>
        <w:tc>
          <w:tcPr>
            <w:tcW w:w="1060" w:type="dxa"/>
            <w:vAlign w:val="bottom"/>
            <w:vMerge w:val="continue"/>
            <w:shd w:val="clear" w:color="auto" w:fill="CEFEE7"/>
          </w:tcPr>
          <w:p>
            <w:pPr>
              <w:spacing w:after="0"/>
              <w:rPr>
                <w:sz w:val="17"/>
                <w:szCs w:val="17"/>
                <w:color w:val="auto"/>
              </w:rPr>
            </w:pPr>
          </w:p>
        </w:tc>
        <w:tc>
          <w:tcPr>
            <w:tcW w:w="1200" w:type="dxa"/>
            <w:vAlign w:val="bottom"/>
            <w:vMerge w:val="continue"/>
            <w:shd w:val="clear" w:color="auto" w:fill="CEFEE7"/>
          </w:tcPr>
          <w:p>
            <w:pPr>
              <w:spacing w:after="0"/>
              <w:rPr>
                <w:sz w:val="17"/>
                <w:szCs w:val="17"/>
                <w:color w:val="auto"/>
              </w:rPr>
            </w:pPr>
          </w:p>
        </w:tc>
        <w:tc>
          <w:tcPr>
            <w:tcW w:w="1080" w:type="dxa"/>
            <w:vAlign w:val="bottom"/>
            <w:vMerge w:val="continue"/>
            <w:shd w:val="clear" w:color="auto" w:fill="CEFEE7"/>
          </w:tcPr>
          <w:p>
            <w:pPr>
              <w:spacing w:after="0"/>
              <w:rPr>
                <w:sz w:val="17"/>
                <w:szCs w:val="17"/>
                <w:color w:val="auto"/>
              </w:rPr>
            </w:pPr>
          </w:p>
        </w:tc>
        <w:tc>
          <w:tcPr>
            <w:tcW w:w="820" w:type="dxa"/>
            <w:vAlign w:val="bottom"/>
            <w:vMerge w:val="continue"/>
            <w:shd w:val="clear" w:color="auto" w:fill="CEFEE7"/>
          </w:tcPr>
          <w:p>
            <w:pPr>
              <w:spacing w:after="0"/>
              <w:rPr>
                <w:sz w:val="17"/>
                <w:szCs w:val="17"/>
                <w:color w:val="auto"/>
              </w:rPr>
            </w:pPr>
          </w:p>
        </w:tc>
        <w:tc>
          <w:tcPr>
            <w:tcW w:w="2820" w:type="dxa"/>
            <w:vAlign w:val="bottom"/>
            <w:shd w:val="clear" w:color="auto" w:fill="CEFEE7"/>
          </w:tcPr>
          <w:p>
            <w:pPr>
              <w:ind w:left="80"/>
              <w:spacing w:after="0"/>
              <w:rPr>
                <w:sz w:val="20"/>
                <w:szCs w:val="20"/>
                <w:color w:val="auto"/>
              </w:rPr>
            </w:pPr>
            <w:r>
              <w:rPr>
                <w:rFonts w:ascii="Arial" w:cs="Arial" w:eastAsia="Arial" w:hAnsi="Arial"/>
                <w:sz w:val="16"/>
                <w:szCs w:val="16"/>
                <w:color w:val="auto"/>
              </w:rPr>
              <w:t>RESA</w:t>
            </w:r>
          </w:p>
        </w:tc>
        <w:tc>
          <w:tcPr>
            <w:tcW w:w="1320" w:type="dxa"/>
            <w:vAlign w:val="bottom"/>
            <w:vMerge w:val="continue"/>
            <w:shd w:val="clear" w:color="auto" w:fill="CEFEE7"/>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94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9"/>
              </w:rPr>
              <w:t>CO</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9.37%</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6.02%</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67%/33%</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9"/>
              </w:rPr>
              <w:t>$57.9</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1/2017</w:t>
            </w:r>
          </w:p>
        </w:tc>
        <w:tc>
          <w:tcPr>
            <w:tcW w:w="2820" w:type="dxa"/>
            <w:vAlign w:val="bottom"/>
          </w:tcPr>
          <w:p>
            <w:pPr>
              <w:ind w:left="80"/>
              <w:spacing w:after="0" w:line="178" w:lineRule="exact"/>
              <w:rPr>
                <w:sz w:val="20"/>
                <w:szCs w:val="20"/>
                <w:color w:val="auto"/>
              </w:rPr>
            </w:pPr>
            <w:r>
              <w:rPr>
                <w:rFonts w:ascii="Arial" w:cs="Arial" w:eastAsia="Arial" w:hAnsi="Arial"/>
                <w:sz w:val="16"/>
                <w:szCs w:val="16"/>
                <w:color w:val="auto"/>
              </w:rPr>
              <w:t>Clean Air Clean Jobs Act Adjustment</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14"/>
        </w:trPr>
        <w:tc>
          <w:tcPr>
            <w:tcW w:w="9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820" w:type="dxa"/>
            <w:vAlign w:val="bottom"/>
            <w:vMerge w:val="restart"/>
          </w:tcPr>
          <w:p>
            <w:pPr>
              <w:ind w:left="80"/>
              <w:spacing w:after="0"/>
              <w:rPr>
                <w:sz w:val="20"/>
                <w:szCs w:val="20"/>
                <w:color w:val="auto"/>
              </w:rPr>
            </w:pPr>
            <w:r>
              <w:rPr>
                <w:rFonts w:ascii="Arial" w:cs="Arial" w:eastAsia="Arial" w:hAnsi="Arial"/>
                <w:sz w:val="16"/>
                <w:szCs w:val="16"/>
                <w:color w:val="auto"/>
              </w:rPr>
              <w:t>Rider</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2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940" w:type="dxa"/>
            <w:vAlign w:val="bottom"/>
            <w:shd w:val="clear" w:color="auto" w:fill="CEFEE7"/>
          </w:tcPr>
          <w:p>
            <w:pPr>
              <w:ind w:left="20"/>
              <w:spacing w:after="0" w:line="181" w:lineRule="exact"/>
              <w:rPr>
                <w:sz w:val="20"/>
                <w:szCs w:val="20"/>
                <w:color w:val="auto"/>
              </w:rPr>
            </w:pPr>
            <w:r>
              <w:rPr>
                <w:rFonts w:ascii="Arial" w:cs="Arial" w:eastAsia="Arial" w:hAnsi="Arial"/>
                <w:sz w:val="16"/>
                <w:szCs w:val="16"/>
                <w:color w:val="auto"/>
              </w:rPr>
              <w:t>South</w:t>
            </w:r>
          </w:p>
        </w:tc>
        <w:tc>
          <w:tcPr>
            <w:tcW w:w="900" w:type="dxa"/>
            <w:vAlign w:val="bottom"/>
            <w:shd w:val="clear" w:color="auto" w:fill="CEFEE7"/>
          </w:tcPr>
          <w:p>
            <w:pPr>
              <w:spacing w:after="0"/>
              <w:rPr>
                <w:sz w:val="15"/>
                <w:szCs w:val="15"/>
                <w:color w:val="auto"/>
              </w:rPr>
            </w:pPr>
          </w:p>
        </w:tc>
        <w:tc>
          <w:tcPr>
            <w:tcW w:w="1100" w:type="dxa"/>
            <w:vAlign w:val="bottom"/>
            <w:shd w:val="clear" w:color="auto" w:fill="CEFEE7"/>
          </w:tcPr>
          <w:p>
            <w:pPr>
              <w:spacing w:after="0"/>
              <w:rPr>
                <w:sz w:val="15"/>
                <w:szCs w:val="15"/>
                <w:color w:val="auto"/>
              </w:rPr>
            </w:pPr>
          </w:p>
        </w:tc>
        <w:tc>
          <w:tcPr>
            <w:tcW w:w="1060" w:type="dxa"/>
            <w:vAlign w:val="bottom"/>
            <w:shd w:val="clear" w:color="auto" w:fill="CEFEE7"/>
          </w:tcPr>
          <w:p>
            <w:pPr>
              <w:spacing w:after="0"/>
              <w:rPr>
                <w:sz w:val="15"/>
                <w:szCs w:val="15"/>
                <w:color w:val="auto"/>
              </w:rPr>
            </w:pPr>
          </w:p>
        </w:tc>
        <w:tc>
          <w:tcPr>
            <w:tcW w:w="1200" w:type="dxa"/>
            <w:vAlign w:val="bottom"/>
            <w:shd w:val="clear" w:color="auto" w:fill="CEFEE7"/>
          </w:tcPr>
          <w:p>
            <w:pPr>
              <w:spacing w:after="0"/>
              <w:rPr>
                <w:sz w:val="15"/>
                <w:szCs w:val="15"/>
                <w:color w:val="auto"/>
              </w:rPr>
            </w:pPr>
          </w:p>
        </w:tc>
        <w:tc>
          <w:tcPr>
            <w:tcW w:w="1080" w:type="dxa"/>
            <w:vAlign w:val="bottom"/>
            <w:shd w:val="clear" w:color="auto" w:fill="CEFEE7"/>
          </w:tcPr>
          <w:p>
            <w:pPr>
              <w:spacing w:after="0"/>
              <w:rPr>
                <w:sz w:val="15"/>
                <w:szCs w:val="15"/>
                <w:color w:val="auto"/>
              </w:rPr>
            </w:pPr>
          </w:p>
        </w:tc>
        <w:tc>
          <w:tcPr>
            <w:tcW w:w="820" w:type="dxa"/>
            <w:vAlign w:val="bottom"/>
            <w:shd w:val="clear" w:color="auto" w:fill="CEFEE7"/>
          </w:tcPr>
          <w:p>
            <w:pPr>
              <w:spacing w:after="0"/>
              <w:rPr>
                <w:sz w:val="15"/>
                <w:szCs w:val="15"/>
                <w:color w:val="auto"/>
              </w:rPr>
            </w:pPr>
          </w:p>
        </w:tc>
        <w:tc>
          <w:tcPr>
            <w:tcW w:w="2820" w:type="dxa"/>
            <w:vAlign w:val="bottom"/>
            <w:shd w:val="clear" w:color="auto" w:fill="CEFEE7"/>
          </w:tcPr>
          <w:p>
            <w:pPr>
              <w:spacing w:after="0"/>
              <w:rPr>
                <w:sz w:val="15"/>
                <w:szCs w:val="15"/>
                <w:color w:val="auto"/>
              </w:rPr>
            </w:pPr>
          </w:p>
        </w:tc>
        <w:tc>
          <w:tcPr>
            <w:tcW w:w="1320" w:type="dxa"/>
            <w:vAlign w:val="bottom"/>
            <w:shd w:val="clear" w:color="auto" w:fill="CEFEE7"/>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40" w:type="dxa"/>
            <w:vAlign w:val="bottom"/>
            <w:shd w:val="clear" w:color="auto" w:fill="CEFEE7"/>
          </w:tcPr>
          <w:p>
            <w:pPr>
              <w:ind w:left="20"/>
              <w:spacing w:after="0" w:line="162" w:lineRule="exact"/>
              <w:rPr>
                <w:sz w:val="20"/>
                <w:szCs w:val="20"/>
                <w:color w:val="auto"/>
              </w:rPr>
            </w:pPr>
            <w:r>
              <w:rPr>
                <w:rFonts w:ascii="Arial" w:cs="Arial" w:eastAsia="Arial" w:hAnsi="Arial"/>
                <w:sz w:val="16"/>
                <w:szCs w:val="16"/>
                <w:color w:val="auto"/>
              </w:rPr>
              <w:t>Dakota</w:t>
            </w:r>
          </w:p>
        </w:tc>
        <w:tc>
          <w:tcPr>
            <w:tcW w:w="900" w:type="dxa"/>
            <w:vAlign w:val="bottom"/>
            <w:shd w:val="clear" w:color="auto" w:fill="CEFEE7"/>
          </w:tcPr>
          <w:p>
            <w:pPr>
              <w:jc w:val="center"/>
              <w:spacing w:after="0" w:line="162" w:lineRule="exact"/>
              <w:rPr>
                <w:sz w:val="20"/>
                <w:szCs w:val="20"/>
                <w:color w:val="auto"/>
              </w:rPr>
            </w:pPr>
            <w:r>
              <w:rPr>
                <w:rFonts w:ascii="Arial" w:cs="Arial" w:eastAsia="Arial" w:hAnsi="Arial"/>
                <w:sz w:val="16"/>
                <w:szCs w:val="16"/>
                <w:color w:val="auto"/>
              </w:rPr>
              <w:t>WY</w:t>
            </w:r>
          </w:p>
        </w:tc>
        <w:tc>
          <w:tcPr>
            <w:tcW w:w="1100" w:type="dxa"/>
            <w:vAlign w:val="bottom"/>
            <w:shd w:val="clear" w:color="auto" w:fill="CEFEE7"/>
          </w:tcPr>
          <w:p>
            <w:pPr>
              <w:jc w:val="center"/>
              <w:spacing w:after="0" w:line="162" w:lineRule="exact"/>
              <w:rPr>
                <w:sz w:val="20"/>
                <w:szCs w:val="20"/>
                <w:color w:val="auto"/>
              </w:rPr>
            </w:pPr>
            <w:r>
              <w:rPr>
                <w:rFonts w:ascii="Arial" w:cs="Arial" w:eastAsia="Arial" w:hAnsi="Arial"/>
                <w:sz w:val="16"/>
                <w:szCs w:val="16"/>
                <w:color w:val="auto"/>
              </w:rPr>
              <w:t>9.90%</w:t>
            </w:r>
          </w:p>
        </w:tc>
        <w:tc>
          <w:tcPr>
            <w:tcW w:w="1060" w:type="dxa"/>
            <w:vAlign w:val="bottom"/>
            <w:shd w:val="clear" w:color="auto" w:fill="CEFEE7"/>
          </w:tcPr>
          <w:p>
            <w:pPr>
              <w:jc w:val="center"/>
              <w:spacing w:after="0" w:line="162" w:lineRule="exact"/>
              <w:rPr>
                <w:sz w:val="20"/>
                <w:szCs w:val="20"/>
                <w:color w:val="auto"/>
              </w:rPr>
            </w:pPr>
            <w:r>
              <w:rPr>
                <w:rFonts w:ascii="Arial" w:cs="Arial" w:eastAsia="Arial" w:hAnsi="Arial"/>
                <w:sz w:val="16"/>
                <w:szCs w:val="16"/>
                <w:color w:val="auto"/>
              </w:rPr>
              <w:t>8.13%</w:t>
            </w:r>
          </w:p>
        </w:tc>
        <w:tc>
          <w:tcPr>
            <w:tcW w:w="1200" w:type="dxa"/>
            <w:vAlign w:val="bottom"/>
            <w:shd w:val="clear" w:color="auto" w:fill="CEFEE7"/>
          </w:tcPr>
          <w:p>
            <w:pPr>
              <w:jc w:val="center"/>
              <w:spacing w:after="0" w:line="162" w:lineRule="exact"/>
              <w:rPr>
                <w:sz w:val="20"/>
                <w:szCs w:val="20"/>
                <w:color w:val="auto"/>
              </w:rPr>
            </w:pPr>
            <w:r>
              <w:rPr>
                <w:rFonts w:ascii="Arial" w:cs="Arial" w:eastAsia="Arial" w:hAnsi="Arial"/>
                <w:sz w:val="16"/>
                <w:szCs w:val="16"/>
                <w:color w:val="auto"/>
              </w:rPr>
              <w:t>47%/53%</w:t>
            </w:r>
          </w:p>
        </w:tc>
        <w:tc>
          <w:tcPr>
            <w:tcW w:w="1080" w:type="dxa"/>
            <w:vAlign w:val="bottom"/>
            <w:shd w:val="clear" w:color="auto" w:fill="CEFEE7"/>
          </w:tcPr>
          <w:p>
            <w:pPr>
              <w:jc w:val="center"/>
              <w:spacing w:after="0" w:line="162" w:lineRule="exact"/>
              <w:rPr>
                <w:sz w:val="20"/>
                <w:szCs w:val="20"/>
                <w:color w:val="auto"/>
              </w:rPr>
            </w:pPr>
            <w:r>
              <w:rPr>
                <w:rFonts w:ascii="Arial" w:cs="Arial" w:eastAsia="Arial" w:hAnsi="Arial"/>
                <w:sz w:val="16"/>
                <w:szCs w:val="16"/>
                <w:color w:val="auto"/>
                <w:w w:val="99"/>
              </w:rPr>
              <w:t>$46.8</w:t>
            </w:r>
          </w:p>
        </w:tc>
        <w:tc>
          <w:tcPr>
            <w:tcW w:w="820" w:type="dxa"/>
            <w:vAlign w:val="bottom"/>
            <w:shd w:val="clear" w:color="auto" w:fill="CEFEE7"/>
          </w:tcPr>
          <w:p>
            <w:pPr>
              <w:jc w:val="center"/>
              <w:spacing w:after="0" w:line="162" w:lineRule="exact"/>
              <w:rPr>
                <w:sz w:val="20"/>
                <w:szCs w:val="20"/>
                <w:color w:val="auto"/>
              </w:rPr>
            </w:pPr>
            <w:r>
              <w:rPr>
                <w:rFonts w:ascii="Arial" w:cs="Arial" w:eastAsia="Arial" w:hAnsi="Arial"/>
                <w:sz w:val="16"/>
                <w:szCs w:val="16"/>
                <w:color w:val="auto"/>
              </w:rPr>
              <w:t>10/2014</w:t>
            </w:r>
          </w:p>
        </w:tc>
        <w:tc>
          <w:tcPr>
            <w:tcW w:w="2820" w:type="dxa"/>
            <w:vAlign w:val="bottom"/>
            <w:shd w:val="clear" w:color="auto" w:fill="CEFEE7"/>
          </w:tcPr>
          <w:p>
            <w:pPr>
              <w:ind w:left="80"/>
              <w:spacing w:after="0" w:line="162" w:lineRule="exact"/>
              <w:rPr>
                <w:sz w:val="20"/>
                <w:szCs w:val="20"/>
                <w:color w:val="auto"/>
              </w:rPr>
            </w:pPr>
            <w:r>
              <w:rPr>
                <w:rFonts w:ascii="Arial" w:cs="Arial" w:eastAsia="Arial" w:hAnsi="Arial"/>
                <w:sz w:val="16"/>
                <w:szCs w:val="16"/>
                <w:color w:val="auto"/>
              </w:rPr>
              <w:t>ECA</w:t>
            </w:r>
          </w:p>
        </w:tc>
        <w:tc>
          <w:tcPr>
            <w:tcW w:w="1320" w:type="dxa"/>
            <w:vAlign w:val="bottom"/>
            <w:shd w:val="clear" w:color="auto" w:fill="CEFEE7"/>
          </w:tcPr>
          <w:p>
            <w:pPr>
              <w:jc w:val="center"/>
              <w:spacing w:after="0" w:line="162"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1"/>
        </w:trPr>
        <w:tc>
          <w:tcPr>
            <w:tcW w:w="940" w:type="dxa"/>
            <w:vAlign w:val="bottom"/>
            <w:shd w:val="clear" w:color="auto" w:fill="CEFEE7"/>
          </w:tcPr>
          <w:p>
            <w:pPr>
              <w:ind w:left="20"/>
              <w:spacing w:after="0"/>
              <w:rPr>
                <w:sz w:val="20"/>
                <w:szCs w:val="20"/>
                <w:color w:val="auto"/>
              </w:rPr>
            </w:pPr>
            <w:r>
              <w:rPr>
                <w:rFonts w:ascii="Arial" w:cs="Arial" w:eastAsia="Arial" w:hAnsi="Arial"/>
                <w:sz w:val="16"/>
                <w:szCs w:val="16"/>
                <w:color w:val="auto"/>
              </w:rPr>
              <w:t>Electric</w:t>
            </w:r>
          </w:p>
        </w:tc>
        <w:tc>
          <w:tcPr>
            <w:tcW w:w="900" w:type="dxa"/>
            <w:vAlign w:val="bottom"/>
            <w:shd w:val="clear" w:color="auto" w:fill="CEFEE7"/>
          </w:tcPr>
          <w:p>
            <w:pPr>
              <w:spacing w:after="0"/>
              <w:rPr>
                <w:sz w:val="17"/>
                <w:szCs w:val="17"/>
                <w:color w:val="auto"/>
              </w:rPr>
            </w:pPr>
          </w:p>
        </w:tc>
        <w:tc>
          <w:tcPr>
            <w:tcW w:w="1100" w:type="dxa"/>
            <w:vAlign w:val="bottom"/>
            <w:shd w:val="clear" w:color="auto" w:fill="CEFEE7"/>
          </w:tcPr>
          <w:p>
            <w:pPr>
              <w:spacing w:after="0"/>
              <w:rPr>
                <w:sz w:val="17"/>
                <w:szCs w:val="17"/>
                <w:color w:val="auto"/>
              </w:rPr>
            </w:pPr>
          </w:p>
        </w:tc>
        <w:tc>
          <w:tcPr>
            <w:tcW w:w="1060" w:type="dxa"/>
            <w:vAlign w:val="bottom"/>
            <w:shd w:val="clear" w:color="auto" w:fill="CEFEE7"/>
          </w:tcPr>
          <w:p>
            <w:pPr>
              <w:spacing w:after="0"/>
              <w:rPr>
                <w:sz w:val="17"/>
                <w:szCs w:val="17"/>
                <w:color w:val="auto"/>
              </w:rPr>
            </w:pPr>
          </w:p>
        </w:tc>
        <w:tc>
          <w:tcPr>
            <w:tcW w:w="1200" w:type="dxa"/>
            <w:vAlign w:val="bottom"/>
            <w:shd w:val="clear" w:color="auto" w:fill="CEFEE7"/>
          </w:tcPr>
          <w:p>
            <w:pPr>
              <w:spacing w:after="0"/>
              <w:rPr>
                <w:sz w:val="17"/>
                <w:szCs w:val="17"/>
                <w:color w:val="auto"/>
              </w:rPr>
            </w:pPr>
          </w:p>
        </w:tc>
        <w:tc>
          <w:tcPr>
            <w:tcW w:w="1080" w:type="dxa"/>
            <w:vAlign w:val="bottom"/>
            <w:shd w:val="clear" w:color="auto" w:fill="CEFEE7"/>
          </w:tcPr>
          <w:p>
            <w:pPr>
              <w:spacing w:after="0"/>
              <w:rPr>
                <w:sz w:val="17"/>
                <w:szCs w:val="17"/>
                <w:color w:val="auto"/>
              </w:rPr>
            </w:pPr>
          </w:p>
        </w:tc>
        <w:tc>
          <w:tcPr>
            <w:tcW w:w="820" w:type="dxa"/>
            <w:vAlign w:val="bottom"/>
            <w:shd w:val="clear" w:color="auto" w:fill="CEFEE7"/>
          </w:tcPr>
          <w:p>
            <w:pPr>
              <w:spacing w:after="0"/>
              <w:rPr>
                <w:sz w:val="17"/>
                <w:szCs w:val="17"/>
                <w:color w:val="auto"/>
              </w:rPr>
            </w:pPr>
          </w:p>
        </w:tc>
        <w:tc>
          <w:tcPr>
            <w:tcW w:w="2820" w:type="dxa"/>
            <w:vAlign w:val="bottom"/>
            <w:shd w:val="clear" w:color="auto" w:fill="CEFEE7"/>
          </w:tcPr>
          <w:p>
            <w:pPr>
              <w:spacing w:after="0"/>
              <w:rPr>
                <w:sz w:val="17"/>
                <w:szCs w:val="17"/>
                <w:color w:val="auto"/>
              </w:rPr>
            </w:pPr>
          </w:p>
        </w:tc>
        <w:tc>
          <w:tcPr>
            <w:tcW w:w="1320" w:type="dxa"/>
            <w:vAlign w:val="bottom"/>
            <w:shd w:val="clear" w:color="auto" w:fill="CEFEE7"/>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94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8"/>
              </w:rPr>
              <w:t>SD</w:t>
            </w:r>
          </w:p>
        </w:tc>
        <w:tc>
          <w:tcPr>
            <w:tcW w:w="1100" w:type="dxa"/>
            <w:vAlign w:val="bottom"/>
          </w:tcPr>
          <w:p>
            <w:pPr>
              <w:jc w:val="center"/>
              <w:spacing w:after="0" w:line="178" w:lineRule="exact"/>
              <w:rPr>
                <w:sz w:val="20"/>
                <w:szCs w:val="20"/>
                <w:color w:val="auto"/>
              </w:rPr>
            </w:pPr>
            <w:r>
              <w:rPr>
                <w:rFonts w:ascii="Arial" w:cs="Arial" w:eastAsia="Arial" w:hAnsi="Arial"/>
                <w:sz w:val="16"/>
                <w:szCs w:val="16"/>
                <w:color w:val="auto"/>
                <w:w w:val="99"/>
              </w:rPr>
              <w:t>Global</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7.76%</w:t>
            </w:r>
          </w:p>
        </w:tc>
        <w:tc>
          <w:tcPr>
            <w:tcW w:w="1200" w:type="dxa"/>
            <w:vAlign w:val="bottom"/>
          </w:tcPr>
          <w:p>
            <w:pPr>
              <w:jc w:val="center"/>
              <w:spacing w:after="0" w:line="178" w:lineRule="exact"/>
              <w:rPr>
                <w:sz w:val="20"/>
                <w:szCs w:val="20"/>
                <w:color w:val="auto"/>
              </w:rPr>
            </w:pPr>
            <w:r>
              <w:rPr>
                <w:rFonts w:ascii="Arial" w:cs="Arial" w:eastAsia="Arial" w:hAnsi="Arial"/>
                <w:sz w:val="16"/>
                <w:szCs w:val="16"/>
                <w:color w:val="auto"/>
                <w:w w:val="99"/>
              </w:rPr>
              <w:t>Global</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$543.9</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10/2014</w:t>
            </w:r>
          </w:p>
        </w:tc>
        <w:tc>
          <w:tcPr>
            <w:tcW w:w="2820" w:type="dxa"/>
            <w:vAlign w:val="bottom"/>
            <w:vMerge w:val="restart"/>
          </w:tcPr>
          <w:p>
            <w:pPr>
              <w:ind w:left="80"/>
              <w:spacing w:after="0"/>
              <w:rPr>
                <w:sz w:val="20"/>
                <w:szCs w:val="20"/>
                <w:color w:val="auto"/>
              </w:rPr>
            </w:pPr>
            <w:r>
              <w:rPr>
                <w:rFonts w:ascii="Arial" w:cs="Arial" w:eastAsia="Arial" w:hAnsi="Arial"/>
                <w:sz w:val="16"/>
                <w:szCs w:val="16"/>
                <w:color w:val="auto"/>
              </w:rPr>
              <w:t>ECA, TFA, EIA</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14"/>
        </w:trPr>
        <w:tc>
          <w:tcPr>
            <w:tcW w:w="9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Settlement</w:t>
            </w:r>
          </w:p>
        </w:tc>
        <w:tc>
          <w:tcPr>
            <w:tcW w:w="1060" w:type="dxa"/>
            <w:vAlign w:val="bottom"/>
            <w:vMerge w:val="continue"/>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Settlement</w:t>
            </w: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8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940" w:type="dxa"/>
            <w:vAlign w:val="bottom"/>
            <w:shd w:val="clear" w:color="auto" w:fill="CEFEE7"/>
          </w:tcPr>
          <w:p>
            <w:pPr>
              <w:spacing w:after="0"/>
              <w:rPr>
                <w:sz w:val="19"/>
                <w:szCs w:val="19"/>
                <w:color w:val="auto"/>
              </w:rPr>
            </w:pPr>
          </w:p>
        </w:tc>
        <w:tc>
          <w:tcPr>
            <w:tcW w:w="9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FERC</w:t>
            </w:r>
          </w:p>
        </w:tc>
        <w:tc>
          <w:tcPr>
            <w:tcW w:w="11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10.80%</w:t>
            </w:r>
          </w:p>
        </w:tc>
        <w:tc>
          <w:tcPr>
            <w:tcW w:w="106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8.76%</w:t>
            </w:r>
          </w:p>
        </w:tc>
        <w:tc>
          <w:tcPr>
            <w:tcW w:w="12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43%/57%</w:t>
            </w:r>
          </w:p>
        </w:tc>
        <w:tc>
          <w:tcPr>
            <w:tcW w:w="1080" w:type="dxa"/>
            <w:vAlign w:val="bottom"/>
            <w:shd w:val="clear" w:color="auto" w:fill="CEFEE7"/>
          </w:tcPr>
          <w:p>
            <w:pPr>
              <w:jc w:val="center"/>
              <w:spacing w:after="0" w:line="219" w:lineRule="exact"/>
              <w:rPr>
                <w:sz w:val="20"/>
                <w:szCs w:val="20"/>
                <w:color w:val="auto"/>
              </w:rPr>
            </w:pPr>
            <w:r>
              <w:rPr>
                <w:rFonts w:ascii="Arial" w:cs="Arial" w:eastAsia="Arial" w:hAnsi="Arial"/>
                <w:sz w:val="16"/>
                <w:szCs w:val="16"/>
                <w:color w:val="auto"/>
                <w:w w:val="93"/>
              </w:rPr>
              <w:t xml:space="preserve">$148.4 </w:t>
            </w:r>
            <w:r>
              <w:rPr>
                <w:rFonts w:ascii="Arial" w:cs="Arial" w:eastAsia="Arial" w:hAnsi="Arial"/>
                <w:sz w:val="21"/>
                <w:szCs w:val="21"/>
                <w:color w:val="auto"/>
                <w:w w:val="93"/>
                <w:vertAlign w:val="superscript"/>
              </w:rPr>
              <w:t>(b)</w:t>
            </w:r>
          </w:p>
        </w:tc>
        <w:tc>
          <w:tcPr>
            <w:tcW w:w="8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2/2009</w:t>
            </w:r>
          </w:p>
        </w:tc>
        <w:tc>
          <w:tcPr>
            <w:tcW w:w="2820" w:type="dxa"/>
            <w:vAlign w:val="bottom"/>
            <w:shd w:val="clear" w:color="auto" w:fill="CEFEE7"/>
          </w:tcPr>
          <w:p>
            <w:pPr>
              <w:ind w:left="80"/>
              <w:spacing w:after="0"/>
              <w:rPr>
                <w:sz w:val="20"/>
                <w:szCs w:val="20"/>
                <w:color w:val="auto"/>
              </w:rPr>
            </w:pPr>
            <w:r>
              <w:rPr>
                <w:rFonts w:ascii="Arial" w:cs="Arial" w:eastAsia="Arial" w:hAnsi="Arial"/>
                <w:sz w:val="16"/>
                <w:szCs w:val="16"/>
                <w:color w:val="auto"/>
              </w:rPr>
              <w:t>FERC Transmission Tariff</w:t>
            </w:r>
          </w:p>
        </w:tc>
        <w:tc>
          <w:tcPr>
            <w:tcW w:w="132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75"/>
        </w:trPr>
        <w:tc>
          <w:tcPr>
            <w:tcW w:w="940" w:type="dxa"/>
            <w:vAlign w:val="bottom"/>
          </w:tcPr>
          <w:p>
            <w:pPr>
              <w:ind w:left="20"/>
              <w:spacing w:after="0" w:line="175" w:lineRule="exact"/>
              <w:rPr>
                <w:sz w:val="20"/>
                <w:szCs w:val="20"/>
                <w:color w:val="auto"/>
              </w:rPr>
            </w:pPr>
            <w:r>
              <w:rPr>
                <w:rFonts w:ascii="Arial" w:cs="Arial" w:eastAsia="Arial" w:hAnsi="Arial"/>
                <w:sz w:val="16"/>
                <w:szCs w:val="16"/>
                <w:color w:val="auto"/>
              </w:rPr>
              <w:t>Wyoming</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rPr>
              <w:t>WY</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9.90%</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7.98%</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46%/54%</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$376.8</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10/2014</w:t>
            </w:r>
          </w:p>
        </w:tc>
        <w:tc>
          <w:tcPr>
            <w:tcW w:w="2820" w:type="dxa"/>
            <w:vAlign w:val="bottom"/>
          </w:tcPr>
          <w:p>
            <w:pPr>
              <w:ind w:left="80"/>
              <w:spacing w:after="0" w:line="175" w:lineRule="exact"/>
              <w:rPr>
                <w:sz w:val="20"/>
                <w:szCs w:val="20"/>
                <w:color w:val="auto"/>
              </w:rPr>
            </w:pPr>
            <w:r>
              <w:rPr>
                <w:rFonts w:ascii="Arial" w:cs="Arial" w:eastAsia="Arial" w:hAnsi="Arial"/>
                <w:sz w:val="16"/>
                <w:szCs w:val="16"/>
                <w:color w:val="auto"/>
              </w:rPr>
              <w:t>PCA, EECR/DSM, Rate Base</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68"/>
        </w:trPr>
        <w:tc>
          <w:tcPr>
            <w:tcW w:w="940" w:type="dxa"/>
            <w:vAlign w:val="bottom"/>
          </w:tcPr>
          <w:p>
            <w:pPr>
              <w:ind w:left="20"/>
              <w:spacing w:after="0"/>
              <w:rPr>
                <w:sz w:val="20"/>
                <w:szCs w:val="20"/>
                <w:color w:val="auto"/>
              </w:rPr>
            </w:pPr>
            <w:r>
              <w:rPr>
                <w:rFonts w:ascii="Arial" w:cs="Arial" w:eastAsia="Arial" w:hAnsi="Arial"/>
                <w:sz w:val="16"/>
                <w:szCs w:val="16"/>
                <w:color w:val="auto"/>
              </w:rPr>
              <w:t xml:space="preserve">Electric </w:t>
            </w:r>
            <w:r>
              <w:rPr>
                <w:rFonts w:ascii="Arial" w:cs="Arial" w:eastAsia="Arial" w:hAnsi="Arial"/>
                <w:sz w:val="21"/>
                <w:szCs w:val="21"/>
                <w:color w:val="auto"/>
                <w:vertAlign w:val="superscript"/>
              </w:rPr>
              <w:t>(a)</w:t>
            </w:r>
          </w:p>
        </w:tc>
        <w:tc>
          <w:tcPr>
            <w:tcW w:w="900" w:type="dxa"/>
            <w:vAlign w:val="bottom"/>
            <w:vMerge w:val="continue"/>
          </w:tcPr>
          <w:p>
            <w:pPr>
              <w:spacing w:after="0"/>
              <w:rPr>
                <w:sz w:val="23"/>
                <w:szCs w:val="23"/>
                <w:color w:val="auto"/>
              </w:rPr>
            </w:pPr>
          </w:p>
        </w:tc>
        <w:tc>
          <w:tcPr>
            <w:tcW w:w="1100" w:type="dxa"/>
            <w:vAlign w:val="bottom"/>
            <w:vMerge w:val="continue"/>
          </w:tcPr>
          <w:p>
            <w:pPr>
              <w:spacing w:after="0"/>
              <w:rPr>
                <w:sz w:val="23"/>
                <w:szCs w:val="23"/>
                <w:color w:val="auto"/>
              </w:rPr>
            </w:pPr>
          </w:p>
        </w:tc>
        <w:tc>
          <w:tcPr>
            <w:tcW w:w="1060" w:type="dxa"/>
            <w:vAlign w:val="bottom"/>
            <w:vMerge w:val="continue"/>
          </w:tcPr>
          <w:p>
            <w:pPr>
              <w:spacing w:after="0"/>
              <w:rPr>
                <w:sz w:val="23"/>
                <w:szCs w:val="23"/>
                <w:color w:val="auto"/>
              </w:rPr>
            </w:pPr>
          </w:p>
        </w:tc>
        <w:tc>
          <w:tcPr>
            <w:tcW w:w="1200" w:type="dxa"/>
            <w:vAlign w:val="bottom"/>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2820" w:type="dxa"/>
            <w:vAlign w:val="bottom"/>
          </w:tcPr>
          <w:p>
            <w:pPr>
              <w:ind w:left="80"/>
              <w:spacing w:after="0"/>
              <w:rPr>
                <w:sz w:val="20"/>
                <w:szCs w:val="20"/>
                <w:color w:val="auto"/>
              </w:rPr>
            </w:pPr>
            <w:r>
              <w:rPr>
                <w:rFonts w:ascii="Arial" w:cs="Arial" w:eastAsia="Arial" w:hAnsi="Arial"/>
                <w:sz w:val="16"/>
                <w:szCs w:val="16"/>
                <w:color w:val="auto"/>
              </w:rPr>
              <w:t>Recovery on Acquisition Adjustment</w:t>
            </w:r>
          </w:p>
        </w:tc>
        <w:tc>
          <w:tcPr>
            <w:tcW w:w="1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both Colorado Electric and Wyoming Electric, transmission investments are recovered through retail rates rather than FERC Transmission Tariffs.</w:t>
      </w:r>
    </w:p>
    <w:p>
      <w:pPr>
        <w:spacing w:after="0" w:line="1" w:lineRule="exact"/>
        <w:rPr>
          <w:rFonts w:ascii="Arial" w:cs="Arial" w:eastAsia="Arial" w:hAnsi="Arial"/>
          <w:sz w:val="14"/>
          <w:szCs w:val="14"/>
          <w:color w:val="auto"/>
        </w:rPr>
      </w:pPr>
    </w:p>
    <w:p>
      <w:pPr>
        <w:ind w:left="340" w:right="660" w:hanging="332"/>
        <w:spacing w:after="0" w:line="258" w:lineRule="auto"/>
        <w:tabs>
          <w:tab w:leader="none" w:pos="352"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$131.3 million in 2021 rate base for the 2021 Projected Common Use System formula rate that is updated annually and $17.1 million in rate base for the Transmission Tie that is based on the approved stated rate from 2005.</w:t>
      </w:r>
    </w:p>
    <w:p>
      <w:pPr>
        <w:spacing w:after="0" w:line="21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regulatory provisions for recovering the costs to supply electricity vary by state. We have cost adjustment mechanisms for our Electric Utilities that allow us to pass the prudently-incurred cost of fuel and purchased power to customers. These mechanisms allow the utility operating in that state to collect, or refund the difference between the cost of commodities and certain services embedded in our base rates and the actual cost of the commodities and certain services without filing a general rate review. In addition, some states allow for recovery of new capital investment placed in service between base rate reviews through approved rider tariffs. These tariffs allow the utility a return on the investment.</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A summary of mechanisms we have in place are shown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color w:val="auto"/>
              </w:rPr>
              <w:t>Cost Recovery Mechanisms</w:t>
            </w:r>
          </w:p>
        </w:tc>
        <w:tc>
          <w:tcPr>
            <w:tcW w:w="1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120" w:type="dxa"/>
            <w:vAlign w:val="bottom"/>
          </w:tcPr>
          <w:p>
            <w:pPr>
              <w:ind w:left="20"/>
              <w:spacing w:after="0"/>
              <w:rPr>
                <w:sz w:val="20"/>
                <w:szCs w:val="20"/>
                <w:color w:val="auto"/>
              </w:rPr>
            </w:pPr>
            <w:r>
              <w:rPr>
                <w:rFonts w:ascii="Arial" w:cs="Arial" w:eastAsia="Arial" w:hAnsi="Arial"/>
                <w:sz w:val="16"/>
                <w:szCs w:val="16"/>
                <w:color w:val="auto"/>
              </w:rPr>
              <w:t>Electric Utility Jurisdiction</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9"/>
              </w:rPr>
              <w:t>Environmental</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Energy</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Transmission</w:t>
            </w:r>
          </w:p>
        </w:tc>
        <w:tc>
          <w:tcPr>
            <w:tcW w:w="100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Transmission</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Purchased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1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3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Cost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Efficiency</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Expense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Fuel Cost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Capital</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Power</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RESA</w:t>
            </w:r>
          </w:p>
        </w:tc>
        <w:tc>
          <w:tcPr>
            <w:tcW w:w="0" w:type="dxa"/>
            <w:vAlign w:val="bottom"/>
          </w:tcPr>
          <w:p>
            <w:pPr>
              <w:spacing w:after="0"/>
              <w:rPr>
                <w:sz w:val="1"/>
                <w:szCs w:val="1"/>
                <w:color w:val="auto"/>
              </w:rPr>
            </w:pPr>
          </w:p>
        </w:tc>
      </w:tr>
      <w:tr>
        <w:trPr>
          <w:trHeight w:val="226"/>
        </w:trPr>
        <w:tc>
          <w:tcPr>
            <w:tcW w:w="3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Colorado Electric</w:t>
            </w:r>
          </w:p>
        </w:tc>
        <w:tc>
          <w:tcPr>
            <w:tcW w:w="1420" w:type="dxa"/>
            <w:vAlign w:val="bottom"/>
            <w:shd w:val="clear" w:color="auto" w:fill="CEFFE7"/>
          </w:tcPr>
          <w:p>
            <w:pPr>
              <w:spacing w:after="0"/>
              <w:rPr>
                <w:sz w:val="19"/>
                <w:szCs w:val="19"/>
                <w:color w:val="auto"/>
              </w:rPr>
            </w:pPr>
          </w:p>
        </w:tc>
        <w:tc>
          <w:tcPr>
            <w:tcW w:w="11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South Dakota Electric (SD) </w:t>
            </w:r>
            <w:r>
              <w:rPr>
                <w:rFonts w:ascii="Arial" w:cs="Arial" w:eastAsia="Arial" w:hAnsi="Arial"/>
                <w:sz w:val="21"/>
                <w:szCs w:val="21"/>
                <w:color w:val="auto"/>
                <w:vertAlign w:val="superscript"/>
              </w:rPr>
              <w:t>(a)</w:t>
            </w:r>
          </w:p>
        </w:tc>
        <w:tc>
          <w:tcPr>
            <w:tcW w:w="1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Pr>
          <w:p>
            <w:pPr>
              <w:spacing w:after="0"/>
              <w:rPr>
                <w:sz w:val="19"/>
                <w:szCs w:val="19"/>
                <w:color w:val="auto"/>
              </w:rPr>
            </w:pPr>
          </w:p>
        </w:tc>
        <w:tc>
          <w:tcPr>
            <w:tcW w:w="13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EFFE7"/>
          </w:tcPr>
          <w:p>
            <w:pPr>
              <w:ind w:left="20"/>
              <w:spacing w:after="0" w:line="230" w:lineRule="exact"/>
              <w:rPr>
                <w:sz w:val="20"/>
                <w:szCs w:val="20"/>
                <w:color w:val="auto"/>
              </w:rPr>
            </w:pPr>
            <w:r>
              <w:rPr>
                <w:rFonts w:ascii="Arial" w:cs="Arial" w:eastAsia="Arial" w:hAnsi="Arial"/>
                <w:sz w:val="16"/>
                <w:szCs w:val="16"/>
                <w:color w:val="auto"/>
              </w:rPr>
              <w:t xml:space="preserve">South Dakota Electric (WY) </w:t>
            </w:r>
            <w:r>
              <w:rPr>
                <w:rFonts w:ascii="Arial" w:cs="Arial" w:eastAsia="Arial" w:hAnsi="Arial"/>
                <w:sz w:val="21"/>
                <w:szCs w:val="21"/>
                <w:color w:val="auto"/>
                <w:vertAlign w:val="superscript"/>
              </w:rPr>
              <w:t>(b)</w:t>
            </w:r>
          </w:p>
        </w:tc>
        <w:tc>
          <w:tcPr>
            <w:tcW w:w="1420" w:type="dxa"/>
            <w:vAlign w:val="bottom"/>
            <w:shd w:val="clear" w:color="auto" w:fill="CEFFE7"/>
          </w:tcPr>
          <w:p>
            <w:pPr>
              <w:spacing w:after="0"/>
              <w:rPr>
                <w:sz w:val="19"/>
                <w:szCs w:val="19"/>
                <w:color w:val="auto"/>
              </w:rPr>
            </w:pPr>
          </w:p>
        </w:tc>
        <w:tc>
          <w:tcPr>
            <w:tcW w:w="11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spacing w:after="0"/>
              <w:rPr>
                <w:sz w:val="19"/>
                <w:szCs w:val="19"/>
                <w:color w:val="auto"/>
              </w:rPr>
            </w:pPr>
          </w:p>
        </w:tc>
        <w:tc>
          <w:tcPr>
            <w:tcW w:w="114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South Dakota Electric (FERC) </w:t>
            </w:r>
            <w:r>
              <w:rPr>
                <w:rFonts w:ascii="Arial" w:cs="Arial" w:eastAsia="Arial" w:hAnsi="Arial"/>
                <w:sz w:val="21"/>
                <w:szCs w:val="21"/>
                <w:color w:val="auto"/>
                <w:vertAlign w:val="superscript"/>
              </w:rPr>
              <w:t>(c)</w:t>
            </w:r>
          </w:p>
        </w:tc>
        <w:tc>
          <w:tcPr>
            <w:tcW w:w="1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Wyoming Electric</w:t>
            </w:r>
          </w:p>
        </w:tc>
        <w:tc>
          <w:tcPr>
            <w:tcW w:w="1420" w:type="dxa"/>
            <w:vAlign w:val="bottom"/>
            <w:shd w:val="clear" w:color="auto" w:fill="CEFFE7"/>
          </w:tcPr>
          <w:p>
            <w:pPr>
              <w:spacing w:after="0"/>
              <w:rPr>
                <w:sz w:val="19"/>
                <w:szCs w:val="19"/>
                <w:color w:val="auto"/>
              </w:rPr>
            </w:pPr>
          </w:p>
        </w:tc>
        <w:tc>
          <w:tcPr>
            <w:tcW w:w="11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spacing w:after="0"/>
              <w:rPr>
                <w:sz w:val="19"/>
                <w:szCs w:val="19"/>
                <w:color w:val="auto"/>
              </w:rPr>
            </w:pPr>
          </w:p>
        </w:tc>
        <w:tc>
          <w:tcPr>
            <w:tcW w:w="114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jc w:val="both"/>
        <w:ind w:left="340" w:right="460" w:hanging="332"/>
        <w:spacing w:after="0" w:line="241" w:lineRule="auto"/>
        <w:tabs>
          <w:tab w:leader="none" w:pos="352" w:val="left"/>
        </w:tabs>
        <w:numPr>
          <w:ilvl w:val="0"/>
          <w:numId w:val="8"/>
        </w:numPr>
        <w:rPr>
          <w:rFonts w:ascii="Arial" w:cs="Arial" w:eastAsia="Arial" w:hAnsi="Arial"/>
          <w:sz w:val="14"/>
          <w:szCs w:val="14"/>
          <w:color w:val="auto"/>
        </w:rPr>
      </w:pPr>
      <w:r>
        <w:rPr>
          <w:rFonts w:ascii="Arial" w:cs="Arial" w:eastAsia="Arial" w:hAnsi="Arial"/>
          <w:sz w:val="14"/>
          <w:szCs w:val="14"/>
          <w:color w:val="auto"/>
        </w:rPr>
        <w:t>South Dakota Electric’s Environmental Cost (EIA) and Transmission Capital (TFA) tariffs were suspended for a six-year moratorium period effective July 1, 2017. On January 7, 2020, South Dakota Electric received approval from the SDPUC to extend the 6-year moratorium period by an additional 3 years whereby these recovery mechanisms will not be effective prior to July 1, 2026.</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52" w:val="left"/>
        </w:tabs>
        <w:numPr>
          <w:ilvl w:val="0"/>
          <w:numId w:val="8"/>
        </w:numPr>
        <w:rPr>
          <w:rFonts w:ascii="Arial" w:cs="Arial" w:eastAsia="Arial" w:hAnsi="Arial"/>
          <w:sz w:val="14"/>
          <w:szCs w:val="14"/>
          <w:color w:val="auto"/>
        </w:rPr>
      </w:pPr>
      <w:r>
        <w:rPr>
          <w:rFonts w:ascii="Arial" w:cs="Arial" w:eastAsia="Arial" w:hAnsi="Arial"/>
          <w:sz w:val="14"/>
          <w:szCs w:val="14"/>
          <w:color w:val="auto"/>
        </w:rPr>
        <w:t>South Dakota Electric has WPSC authorization to accumulate certain Energy Efficiency costs in a regulatory asset with determination of recovery to be made in the next rate review.</w:t>
      </w:r>
    </w:p>
    <w:p>
      <w:pPr>
        <w:ind w:left="340" w:right="100" w:hanging="332"/>
        <w:spacing w:after="0" w:line="258" w:lineRule="auto"/>
        <w:tabs>
          <w:tab w:leader="none" w:pos="344" w:val="left"/>
        </w:tabs>
        <w:numPr>
          <w:ilvl w:val="0"/>
          <w:numId w:val="8"/>
        </w:numPr>
        <w:rPr>
          <w:rFonts w:ascii="Arial" w:cs="Arial" w:eastAsia="Arial" w:hAnsi="Arial"/>
          <w:sz w:val="14"/>
          <w:szCs w:val="14"/>
          <w:color w:val="auto"/>
        </w:rPr>
      </w:pPr>
      <w:r>
        <w:rPr>
          <w:rFonts w:ascii="Arial" w:cs="Arial" w:eastAsia="Arial" w:hAnsi="Arial"/>
          <w:sz w:val="14"/>
          <w:szCs w:val="14"/>
          <w:color w:val="auto"/>
        </w:rPr>
        <w:t>South Dakota Electric has an approved FERC Transmission Tariff based on a formulaic approach that determines the revenue component of South Dakota Electric’s open access transmission tariff.</w:t>
      </w:r>
    </w:p>
    <w:p>
      <w:pPr>
        <w:spacing w:after="0" w:line="198" w:lineRule="exact"/>
        <w:rPr>
          <w:sz w:val="20"/>
          <w:szCs w:val="20"/>
          <w:color w:val="auto"/>
        </w:rPr>
      </w:pPr>
    </w:p>
    <w:p>
      <w:pPr>
        <w:ind w:right="180"/>
        <w:spacing w:after="0" w:line="286"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Tariff Filings. </w:t>
      </w:r>
      <w:r>
        <w:rPr>
          <w:rFonts w:ascii="Arial" w:cs="Arial" w:eastAsia="Arial" w:hAnsi="Arial"/>
          <w:sz w:val="16"/>
          <w:szCs w:val="16"/>
          <w:color w:val="auto"/>
        </w:rPr>
        <w:t>See</w:t>
      </w:r>
      <w:r>
        <w:rPr>
          <w:rFonts w:ascii="Arial" w:cs="Arial" w:eastAsia="Arial" w:hAnsi="Arial"/>
          <w:sz w:val="16"/>
          <w:szCs w:val="16"/>
          <w:b w:val="1"/>
          <w:bCs w:val="1"/>
          <w:i w:val="1"/>
          <w:iCs w:val="1"/>
          <w:color w:val="auto"/>
        </w:rPr>
        <w:t xml:space="preserve"> </w:t>
      </w:r>
      <w:hyperlink w:anchor="page74">
        <w:r>
          <w:rPr>
            <w:rFonts w:ascii="Arial" w:cs="Arial" w:eastAsia="Arial" w:hAnsi="Arial"/>
            <w:sz w:val="16"/>
            <w:szCs w:val="16"/>
            <w:u w:val="single" w:color="auto"/>
            <w:color w:val="0000FF"/>
          </w:rPr>
          <w:t>Note 2</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color w:val="auto"/>
        </w:rPr>
        <w:t>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to Consolidated Financial Statements in this Annual Report on Form 10-K for tariff filings and additional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regarding current electric regulatory activity.</w:t>
      </w:r>
    </w:p>
    <w:p>
      <w:pPr>
        <w:spacing w:after="0" w:line="183" w:lineRule="exact"/>
        <w:rPr>
          <w:sz w:val="20"/>
          <w:szCs w:val="20"/>
          <w:color w:val="auto"/>
        </w:rPr>
      </w:pPr>
    </w:p>
    <w:p>
      <w:pPr>
        <w:ind w:right="420"/>
        <w:spacing w:after="0" w:line="286" w:lineRule="auto"/>
        <w:rPr>
          <w:rFonts w:ascii="Arial" w:cs="Arial" w:eastAsia="Arial" w:hAnsi="Arial"/>
          <w:sz w:val="16"/>
          <w:szCs w:val="16"/>
          <w:color w:val="auto"/>
        </w:rPr>
      </w:pPr>
      <w:r>
        <w:rPr>
          <w:rFonts w:ascii="Arial" w:cs="Arial" w:eastAsia="Arial" w:hAnsi="Arial"/>
          <w:sz w:val="16"/>
          <w:szCs w:val="16"/>
          <w:b w:val="1"/>
          <w:bCs w:val="1"/>
          <w:i w:val="1"/>
          <w:iCs w:val="1"/>
          <w:color w:val="auto"/>
        </w:rPr>
        <w:t>Operating Statistics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 a summary of key operating statistics in the</w:t>
      </w:r>
      <w:r>
        <w:rPr>
          <w:rFonts w:ascii="Arial" w:cs="Arial" w:eastAsia="Arial" w:hAnsi="Arial"/>
          <w:sz w:val="16"/>
          <w:szCs w:val="16"/>
          <w:b w:val="1"/>
          <w:bCs w:val="1"/>
          <w:i w:val="1"/>
          <w:iCs w:val="1"/>
          <w:color w:val="auto"/>
        </w:rPr>
        <w:t xml:space="preserve"> </w:t>
      </w:r>
      <w:hyperlink w:anchor="page37">
        <w:r>
          <w:rPr>
            <w:rFonts w:ascii="Arial" w:cs="Arial" w:eastAsia="Arial" w:hAnsi="Arial"/>
            <w:sz w:val="16"/>
            <w:szCs w:val="16"/>
            <w:u w:val="single" w:color="auto"/>
            <w:color w:val="0000FF"/>
          </w:rPr>
          <w:t>Electric Utilities</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color w:val="auto"/>
        </w:rPr>
        <w:t>segment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results within Management’s Discussion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Analysis of Financial Condition and Results of Operations in </w:t>
      </w:r>
      <w:hyperlink w:anchor="page30">
        <w:r>
          <w:rPr>
            <w:rFonts w:ascii="Arial" w:cs="Arial" w:eastAsia="Arial" w:hAnsi="Arial"/>
            <w:sz w:val="16"/>
            <w:szCs w:val="16"/>
            <w:u w:val="single" w:color="auto"/>
            <w:color w:val="0000FF"/>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 Utilities</w:t>
      </w:r>
    </w:p>
    <w:p>
      <w:pPr>
        <w:spacing w:after="0" w:line="26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conduct natural gas utility operations through our Arkansas, Colorado, Iowa, Kansas, Nebraska and Wyoming subsidiaries. Our Gas Utilities transport and distribute natural gas through our distribution network to approximately 1,094,000 customers. Additionally, we sell contractual pipeline capacity and gas commodities to other utilities and marketing companies, including our affiliates, on an as-available basis.</w:t>
      </w:r>
    </w:p>
    <w:p>
      <w:pPr>
        <w:spacing w:after="0" w:line="228"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We also provide non-regulated services to our regulated customers. Black Hills Energy Services provides natural gas supply to approximately 52,400 retail distribution customers under the Choice Gas Program in Nebraska and Wyoming. Additionally, we provide services under the Service Guard Comfort Plan, Tech Services and HomeServe.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40" w:type="dxa"/>
            <w:vAlign w:val="bottom"/>
          </w:tcPr>
          <w:p>
            <w:pPr>
              <w:jc w:val="center"/>
              <w:ind w:right="159"/>
              <w:spacing w:after="0"/>
              <w:rPr>
                <w:sz w:val="20"/>
                <w:szCs w:val="20"/>
                <w:color w:val="auto"/>
              </w:rPr>
            </w:pPr>
            <w:r>
              <w:rPr>
                <w:rFonts w:ascii="Arial" w:cs="Arial" w:eastAsia="Arial" w:hAnsi="Arial"/>
                <w:sz w:val="16"/>
                <w:szCs w:val="16"/>
                <w:color w:val="auto"/>
              </w:rPr>
              <w:t>As of December 31,</w:t>
            </w:r>
          </w:p>
        </w:tc>
        <w:tc>
          <w:tcPr>
            <w:tcW w:w="1160" w:type="dxa"/>
            <w:vAlign w:val="bottom"/>
          </w:tcPr>
          <w:p>
            <w:pPr>
              <w:spacing w:after="0"/>
              <w:rPr>
                <w:sz w:val="16"/>
                <w:szCs w:val="16"/>
                <w:color w:val="auto"/>
              </w:rPr>
            </w:pPr>
          </w:p>
        </w:tc>
      </w:tr>
      <w:tr>
        <w:trPr>
          <w:trHeight w:val="219"/>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Retail Customers</w:t>
            </w:r>
          </w:p>
        </w:tc>
        <w:tc>
          <w:tcPr>
            <w:tcW w:w="14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17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2020</w:t>
            </w: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2019</w:t>
            </w:r>
          </w:p>
        </w:tc>
      </w:tr>
      <w:tr>
        <w:trPr>
          <w:trHeight w:val="213"/>
        </w:trPr>
        <w:tc>
          <w:tcPr>
            <w:tcW w:w="694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853,908</w:t>
            </w:r>
          </w:p>
        </w:tc>
        <w:tc>
          <w:tcPr>
            <w:tcW w:w="17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844,999</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831,351</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400" w:type="dxa"/>
            <w:vAlign w:val="bottom"/>
          </w:tcPr>
          <w:p>
            <w:pPr>
              <w:jc w:val="right"/>
              <w:spacing w:after="0"/>
              <w:rPr>
                <w:sz w:val="20"/>
                <w:szCs w:val="20"/>
                <w:color w:val="auto"/>
              </w:rPr>
            </w:pPr>
            <w:r>
              <w:rPr>
                <w:rFonts w:ascii="Arial" w:cs="Arial" w:eastAsia="Arial" w:hAnsi="Arial"/>
                <w:sz w:val="16"/>
                <w:szCs w:val="16"/>
                <w:color w:val="auto"/>
              </w:rPr>
              <w:t>84,234</w:t>
            </w:r>
          </w:p>
        </w:tc>
        <w:tc>
          <w:tcPr>
            <w:tcW w:w="1740" w:type="dxa"/>
            <w:vAlign w:val="bottom"/>
          </w:tcPr>
          <w:p>
            <w:pPr>
              <w:jc w:val="right"/>
              <w:ind w:right="259"/>
              <w:spacing w:after="0"/>
              <w:rPr>
                <w:sz w:val="20"/>
                <w:szCs w:val="20"/>
                <w:color w:val="auto"/>
              </w:rPr>
            </w:pPr>
            <w:r>
              <w:rPr>
                <w:rFonts w:ascii="Arial" w:cs="Arial" w:eastAsia="Arial" w:hAnsi="Arial"/>
                <w:sz w:val="16"/>
                <w:szCs w:val="16"/>
                <w:color w:val="auto"/>
              </w:rPr>
              <w:t>83,135</w:t>
            </w:r>
          </w:p>
        </w:tc>
        <w:tc>
          <w:tcPr>
            <w:tcW w:w="1160" w:type="dxa"/>
            <w:vAlign w:val="bottom"/>
          </w:tcPr>
          <w:p>
            <w:pPr>
              <w:jc w:val="right"/>
              <w:spacing w:after="0"/>
              <w:rPr>
                <w:sz w:val="20"/>
                <w:szCs w:val="20"/>
                <w:color w:val="auto"/>
              </w:rPr>
            </w:pPr>
            <w:r>
              <w:rPr>
                <w:rFonts w:ascii="Arial" w:cs="Arial" w:eastAsia="Arial" w:hAnsi="Arial"/>
                <w:sz w:val="16"/>
                <w:szCs w:val="16"/>
                <w:color w:val="auto"/>
              </w:rPr>
              <w:t>82,912</w:t>
            </w:r>
          </w:p>
        </w:tc>
      </w:tr>
      <w:tr>
        <w:trPr>
          <w:trHeight w:val="219"/>
        </w:trPr>
        <w:tc>
          <w:tcPr>
            <w:tcW w:w="694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2,158</w:t>
            </w:r>
          </w:p>
        </w:tc>
        <w:tc>
          <w:tcPr>
            <w:tcW w:w="17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2,235</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2,208</w:t>
            </w:r>
          </w:p>
        </w:tc>
      </w:tr>
      <w:tr>
        <w:trPr>
          <w:trHeight w:val="213"/>
        </w:trPr>
        <w:tc>
          <w:tcPr>
            <w:tcW w:w="69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Transportation</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153,929</w:t>
            </w:r>
          </w:p>
        </w:tc>
        <w:tc>
          <w:tcPr>
            <w:tcW w:w="1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152,568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149,971</w:t>
            </w:r>
          </w:p>
        </w:tc>
      </w:tr>
      <w:tr>
        <w:trPr>
          <w:trHeight w:val="238"/>
        </w:trPr>
        <w:tc>
          <w:tcPr>
            <w:tcW w:w="69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Total Natural Gas Retail Customers at End of Year</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1,094,229</w:t>
            </w:r>
          </w:p>
        </w:tc>
        <w:tc>
          <w:tcPr>
            <w:tcW w:w="17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1,082,937</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1,066,442</w:t>
            </w:r>
          </w:p>
        </w:tc>
      </w:tr>
      <w:tr>
        <w:trPr>
          <w:trHeight w:val="20"/>
        </w:trPr>
        <w:tc>
          <w:tcPr>
            <w:tcW w:w="6940" w:type="dxa"/>
            <w:vAlign w:val="bottom"/>
            <w:tcBorders>
              <w:top w:val="single" w:sz="8" w:color="CEFFE7"/>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174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r>
      <w:tr>
        <w:trPr>
          <w:trHeight w:val="549"/>
        </w:trPr>
        <w:tc>
          <w:tcPr>
            <w:tcW w:w="6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jc w:val="center"/>
              <w:ind w:right="159"/>
              <w:spacing w:after="0"/>
              <w:rPr>
                <w:sz w:val="20"/>
                <w:szCs w:val="20"/>
                <w:color w:val="auto"/>
              </w:rPr>
            </w:pPr>
            <w:r>
              <w:rPr>
                <w:rFonts w:ascii="Arial" w:cs="Arial" w:eastAsia="Arial" w:hAnsi="Arial"/>
                <w:sz w:val="16"/>
                <w:szCs w:val="16"/>
                <w:color w:val="auto"/>
              </w:rPr>
              <w:t>As of December 31,</w:t>
            </w:r>
          </w:p>
        </w:tc>
        <w:tc>
          <w:tcPr>
            <w:tcW w:w="1160" w:type="dxa"/>
            <w:vAlign w:val="bottom"/>
          </w:tcPr>
          <w:p>
            <w:pPr>
              <w:spacing w:after="0"/>
              <w:rPr>
                <w:sz w:val="24"/>
                <w:szCs w:val="24"/>
                <w:color w:val="auto"/>
              </w:rPr>
            </w:pPr>
          </w:p>
        </w:tc>
      </w:tr>
      <w:tr>
        <w:trPr>
          <w:trHeight w:val="219"/>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Retail Customers</w:t>
            </w:r>
          </w:p>
        </w:tc>
        <w:tc>
          <w:tcPr>
            <w:tcW w:w="14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17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2020</w:t>
            </w: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2019</w:t>
            </w:r>
          </w:p>
        </w:tc>
      </w:tr>
      <w:tr>
        <w:trPr>
          <w:trHeight w:val="213"/>
        </w:trPr>
        <w:tc>
          <w:tcPr>
            <w:tcW w:w="6940" w:type="dxa"/>
            <w:vAlign w:val="bottom"/>
            <w:shd w:val="clear" w:color="auto" w:fill="CEFFE7"/>
          </w:tcPr>
          <w:p>
            <w:pPr>
              <w:ind w:left="20"/>
              <w:spacing w:after="0"/>
              <w:rPr>
                <w:sz w:val="20"/>
                <w:szCs w:val="20"/>
                <w:color w:val="auto"/>
              </w:rPr>
            </w:pPr>
            <w:r>
              <w:rPr>
                <w:rFonts w:ascii="Arial" w:cs="Arial" w:eastAsia="Arial" w:hAnsi="Arial"/>
                <w:sz w:val="16"/>
                <w:szCs w:val="16"/>
                <w:color w:val="auto"/>
              </w:rPr>
              <w:t>Arkansas</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180,216</w:t>
            </w:r>
          </w:p>
        </w:tc>
        <w:tc>
          <w:tcPr>
            <w:tcW w:w="17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178,281</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174,447</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Colorado</w:t>
            </w:r>
          </w:p>
        </w:tc>
        <w:tc>
          <w:tcPr>
            <w:tcW w:w="1400" w:type="dxa"/>
            <w:vAlign w:val="bottom"/>
          </w:tcPr>
          <w:p>
            <w:pPr>
              <w:jc w:val="right"/>
              <w:spacing w:after="0"/>
              <w:rPr>
                <w:sz w:val="20"/>
                <w:szCs w:val="20"/>
                <w:color w:val="auto"/>
              </w:rPr>
            </w:pPr>
            <w:r>
              <w:rPr>
                <w:rFonts w:ascii="Arial" w:cs="Arial" w:eastAsia="Arial" w:hAnsi="Arial"/>
                <w:sz w:val="16"/>
                <w:szCs w:val="16"/>
                <w:color w:val="auto"/>
              </w:rPr>
              <w:t>202,747</w:t>
            </w:r>
          </w:p>
        </w:tc>
        <w:tc>
          <w:tcPr>
            <w:tcW w:w="1740" w:type="dxa"/>
            <w:vAlign w:val="bottom"/>
          </w:tcPr>
          <w:p>
            <w:pPr>
              <w:jc w:val="right"/>
              <w:ind w:right="259"/>
              <w:spacing w:after="0"/>
              <w:rPr>
                <w:sz w:val="20"/>
                <w:szCs w:val="20"/>
                <w:color w:val="auto"/>
              </w:rPr>
            </w:pPr>
            <w:r>
              <w:rPr>
                <w:rFonts w:ascii="Arial" w:cs="Arial" w:eastAsia="Arial" w:hAnsi="Arial"/>
                <w:sz w:val="16"/>
                <w:szCs w:val="16"/>
                <w:color w:val="auto"/>
              </w:rPr>
              <w:t>197,817</w:t>
            </w:r>
          </w:p>
        </w:tc>
        <w:tc>
          <w:tcPr>
            <w:tcW w:w="1160" w:type="dxa"/>
            <w:vAlign w:val="bottom"/>
          </w:tcPr>
          <w:p>
            <w:pPr>
              <w:jc w:val="right"/>
              <w:spacing w:after="0"/>
              <w:rPr>
                <w:sz w:val="20"/>
                <w:szCs w:val="20"/>
                <w:color w:val="auto"/>
              </w:rPr>
            </w:pPr>
            <w:r>
              <w:rPr>
                <w:rFonts w:ascii="Arial" w:cs="Arial" w:eastAsia="Arial" w:hAnsi="Arial"/>
                <w:sz w:val="16"/>
                <w:szCs w:val="16"/>
                <w:color w:val="auto"/>
              </w:rPr>
              <w:t>191,950</w:t>
            </w:r>
          </w:p>
        </w:tc>
      </w:tr>
      <w:tr>
        <w:trPr>
          <w:trHeight w:val="219"/>
        </w:trPr>
        <w:tc>
          <w:tcPr>
            <w:tcW w:w="6940" w:type="dxa"/>
            <w:vAlign w:val="bottom"/>
            <w:shd w:val="clear" w:color="auto" w:fill="CEFFE7"/>
          </w:tcPr>
          <w:p>
            <w:pPr>
              <w:ind w:left="20"/>
              <w:spacing w:after="0"/>
              <w:rPr>
                <w:sz w:val="20"/>
                <w:szCs w:val="20"/>
                <w:color w:val="auto"/>
              </w:rPr>
            </w:pPr>
            <w:r>
              <w:rPr>
                <w:rFonts w:ascii="Arial" w:cs="Arial" w:eastAsia="Arial" w:hAnsi="Arial"/>
                <w:sz w:val="16"/>
                <w:szCs w:val="16"/>
                <w:color w:val="auto"/>
              </w:rPr>
              <w:t>Iowa</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161,905</w:t>
            </w:r>
          </w:p>
        </w:tc>
        <w:tc>
          <w:tcPr>
            <w:tcW w:w="17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160,952</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159,641</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Kansas</w:t>
            </w:r>
          </w:p>
        </w:tc>
        <w:tc>
          <w:tcPr>
            <w:tcW w:w="1400" w:type="dxa"/>
            <w:vAlign w:val="bottom"/>
          </w:tcPr>
          <w:p>
            <w:pPr>
              <w:jc w:val="right"/>
              <w:spacing w:after="0"/>
              <w:rPr>
                <w:sz w:val="20"/>
                <w:szCs w:val="20"/>
                <w:color w:val="auto"/>
              </w:rPr>
            </w:pPr>
            <w:r>
              <w:rPr>
                <w:rFonts w:ascii="Arial" w:cs="Arial" w:eastAsia="Arial" w:hAnsi="Arial"/>
                <w:sz w:val="16"/>
                <w:szCs w:val="16"/>
                <w:color w:val="auto"/>
              </w:rPr>
              <w:t>117,862</w:t>
            </w:r>
          </w:p>
        </w:tc>
        <w:tc>
          <w:tcPr>
            <w:tcW w:w="1740" w:type="dxa"/>
            <w:vAlign w:val="bottom"/>
          </w:tcPr>
          <w:p>
            <w:pPr>
              <w:jc w:val="right"/>
              <w:ind w:right="259"/>
              <w:spacing w:after="0"/>
              <w:rPr>
                <w:sz w:val="20"/>
                <w:szCs w:val="20"/>
                <w:color w:val="auto"/>
              </w:rPr>
            </w:pPr>
            <w:r>
              <w:rPr>
                <w:rFonts w:ascii="Arial" w:cs="Arial" w:eastAsia="Arial" w:hAnsi="Arial"/>
                <w:sz w:val="16"/>
                <w:szCs w:val="16"/>
                <w:color w:val="auto"/>
              </w:rPr>
              <w:t>116,973</w:t>
            </w:r>
          </w:p>
        </w:tc>
        <w:tc>
          <w:tcPr>
            <w:tcW w:w="1160" w:type="dxa"/>
            <w:vAlign w:val="bottom"/>
          </w:tcPr>
          <w:p>
            <w:pPr>
              <w:jc w:val="right"/>
              <w:spacing w:after="0"/>
              <w:rPr>
                <w:sz w:val="20"/>
                <w:szCs w:val="20"/>
                <w:color w:val="auto"/>
              </w:rPr>
            </w:pPr>
            <w:r>
              <w:rPr>
                <w:rFonts w:ascii="Arial" w:cs="Arial" w:eastAsia="Arial" w:hAnsi="Arial"/>
                <w:sz w:val="16"/>
                <w:szCs w:val="16"/>
                <w:color w:val="auto"/>
              </w:rPr>
              <w:t>115,846</w:t>
            </w:r>
          </w:p>
        </w:tc>
      </w:tr>
      <w:tr>
        <w:trPr>
          <w:trHeight w:val="219"/>
        </w:trPr>
        <w:tc>
          <w:tcPr>
            <w:tcW w:w="694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Nebraska</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298,832</w:t>
            </w:r>
          </w:p>
        </w:tc>
        <w:tc>
          <w:tcPr>
            <w:tcW w:w="17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296,778</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293,576</w:t>
            </w:r>
          </w:p>
        </w:tc>
      </w:tr>
      <w:tr>
        <w:trPr>
          <w:trHeight w:val="213"/>
        </w:trPr>
        <w:tc>
          <w:tcPr>
            <w:tcW w:w="69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Wyoming</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132,667</w:t>
            </w:r>
          </w:p>
        </w:tc>
        <w:tc>
          <w:tcPr>
            <w:tcW w:w="1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132,136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130,982</w:t>
            </w:r>
          </w:p>
        </w:tc>
      </w:tr>
      <w:tr>
        <w:trPr>
          <w:trHeight w:val="238"/>
        </w:trPr>
        <w:tc>
          <w:tcPr>
            <w:tcW w:w="69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Total Natural Gas Retail Customers at End of Year</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1,094,229</w:t>
            </w:r>
          </w:p>
        </w:tc>
        <w:tc>
          <w:tcPr>
            <w:tcW w:w="17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1,082,937</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1,066,442</w:t>
            </w:r>
          </w:p>
        </w:tc>
      </w:tr>
      <w:tr>
        <w:trPr>
          <w:trHeight w:val="20"/>
        </w:trPr>
        <w:tc>
          <w:tcPr>
            <w:tcW w:w="6940" w:type="dxa"/>
            <w:vAlign w:val="bottom"/>
            <w:tcBorders>
              <w:top w:val="single" w:sz="8" w:color="CEFFE7"/>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174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We procure natural gas for our distribution customers from a diverse mix of producers, processors and marketers and generally use hedging, physical fixed-price purchases and market-based price purchases to achieve dollar-cost averaging within our natural gas portfolio. The majority of our procured natural gas is transported in interstate pipelines under firm transportation service agreements.</w:t>
      </w:r>
    </w:p>
    <w:p>
      <w:pPr>
        <w:spacing w:after="0" w:line="22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In addition to company-owned natural gas storage assets in Arkansas, Colorado and Wyoming, we also contract with third-party transportation providers for natural gas storage service to provide gas supply during the winter heating season and to meet peak day customer demand for natural gas.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certain information regarding our company-owned regulated underground gas storage facilities as of December 31,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20" w:type="dxa"/>
            <w:vAlign w:val="bottom"/>
          </w:tcPr>
          <w:p>
            <w:pPr>
              <w:jc w:val="right"/>
              <w:ind w:right="399"/>
              <w:spacing w:after="0"/>
              <w:rPr>
                <w:sz w:val="20"/>
                <w:szCs w:val="20"/>
                <w:color w:val="auto"/>
              </w:rPr>
            </w:pPr>
            <w:r>
              <w:rPr>
                <w:rFonts w:ascii="Arial" w:cs="Arial" w:eastAsia="Arial" w:hAnsi="Arial"/>
                <w:sz w:val="16"/>
                <w:szCs w:val="16"/>
                <w:color w:val="auto"/>
              </w:rPr>
              <w:t>Cushion Gas</w:t>
            </w:r>
          </w:p>
        </w:tc>
        <w:tc>
          <w:tcPr>
            <w:tcW w:w="172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Maximum Daily Withdrawal</w:t>
            </w:r>
          </w:p>
        </w:tc>
      </w:tr>
      <w:tr>
        <w:trPr>
          <w:trHeight w:val="198"/>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State</w:t>
            </w:r>
          </w:p>
        </w:tc>
        <w:tc>
          <w:tcPr>
            <w:tcW w:w="1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Working Capacity (Mcf)</w:t>
            </w:r>
          </w:p>
        </w:tc>
        <w:tc>
          <w:tcPr>
            <w:tcW w:w="16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(Mcf)</w:t>
            </w: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Total Capacity (Mcf)</w:t>
            </w:r>
          </w:p>
        </w:tc>
        <w:tc>
          <w:tcPr>
            <w:tcW w:w="2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Capability (Mcfd)</w:t>
            </w:r>
          </w:p>
        </w:tc>
      </w:tr>
      <w:tr>
        <w:trPr>
          <w:trHeight w:val="213"/>
        </w:trPr>
        <w:tc>
          <w:tcPr>
            <w:tcW w:w="3860" w:type="dxa"/>
            <w:vAlign w:val="bottom"/>
            <w:shd w:val="clear" w:color="auto" w:fill="CEFFE7"/>
          </w:tcPr>
          <w:p>
            <w:pPr>
              <w:ind w:left="20"/>
              <w:spacing w:after="0"/>
              <w:rPr>
                <w:sz w:val="20"/>
                <w:szCs w:val="20"/>
                <w:color w:val="auto"/>
              </w:rPr>
            </w:pPr>
            <w:r>
              <w:rPr>
                <w:rFonts w:ascii="Arial" w:cs="Arial" w:eastAsia="Arial" w:hAnsi="Arial"/>
                <w:sz w:val="16"/>
                <w:szCs w:val="16"/>
                <w:color w:val="auto"/>
              </w:rPr>
              <w:t>Arkansas</w:t>
            </w:r>
          </w:p>
        </w:tc>
        <w:tc>
          <w:tcPr>
            <w:tcW w:w="19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9,273,700</w:t>
            </w:r>
          </w:p>
        </w:tc>
        <w:tc>
          <w:tcPr>
            <w:tcW w:w="16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12,318,040</w:t>
            </w: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21,591,740</w:t>
            </w:r>
          </w:p>
        </w:tc>
        <w:tc>
          <w:tcPr>
            <w:tcW w:w="2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196,000</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Colorado</w:t>
            </w:r>
          </w:p>
        </w:tc>
        <w:tc>
          <w:tcPr>
            <w:tcW w:w="1940" w:type="dxa"/>
            <w:vAlign w:val="bottom"/>
          </w:tcPr>
          <w:p>
            <w:pPr>
              <w:jc w:val="right"/>
              <w:ind w:right="159"/>
              <w:spacing w:after="0"/>
              <w:rPr>
                <w:sz w:val="20"/>
                <w:szCs w:val="20"/>
                <w:color w:val="auto"/>
              </w:rPr>
            </w:pPr>
            <w:r>
              <w:rPr>
                <w:rFonts w:ascii="Arial" w:cs="Arial" w:eastAsia="Arial" w:hAnsi="Arial"/>
                <w:sz w:val="16"/>
                <w:szCs w:val="16"/>
                <w:color w:val="auto"/>
              </w:rPr>
              <w:t>2,361,495</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6,164,715</w:t>
            </w:r>
          </w:p>
        </w:tc>
        <w:tc>
          <w:tcPr>
            <w:tcW w:w="1720" w:type="dxa"/>
            <w:vAlign w:val="bottom"/>
          </w:tcPr>
          <w:p>
            <w:pPr>
              <w:jc w:val="right"/>
              <w:spacing w:after="0"/>
              <w:rPr>
                <w:sz w:val="20"/>
                <w:szCs w:val="20"/>
                <w:color w:val="auto"/>
              </w:rPr>
            </w:pPr>
            <w:r>
              <w:rPr>
                <w:rFonts w:ascii="Arial" w:cs="Arial" w:eastAsia="Arial" w:hAnsi="Arial"/>
                <w:sz w:val="16"/>
                <w:szCs w:val="16"/>
                <w:color w:val="auto"/>
              </w:rPr>
              <w:t>8,526,210</w:t>
            </w:r>
          </w:p>
        </w:tc>
        <w:tc>
          <w:tcPr>
            <w:tcW w:w="210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16"/>
        </w:trPr>
        <w:tc>
          <w:tcPr>
            <w:tcW w:w="386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Wyoming</w:t>
            </w:r>
          </w:p>
        </w:tc>
        <w:tc>
          <w:tcPr>
            <w:tcW w:w="194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5,733,900</w:t>
            </w:r>
          </w:p>
        </w:tc>
        <w:tc>
          <w:tcPr>
            <w:tcW w:w="16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17,145,600</w:t>
            </w: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22,879,500</w:t>
            </w:r>
          </w:p>
        </w:tc>
        <w:tc>
          <w:tcPr>
            <w:tcW w:w="2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36,000</w:t>
            </w:r>
          </w:p>
        </w:tc>
      </w:tr>
      <w:tr>
        <w:trPr>
          <w:trHeight w:val="213"/>
        </w:trPr>
        <w:tc>
          <w:tcPr>
            <w:tcW w:w="3860" w:type="dxa"/>
            <w:vAlign w:val="bottom"/>
          </w:tcPr>
          <w:p>
            <w:pPr>
              <w:ind w:left="14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17,369,095</w:t>
            </w: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35,628,355</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52,997,450</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262,000</w:t>
            </w:r>
          </w:p>
        </w:tc>
      </w:tr>
      <w:tr>
        <w:trPr>
          <w:trHeight w:val="20"/>
        </w:trPr>
        <w:tc>
          <w:tcPr>
            <w:tcW w:w="38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certain information regarding our system infrastructure as of December 31, 2021:</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2660" w:type="dxa"/>
            <w:vAlign w:val="bottom"/>
          </w:tcPr>
          <w:p>
            <w:pPr>
              <w:jc w:val="center"/>
              <w:ind w:right="239"/>
              <w:spacing w:after="0"/>
              <w:rPr>
                <w:sz w:val="20"/>
                <w:szCs w:val="20"/>
                <w:color w:val="auto"/>
              </w:rPr>
            </w:pPr>
            <w:r>
              <w:rPr>
                <w:rFonts w:ascii="Arial" w:cs="Arial" w:eastAsia="Arial" w:hAnsi="Arial"/>
                <w:sz w:val="16"/>
                <w:szCs w:val="16"/>
                <w:color w:val="auto"/>
              </w:rPr>
              <w:t>Intrastate Gas</w:t>
            </w:r>
          </w:p>
        </w:tc>
        <w:tc>
          <w:tcPr>
            <w:tcW w:w="2380" w:type="dxa"/>
            <w:vAlign w:val="bottom"/>
          </w:tcPr>
          <w:p>
            <w:pPr>
              <w:jc w:val="center"/>
              <w:ind w:right="459"/>
              <w:spacing w:after="0"/>
              <w:rPr>
                <w:sz w:val="20"/>
                <w:szCs w:val="20"/>
                <w:color w:val="auto"/>
              </w:rPr>
            </w:pPr>
            <w:r>
              <w:rPr>
                <w:rFonts w:ascii="Arial" w:cs="Arial" w:eastAsia="Arial" w:hAnsi="Arial"/>
                <w:sz w:val="16"/>
                <w:szCs w:val="16"/>
                <w:color w:val="auto"/>
              </w:rPr>
              <w:t>Gas Distribution</w:t>
            </w:r>
          </w:p>
        </w:tc>
        <w:tc>
          <w:tcPr>
            <w:tcW w:w="2120" w:type="dxa"/>
            <w:vAlign w:val="bottom"/>
          </w:tcPr>
          <w:p>
            <w:pPr>
              <w:jc w:val="center"/>
              <w:ind w:right="239"/>
              <w:spacing w:after="0"/>
              <w:rPr>
                <w:sz w:val="20"/>
                <w:szCs w:val="20"/>
                <w:color w:val="auto"/>
              </w:rPr>
            </w:pPr>
            <w:r>
              <w:rPr>
                <w:rFonts w:ascii="Arial" w:cs="Arial" w:eastAsia="Arial" w:hAnsi="Arial"/>
                <w:sz w:val="16"/>
                <w:szCs w:val="16"/>
                <w:color w:val="auto"/>
              </w:rPr>
              <w:t>Gas Distribution</w:t>
            </w:r>
          </w:p>
        </w:tc>
      </w:tr>
      <w:tr>
        <w:trPr>
          <w:trHeight w:val="162"/>
        </w:trPr>
        <w:tc>
          <w:tcPr>
            <w:tcW w:w="4020" w:type="dxa"/>
            <w:vAlign w:val="bottom"/>
          </w:tcPr>
          <w:p>
            <w:pPr>
              <w:spacing w:after="0"/>
              <w:rPr>
                <w:sz w:val="14"/>
                <w:szCs w:val="14"/>
                <w:color w:val="auto"/>
              </w:rPr>
            </w:pPr>
          </w:p>
        </w:tc>
        <w:tc>
          <w:tcPr>
            <w:tcW w:w="2660" w:type="dxa"/>
            <w:vAlign w:val="bottom"/>
          </w:tcPr>
          <w:p>
            <w:pPr>
              <w:jc w:val="center"/>
              <w:ind w:right="199"/>
              <w:spacing w:after="0" w:line="162" w:lineRule="exact"/>
              <w:rPr>
                <w:sz w:val="20"/>
                <w:szCs w:val="20"/>
                <w:color w:val="auto"/>
              </w:rPr>
            </w:pPr>
            <w:r>
              <w:rPr>
                <w:rFonts w:ascii="Arial" w:cs="Arial" w:eastAsia="Arial" w:hAnsi="Arial"/>
                <w:sz w:val="16"/>
                <w:szCs w:val="16"/>
                <w:color w:val="auto"/>
              </w:rPr>
              <w:t>Transmission Pipelines</w:t>
            </w:r>
          </w:p>
        </w:tc>
        <w:tc>
          <w:tcPr>
            <w:tcW w:w="2380" w:type="dxa"/>
            <w:vAlign w:val="bottom"/>
          </w:tcPr>
          <w:p>
            <w:pPr>
              <w:jc w:val="center"/>
              <w:ind w:right="459"/>
              <w:spacing w:after="0" w:line="162" w:lineRule="exact"/>
              <w:rPr>
                <w:sz w:val="20"/>
                <w:szCs w:val="20"/>
                <w:color w:val="auto"/>
              </w:rPr>
            </w:pPr>
            <w:r>
              <w:rPr>
                <w:rFonts w:ascii="Arial" w:cs="Arial" w:eastAsia="Arial" w:hAnsi="Arial"/>
                <w:sz w:val="16"/>
                <w:szCs w:val="16"/>
                <w:color w:val="auto"/>
              </w:rPr>
              <w:t>Mains</w:t>
            </w:r>
          </w:p>
        </w:tc>
        <w:tc>
          <w:tcPr>
            <w:tcW w:w="2120" w:type="dxa"/>
            <w:vAlign w:val="bottom"/>
          </w:tcPr>
          <w:p>
            <w:pPr>
              <w:jc w:val="center"/>
              <w:ind w:right="179"/>
              <w:spacing w:after="0" w:line="162" w:lineRule="exact"/>
              <w:rPr>
                <w:sz w:val="20"/>
                <w:szCs w:val="20"/>
                <w:color w:val="auto"/>
              </w:rPr>
            </w:pPr>
            <w:r>
              <w:rPr>
                <w:rFonts w:ascii="Arial" w:cs="Arial" w:eastAsia="Arial" w:hAnsi="Arial"/>
                <w:sz w:val="16"/>
                <w:szCs w:val="16"/>
                <w:color w:val="auto"/>
              </w:rPr>
              <w:t>Service Lines</w:t>
            </w:r>
          </w:p>
        </w:tc>
      </w:tr>
      <w:tr>
        <w:trPr>
          <w:trHeight w:val="198"/>
        </w:trPr>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State</w:t>
            </w:r>
          </w:p>
        </w:tc>
        <w:tc>
          <w:tcPr>
            <w:tcW w:w="26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rPr>
              <w:t>(in line miles)</w:t>
            </w:r>
          </w:p>
        </w:tc>
        <w:tc>
          <w:tcPr>
            <w:tcW w:w="238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color w:val="auto"/>
              </w:rPr>
              <w:t>(in line miles)</w:t>
            </w:r>
          </w:p>
        </w:tc>
        <w:tc>
          <w:tcPr>
            <w:tcW w:w="21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rPr>
              <w:t>(in line miles)</w:t>
            </w:r>
          </w:p>
        </w:tc>
      </w:tr>
      <w:tr>
        <w:trPr>
          <w:trHeight w:val="212"/>
        </w:trPr>
        <w:tc>
          <w:tcPr>
            <w:tcW w:w="4020" w:type="dxa"/>
            <w:vAlign w:val="bottom"/>
            <w:shd w:val="clear" w:color="auto" w:fill="CEFFE7"/>
          </w:tcPr>
          <w:p>
            <w:pPr>
              <w:spacing w:after="0"/>
              <w:rPr>
                <w:sz w:val="20"/>
                <w:szCs w:val="20"/>
                <w:color w:val="auto"/>
              </w:rPr>
            </w:pPr>
            <w:r>
              <w:rPr>
                <w:rFonts w:ascii="Arial" w:cs="Arial" w:eastAsia="Arial" w:hAnsi="Arial"/>
                <w:sz w:val="16"/>
                <w:szCs w:val="16"/>
                <w:color w:val="auto"/>
              </w:rPr>
              <w:t>Arkansas</w:t>
            </w:r>
          </w:p>
        </w:tc>
        <w:tc>
          <w:tcPr>
            <w:tcW w:w="266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874</w:t>
            </w:r>
          </w:p>
        </w:tc>
        <w:tc>
          <w:tcPr>
            <w:tcW w:w="238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4,972</w:t>
            </w:r>
          </w:p>
        </w:tc>
        <w:tc>
          <w:tcPr>
            <w:tcW w:w="2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1,275</w:t>
            </w: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Colorado</w:t>
            </w:r>
          </w:p>
        </w:tc>
        <w:tc>
          <w:tcPr>
            <w:tcW w:w="2660" w:type="dxa"/>
            <w:vAlign w:val="bottom"/>
          </w:tcPr>
          <w:p>
            <w:pPr>
              <w:jc w:val="right"/>
              <w:ind w:right="279"/>
              <w:spacing w:after="0"/>
              <w:rPr>
                <w:sz w:val="20"/>
                <w:szCs w:val="20"/>
                <w:color w:val="auto"/>
              </w:rPr>
            </w:pPr>
            <w:r>
              <w:rPr>
                <w:rFonts w:ascii="Arial" w:cs="Arial" w:eastAsia="Arial" w:hAnsi="Arial"/>
                <w:sz w:val="16"/>
                <w:szCs w:val="16"/>
                <w:color w:val="auto"/>
              </w:rPr>
              <w:t>693</w:t>
            </w:r>
          </w:p>
        </w:tc>
        <w:tc>
          <w:tcPr>
            <w:tcW w:w="2380" w:type="dxa"/>
            <w:vAlign w:val="bottom"/>
          </w:tcPr>
          <w:p>
            <w:pPr>
              <w:jc w:val="right"/>
              <w:ind w:right="259"/>
              <w:spacing w:after="0"/>
              <w:rPr>
                <w:sz w:val="20"/>
                <w:szCs w:val="20"/>
                <w:color w:val="auto"/>
              </w:rPr>
            </w:pPr>
            <w:r>
              <w:rPr>
                <w:rFonts w:ascii="Arial" w:cs="Arial" w:eastAsia="Arial" w:hAnsi="Arial"/>
                <w:sz w:val="16"/>
                <w:szCs w:val="16"/>
                <w:color w:val="auto"/>
              </w:rPr>
              <w:t>6,990</w:t>
            </w:r>
          </w:p>
        </w:tc>
        <w:tc>
          <w:tcPr>
            <w:tcW w:w="2120" w:type="dxa"/>
            <w:vAlign w:val="bottom"/>
          </w:tcPr>
          <w:p>
            <w:pPr>
              <w:jc w:val="right"/>
              <w:spacing w:after="0"/>
              <w:rPr>
                <w:sz w:val="20"/>
                <w:szCs w:val="20"/>
                <w:color w:val="auto"/>
              </w:rPr>
            </w:pPr>
            <w:r>
              <w:rPr>
                <w:rFonts w:ascii="Arial" w:cs="Arial" w:eastAsia="Arial" w:hAnsi="Arial"/>
                <w:sz w:val="16"/>
                <w:szCs w:val="16"/>
                <w:color w:val="auto"/>
              </w:rPr>
              <w:t>2,303</w:t>
            </w:r>
          </w:p>
        </w:tc>
      </w:tr>
      <w:tr>
        <w:trPr>
          <w:trHeight w:val="219"/>
        </w:trPr>
        <w:tc>
          <w:tcPr>
            <w:tcW w:w="4020" w:type="dxa"/>
            <w:vAlign w:val="bottom"/>
            <w:shd w:val="clear" w:color="auto" w:fill="CEFFE7"/>
          </w:tcPr>
          <w:p>
            <w:pPr>
              <w:spacing w:after="0"/>
              <w:rPr>
                <w:sz w:val="20"/>
                <w:szCs w:val="20"/>
                <w:color w:val="auto"/>
              </w:rPr>
            </w:pPr>
            <w:r>
              <w:rPr>
                <w:rFonts w:ascii="Arial" w:cs="Arial" w:eastAsia="Arial" w:hAnsi="Arial"/>
                <w:sz w:val="16"/>
                <w:szCs w:val="16"/>
                <w:color w:val="auto"/>
              </w:rPr>
              <w:t>Iowa</w:t>
            </w:r>
          </w:p>
        </w:tc>
        <w:tc>
          <w:tcPr>
            <w:tcW w:w="266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172</w:t>
            </w:r>
          </w:p>
        </w:tc>
        <w:tc>
          <w:tcPr>
            <w:tcW w:w="238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2,863</w:t>
            </w:r>
          </w:p>
        </w:tc>
        <w:tc>
          <w:tcPr>
            <w:tcW w:w="2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2,486</w:t>
            </w: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Kansas</w:t>
            </w:r>
          </w:p>
        </w:tc>
        <w:tc>
          <w:tcPr>
            <w:tcW w:w="2660" w:type="dxa"/>
            <w:vAlign w:val="bottom"/>
          </w:tcPr>
          <w:p>
            <w:pPr>
              <w:jc w:val="right"/>
              <w:ind w:right="279"/>
              <w:spacing w:after="0"/>
              <w:rPr>
                <w:sz w:val="20"/>
                <w:szCs w:val="20"/>
                <w:color w:val="auto"/>
              </w:rPr>
            </w:pPr>
            <w:r>
              <w:rPr>
                <w:rFonts w:ascii="Arial" w:cs="Arial" w:eastAsia="Arial" w:hAnsi="Arial"/>
                <w:sz w:val="16"/>
                <w:szCs w:val="16"/>
                <w:color w:val="auto"/>
              </w:rPr>
              <w:t>330</w:t>
            </w:r>
          </w:p>
        </w:tc>
        <w:tc>
          <w:tcPr>
            <w:tcW w:w="2380" w:type="dxa"/>
            <w:vAlign w:val="bottom"/>
          </w:tcPr>
          <w:p>
            <w:pPr>
              <w:jc w:val="right"/>
              <w:ind w:right="259"/>
              <w:spacing w:after="0"/>
              <w:rPr>
                <w:sz w:val="20"/>
                <w:szCs w:val="20"/>
                <w:color w:val="auto"/>
              </w:rPr>
            </w:pPr>
            <w:r>
              <w:rPr>
                <w:rFonts w:ascii="Arial" w:cs="Arial" w:eastAsia="Arial" w:hAnsi="Arial"/>
                <w:sz w:val="16"/>
                <w:szCs w:val="16"/>
                <w:color w:val="auto"/>
              </w:rPr>
              <w:t>2,980</w:t>
            </w:r>
          </w:p>
        </w:tc>
        <w:tc>
          <w:tcPr>
            <w:tcW w:w="2120" w:type="dxa"/>
            <w:vAlign w:val="bottom"/>
          </w:tcPr>
          <w:p>
            <w:pPr>
              <w:jc w:val="right"/>
              <w:spacing w:after="0"/>
              <w:rPr>
                <w:sz w:val="20"/>
                <w:szCs w:val="20"/>
                <w:color w:val="auto"/>
              </w:rPr>
            </w:pPr>
            <w:r>
              <w:rPr>
                <w:rFonts w:ascii="Arial" w:cs="Arial" w:eastAsia="Arial" w:hAnsi="Arial"/>
                <w:sz w:val="16"/>
                <w:szCs w:val="16"/>
                <w:color w:val="auto"/>
              </w:rPr>
              <w:t>1,374</w:t>
            </w:r>
          </w:p>
        </w:tc>
      </w:tr>
      <w:tr>
        <w:trPr>
          <w:trHeight w:val="219"/>
        </w:trPr>
        <w:tc>
          <w:tcPr>
            <w:tcW w:w="4020" w:type="dxa"/>
            <w:vAlign w:val="bottom"/>
            <w:shd w:val="clear" w:color="auto" w:fill="CEFFE7"/>
          </w:tcPr>
          <w:p>
            <w:pPr>
              <w:spacing w:after="0"/>
              <w:rPr>
                <w:sz w:val="20"/>
                <w:szCs w:val="20"/>
                <w:color w:val="auto"/>
              </w:rPr>
            </w:pPr>
            <w:r>
              <w:rPr>
                <w:rFonts w:ascii="Arial" w:cs="Arial" w:eastAsia="Arial" w:hAnsi="Arial"/>
                <w:sz w:val="16"/>
                <w:szCs w:val="16"/>
                <w:color w:val="auto"/>
              </w:rPr>
              <w:t>Nebraska</w:t>
            </w:r>
          </w:p>
        </w:tc>
        <w:tc>
          <w:tcPr>
            <w:tcW w:w="266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1,311</w:t>
            </w:r>
          </w:p>
        </w:tc>
        <w:tc>
          <w:tcPr>
            <w:tcW w:w="238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8,443</w:t>
            </w:r>
          </w:p>
        </w:tc>
        <w:tc>
          <w:tcPr>
            <w:tcW w:w="2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2,773</w:t>
            </w:r>
          </w:p>
        </w:tc>
      </w:tr>
      <w:tr>
        <w:trPr>
          <w:trHeight w:val="213"/>
        </w:trPr>
        <w:tc>
          <w:tcPr>
            <w:tcW w:w="4020" w:type="dxa"/>
            <w:vAlign w:val="bottom"/>
            <w:tcBorders>
              <w:bottom w:val="single" w:sz="8" w:color="CEFFE7"/>
            </w:tcBorders>
          </w:tcPr>
          <w:p>
            <w:pPr>
              <w:spacing w:after="0"/>
              <w:rPr>
                <w:sz w:val="20"/>
                <w:szCs w:val="20"/>
                <w:color w:val="auto"/>
              </w:rPr>
            </w:pPr>
            <w:r>
              <w:rPr>
                <w:rFonts w:ascii="Arial" w:cs="Arial" w:eastAsia="Arial" w:hAnsi="Arial"/>
                <w:sz w:val="16"/>
                <w:szCs w:val="16"/>
                <w:color w:val="auto"/>
              </w:rPr>
              <w:t>Wyoming</w:t>
            </w:r>
          </w:p>
        </w:tc>
        <w:tc>
          <w:tcPr>
            <w:tcW w:w="26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1,352</w:t>
            </w:r>
          </w:p>
        </w:tc>
        <w:tc>
          <w:tcPr>
            <w:tcW w:w="23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3,532</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w:t>
            </w:r>
          </w:p>
        </w:tc>
      </w:tr>
      <w:tr>
        <w:trPr>
          <w:trHeight w:val="237"/>
        </w:trPr>
        <w:tc>
          <w:tcPr>
            <w:tcW w:w="402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Total</w:t>
            </w:r>
          </w:p>
        </w:tc>
        <w:tc>
          <w:tcPr>
            <w:tcW w:w="266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4,732</w:t>
            </w:r>
          </w:p>
        </w:tc>
        <w:tc>
          <w:tcPr>
            <w:tcW w:w="238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29,780</w:t>
            </w:r>
          </w:p>
        </w:tc>
        <w:tc>
          <w:tcPr>
            <w:tcW w:w="2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11,864</w:t>
            </w:r>
          </w:p>
        </w:tc>
      </w:tr>
      <w:tr>
        <w:trPr>
          <w:trHeight w:val="20"/>
        </w:trPr>
        <w:tc>
          <w:tcPr>
            <w:tcW w:w="4020" w:type="dxa"/>
            <w:vAlign w:val="bottom"/>
            <w:tcBorders>
              <w:top w:val="single" w:sz="8" w:color="CEFFE7"/>
            </w:tcBorders>
          </w:tcPr>
          <w:p>
            <w:pPr>
              <w:spacing w:after="0" w:line="20" w:lineRule="exact"/>
              <w:rPr>
                <w:sz w:val="1"/>
                <w:szCs w:val="1"/>
                <w:color w:val="auto"/>
              </w:rPr>
            </w:pPr>
          </w:p>
        </w:tc>
        <w:tc>
          <w:tcPr>
            <w:tcW w:w="2660" w:type="dxa"/>
            <w:vAlign w:val="bottom"/>
            <w:tcBorders>
              <w:top w:val="single" w:sz="8" w:color="CEFFE7"/>
              <w:bottom w:val="single" w:sz="8" w:color="auto"/>
            </w:tcBorders>
          </w:tcPr>
          <w:p>
            <w:pPr>
              <w:spacing w:after="0" w:line="20" w:lineRule="exact"/>
              <w:rPr>
                <w:sz w:val="1"/>
                <w:szCs w:val="1"/>
                <w:color w:val="auto"/>
              </w:rPr>
            </w:pPr>
          </w:p>
        </w:tc>
        <w:tc>
          <w:tcPr>
            <w:tcW w:w="2380" w:type="dxa"/>
            <w:vAlign w:val="bottom"/>
            <w:tcBorders>
              <w:top w:val="single" w:sz="8" w:color="CEFFE7"/>
              <w:bottom w:val="single" w:sz="8" w:color="auto"/>
            </w:tcBorders>
          </w:tcPr>
          <w:p>
            <w:pPr>
              <w:spacing w:after="0" w:line="20" w:lineRule="exact"/>
              <w:rPr>
                <w:sz w:val="1"/>
                <w:szCs w:val="1"/>
                <w:color w:val="auto"/>
              </w:rPr>
            </w:pPr>
          </w:p>
        </w:tc>
        <w:tc>
          <w:tcPr>
            <w:tcW w:w="2120" w:type="dxa"/>
            <w:vAlign w:val="bottom"/>
            <w:tcBorders>
              <w:top w:val="single" w:sz="8" w:color="CEFFE7"/>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b w:val="1"/>
          <w:bCs w:val="1"/>
          <w:i w:val="1"/>
          <w:iCs w:val="1"/>
          <w:color w:val="auto"/>
        </w:rPr>
        <w:t xml:space="preserve">Seasonal Variations of Business. </w:t>
      </w:r>
      <w:r>
        <w:rPr>
          <w:rFonts w:ascii="Arial" w:cs="Arial" w:eastAsia="Arial" w:hAnsi="Arial"/>
          <w:sz w:val="16"/>
          <w:szCs w:val="16"/>
          <w:color w:val="auto"/>
        </w:rPr>
        <w:t>Our Gas Utilities are seasonal businesses and weather patterns may impact their operating performance. Demand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natural gas is sensitive to seasonal heating and industrial load requirements, as well as market price. In particular, demand is often greater in the winter months for heating. Natural gas is used primarily for residential and commercial heating, and demand for this product can depend heavily upon weather throughout our service territories. As a result, a significant amount of natural gas revenue is normally recognized in the heating season consisting of the first and fourth quarters. Demand for natural gas can also be impacted by summer temperatures and precipitation, which can affect demand for irrigation.</w:t>
      </w:r>
    </w:p>
    <w:p>
      <w:pPr>
        <w:spacing w:after="0" w:line="207"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We generally have limited competition for the retail distribution of natural gas in our service areas. Various restructuring and competitive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initiatives have been discussed in several of the states in which our utilities operate. These initiatives are aimed at increasing competition. Additionally, electrification initiatives in our service territories could negatively impact demand for natural gas and decrease customer growth. To date, these initiatives have not had a material impact on our utilities. Although we face competition from independent marketers for the sale of natural gas to our industrial and commercial customers, in instances where independent marketers displace us as the seller of natural gas, we still collect a charge for transporting the gas through our distribution network.</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i w:val="1"/>
          <w:iCs w:val="1"/>
          <w:color w:val="auto"/>
        </w:rPr>
        <w:t xml:space="preserve">Rates and Regulation. </w:t>
      </w:r>
      <w:r>
        <w:rPr>
          <w:rFonts w:ascii="Arial" w:cs="Arial" w:eastAsia="Arial" w:hAnsi="Arial"/>
          <w:sz w:val="16"/>
          <w:szCs w:val="16"/>
          <w:color w:val="auto"/>
        </w:rPr>
        <w:t>Our Gas Utilities are subject to the jurisdiction of the public utility commissions in the states where they operate. These commissions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oversee services and facilities, rates and charges, accounting, valuation of property, depreciation rates and various other matters. The public utility commissions determine the rates we are allowed to charge for our utility services. Rate decisions are influenced by many factors, including the cost of providing service, capital expenditures, the prudence of costs we incur, views concerning appropriate rates of return, general economic conditions and the political environment. Certain commissions also have jurisdiction over the issuance of debt or securities and the creation of liens on property located in their states to secure bonds or other securities.</w:t>
      </w:r>
    </w:p>
    <w:p>
      <w:pPr>
        <w:spacing w:after="0" w:line="22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Gas Utilities are authorized to use natural gas cost recovery mechanisms allowing rate adjustments reflecting changes in the wholesale cost of natural gas and recovery of all the costs prudently incurred in purchasing gas for customers. In addition to natural gas cost recovery mechanisms, other recovery mechanisms, which vary by utility, allow us to recover certain costs or earn a return on capital investments, such as energy efficiency plan costs and system safety and integrity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regulatory information for each of our natural gas utilities: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108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116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1180" w:type="dxa"/>
            <w:vAlign w:val="bottom"/>
          </w:tcPr>
          <w:p>
            <w:pPr>
              <w:jc w:val="center"/>
              <w:spacing w:after="0"/>
              <w:rPr>
                <w:sz w:val="20"/>
                <w:szCs w:val="20"/>
                <w:color w:val="auto"/>
              </w:rPr>
            </w:pPr>
            <w:r>
              <w:rPr>
                <w:rFonts w:ascii="Arial" w:cs="Arial" w:eastAsia="Arial" w:hAnsi="Arial"/>
                <w:sz w:val="14"/>
                <w:szCs w:val="14"/>
                <w:color w:val="auto"/>
              </w:rPr>
              <w:t>Authorized Rate</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Effective</w:t>
            </w:r>
          </w:p>
        </w:tc>
        <w:tc>
          <w:tcPr>
            <w:tcW w:w="4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0" w:type="dxa"/>
            <w:vAlign w:val="bottom"/>
            <w:vMerge w:val="restart"/>
          </w:tcPr>
          <w:p>
            <w:pPr>
              <w:ind w:left="200"/>
              <w:spacing w:after="0"/>
              <w:rPr>
                <w:sz w:val="20"/>
                <w:szCs w:val="20"/>
                <w:color w:val="auto"/>
              </w:rPr>
            </w:pPr>
            <w:r>
              <w:rPr>
                <w:rFonts w:ascii="Arial" w:cs="Arial" w:eastAsia="Arial" w:hAnsi="Arial"/>
                <w:sz w:val="14"/>
                <w:szCs w:val="14"/>
                <w:color w:val="auto"/>
              </w:rPr>
              <w:t>Subsidiary</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Jurisdic-tion</w:t>
            </w:r>
          </w:p>
        </w:tc>
        <w:tc>
          <w:tcPr>
            <w:tcW w:w="1020" w:type="dxa"/>
            <w:vAlign w:val="bottom"/>
          </w:tcPr>
          <w:p>
            <w:pPr>
              <w:jc w:val="center"/>
              <w:spacing w:after="0" w:line="135" w:lineRule="exact"/>
              <w:rPr>
                <w:sz w:val="20"/>
                <w:szCs w:val="20"/>
                <w:color w:val="auto"/>
              </w:rPr>
            </w:pPr>
            <w:r>
              <w:rPr>
                <w:rFonts w:ascii="Arial" w:cs="Arial" w:eastAsia="Arial" w:hAnsi="Arial"/>
                <w:sz w:val="14"/>
                <w:szCs w:val="14"/>
                <w:color w:val="auto"/>
              </w:rPr>
              <w:t>Rate of Return</w:t>
            </w:r>
          </w:p>
        </w:tc>
        <w:tc>
          <w:tcPr>
            <w:tcW w:w="1080" w:type="dxa"/>
            <w:vAlign w:val="bottom"/>
          </w:tcPr>
          <w:p>
            <w:pPr>
              <w:jc w:val="center"/>
              <w:spacing w:after="0" w:line="135" w:lineRule="exact"/>
              <w:rPr>
                <w:sz w:val="20"/>
                <w:szCs w:val="20"/>
                <w:color w:val="auto"/>
              </w:rPr>
            </w:pPr>
            <w:r>
              <w:rPr>
                <w:rFonts w:ascii="Arial" w:cs="Arial" w:eastAsia="Arial" w:hAnsi="Arial"/>
                <w:sz w:val="14"/>
                <w:szCs w:val="14"/>
                <w:color w:val="auto"/>
              </w:rPr>
              <w:t>Return on Rate</w:t>
            </w: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rPr>
              <w:t>Capital Structure</w:t>
            </w: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rPr>
              <w:t>Base (in</w:t>
            </w:r>
          </w:p>
        </w:tc>
        <w:tc>
          <w:tcPr>
            <w:tcW w:w="740" w:type="dxa"/>
            <w:vAlign w:val="bottom"/>
            <w:vMerge w:val="continue"/>
          </w:tcPr>
          <w:p>
            <w:pPr>
              <w:spacing w:after="0"/>
              <w:rPr>
                <w:sz w:val="11"/>
                <w:szCs w:val="11"/>
                <w:color w:val="auto"/>
              </w:rPr>
            </w:pPr>
          </w:p>
        </w:tc>
        <w:tc>
          <w:tcPr>
            <w:tcW w:w="4140" w:type="dxa"/>
            <w:vAlign w:val="bottom"/>
            <w:vMerge w:val="restart"/>
          </w:tcPr>
          <w:p>
            <w:pPr>
              <w:ind w:left="1000"/>
              <w:spacing w:after="0"/>
              <w:rPr>
                <w:sz w:val="20"/>
                <w:szCs w:val="20"/>
                <w:color w:val="auto"/>
              </w:rPr>
            </w:pPr>
            <w:r>
              <w:rPr>
                <w:rFonts w:ascii="Arial" w:cs="Arial" w:eastAsia="Arial" w:hAnsi="Arial"/>
                <w:sz w:val="14"/>
                <w:szCs w:val="14"/>
                <w:color w:val="auto"/>
              </w:rPr>
              <w:t>Additional Regulatory Mechanisms</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on Equity</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Base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Debt/Equity</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millions)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Date</w:t>
            </w:r>
          </w:p>
        </w:tc>
        <w:tc>
          <w:tcPr>
            <w:tcW w:w="4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shd w:val="clear" w:color="auto" w:fill="CEFEE7"/>
          </w:tcPr>
          <w:p>
            <w:pPr>
              <w:spacing w:after="0"/>
              <w:rPr>
                <w:sz w:val="12"/>
                <w:szCs w:val="12"/>
                <w:color w:val="auto"/>
              </w:rPr>
            </w:pPr>
          </w:p>
        </w:tc>
        <w:tc>
          <w:tcPr>
            <w:tcW w:w="900" w:type="dxa"/>
            <w:vAlign w:val="bottom"/>
            <w:shd w:val="clear" w:color="auto" w:fill="CEFEE7"/>
          </w:tcPr>
          <w:p>
            <w:pPr>
              <w:spacing w:after="0"/>
              <w:rPr>
                <w:sz w:val="12"/>
                <w:szCs w:val="12"/>
                <w:color w:val="auto"/>
              </w:rPr>
            </w:pPr>
          </w:p>
        </w:tc>
        <w:tc>
          <w:tcPr>
            <w:tcW w:w="1020" w:type="dxa"/>
            <w:vAlign w:val="bottom"/>
            <w:shd w:val="clear" w:color="auto" w:fill="CEFEE7"/>
          </w:tcPr>
          <w:p>
            <w:pPr>
              <w:spacing w:after="0"/>
              <w:rPr>
                <w:sz w:val="12"/>
                <w:szCs w:val="12"/>
                <w:color w:val="auto"/>
              </w:rPr>
            </w:pPr>
          </w:p>
        </w:tc>
        <w:tc>
          <w:tcPr>
            <w:tcW w:w="1080" w:type="dxa"/>
            <w:vAlign w:val="bottom"/>
            <w:shd w:val="clear" w:color="auto" w:fill="CEFEE7"/>
          </w:tcPr>
          <w:p>
            <w:pPr>
              <w:spacing w:after="0"/>
              <w:rPr>
                <w:sz w:val="12"/>
                <w:szCs w:val="12"/>
                <w:color w:val="auto"/>
              </w:rPr>
            </w:pPr>
          </w:p>
        </w:tc>
        <w:tc>
          <w:tcPr>
            <w:tcW w:w="1160" w:type="dxa"/>
            <w:vAlign w:val="bottom"/>
            <w:shd w:val="clear" w:color="auto" w:fill="CEFEE7"/>
          </w:tcPr>
          <w:p>
            <w:pPr>
              <w:spacing w:after="0"/>
              <w:rPr>
                <w:sz w:val="12"/>
                <w:szCs w:val="12"/>
                <w:color w:val="auto"/>
              </w:rPr>
            </w:pPr>
          </w:p>
        </w:tc>
        <w:tc>
          <w:tcPr>
            <w:tcW w:w="1180" w:type="dxa"/>
            <w:vAlign w:val="bottom"/>
            <w:shd w:val="clear" w:color="auto" w:fill="CEFEE7"/>
          </w:tcPr>
          <w:p>
            <w:pPr>
              <w:spacing w:after="0"/>
              <w:rPr>
                <w:sz w:val="12"/>
                <w:szCs w:val="12"/>
                <w:color w:val="auto"/>
              </w:rPr>
            </w:pPr>
          </w:p>
        </w:tc>
        <w:tc>
          <w:tcPr>
            <w:tcW w:w="740" w:type="dxa"/>
            <w:vAlign w:val="bottom"/>
            <w:shd w:val="clear" w:color="auto" w:fill="CEFEE7"/>
          </w:tcPr>
          <w:p>
            <w:pPr>
              <w:spacing w:after="0"/>
              <w:rPr>
                <w:sz w:val="12"/>
                <w:szCs w:val="12"/>
                <w:color w:val="auto"/>
              </w:rPr>
            </w:pPr>
          </w:p>
        </w:tc>
        <w:tc>
          <w:tcPr>
            <w:tcW w:w="4140" w:type="dxa"/>
            <w:vAlign w:val="bottom"/>
            <w:shd w:val="clear" w:color="auto" w:fill="CEFEE7"/>
          </w:tcPr>
          <w:p>
            <w:pPr>
              <w:ind w:left="80"/>
              <w:spacing w:after="0" w:line="147" w:lineRule="exact"/>
              <w:rPr>
                <w:sz w:val="20"/>
                <w:szCs w:val="20"/>
                <w:color w:val="auto"/>
              </w:rPr>
            </w:pPr>
            <w:r>
              <w:rPr>
                <w:rFonts w:ascii="Arial" w:cs="Arial" w:eastAsia="Arial" w:hAnsi="Arial"/>
                <w:sz w:val="14"/>
                <w:szCs w:val="14"/>
                <w:color w:val="auto"/>
              </w:rPr>
              <w:t>GCA, Main Replacement Program, At-Risk Meter Relocation</w:t>
            </w:r>
          </w:p>
        </w:tc>
        <w:tc>
          <w:tcPr>
            <w:tcW w:w="0" w:type="dxa"/>
            <w:vAlign w:val="bottom"/>
          </w:tcPr>
          <w:p>
            <w:pPr>
              <w:spacing w:after="0"/>
              <w:rPr>
                <w:sz w:val="1"/>
                <w:szCs w:val="1"/>
                <w:color w:val="auto"/>
              </w:rPr>
            </w:pPr>
          </w:p>
        </w:tc>
      </w:tr>
      <w:tr>
        <w:trPr>
          <w:trHeight w:val="198"/>
        </w:trPr>
        <w:tc>
          <w:tcPr>
            <w:tcW w:w="1000" w:type="dxa"/>
            <w:vAlign w:val="bottom"/>
            <w:shd w:val="clear" w:color="auto" w:fill="CEFEE7"/>
          </w:tcPr>
          <w:p>
            <w:pPr>
              <w:ind w:left="20"/>
              <w:spacing w:after="0" w:line="198" w:lineRule="exact"/>
              <w:rPr>
                <w:sz w:val="20"/>
                <w:szCs w:val="20"/>
                <w:color w:val="auto"/>
              </w:rPr>
            </w:pPr>
            <w:r>
              <w:rPr>
                <w:rFonts w:ascii="Arial" w:cs="Arial" w:eastAsia="Arial" w:hAnsi="Arial"/>
                <w:sz w:val="18"/>
                <w:szCs w:val="18"/>
                <w:color w:val="auto"/>
                <w:w w:val="94"/>
                <w:vertAlign w:val="subscript"/>
              </w:rPr>
              <w:t>(c)</w:t>
            </w:r>
            <w:r>
              <w:rPr>
                <w:rFonts w:ascii="Arial" w:cs="Arial" w:eastAsia="Arial" w:hAnsi="Arial"/>
                <w:sz w:val="14"/>
                <w:szCs w:val="14"/>
                <w:color w:val="auto"/>
                <w:w w:val="94"/>
              </w:rPr>
              <w:t>Arkansas Gas</w:t>
            </w:r>
          </w:p>
        </w:tc>
        <w:tc>
          <w:tcPr>
            <w:tcW w:w="900" w:type="dxa"/>
            <w:vAlign w:val="bottom"/>
            <w:shd w:val="clear" w:color="auto" w:fill="CEFEE7"/>
          </w:tcPr>
          <w:p>
            <w:pPr>
              <w:jc w:val="center"/>
              <w:spacing w:after="0"/>
              <w:rPr>
                <w:sz w:val="20"/>
                <w:szCs w:val="20"/>
                <w:color w:val="auto"/>
              </w:rPr>
            </w:pPr>
            <w:r>
              <w:rPr>
                <w:rFonts w:ascii="Arial" w:cs="Arial" w:eastAsia="Arial" w:hAnsi="Arial"/>
                <w:sz w:val="14"/>
                <w:szCs w:val="14"/>
                <w:color w:val="auto"/>
              </w:rPr>
              <w:t>AR</w:t>
            </w:r>
          </w:p>
        </w:tc>
        <w:tc>
          <w:tcPr>
            <w:tcW w:w="1020" w:type="dxa"/>
            <w:vAlign w:val="bottom"/>
            <w:shd w:val="clear" w:color="auto" w:fill="CEFEE7"/>
          </w:tcPr>
          <w:p>
            <w:pPr>
              <w:jc w:val="center"/>
              <w:spacing w:after="0"/>
              <w:rPr>
                <w:sz w:val="20"/>
                <w:szCs w:val="20"/>
                <w:color w:val="auto"/>
              </w:rPr>
            </w:pPr>
            <w:r>
              <w:rPr>
                <w:rFonts w:ascii="Arial" w:cs="Arial" w:eastAsia="Arial" w:hAnsi="Arial"/>
                <w:sz w:val="14"/>
                <w:szCs w:val="14"/>
                <w:color w:val="auto"/>
              </w:rPr>
              <w:t>9.61%</w:t>
            </w:r>
          </w:p>
        </w:tc>
        <w:tc>
          <w:tcPr>
            <w:tcW w:w="1080" w:type="dxa"/>
            <w:vAlign w:val="bottom"/>
            <w:shd w:val="clear" w:color="auto" w:fill="CEFEE7"/>
          </w:tcPr>
          <w:p>
            <w:pPr>
              <w:jc w:val="center"/>
              <w:spacing w:after="0" w:line="198" w:lineRule="exact"/>
              <w:rPr>
                <w:sz w:val="20"/>
                <w:szCs w:val="20"/>
                <w:color w:val="auto"/>
              </w:rPr>
            </w:pPr>
            <w:r>
              <w:rPr>
                <w:rFonts w:ascii="Arial" w:cs="Arial" w:eastAsia="Arial" w:hAnsi="Arial"/>
                <w:sz w:val="14"/>
                <w:szCs w:val="14"/>
                <w:color w:val="auto"/>
                <w:w w:val="96"/>
              </w:rPr>
              <w:t xml:space="preserve">6.82% </w:t>
            </w:r>
            <w:r>
              <w:rPr>
                <w:rFonts w:ascii="Arial" w:cs="Arial" w:eastAsia="Arial" w:hAnsi="Arial"/>
                <w:sz w:val="18"/>
                <w:szCs w:val="18"/>
                <w:color w:val="auto"/>
                <w:w w:val="96"/>
                <w:vertAlign w:val="superscript"/>
              </w:rPr>
              <w:t>(a)</w:t>
            </w:r>
          </w:p>
        </w:tc>
        <w:tc>
          <w:tcPr>
            <w:tcW w:w="1160" w:type="dxa"/>
            <w:vAlign w:val="bottom"/>
            <w:shd w:val="clear" w:color="auto" w:fill="CEFEE7"/>
          </w:tcPr>
          <w:p>
            <w:pPr>
              <w:jc w:val="center"/>
              <w:spacing w:after="0"/>
              <w:rPr>
                <w:sz w:val="20"/>
                <w:szCs w:val="20"/>
                <w:color w:val="auto"/>
              </w:rPr>
            </w:pPr>
            <w:r>
              <w:rPr>
                <w:rFonts w:ascii="Arial" w:cs="Arial" w:eastAsia="Arial" w:hAnsi="Arial"/>
                <w:sz w:val="14"/>
                <w:szCs w:val="14"/>
                <w:color w:val="auto"/>
              </w:rPr>
              <w:t>51%/49%</w:t>
            </w:r>
          </w:p>
        </w:tc>
        <w:tc>
          <w:tcPr>
            <w:tcW w:w="1180" w:type="dxa"/>
            <w:vAlign w:val="bottom"/>
            <w:shd w:val="clear" w:color="auto" w:fill="CEFEE7"/>
          </w:tcPr>
          <w:p>
            <w:pPr>
              <w:jc w:val="center"/>
              <w:spacing w:after="0" w:line="198" w:lineRule="exact"/>
              <w:rPr>
                <w:sz w:val="20"/>
                <w:szCs w:val="20"/>
                <w:color w:val="auto"/>
              </w:rPr>
            </w:pPr>
            <w:r>
              <w:rPr>
                <w:rFonts w:ascii="Arial" w:cs="Arial" w:eastAsia="Arial" w:hAnsi="Arial"/>
                <w:sz w:val="14"/>
                <w:szCs w:val="14"/>
                <w:color w:val="auto"/>
                <w:w w:val="94"/>
              </w:rPr>
              <w:t xml:space="preserve">$451.5 </w:t>
            </w:r>
            <w:r>
              <w:rPr>
                <w:rFonts w:ascii="Arial" w:cs="Arial" w:eastAsia="Arial" w:hAnsi="Arial"/>
                <w:sz w:val="18"/>
                <w:szCs w:val="18"/>
                <w:color w:val="auto"/>
                <w:w w:val="94"/>
                <w:vertAlign w:val="superscript"/>
              </w:rPr>
              <w:t>(b)</w:t>
            </w:r>
          </w:p>
        </w:tc>
        <w:tc>
          <w:tcPr>
            <w:tcW w:w="740" w:type="dxa"/>
            <w:vAlign w:val="bottom"/>
            <w:shd w:val="clear" w:color="auto" w:fill="CEFEE7"/>
          </w:tcPr>
          <w:p>
            <w:pPr>
              <w:jc w:val="center"/>
              <w:spacing w:after="0"/>
              <w:rPr>
                <w:sz w:val="20"/>
                <w:szCs w:val="20"/>
                <w:color w:val="auto"/>
              </w:rPr>
            </w:pPr>
            <w:r>
              <w:rPr>
                <w:rFonts w:ascii="Arial" w:cs="Arial" w:eastAsia="Arial" w:hAnsi="Arial"/>
                <w:sz w:val="14"/>
                <w:szCs w:val="14"/>
                <w:color w:val="auto"/>
              </w:rPr>
              <w:t>10/2018</w:t>
            </w:r>
          </w:p>
        </w:tc>
        <w:tc>
          <w:tcPr>
            <w:tcW w:w="4140" w:type="dxa"/>
            <w:vAlign w:val="bottom"/>
            <w:shd w:val="clear" w:color="auto" w:fill="CEFEE7"/>
          </w:tcPr>
          <w:p>
            <w:pPr>
              <w:ind w:left="80"/>
              <w:spacing w:after="0"/>
              <w:rPr>
                <w:sz w:val="20"/>
                <w:szCs w:val="20"/>
                <w:color w:val="auto"/>
              </w:rPr>
            </w:pPr>
            <w:r>
              <w:rPr>
                <w:rFonts w:ascii="Arial" w:cs="Arial" w:eastAsia="Arial" w:hAnsi="Arial"/>
                <w:sz w:val="14"/>
                <w:szCs w:val="14"/>
                <w:color w:val="auto"/>
              </w:rPr>
              <w:t>Program, Legislative or Regulatory Mandated Expenditures,</w:t>
            </w:r>
          </w:p>
        </w:tc>
        <w:tc>
          <w:tcPr>
            <w:tcW w:w="0" w:type="dxa"/>
            <w:vAlign w:val="bottom"/>
          </w:tcPr>
          <w:p>
            <w:pPr>
              <w:spacing w:after="0"/>
              <w:rPr>
                <w:sz w:val="1"/>
                <w:szCs w:val="1"/>
                <w:color w:val="auto"/>
              </w:rPr>
            </w:pPr>
          </w:p>
        </w:tc>
      </w:tr>
      <w:tr>
        <w:trPr>
          <w:trHeight w:val="72"/>
        </w:trPr>
        <w:tc>
          <w:tcPr>
            <w:tcW w:w="1000" w:type="dxa"/>
            <w:vAlign w:val="bottom"/>
            <w:shd w:val="clear" w:color="auto" w:fill="CEFEE7"/>
          </w:tcPr>
          <w:p>
            <w:pPr>
              <w:spacing w:after="0"/>
              <w:rPr>
                <w:sz w:val="6"/>
                <w:szCs w:val="6"/>
                <w:color w:val="auto"/>
              </w:rPr>
            </w:pPr>
          </w:p>
        </w:tc>
        <w:tc>
          <w:tcPr>
            <w:tcW w:w="900" w:type="dxa"/>
            <w:vAlign w:val="bottom"/>
            <w:shd w:val="clear" w:color="auto" w:fill="CEFEE7"/>
          </w:tcPr>
          <w:p>
            <w:pPr>
              <w:spacing w:after="0"/>
              <w:rPr>
                <w:sz w:val="6"/>
                <w:szCs w:val="6"/>
                <w:color w:val="auto"/>
              </w:rPr>
            </w:pPr>
          </w:p>
        </w:tc>
        <w:tc>
          <w:tcPr>
            <w:tcW w:w="1020" w:type="dxa"/>
            <w:vAlign w:val="bottom"/>
            <w:shd w:val="clear" w:color="auto" w:fill="CEFEE7"/>
          </w:tcPr>
          <w:p>
            <w:pPr>
              <w:spacing w:after="0"/>
              <w:rPr>
                <w:sz w:val="6"/>
                <w:szCs w:val="6"/>
                <w:color w:val="auto"/>
              </w:rPr>
            </w:pPr>
          </w:p>
        </w:tc>
        <w:tc>
          <w:tcPr>
            <w:tcW w:w="1080" w:type="dxa"/>
            <w:vAlign w:val="bottom"/>
            <w:shd w:val="clear" w:color="auto" w:fill="CEFEE7"/>
          </w:tcPr>
          <w:p>
            <w:pPr>
              <w:spacing w:after="0"/>
              <w:rPr>
                <w:sz w:val="6"/>
                <w:szCs w:val="6"/>
                <w:color w:val="auto"/>
              </w:rPr>
            </w:pPr>
          </w:p>
        </w:tc>
        <w:tc>
          <w:tcPr>
            <w:tcW w:w="1160" w:type="dxa"/>
            <w:vAlign w:val="bottom"/>
            <w:shd w:val="clear" w:color="auto" w:fill="CEFEE7"/>
          </w:tcPr>
          <w:p>
            <w:pPr>
              <w:spacing w:after="0"/>
              <w:rPr>
                <w:sz w:val="6"/>
                <w:szCs w:val="6"/>
                <w:color w:val="auto"/>
              </w:rPr>
            </w:pPr>
          </w:p>
        </w:tc>
        <w:tc>
          <w:tcPr>
            <w:tcW w:w="1180" w:type="dxa"/>
            <w:vAlign w:val="bottom"/>
            <w:shd w:val="clear" w:color="auto" w:fill="CEFEE7"/>
          </w:tcPr>
          <w:p>
            <w:pPr>
              <w:spacing w:after="0"/>
              <w:rPr>
                <w:sz w:val="6"/>
                <w:szCs w:val="6"/>
                <w:color w:val="auto"/>
              </w:rPr>
            </w:pPr>
          </w:p>
        </w:tc>
        <w:tc>
          <w:tcPr>
            <w:tcW w:w="740" w:type="dxa"/>
            <w:vAlign w:val="bottom"/>
            <w:shd w:val="clear" w:color="auto" w:fill="CEFEE7"/>
          </w:tcPr>
          <w:p>
            <w:pPr>
              <w:spacing w:after="0"/>
              <w:rPr>
                <w:sz w:val="6"/>
                <w:szCs w:val="6"/>
                <w:color w:val="auto"/>
              </w:rPr>
            </w:pPr>
          </w:p>
        </w:tc>
        <w:tc>
          <w:tcPr>
            <w:tcW w:w="4140" w:type="dxa"/>
            <w:vAlign w:val="bottom"/>
            <w:shd w:val="clear" w:color="auto" w:fill="CEFEE7"/>
          </w:tcPr>
          <w:p>
            <w:pPr>
              <w:ind w:left="80"/>
              <w:spacing w:after="0" w:line="73" w:lineRule="exact"/>
              <w:rPr>
                <w:sz w:val="20"/>
                <w:szCs w:val="20"/>
                <w:color w:val="auto"/>
              </w:rPr>
            </w:pPr>
            <w:r>
              <w:rPr>
                <w:rFonts w:ascii="Arial" w:cs="Arial" w:eastAsia="Arial" w:hAnsi="Arial"/>
                <w:sz w:val="8"/>
                <w:szCs w:val="8"/>
                <w:color w:val="auto"/>
              </w:rPr>
              <w:t>EECR, Weather Normalization Adjustment, Billing Determinant</w:t>
            </w:r>
          </w:p>
        </w:tc>
        <w:tc>
          <w:tcPr>
            <w:tcW w:w="0" w:type="dxa"/>
            <w:vAlign w:val="bottom"/>
          </w:tcPr>
          <w:p>
            <w:pPr>
              <w:spacing w:after="0"/>
              <w:rPr>
                <w:sz w:val="1"/>
                <w:szCs w:val="1"/>
                <w:color w:val="auto"/>
              </w:rPr>
            </w:pPr>
          </w:p>
        </w:tc>
      </w:tr>
      <w:tr>
        <w:trPr>
          <w:trHeight w:val="171"/>
        </w:trPr>
        <w:tc>
          <w:tcPr>
            <w:tcW w:w="1000" w:type="dxa"/>
            <w:vAlign w:val="bottom"/>
            <w:shd w:val="clear" w:color="auto" w:fill="CEFEE7"/>
          </w:tcPr>
          <w:p>
            <w:pPr>
              <w:spacing w:after="0"/>
              <w:rPr>
                <w:sz w:val="14"/>
                <w:szCs w:val="14"/>
                <w:color w:val="auto"/>
              </w:rPr>
            </w:pPr>
          </w:p>
        </w:tc>
        <w:tc>
          <w:tcPr>
            <w:tcW w:w="900" w:type="dxa"/>
            <w:vAlign w:val="bottom"/>
            <w:shd w:val="clear" w:color="auto" w:fill="CEFEE7"/>
          </w:tcPr>
          <w:p>
            <w:pPr>
              <w:spacing w:after="0"/>
              <w:rPr>
                <w:sz w:val="14"/>
                <w:szCs w:val="14"/>
                <w:color w:val="auto"/>
              </w:rPr>
            </w:pPr>
          </w:p>
        </w:tc>
        <w:tc>
          <w:tcPr>
            <w:tcW w:w="1020" w:type="dxa"/>
            <w:vAlign w:val="bottom"/>
            <w:shd w:val="clear" w:color="auto" w:fill="CEFEE7"/>
          </w:tcPr>
          <w:p>
            <w:pPr>
              <w:spacing w:after="0"/>
              <w:rPr>
                <w:sz w:val="14"/>
                <w:szCs w:val="14"/>
                <w:color w:val="auto"/>
              </w:rPr>
            </w:pPr>
          </w:p>
        </w:tc>
        <w:tc>
          <w:tcPr>
            <w:tcW w:w="1080" w:type="dxa"/>
            <w:vAlign w:val="bottom"/>
            <w:shd w:val="clear" w:color="auto" w:fill="CEFEE7"/>
          </w:tcPr>
          <w:p>
            <w:pPr>
              <w:spacing w:after="0"/>
              <w:rPr>
                <w:sz w:val="14"/>
                <w:szCs w:val="14"/>
                <w:color w:val="auto"/>
              </w:rPr>
            </w:pPr>
          </w:p>
        </w:tc>
        <w:tc>
          <w:tcPr>
            <w:tcW w:w="1160" w:type="dxa"/>
            <w:vAlign w:val="bottom"/>
            <w:shd w:val="clear" w:color="auto" w:fill="CEFEE7"/>
          </w:tcPr>
          <w:p>
            <w:pPr>
              <w:spacing w:after="0"/>
              <w:rPr>
                <w:sz w:val="14"/>
                <w:szCs w:val="14"/>
                <w:color w:val="auto"/>
              </w:rPr>
            </w:pPr>
          </w:p>
        </w:tc>
        <w:tc>
          <w:tcPr>
            <w:tcW w:w="1180" w:type="dxa"/>
            <w:vAlign w:val="bottom"/>
            <w:shd w:val="clear" w:color="auto" w:fill="CEFEE7"/>
          </w:tcPr>
          <w:p>
            <w:pPr>
              <w:spacing w:after="0"/>
              <w:rPr>
                <w:sz w:val="14"/>
                <w:szCs w:val="14"/>
                <w:color w:val="auto"/>
              </w:rPr>
            </w:pPr>
          </w:p>
        </w:tc>
        <w:tc>
          <w:tcPr>
            <w:tcW w:w="740" w:type="dxa"/>
            <w:vAlign w:val="bottom"/>
            <w:shd w:val="clear" w:color="auto" w:fill="CEFEE7"/>
          </w:tcPr>
          <w:p>
            <w:pPr>
              <w:spacing w:after="0"/>
              <w:rPr>
                <w:sz w:val="14"/>
                <w:szCs w:val="14"/>
                <w:color w:val="auto"/>
              </w:rPr>
            </w:pPr>
          </w:p>
        </w:tc>
        <w:tc>
          <w:tcPr>
            <w:tcW w:w="4140" w:type="dxa"/>
            <w:vAlign w:val="bottom"/>
            <w:shd w:val="clear" w:color="auto" w:fill="CEFEE7"/>
          </w:tcPr>
          <w:p>
            <w:pPr>
              <w:ind w:left="80"/>
              <w:spacing w:after="0"/>
              <w:rPr>
                <w:sz w:val="20"/>
                <w:szCs w:val="20"/>
                <w:color w:val="auto"/>
              </w:rPr>
            </w:pPr>
            <w:r>
              <w:rPr>
                <w:rFonts w:ascii="Arial" w:cs="Arial" w:eastAsia="Arial" w:hAnsi="Arial"/>
                <w:sz w:val="14"/>
                <w:szCs w:val="14"/>
                <w:color w:val="auto"/>
              </w:rPr>
              <w:t>Adjustment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240"/>
        </w:trPr>
        <w:tc>
          <w:tcPr>
            <w:tcW w:w="1120" w:type="dxa"/>
            <w:vAlign w:val="bottom"/>
          </w:tcPr>
          <w:p>
            <w:pPr>
              <w:spacing w:after="0"/>
              <w:rPr>
                <w:sz w:val="20"/>
                <w:szCs w:val="20"/>
                <w:color w:val="auto"/>
              </w:rPr>
            </w:pPr>
            <w:r>
              <w:rPr>
                <w:rFonts w:ascii="Arial" w:cs="Arial" w:eastAsia="Arial" w:hAnsi="Arial"/>
                <w:sz w:val="18"/>
                <w:szCs w:val="18"/>
                <w:color w:val="auto"/>
                <w:vertAlign w:val="subscript"/>
              </w:rPr>
              <w:t>(c)</w:t>
            </w:r>
            <w:r>
              <w:rPr>
                <w:rFonts w:ascii="Arial" w:cs="Arial" w:eastAsia="Arial" w:hAnsi="Arial"/>
                <w:sz w:val="14"/>
                <w:szCs w:val="14"/>
                <w:color w:val="auto"/>
              </w:rPr>
              <w:t>Colorado Gas</w:t>
            </w:r>
          </w:p>
        </w:tc>
        <w:tc>
          <w:tcPr>
            <w:tcW w:w="760" w:type="dxa"/>
            <w:vAlign w:val="bottom"/>
          </w:tcPr>
          <w:p>
            <w:pPr>
              <w:jc w:val="center"/>
              <w:ind w:right="28"/>
              <w:spacing w:after="0"/>
              <w:rPr>
                <w:sz w:val="20"/>
                <w:szCs w:val="20"/>
                <w:color w:val="auto"/>
              </w:rPr>
            </w:pPr>
            <w:r>
              <w:rPr>
                <w:rFonts w:ascii="Arial" w:cs="Arial" w:eastAsia="Arial" w:hAnsi="Arial"/>
                <w:sz w:val="14"/>
                <w:szCs w:val="14"/>
                <w:color w:val="auto"/>
              </w:rPr>
              <w:t>CO</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9.20%</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6.56%</w:t>
            </w:r>
          </w:p>
        </w:tc>
        <w:tc>
          <w:tcPr>
            <w:tcW w:w="1240" w:type="dxa"/>
            <w:vAlign w:val="bottom"/>
          </w:tcPr>
          <w:p>
            <w:pPr>
              <w:jc w:val="center"/>
              <w:spacing w:after="0"/>
              <w:rPr>
                <w:sz w:val="20"/>
                <w:szCs w:val="20"/>
                <w:color w:val="auto"/>
              </w:rPr>
            </w:pPr>
            <w:r>
              <w:rPr>
                <w:rFonts w:ascii="Arial" w:cs="Arial" w:eastAsia="Arial" w:hAnsi="Arial"/>
                <w:sz w:val="14"/>
                <w:szCs w:val="14"/>
                <w:color w:val="auto"/>
              </w:rPr>
              <w:t>50%/50%</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$303.2</w:t>
            </w:r>
          </w:p>
        </w:tc>
        <w:tc>
          <w:tcPr>
            <w:tcW w:w="720" w:type="dxa"/>
            <w:vAlign w:val="bottom"/>
          </w:tcPr>
          <w:p>
            <w:pPr>
              <w:jc w:val="right"/>
              <w:spacing w:after="0"/>
              <w:rPr>
                <w:sz w:val="20"/>
                <w:szCs w:val="20"/>
                <w:color w:val="auto"/>
              </w:rPr>
            </w:pPr>
            <w:r>
              <w:rPr>
                <w:rFonts w:ascii="Arial" w:cs="Arial" w:eastAsia="Arial" w:hAnsi="Arial"/>
                <w:sz w:val="14"/>
                <w:szCs w:val="14"/>
                <w:color w:val="auto"/>
              </w:rPr>
              <w:t>1/2022</w:t>
            </w:r>
          </w:p>
        </w:tc>
      </w:tr>
      <w:tr>
        <w:trPr>
          <w:trHeight w:val="288"/>
        </w:trPr>
        <w:tc>
          <w:tcPr>
            <w:tcW w:w="1120" w:type="dxa"/>
            <w:vAlign w:val="bottom"/>
          </w:tcPr>
          <w:p>
            <w:pPr>
              <w:spacing w:after="0"/>
              <w:rPr>
                <w:sz w:val="20"/>
                <w:szCs w:val="20"/>
                <w:color w:val="auto"/>
              </w:rPr>
            </w:pPr>
            <w:r>
              <w:rPr>
                <w:rFonts w:ascii="Arial" w:cs="Arial" w:eastAsia="Arial" w:hAnsi="Arial"/>
                <w:sz w:val="14"/>
                <w:szCs w:val="14"/>
                <w:color w:val="auto"/>
              </w:rPr>
              <w:t>RMNG</w:t>
            </w:r>
          </w:p>
        </w:tc>
        <w:tc>
          <w:tcPr>
            <w:tcW w:w="760" w:type="dxa"/>
            <w:vAlign w:val="bottom"/>
          </w:tcPr>
          <w:p>
            <w:pPr>
              <w:jc w:val="center"/>
              <w:ind w:right="28"/>
              <w:spacing w:after="0"/>
              <w:rPr>
                <w:sz w:val="20"/>
                <w:szCs w:val="20"/>
                <w:color w:val="auto"/>
              </w:rPr>
            </w:pPr>
            <w:r>
              <w:rPr>
                <w:rFonts w:ascii="Arial" w:cs="Arial" w:eastAsia="Arial" w:hAnsi="Arial"/>
                <w:sz w:val="14"/>
                <w:szCs w:val="14"/>
                <w:color w:val="auto"/>
              </w:rPr>
              <w:t>CO</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9.90%</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6.71%</w:t>
            </w:r>
          </w:p>
        </w:tc>
        <w:tc>
          <w:tcPr>
            <w:tcW w:w="1240" w:type="dxa"/>
            <w:vAlign w:val="bottom"/>
          </w:tcPr>
          <w:p>
            <w:pPr>
              <w:jc w:val="center"/>
              <w:spacing w:after="0"/>
              <w:rPr>
                <w:sz w:val="20"/>
                <w:szCs w:val="20"/>
                <w:color w:val="auto"/>
              </w:rPr>
            </w:pPr>
            <w:r>
              <w:rPr>
                <w:rFonts w:ascii="Arial" w:cs="Arial" w:eastAsia="Arial" w:hAnsi="Arial"/>
                <w:sz w:val="14"/>
                <w:szCs w:val="14"/>
                <w:color w:val="auto"/>
              </w:rPr>
              <w:t>53%/ 47%</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$118.7</w:t>
            </w:r>
          </w:p>
        </w:tc>
        <w:tc>
          <w:tcPr>
            <w:tcW w:w="720" w:type="dxa"/>
            <w:vAlign w:val="bottom"/>
          </w:tcPr>
          <w:p>
            <w:pPr>
              <w:jc w:val="right"/>
              <w:spacing w:after="0"/>
              <w:rPr>
                <w:sz w:val="20"/>
                <w:szCs w:val="20"/>
                <w:color w:val="auto"/>
              </w:rPr>
            </w:pPr>
            <w:r>
              <w:rPr>
                <w:rFonts w:ascii="Arial" w:cs="Arial" w:eastAsia="Arial" w:hAnsi="Arial"/>
                <w:sz w:val="14"/>
                <w:szCs w:val="14"/>
                <w:color w:val="auto"/>
              </w:rPr>
              <w:t>6/2018</w:t>
            </w:r>
          </w:p>
        </w:tc>
      </w:tr>
      <w:tr>
        <w:trPr>
          <w:trHeight w:val="383"/>
        </w:trPr>
        <w:tc>
          <w:tcPr>
            <w:tcW w:w="1120" w:type="dxa"/>
            <w:vAlign w:val="bottom"/>
          </w:tcPr>
          <w:p>
            <w:pPr>
              <w:spacing w:after="0"/>
              <w:rPr>
                <w:sz w:val="20"/>
                <w:szCs w:val="20"/>
                <w:color w:val="auto"/>
              </w:rPr>
            </w:pPr>
            <w:r>
              <w:rPr>
                <w:rFonts w:ascii="Arial" w:cs="Arial" w:eastAsia="Arial" w:hAnsi="Arial"/>
                <w:sz w:val="14"/>
                <w:szCs w:val="14"/>
                <w:color w:val="auto"/>
              </w:rPr>
              <w:t xml:space="preserve">Iowa Gas </w:t>
            </w:r>
            <w:r>
              <w:rPr>
                <w:rFonts w:ascii="Arial" w:cs="Arial" w:eastAsia="Arial" w:hAnsi="Arial"/>
                <w:sz w:val="18"/>
                <w:szCs w:val="18"/>
                <w:color w:val="auto"/>
                <w:vertAlign w:val="superscript"/>
              </w:rPr>
              <w:t>(c)</w:t>
            </w:r>
          </w:p>
        </w:tc>
        <w:tc>
          <w:tcPr>
            <w:tcW w:w="760" w:type="dxa"/>
            <w:vAlign w:val="bottom"/>
          </w:tcPr>
          <w:p>
            <w:pPr>
              <w:jc w:val="center"/>
              <w:ind w:right="28"/>
              <w:spacing w:after="0"/>
              <w:rPr>
                <w:sz w:val="20"/>
                <w:szCs w:val="20"/>
                <w:color w:val="auto"/>
              </w:rPr>
            </w:pPr>
            <w:r>
              <w:rPr>
                <w:rFonts w:ascii="Arial" w:cs="Arial" w:eastAsia="Arial" w:hAnsi="Arial"/>
                <w:sz w:val="14"/>
                <w:szCs w:val="14"/>
                <w:color w:val="auto"/>
              </w:rPr>
              <w:t>IA</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9.60%</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6.75%</w:t>
            </w:r>
          </w:p>
        </w:tc>
        <w:tc>
          <w:tcPr>
            <w:tcW w:w="1240" w:type="dxa"/>
            <w:vAlign w:val="bottom"/>
          </w:tcPr>
          <w:p>
            <w:pPr>
              <w:jc w:val="center"/>
              <w:spacing w:after="0"/>
              <w:rPr>
                <w:sz w:val="20"/>
                <w:szCs w:val="20"/>
                <w:color w:val="auto"/>
              </w:rPr>
            </w:pPr>
            <w:r>
              <w:rPr>
                <w:rFonts w:ascii="Arial" w:cs="Arial" w:eastAsia="Arial" w:hAnsi="Arial"/>
                <w:sz w:val="14"/>
                <w:szCs w:val="14"/>
                <w:color w:val="auto"/>
              </w:rPr>
              <w:t>50%/50%</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$300.9</w:t>
            </w:r>
          </w:p>
        </w:tc>
        <w:tc>
          <w:tcPr>
            <w:tcW w:w="720" w:type="dxa"/>
            <w:vAlign w:val="bottom"/>
          </w:tcPr>
          <w:p>
            <w:pPr>
              <w:jc w:val="right"/>
              <w:spacing w:after="0"/>
              <w:rPr>
                <w:sz w:val="20"/>
                <w:szCs w:val="20"/>
                <w:color w:val="auto"/>
              </w:rPr>
            </w:pPr>
            <w:r>
              <w:rPr>
                <w:rFonts w:ascii="Arial" w:cs="Arial" w:eastAsia="Arial" w:hAnsi="Arial"/>
                <w:sz w:val="14"/>
                <w:szCs w:val="14"/>
                <w:color w:val="auto"/>
              </w:rPr>
              <w:t>1/2022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15175"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GCA, SSIR, EECR/DSM</w:t>
      </w:r>
    </w:p>
    <w:p>
      <w:pPr>
        <w:spacing w:after="0" w:line="69" w:lineRule="exact"/>
        <w:rPr>
          <w:sz w:val="20"/>
          <w:szCs w:val="20"/>
          <w:color w:val="auto"/>
        </w:rPr>
      </w:pPr>
    </w:p>
    <w:p>
      <w:pPr>
        <w:ind w:right="300"/>
        <w:spacing w:after="0" w:line="229" w:lineRule="auto"/>
        <w:rPr>
          <w:sz w:val="20"/>
          <w:szCs w:val="20"/>
          <w:color w:val="auto"/>
        </w:rPr>
      </w:pPr>
      <w:r>
        <w:rPr>
          <w:rFonts w:ascii="Arial" w:cs="Arial" w:eastAsia="Arial" w:hAnsi="Arial"/>
          <w:sz w:val="14"/>
          <w:szCs w:val="14"/>
          <w:color w:val="auto"/>
        </w:rPr>
        <w:t>SSIR, Liquids/Off-system/Market Center Services Revenue Sharing</w:t>
      </w:r>
    </w:p>
    <w:p>
      <w:pPr>
        <w:spacing w:after="0" w:line="17" w:lineRule="exact"/>
        <w:rPr>
          <w:sz w:val="20"/>
          <w:szCs w:val="20"/>
          <w:color w:val="auto"/>
        </w:rPr>
      </w:pPr>
    </w:p>
    <w:p>
      <w:pPr>
        <w:ind w:right="380"/>
        <w:spacing w:after="0" w:line="226" w:lineRule="auto"/>
        <w:rPr>
          <w:sz w:val="20"/>
          <w:szCs w:val="20"/>
          <w:color w:val="auto"/>
        </w:rPr>
      </w:pPr>
      <w:r>
        <w:rPr>
          <w:rFonts w:ascii="Arial" w:cs="Arial" w:eastAsia="Arial" w:hAnsi="Arial"/>
          <w:sz w:val="14"/>
          <w:szCs w:val="14"/>
          <w:color w:val="auto"/>
        </w:rPr>
        <w:t>GCA, EECR, System Safety and Maintenance Adjustment Rider, Gas Supply Optimization revenue sharing</w:t>
      </w:r>
    </w:p>
    <w:p>
      <w:pPr>
        <w:spacing w:after="0" w:line="1" w:lineRule="exact"/>
        <w:rPr>
          <w:sz w:val="20"/>
          <w:szCs w:val="20"/>
          <w:color w:val="auto"/>
        </w:rPr>
      </w:pPr>
    </w:p>
    <w:p>
      <w:pPr>
        <w:sectPr>
          <w:pgSz w:w="11900" w:h="16838" w:orient="portrait"/>
          <w:cols w:equalWidth="0" w:num="2">
            <w:col w:w="6940" w:space="220"/>
            <w:col w:w="40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1140" w:type="dxa"/>
            <w:vAlign w:val="bottom"/>
            <w:shd w:val="clear" w:color="auto" w:fill="CEFEE7"/>
          </w:tcPr>
          <w:p>
            <w:pPr>
              <w:spacing w:after="0"/>
              <w:rPr>
                <w:sz w:val="13"/>
                <w:szCs w:val="13"/>
                <w:color w:val="auto"/>
              </w:rPr>
            </w:pPr>
          </w:p>
        </w:tc>
        <w:tc>
          <w:tcPr>
            <w:tcW w:w="680" w:type="dxa"/>
            <w:vAlign w:val="bottom"/>
            <w:shd w:val="clear" w:color="auto" w:fill="CEFEE7"/>
          </w:tcPr>
          <w:p>
            <w:pPr>
              <w:spacing w:after="0"/>
              <w:rPr>
                <w:sz w:val="13"/>
                <w:szCs w:val="13"/>
                <w:color w:val="auto"/>
              </w:rPr>
            </w:pPr>
          </w:p>
        </w:tc>
        <w:tc>
          <w:tcPr>
            <w:tcW w:w="1120" w:type="dxa"/>
            <w:vAlign w:val="bottom"/>
            <w:shd w:val="clear" w:color="auto" w:fill="CEFEE7"/>
          </w:tcPr>
          <w:p>
            <w:pPr>
              <w:spacing w:after="0"/>
              <w:rPr>
                <w:sz w:val="13"/>
                <w:szCs w:val="13"/>
                <w:color w:val="auto"/>
              </w:rPr>
            </w:pPr>
          </w:p>
        </w:tc>
        <w:tc>
          <w:tcPr>
            <w:tcW w:w="960" w:type="dxa"/>
            <w:vAlign w:val="bottom"/>
            <w:shd w:val="clear" w:color="auto" w:fill="CEFEE7"/>
          </w:tcPr>
          <w:p>
            <w:pPr>
              <w:spacing w:after="0"/>
              <w:rPr>
                <w:sz w:val="13"/>
                <w:szCs w:val="13"/>
                <w:color w:val="auto"/>
              </w:rPr>
            </w:pPr>
          </w:p>
        </w:tc>
        <w:tc>
          <w:tcPr>
            <w:tcW w:w="1360" w:type="dxa"/>
            <w:vAlign w:val="bottom"/>
            <w:shd w:val="clear" w:color="auto" w:fill="CEFEE7"/>
          </w:tcPr>
          <w:p>
            <w:pPr>
              <w:spacing w:after="0"/>
              <w:rPr>
                <w:sz w:val="13"/>
                <w:szCs w:val="13"/>
                <w:color w:val="auto"/>
              </w:rPr>
            </w:pPr>
          </w:p>
        </w:tc>
        <w:tc>
          <w:tcPr>
            <w:tcW w:w="1020" w:type="dxa"/>
            <w:vAlign w:val="bottom"/>
            <w:shd w:val="clear" w:color="auto" w:fill="CEFEE7"/>
          </w:tcPr>
          <w:p>
            <w:pPr>
              <w:spacing w:after="0"/>
              <w:rPr>
                <w:sz w:val="13"/>
                <w:szCs w:val="13"/>
                <w:color w:val="auto"/>
              </w:rPr>
            </w:pPr>
          </w:p>
        </w:tc>
        <w:tc>
          <w:tcPr>
            <w:tcW w:w="780" w:type="dxa"/>
            <w:vAlign w:val="bottom"/>
            <w:shd w:val="clear" w:color="auto" w:fill="CEFEE7"/>
          </w:tcPr>
          <w:p>
            <w:pPr>
              <w:spacing w:after="0"/>
              <w:rPr>
                <w:sz w:val="13"/>
                <w:szCs w:val="13"/>
                <w:color w:val="auto"/>
              </w:rPr>
            </w:pPr>
          </w:p>
        </w:tc>
        <w:tc>
          <w:tcPr>
            <w:tcW w:w="4160" w:type="dxa"/>
            <w:vAlign w:val="bottom"/>
            <w:shd w:val="clear" w:color="auto" w:fill="CEFEE7"/>
          </w:tcPr>
          <w:p>
            <w:pPr>
              <w:ind w:left="100"/>
              <w:spacing w:after="0" w:line="156" w:lineRule="exact"/>
              <w:rPr>
                <w:sz w:val="20"/>
                <w:szCs w:val="20"/>
                <w:color w:val="auto"/>
              </w:rPr>
            </w:pPr>
            <w:r>
              <w:rPr>
                <w:rFonts w:ascii="Arial" w:cs="Arial" w:eastAsia="Arial" w:hAnsi="Arial"/>
                <w:sz w:val="14"/>
                <w:szCs w:val="14"/>
                <w:color w:val="auto"/>
              </w:rPr>
              <w:t>GCA, Weather Normalization Tariff, Gas System Reliability</w:t>
            </w:r>
          </w:p>
        </w:tc>
      </w:tr>
      <w:tr>
        <w:trPr>
          <w:trHeight w:val="198"/>
        </w:trPr>
        <w:tc>
          <w:tcPr>
            <w:tcW w:w="1140" w:type="dxa"/>
            <w:vAlign w:val="bottom"/>
            <w:shd w:val="clear" w:color="auto" w:fill="CEFEE7"/>
          </w:tcPr>
          <w:p>
            <w:pPr>
              <w:ind w:left="20"/>
              <w:spacing w:after="0" w:line="198" w:lineRule="exact"/>
              <w:rPr>
                <w:sz w:val="20"/>
                <w:szCs w:val="20"/>
                <w:color w:val="auto"/>
              </w:rPr>
            </w:pPr>
            <w:r>
              <w:rPr>
                <w:rFonts w:ascii="Arial" w:cs="Arial" w:eastAsia="Arial" w:hAnsi="Arial"/>
                <w:sz w:val="14"/>
                <w:szCs w:val="14"/>
                <w:color w:val="auto"/>
              </w:rPr>
              <w:t xml:space="preserve">Kansas Gas </w:t>
            </w:r>
            <w:r>
              <w:rPr>
                <w:rFonts w:ascii="Arial" w:cs="Arial" w:eastAsia="Arial" w:hAnsi="Arial"/>
                <w:sz w:val="18"/>
                <w:szCs w:val="18"/>
                <w:color w:val="auto"/>
                <w:vertAlign w:val="superscript"/>
              </w:rPr>
              <w:t>(c)</w:t>
            </w:r>
          </w:p>
        </w:tc>
        <w:tc>
          <w:tcPr>
            <w:tcW w:w="680" w:type="dxa"/>
            <w:vAlign w:val="bottom"/>
            <w:shd w:val="clear" w:color="auto" w:fill="CEFEE7"/>
          </w:tcPr>
          <w:p>
            <w:pPr>
              <w:ind w:left="240"/>
              <w:spacing w:after="0"/>
              <w:rPr>
                <w:sz w:val="20"/>
                <w:szCs w:val="20"/>
                <w:color w:val="auto"/>
              </w:rPr>
            </w:pPr>
            <w:r>
              <w:rPr>
                <w:rFonts w:ascii="Arial" w:cs="Arial" w:eastAsia="Arial" w:hAnsi="Arial"/>
                <w:sz w:val="14"/>
                <w:szCs w:val="14"/>
                <w:color w:val="auto"/>
              </w:rPr>
              <w:t>KS</w:t>
            </w:r>
          </w:p>
        </w:tc>
        <w:tc>
          <w:tcPr>
            <w:tcW w:w="1120" w:type="dxa"/>
            <w:vAlign w:val="bottom"/>
            <w:shd w:val="clear" w:color="auto" w:fill="CEFEE7"/>
          </w:tcPr>
          <w:p>
            <w:pPr>
              <w:jc w:val="center"/>
              <w:spacing w:after="0"/>
              <w:rPr>
                <w:sz w:val="20"/>
                <w:szCs w:val="20"/>
                <w:color w:val="auto"/>
              </w:rPr>
            </w:pPr>
            <w:r>
              <w:rPr>
                <w:rFonts w:ascii="Arial" w:cs="Arial" w:eastAsia="Arial" w:hAnsi="Arial"/>
                <w:sz w:val="14"/>
                <w:szCs w:val="14"/>
                <w:color w:val="auto"/>
              </w:rPr>
              <w:t>Global</w:t>
            </w:r>
          </w:p>
        </w:tc>
        <w:tc>
          <w:tcPr>
            <w:tcW w:w="960" w:type="dxa"/>
            <w:vAlign w:val="bottom"/>
            <w:shd w:val="clear" w:color="auto" w:fill="CEFEE7"/>
          </w:tcPr>
          <w:p>
            <w:pPr>
              <w:jc w:val="center"/>
              <w:spacing w:after="0"/>
              <w:rPr>
                <w:sz w:val="20"/>
                <w:szCs w:val="20"/>
                <w:color w:val="auto"/>
              </w:rPr>
            </w:pPr>
            <w:r>
              <w:rPr>
                <w:rFonts w:ascii="Arial" w:cs="Arial" w:eastAsia="Arial" w:hAnsi="Arial"/>
                <w:sz w:val="14"/>
                <w:szCs w:val="14"/>
                <w:color w:val="auto"/>
              </w:rPr>
              <w:t>Global</w:t>
            </w:r>
          </w:p>
        </w:tc>
        <w:tc>
          <w:tcPr>
            <w:tcW w:w="1360" w:type="dxa"/>
            <w:vAlign w:val="bottom"/>
            <w:shd w:val="clear" w:color="auto" w:fill="CEFEE7"/>
          </w:tcPr>
          <w:p>
            <w:pPr>
              <w:jc w:val="center"/>
              <w:spacing w:after="0"/>
              <w:rPr>
                <w:sz w:val="20"/>
                <w:szCs w:val="20"/>
                <w:color w:val="auto"/>
              </w:rPr>
            </w:pPr>
            <w:r>
              <w:rPr>
                <w:rFonts w:ascii="Arial" w:cs="Arial" w:eastAsia="Arial" w:hAnsi="Arial"/>
                <w:sz w:val="14"/>
                <w:szCs w:val="14"/>
                <w:color w:val="auto"/>
              </w:rPr>
              <w:t>Global Settlement</w:t>
            </w:r>
          </w:p>
        </w:tc>
        <w:tc>
          <w:tcPr>
            <w:tcW w:w="1020" w:type="dxa"/>
            <w:vAlign w:val="bottom"/>
            <w:shd w:val="clear" w:color="auto" w:fill="CEFEE7"/>
          </w:tcPr>
          <w:p>
            <w:pPr>
              <w:jc w:val="center"/>
              <w:ind w:right="16"/>
              <w:spacing w:after="0"/>
              <w:rPr>
                <w:sz w:val="20"/>
                <w:szCs w:val="20"/>
                <w:color w:val="auto"/>
              </w:rPr>
            </w:pPr>
            <w:r>
              <w:rPr>
                <w:rFonts w:ascii="Arial" w:cs="Arial" w:eastAsia="Arial" w:hAnsi="Arial"/>
                <w:sz w:val="14"/>
                <w:szCs w:val="14"/>
                <w:color w:val="auto"/>
              </w:rPr>
              <w:t>Global</w:t>
            </w:r>
          </w:p>
        </w:tc>
        <w:tc>
          <w:tcPr>
            <w:tcW w:w="780" w:type="dxa"/>
            <w:vAlign w:val="bottom"/>
            <w:shd w:val="clear" w:color="auto" w:fill="CEFEE7"/>
          </w:tcPr>
          <w:p>
            <w:pPr>
              <w:jc w:val="right"/>
              <w:ind w:right="48"/>
              <w:spacing w:after="0"/>
              <w:rPr>
                <w:sz w:val="20"/>
                <w:szCs w:val="20"/>
                <w:color w:val="auto"/>
              </w:rPr>
            </w:pPr>
            <w:r>
              <w:rPr>
                <w:rFonts w:ascii="Arial" w:cs="Arial" w:eastAsia="Arial" w:hAnsi="Arial"/>
                <w:sz w:val="14"/>
                <w:szCs w:val="14"/>
                <w:color w:val="auto"/>
              </w:rPr>
              <w:t>1/2022</w:t>
            </w:r>
          </w:p>
        </w:tc>
        <w:tc>
          <w:tcPr>
            <w:tcW w:w="4160" w:type="dxa"/>
            <w:vAlign w:val="bottom"/>
            <w:shd w:val="clear" w:color="auto" w:fill="CEFEE7"/>
          </w:tcPr>
          <w:p>
            <w:pPr>
              <w:ind w:left="100"/>
              <w:spacing w:after="0"/>
              <w:rPr>
                <w:sz w:val="20"/>
                <w:szCs w:val="20"/>
                <w:color w:val="auto"/>
              </w:rPr>
            </w:pPr>
            <w:r>
              <w:rPr>
                <w:rFonts w:ascii="Arial" w:cs="Arial" w:eastAsia="Arial" w:hAnsi="Arial"/>
                <w:sz w:val="14"/>
                <w:szCs w:val="14"/>
                <w:color w:val="auto"/>
              </w:rPr>
              <w:t>Surcharge, Ad Valorem Tax Surcharge, Cost of Bad Debt</w:t>
            </w:r>
          </w:p>
        </w:tc>
      </w:tr>
      <w:tr>
        <w:trPr>
          <w:trHeight w:val="72"/>
        </w:trPr>
        <w:tc>
          <w:tcPr>
            <w:tcW w:w="1140" w:type="dxa"/>
            <w:vAlign w:val="bottom"/>
            <w:shd w:val="clear" w:color="auto" w:fill="CEFEE7"/>
          </w:tcPr>
          <w:p>
            <w:pPr>
              <w:spacing w:after="0"/>
              <w:rPr>
                <w:sz w:val="6"/>
                <w:szCs w:val="6"/>
                <w:color w:val="auto"/>
              </w:rPr>
            </w:pPr>
          </w:p>
        </w:tc>
        <w:tc>
          <w:tcPr>
            <w:tcW w:w="680" w:type="dxa"/>
            <w:vAlign w:val="bottom"/>
            <w:shd w:val="clear" w:color="auto" w:fill="CEFEE7"/>
          </w:tcPr>
          <w:p>
            <w:pPr>
              <w:spacing w:after="0"/>
              <w:rPr>
                <w:sz w:val="6"/>
                <w:szCs w:val="6"/>
                <w:color w:val="auto"/>
              </w:rPr>
            </w:pPr>
          </w:p>
        </w:tc>
        <w:tc>
          <w:tcPr>
            <w:tcW w:w="1120" w:type="dxa"/>
            <w:vAlign w:val="bottom"/>
            <w:shd w:val="clear" w:color="auto" w:fill="CEFEE7"/>
          </w:tcPr>
          <w:p>
            <w:pPr>
              <w:jc w:val="center"/>
              <w:spacing w:after="0" w:line="73" w:lineRule="exact"/>
              <w:rPr>
                <w:sz w:val="20"/>
                <w:szCs w:val="20"/>
                <w:color w:val="auto"/>
              </w:rPr>
            </w:pPr>
            <w:r>
              <w:rPr>
                <w:rFonts w:ascii="Arial" w:cs="Arial" w:eastAsia="Arial" w:hAnsi="Arial"/>
                <w:sz w:val="8"/>
                <w:szCs w:val="8"/>
                <w:color w:val="auto"/>
              </w:rPr>
              <w:t>Settlement</w:t>
            </w:r>
          </w:p>
        </w:tc>
        <w:tc>
          <w:tcPr>
            <w:tcW w:w="960" w:type="dxa"/>
            <w:vAlign w:val="bottom"/>
            <w:shd w:val="clear" w:color="auto" w:fill="CEFEE7"/>
          </w:tcPr>
          <w:p>
            <w:pPr>
              <w:jc w:val="center"/>
              <w:ind w:left="16"/>
              <w:spacing w:after="0" w:line="73" w:lineRule="exact"/>
              <w:rPr>
                <w:sz w:val="20"/>
                <w:szCs w:val="20"/>
                <w:color w:val="auto"/>
              </w:rPr>
            </w:pPr>
            <w:r>
              <w:rPr>
                <w:rFonts w:ascii="Arial" w:cs="Arial" w:eastAsia="Arial" w:hAnsi="Arial"/>
                <w:sz w:val="8"/>
                <w:szCs w:val="8"/>
                <w:color w:val="auto"/>
              </w:rPr>
              <w:t>Settlement</w:t>
            </w:r>
          </w:p>
        </w:tc>
        <w:tc>
          <w:tcPr>
            <w:tcW w:w="1360" w:type="dxa"/>
            <w:vAlign w:val="bottom"/>
            <w:shd w:val="clear" w:color="auto" w:fill="CEFEE7"/>
          </w:tcPr>
          <w:p>
            <w:pPr>
              <w:spacing w:after="0"/>
              <w:rPr>
                <w:sz w:val="6"/>
                <w:szCs w:val="6"/>
                <w:color w:val="auto"/>
              </w:rPr>
            </w:pPr>
          </w:p>
        </w:tc>
        <w:tc>
          <w:tcPr>
            <w:tcW w:w="1020" w:type="dxa"/>
            <w:vAlign w:val="bottom"/>
            <w:shd w:val="clear" w:color="auto" w:fill="CEFEE7"/>
          </w:tcPr>
          <w:p>
            <w:pPr>
              <w:jc w:val="center"/>
              <w:ind w:right="16"/>
              <w:spacing w:after="0" w:line="73" w:lineRule="exact"/>
              <w:rPr>
                <w:sz w:val="20"/>
                <w:szCs w:val="20"/>
                <w:color w:val="auto"/>
              </w:rPr>
            </w:pPr>
            <w:r>
              <w:rPr>
                <w:rFonts w:ascii="Arial" w:cs="Arial" w:eastAsia="Arial" w:hAnsi="Arial"/>
                <w:sz w:val="8"/>
                <w:szCs w:val="8"/>
                <w:color w:val="auto"/>
              </w:rPr>
              <w:t>Settlement</w:t>
            </w:r>
          </w:p>
        </w:tc>
        <w:tc>
          <w:tcPr>
            <w:tcW w:w="780" w:type="dxa"/>
            <w:vAlign w:val="bottom"/>
            <w:shd w:val="clear" w:color="auto" w:fill="CEFEE7"/>
          </w:tcPr>
          <w:p>
            <w:pPr>
              <w:spacing w:after="0"/>
              <w:rPr>
                <w:sz w:val="6"/>
                <w:szCs w:val="6"/>
                <w:color w:val="auto"/>
              </w:rPr>
            </w:pPr>
          </w:p>
        </w:tc>
        <w:tc>
          <w:tcPr>
            <w:tcW w:w="4160" w:type="dxa"/>
            <w:vAlign w:val="bottom"/>
            <w:shd w:val="clear" w:color="auto" w:fill="CEFEE7"/>
          </w:tcPr>
          <w:p>
            <w:pPr>
              <w:ind w:left="100"/>
              <w:spacing w:after="0" w:line="73" w:lineRule="exact"/>
              <w:rPr>
                <w:sz w:val="20"/>
                <w:szCs w:val="20"/>
                <w:color w:val="auto"/>
              </w:rPr>
            </w:pPr>
            <w:r>
              <w:rPr>
                <w:rFonts w:ascii="Arial" w:cs="Arial" w:eastAsia="Arial" w:hAnsi="Arial"/>
                <w:sz w:val="8"/>
                <w:szCs w:val="8"/>
                <w:color w:val="auto"/>
              </w:rPr>
              <w:t>Collected through GCA, Pension Levelized Adjustment, Tax</w:t>
            </w:r>
          </w:p>
        </w:tc>
      </w:tr>
      <w:tr>
        <w:trPr>
          <w:trHeight w:val="171"/>
        </w:trPr>
        <w:tc>
          <w:tcPr>
            <w:tcW w:w="1140" w:type="dxa"/>
            <w:vAlign w:val="bottom"/>
            <w:shd w:val="clear" w:color="auto" w:fill="CEFEE7"/>
          </w:tcPr>
          <w:p>
            <w:pPr>
              <w:spacing w:after="0"/>
              <w:rPr>
                <w:sz w:val="14"/>
                <w:szCs w:val="14"/>
                <w:color w:val="auto"/>
              </w:rPr>
            </w:pPr>
          </w:p>
        </w:tc>
        <w:tc>
          <w:tcPr>
            <w:tcW w:w="680" w:type="dxa"/>
            <w:vAlign w:val="bottom"/>
            <w:shd w:val="clear" w:color="auto" w:fill="CEFEE7"/>
          </w:tcPr>
          <w:p>
            <w:pPr>
              <w:spacing w:after="0"/>
              <w:rPr>
                <w:sz w:val="14"/>
                <w:szCs w:val="14"/>
                <w:color w:val="auto"/>
              </w:rPr>
            </w:pPr>
          </w:p>
        </w:tc>
        <w:tc>
          <w:tcPr>
            <w:tcW w:w="1120" w:type="dxa"/>
            <w:vAlign w:val="bottom"/>
            <w:shd w:val="clear" w:color="auto" w:fill="CEFEE7"/>
          </w:tcPr>
          <w:p>
            <w:pPr>
              <w:spacing w:after="0"/>
              <w:rPr>
                <w:sz w:val="14"/>
                <w:szCs w:val="14"/>
                <w:color w:val="auto"/>
              </w:rPr>
            </w:pPr>
          </w:p>
        </w:tc>
        <w:tc>
          <w:tcPr>
            <w:tcW w:w="960" w:type="dxa"/>
            <w:vAlign w:val="bottom"/>
            <w:shd w:val="clear" w:color="auto" w:fill="CEFEE7"/>
          </w:tcPr>
          <w:p>
            <w:pPr>
              <w:spacing w:after="0"/>
              <w:rPr>
                <w:sz w:val="14"/>
                <w:szCs w:val="14"/>
                <w:color w:val="auto"/>
              </w:rPr>
            </w:pPr>
          </w:p>
        </w:tc>
        <w:tc>
          <w:tcPr>
            <w:tcW w:w="1360" w:type="dxa"/>
            <w:vAlign w:val="bottom"/>
            <w:shd w:val="clear" w:color="auto" w:fill="CEFEE7"/>
          </w:tcPr>
          <w:p>
            <w:pPr>
              <w:spacing w:after="0"/>
              <w:rPr>
                <w:sz w:val="14"/>
                <w:szCs w:val="14"/>
                <w:color w:val="auto"/>
              </w:rPr>
            </w:pPr>
          </w:p>
        </w:tc>
        <w:tc>
          <w:tcPr>
            <w:tcW w:w="1020" w:type="dxa"/>
            <w:vAlign w:val="bottom"/>
            <w:shd w:val="clear" w:color="auto" w:fill="CEFEE7"/>
          </w:tcPr>
          <w:p>
            <w:pPr>
              <w:spacing w:after="0"/>
              <w:rPr>
                <w:sz w:val="14"/>
                <w:szCs w:val="14"/>
                <w:color w:val="auto"/>
              </w:rPr>
            </w:pPr>
          </w:p>
        </w:tc>
        <w:tc>
          <w:tcPr>
            <w:tcW w:w="780" w:type="dxa"/>
            <w:vAlign w:val="bottom"/>
            <w:shd w:val="clear" w:color="auto" w:fill="CEFEE7"/>
          </w:tcPr>
          <w:p>
            <w:pPr>
              <w:spacing w:after="0"/>
              <w:rPr>
                <w:sz w:val="14"/>
                <w:szCs w:val="14"/>
                <w:color w:val="auto"/>
              </w:rPr>
            </w:pPr>
          </w:p>
        </w:tc>
        <w:tc>
          <w:tcPr>
            <w:tcW w:w="4160" w:type="dxa"/>
            <w:vAlign w:val="bottom"/>
            <w:shd w:val="clear" w:color="auto" w:fill="CEFEE7"/>
          </w:tcPr>
          <w:p>
            <w:pPr>
              <w:ind w:left="100"/>
              <w:spacing w:after="0"/>
              <w:rPr>
                <w:sz w:val="20"/>
                <w:szCs w:val="20"/>
                <w:color w:val="auto"/>
              </w:rPr>
            </w:pPr>
            <w:r>
              <w:rPr>
                <w:rFonts w:ascii="Arial" w:cs="Arial" w:eastAsia="Arial" w:hAnsi="Arial"/>
                <w:sz w:val="14"/>
                <w:szCs w:val="14"/>
                <w:color w:val="auto"/>
              </w:rPr>
              <w:t>Adjustment Rider, Gas Supply Optimization revenue sharing</w:t>
            </w:r>
          </w:p>
        </w:tc>
      </w:tr>
      <w:tr>
        <w:trPr>
          <w:trHeight w:val="153"/>
        </w:trPr>
        <w:tc>
          <w:tcPr>
            <w:tcW w:w="1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160" w:type="dxa"/>
            <w:vAlign w:val="bottom"/>
          </w:tcPr>
          <w:p>
            <w:pPr>
              <w:ind w:left="100"/>
              <w:spacing w:after="0" w:line="153" w:lineRule="exact"/>
              <w:rPr>
                <w:sz w:val="20"/>
                <w:szCs w:val="20"/>
                <w:color w:val="auto"/>
              </w:rPr>
            </w:pPr>
            <w:r>
              <w:rPr>
                <w:rFonts w:ascii="Arial" w:cs="Arial" w:eastAsia="Arial" w:hAnsi="Arial"/>
                <w:sz w:val="14"/>
                <w:szCs w:val="14"/>
                <w:color w:val="auto"/>
              </w:rPr>
              <w:t>GCA, Cost of Bad Debt Collected through GCA, Infrastructure</w:t>
            </w:r>
          </w:p>
        </w:tc>
      </w:tr>
      <w:tr>
        <w:trPr>
          <w:trHeight w:val="198"/>
        </w:trPr>
        <w:tc>
          <w:tcPr>
            <w:tcW w:w="1140" w:type="dxa"/>
            <w:vAlign w:val="bottom"/>
          </w:tcPr>
          <w:p>
            <w:pPr>
              <w:ind w:left="20"/>
              <w:spacing w:after="0" w:line="198" w:lineRule="exact"/>
              <w:rPr>
                <w:sz w:val="20"/>
                <w:szCs w:val="20"/>
                <w:color w:val="auto"/>
              </w:rPr>
            </w:pPr>
            <w:r>
              <w:rPr>
                <w:rFonts w:ascii="Arial" w:cs="Arial" w:eastAsia="Arial" w:hAnsi="Arial"/>
                <w:sz w:val="18"/>
                <w:szCs w:val="18"/>
                <w:color w:val="auto"/>
                <w:vertAlign w:val="subscript"/>
              </w:rPr>
              <w:t>(d)</w:t>
            </w:r>
            <w:r>
              <w:rPr>
                <w:rFonts w:ascii="Arial" w:cs="Arial" w:eastAsia="Arial" w:hAnsi="Arial"/>
                <w:sz w:val="14"/>
                <w:szCs w:val="14"/>
                <w:color w:val="auto"/>
              </w:rPr>
              <w:t>Nebraska Gas</w:t>
            </w:r>
          </w:p>
        </w:tc>
        <w:tc>
          <w:tcPr>
            <w:tcW w:w="680" w:type="dxa"/>
            <w:vAlign w:val="bottom"/>
          </w:tcPr>
          <w:p>
            <w:pPr>
              <w:ind w:left="220"/>
              <w:spacing w:after="0"/>
              <w:rPr>
                <w:sz w:val="20"/>
                <w:szCs w:val="20"/>
                <w:color w:val="auto"/>
              </w:rPr>
            </w:pPr>
            <w:r>
              <w:rPr>
                <w:rFonts w:ascii="Arial" w:cs="Arial" w:eastAsia="Arial" w:hAnsi="Arial"/>
                <w:sz w:val="14"/>
                <w:szCs w:val="14"/>
                <w:color w:val="auto"/>
              </w:rPr>
              <w:t>NE</w:t>
            </w:r>
          </w:p>
        </w:tc>
        <w:tc>
          <w:tcPr>
            <w:tcW w:w="1120" w:type="dxa"/>
            <w:vAlign w:val="bottom"/>
          </w:tcPr>
          <w:p>
            <w:pPr>
              <w:jc w:val="center"/>
              <w:spacing w:after="0"/>
              <w:rPr>
                <w:sz w:val="20"/>
                <w:szCs w:val="20"/>
                <w:color w:val="auto"/>
              </w:rPr>
            </w:pPr>
            <w:r>
              <w:rPr>
                <w:rFonts w:ascii="Arial" w:cs="Arial" w:eastAsia="Arial" w:hAnsi="Arial"/>
                <w:sz w:val="14"/>
                <w:szCs w:val="14"/>
                <w:color w:val="auto"/>
              </w:rPr>
              <w:t>9.50%</w:t>
            </w:r>
          </w:p>
        </w:tc>
        <w:tc>
          <w:tcPr>
            <w:tcW w:w="960" w:type="dxa"/>
            <w:vAlign w:val="bottom"/>
          </w:tcPr>
          <w:p>
            <w:pPr>
              <w:jc w:val="center"/>
              <w:ind w:left="16"/>
              <w:spacing w:after="0"/>
              <w:rPr>
                <w:sz w:val="20"/>
                <w:szCs w:val="20"/>
                <w:color w:val="auto"/>
              </w:rPr>
            </w:pPr>
            <w:r>
              <w:rPr>
                <w:rFonts w:ascii="Arial" w:cs="Arial" w:eastAsia="Arial" w:hAnsi="Arial"/>
                <w:sz w:val="14"/>
                <w:szCs w:val="14"/>
                <w:color w:val="auto"/>
              </w:rPr>
              <w:t>6.71%</w:t>
            </w:r>
          </w:p>
        </w:tc>
        <w:tc>
          <w:tcPr>
            <w:tcW w:w="1360" w:type="dxa"/>
            <w:vAlign w:val="bottom"/>
          </w:tcPr>
          <w:p>
            <w:pPr>
              <w:jc w:val="center"/>
              <w:spacing w:after="0"/>
              <w:rPr>
                <w:sz w:val="20"/>
                <w:szCs w:val="20"/>
                <w:color w:val="auto"/>
              </w:rPr>
            </w:pPr>
            <w:r>
              <w:rPr>
                <w:rFonts w:ascii="Arial" w:cs="Arial" w:eastAsia="Arial" w:hAnsi="Arial"/>
                <w:sz w:val="14"/>
                <w:szCs w:val="14"/>
                <w:color w:val="auto"/>
              </w:rPr>
              <w:t>50%/50%</w:t>
            </w:r>
          </w:p>
        </w:tc>
        <w:tc>
          <w:tcPr>
            <w:tcW w:w="1020" w:type="dxa"/>
            <w:vAlign w:val="bottom"/>
          </w:tcPr>
          <w:p>
            <w:pPr>
              <w:jc w:val="center"/>
              <w:spacing w:after="0"/>
              <w:rPr>
                <w:sz w:val="20"/>
                <w:szCs w:val="20"/>
                <w:color w:val="auto"/>
              </w:rPr>
            </w:pPr>
            <w:r>
              <w:rPr>
                <w:rFonts w:ascii="Arial" w:cs="Arial" w:eastAsia="Arial" w:hAnsi="Arial"/>
                <w:sz w:val="14"/>
                <w:szCs w:val="14"/>
                <w:color w:val="auto"/>
              </w:rPr>
              <w:t>$504.2</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3/2021</w:t>
            </w:r>
          </w:p>
        </w:tc>
        <w:tc>
          <w:tcPr>
            <w:tcW w:w="4160" w:type="dxa"/>
            <w:vAlign w:val="bottom"/>
          </w:tcPr>
          <w:p>
            <w:pPr>
              <w:ind w:left="100"/>
              <w:spacing w:after="0"/>
              <w:rPr>
                <w:sz w:val="20"/>
                <w:szCs w:val="20"/>
                <w:color w:val="auto"/>
              </w:rPr>
            </w:pPr>
            <w:r>
              <w:rPr>
                <w:rFonts w:ascii="Arial" w:cs="Arial" w:eastAsia="Arial" w:hAnsi="Arial"/>
                <w:sz w:val="14"/>
                <w:szCs w:val="14"/>
                <w:color w:val="auto"/>
              </w:rPr>
              <w:t>System Replacement Cost Recovery Surcharge, Choice Gas</w:t>
            </w:r>
          </w:p>
        </w:tc>
      </w:tr>
      <w:tr>
        <w:trPr>
          <w:trHeight w:val="72"/>
        </w:trPr>
        <w:tc>
          <w:tcPr>
            <w:tcW w:w="1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160" w:type="dxa"/>
            <w:vAlign w:val="bottom"/>
          </w:tcPr>
          <w:p>
            <w:pPr>
              <w:ind w:left="100"/>
              <w:spacing w:after="0" w:line="73" w:lineRule="exact"/>
              <w:rPr>
                <w:sz w:val="20"/>
                <w:szCs w:val="20"/>
                <w:color w:val="auto"/>
              </w:rPr>
            </w:pPr>
            <w:r>
              <w:rPr>
                <w:rFonts w:ascii="Arial" w:cs="Arial" w:eastAsia="Arial" w:hAnsi="Arial"/>
                <w:sz w:val="8"/>
                <w:szCs w:val="8"/>
                <w:color w:val="auto"/>
              </w:rPr>
              <w:t>Program, SSIR, Bad Debt expense recovered through Choice</w:t>
            </w:r>
          </w:p>
        </w:tc>
      </w:tr>
      <w:tr>
        <w:trPr>
          <w:trHeight w:val="171"/>
        </w:trPr>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160" w:type="dxa"/>
            <w:vAlign w:val="bottom"/>
          </w:tcPr>
          <w:p>
            <w:pPr>
              <w:ind w:left="100"/>
              <w:spacing w:after="0"/>
              <w:rPr>
                <w:sz w:val="20"/>
                <w:szCs w:val="20"/>
                <w:color w:val="auto"/>
              </w:rPr>
            </w:pPr>
            <w:r>
              <w:rPr>
                <w:rFonts w:ascii="Arial" w:cs="Arial" w:eastAsia="Arial" w:hAnsi="Arial"/>
                <w:sz w:val="14"/>
                <w:szCs w:val="14"/>
                <w:color w:val="auto"/>
              </w:rPr>
              <w:t>Supplier Fee, Line Locate Surcharge</w:t>
            </w:r>
          </w:p>
        </w:tc>
      </w:tr>
      <w:tr>
        <w:trPr>
          <w:trHeight w:val="216"/>
        </w:trPr>
        <w:tc>
          <w:tcPr>
            <w:tcW w:w="1140" w:type="dxa"/>
            <w:vAlign w:val="bottom"/>
            <w:shd w:val="clear" w:color="auto" w:fill="CEFEE7"/>
          </w:tcPr>
          <w:p>
            <w:pPr>
              <w:ind w:left="20"/>
              <w:spacing w:after="0"/>
              <w:rPr>
                <w:sz w:val="20"/>
                <w:szCs w:val="20"/>
                <w:color w:val="auto"/>
              </w:rPr>
            </w:pPr>
            <w:r>
              <w:rPr>
                <w:rFonts w:ascii="Arial" w:cs="Arial" w:eastAsia="Arial" w:hAnsi="Arial"/>
                <w:sz w:val="18"/>
                <w:szCs w:val="18"/>
                <w:color w:val="auto"/>
                <w:vertAlign w:val="subscript"/>
              </w:rPr>
              <w:t>(d)</w:t>
            </w:r>
            <w:r>
              <w:rPr>
                <w:rFonts w:ascii="Arial" w:cs="Arial" w:eastAsia="Arial" w:hAnsi="Arial"/>
                <w:sz w:val="14"/>
                <w:szCs w:val="14"/>
                <w:color w:val="auto"/>
              </w:rPr>
              <w:t>Wyoming Gas</w:t>
            </w:r>
          </w:p>
        </w:tc>
        <w:tc>
          <w:tcPr>
            <w:tcW w:w="680" w:type="dxa"/>
            <w:vAlign w:val="bottom"/>
            <w:shd w:val="clear" w:color="auto" w:fill="CEFEE7"/>
          </w:tcPr>
          <w:p>
            <w:pPr>
              <w:ind w:left="220"/>
              <w:spacing w:after="0"/>
              <w:rPr>
                <w:sz w:val="20"/>
                <w:szCs w:val="20"/>
                <w:color w:val="auto"/>
              </w:rPr>
            </w:pPr>
            <w:r>
              <w:rPr>
                <w:rFonts w:ascii="Arial" w:cs="Arial" w:eastAsia="Arial" w:hAnsi="Arial"/>
                <w:sz w:val="14"/>
                <w:szCs w:val="14"/>
                <w:color w:val="auto"/>
              </w:rPr>
              <w:t>WY</w:t>
            </w:r>
          </w:p>
        </w:tc>
        <w:tc>
          <w:tcPr>
            <w:tcW w:w="1120" w:type="dxa"/>
            <w:vAlign w:val="bottom"/>
            <w:shd w:val="clear" w:color="auto" w:fill="CEFEE7"/>
          </w:tcPr>
          <w:p>
            <w:pPr>
              <w:jc w:val="center"/>
              <w:spacing w:after="0"/>
              <w:rPr>
                <w:sz w:val="20"/>
                <w:szCs w:val="20"/>
                <w:color w:val="auto"/>
              </w:rPr>
            </w:pPr>
            <w:r>
              <w:rPr>
                <w:rFonts w:ascii="Arial" w:cs="Arial" w:eastAsia="Arial" w:hAnsi="Arial"/>
                <w:sz w:val="14"/>
                <w:szCs w:val="14"/>
                <w:color w:val="auto"/>
              </w:rPr>
              <w:t>9.40%</w:t>
            </w:r>
          </w:p>
        </w:tc>
        <w:tc>
          <w:tcPr>
            <w:tcW w:w="960" w:type="dxa"/>
            <w:vAlign w:val="bottom"/>
            <w:shd w:val="clear" w:color="auto" w:fill="CEFEE7"/>
          </w:tcPr>
          <w:p>
            <w:pPr>
              <w:jc w:val="center"/>
              <w:ind w:left="16"/>
              <w:spacing w:after="0"/>
              <w:rPr>
                <w:sz w:val="20"/>
                <w:szCs w:val="20"/>
                <w:color w:val="auto"/>
              </w:rPr>
            </w:pPr>
            <w:r>
              <w:rPr>
                <w:rFonts w:ascii="Arial" w:cs="Arial" w:eastAsia="Arial" w:hAnsi="Arial"/>
                <w:sz w:val="14"/>
                <w:szCs w:val="14"/>
                <w:color w:val="auto"/>
              </w:rPr>
              <w:t>6.98%</w:t>
            </w:r>
          </w:p>
        </w:tc>
        <w:tc>
          <w:tcPr>
            <w:tcW w:w="1360" w:type="dxa"/>
            <w:vAlign w:val="bottom"/>
            <w:shd w:val="clear" w:color="auto" w:fill="CEFEE7"/>
          </w:tcPr>
          <w:p>
            <w:pPr>
              <w:jc w:val="center"/>
              <w:spacing w:after="0"/>
              <w:rPr>
                <w:sz w:val="20"/>
                <w:szCs w:val="20"/>
                <w:color w:val="auto"/>
              </w:rPr>
            </w:pPr>
            <w:r>
              <w:rPr>
                <w:rFonts w:ascii="Arial" w:cs="Arial" w:eastAsia="Arial" w:hAnsi="Arial"/>
                <w:sz w:val="14"/>
                <w:szCs w:val="14"/>
                <w:color w:val="auto"/>
              </w:rPr>
              <w:t>50%/50%</w:t>
            </w:r>
          </w:p>
        </w:tc>
        <w:tc>
          <w:tcPr>
            <w:tcW w:w="1020" w:type="dxa"/>
            <w:vAlign w:val="bottom"/>
            <w:shd w:val="clear" w:color="auto" w:fill="CEFEE7"/>
          </w:tcPr>
          <w:p>
            <w:pPr>
              <w:jc w:val="center"/>
              <w:spacing w:after="0"/>
              <w:rPr>
                <w:sz w:val="20"/>
                <w:szCs w:val="20"/>
                <w:color w:val="auto"/>
              </w:rPr>
            </w:pPr>
            <w:r>
              <w:rPr>
                <w:rFonts w:ascii="Arial" w:cs="Arial" w:eastAsia="Arial" w:hAnsi="Arial"/>
                <w:sz w:val="14"/>
                <w:szCs w:val="14"/>
                <w:color w:val="auto"/>
              </w:rPr>
              <w:t>$354.4</w:t>
            </w:r>
          </w:p>
        </w:tc>
        <w:tc>
          <w:tcPr>
            <w:tcW w:w="780" w:type="dxa"/>
            <w:vAlign w:val="bottom"/>
            <w:shd w:val="clear" w:color="auto" w:fill="CEFEE7"/>
          </w:tcPr>
          <w:p>
            <w:pPr>
              <w:jc w:val="right"/>
              <w:ind w:right="48"/>
              <w:spacing w:after="0"/>
              <w:rPr>
                <w:sz w:val="20"/>
                <w:szCs w:val="20"/>
                <w:color w:val="auto"/>
              </w:rPr>
            </w:pPr>
            <w:r>
              <w:rPr>
                <w:rFonts w:ascii="Arial" w:cs="Arial" w:eastAsia="Arial" w:hAnsi="Arial"/>
                <w:sz w:val="14"/>
                <w:szCs w:val="14"/>
                <w:color w:val="auto"/>
              </w:rPr>
              <w:t>3/2020</w:t>
            </w:r>
          </w:p>
        </w:tc>
        <w:tc>
          <w:tcPr>
            <w:tcW w:w="4160" w:type="dxa"/>
            <w:vAlign w:val="bottom"/>
            <w:shd w:val="clear" w:color="auto" w:fill="CEFEE7"/>
          </w:tcPr>
          <w:p>
            <w:pPr>
              <w:ind w:left="100"/>
              <w:spacing w:after="0"/>
              <w:rPr>
                <w:sz w:val="20"/>
                <w:szCs w:val="20"/>
                <w:color w:val="auto"/>
              </w:rPr>
            </w:pPr>
            <w:r>
              <w:rPr>
                <w:rFonts w:ascii="Arial" w:cs="Arial" w:eastAsia="Arial" w:hAnsi="Arial"/>
                <w:sz w:val="14"/>
                <w:szCs w:val="14"/>
                <w:color w:val="auto"/>
              </w:rPr>
              <w:t>GCA, EECR, Rate Base Recovery on Acquisition Adjustment,</w:t>
            </w:r>
          </w:p>
        </w:tc>
      </w:tr>
      <w:tr>
        <w:trPr>
          <w:trHeight w:val="108"/>
        </w:trPr>
        <w:tc>
          <w:tcPr>
            <w:tcW w:w="1140" w:type="dxa"/>
            <w:vAlign w:val="bottom"/>
            <w:shd w:val="clear" w:color="auto" w:fill="CEFEE7"/>
          </w:tcPr>
          <w:p>
            <w:pPr>
              <w:spacing w:after="0"/>
              <w:rPr>
                <w:sz w:val="9"/>
                <w:szCs w:val="9"/>
                <w:color w:val="auto"/>
              </w:rPr>
            </w:pPr>
          </w:p>
        </w:tc>
        <w:tc>
          <w:tcPr>
            <w:tcW w:w="680" w:type="dxa"/>
            <w:vAlign w:val="bottom"/>
            <w:shd w:val="clear" w:color="auto" w:fill="CEFEE7"/>
          </w:tcPr>
          <w:p>
            <w:pPr>
              <w:spacing w:after="0"/>
              <w:rPr>
                <w:sz w:val="9"/>
                <w:szCs w:val="9"/>
                <w:color w:val="auto"/>
              </w:rPr>
            </w:pPr>
          </w:p>
        </w:tc>
        <w:tc>
          <w:tcPr>
            <w:tcW w:w="1120" w:type="dxa"/>
            <w:vAlign w:val="bottom"/>
            <w:shd w:val="clear" w:color="auto" w:fill="CEFEE7"/>
          </w:tcPr>
          <w:p>
            <w:pPr>
              <w:spacing w:after="0"/>
              <w:rPr>
                <w:sz w:val="9"/>
                <w:szCs w:val="9"/>
                <w:color w:val="auto"/>
              </w:rPr>
            </w:pPr>
          </w:p>
        </w:tc>
        <w:tc>
          <w:tcPr>
            <w:tcW w:w="960" w:type="dxa"/>
            <w:vAlign w:val="bottom"/>
            <w:shd w:val="clear" w:color="auto" w:fill="CEFEE7"/>
          </w:tcPr>
          <w:p>
            <w:pPr>
              <w:spacing w:after="0"/>
              <w:rPr>
                <w:sz w:val="9"/>
                <w:szCs w:val="9"/>
                <w:color w:val="auto"/>
              </w:rPr>
            </w:pPr>
          </w:p>
        </w:tc>
        <w:tc>
          <w:tcPr>
            <w:tcW w:w="1360" w:type="dxa"/>
            <w:vAlign w:val="bottom"/>
            <w:shd w:val="clear" w:color="auto" w:fill="CEFEE7"/>
          </w:tcPr>
          <w:p>
            <w:pPr>
              <w:spacing w:after="0"/>
              <w:rPr>
                <w:sz w:val="9"/>
                <w:szCs w:val="9"/>
                <w:color w:val="auto"/>
              </w:rPr>
            </w:pPr>
          </w:p>
        </w:tc>
        <w:tc>
          <w:tcPr>
            <w:tcW w:w="1020" w:type="dxa"/>
            <w:vAlign w:val="bottom"/>
            <w:shd w:val="clear" w:color="auto" w:fill="CEFEE7"/>
          </w:tcPr>
          <w:p>
            <w:pPr>
              <w:spacing w:after="0"/>
              <w:rPr>
                <w:sz w:val="9"/>
                <w:szCs w:val="9"/>
                <w:color w:val="auto"/>
              </w:rPr>
            </w:pPr>
          </w:p>
        </w:tc>
        <w:tc>
          <w:tcPr>
            <w:tcW w:w="780" w:type="dxa"/>
            <w:vAlign w:val="bottom"/>
            <w:shd w:val="clear" w:color="auto" w:fill="CEFEE7"/>
          </w:tcPr>
          <w:p>
            <w:pPr>
              <w:spacing w:after="0"/>
              <w:rPr>
                <w:sz w:val="9"/>
                <w:szCs w:val="9"/>
                <w:color w:val="auto"/>
              </w:rPr>
            </w:pPr>
          </w:p>
        </w:tc>
        <w:tc>
          <w:tcPr>
            <w:tcW w:w="4160" w:type="dxa"/>
            <w:vAlign w:val="bottom"/>
            <w:shd w:val="clear" w:color="auto" w:fill="CEFEE7"/>
          </w:tcPr>
          <w:p>
            <w:pPr>
              <w:ind w:left="100"/>
              <w:spacing w:after="0" w:line="108" w:lineRule="exact"/>
              <w:rPr>
                <w:sz w:val="20"/>
                <w:szCs w:val="20"/>
                <w:color w:val="auto"/>
              </w:rPr>
            </w:pPr>
            <w:r>
              <w:rPr>
                <w:rFonts w:ascii="Arial" w:cs="Arial" w:eastAsia="Arial" w:hAnsi="Arial"/>
                <w:sz w:val="12"/>
                <w:szCs w:val="12"/>
                <w:color w:val="auto"/>
              </w:rPr>
              <w:t>Wyoming Integrity Rider, Choice Gas Program</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Arkansas Gas return on rate base is adjusted to remove certain liabilities from rate review capital structure for comparison with other subsidiaries.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Arkansas Gas rate base is adjusted to include certain liabilities for comparison with other subsidiaries.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For additional information regarding recent rate review updates, see </w:t>
      </w:r>
      <w:hyperlink w:anchor="page74">
        <w:r>
          <w:rPr>
            <w:rFonts w:ascii="Arial" w:cs="Arial" w:eastAsia="Arial" w:hAnsi="Arial"/>
            <w:sz w:val="14"/>
            <w:szCs w:val="14"/>
            <w:u w:val="single" w:color="auto"/>
            <w:color w:val="0000FF"/>
          </w:rPr>
          <w:t>Note 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Consolidated Financial Statements in this Annual Report on Form 10-K.</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Choice Gas Program mechanisms are applicable to only a portion of Nebraska Gas and Wyoming Gas customers.</w:t>
      </w:r>
    </w:p>
    <w:p>
      <w:pPr>
        <w:spacing w:after="0" w:line="241"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All of our Gas Utilities, except where the Choice Gas Program is the only option, have GCAs that allow us to pass the prudently-incurred cost of gas and certain services through to the customer between rate reviews. Some of the mechanisms we have in place include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Cost Recovery Mechanisms</w:t>
            </w:r>
          </w:p>
        </w:tc>
        <w:tc>
          <w:tcPr>
            <w:tcW w:w="1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640" w:type="dxa"/>
            <w:vAlign w:val="bottom"/>
          </w:tcPr>
          <w:p>
            <w:pPr>
              <w:ind w:left="20"/>
              <w:spacing w:after="0"/>
              <w:rPr>
                <w:sz w:val="20"/>
                <w:szCs w:val="20"/>
                <w:color w:val="auto"/>
              </w:rPr>
            </w:pPr>
            <w:r>
              <w:rPr>
                <w:rFonts w:ascii="Arial" w:cs="Arial" w:eastAsia="Arial" w:hAnsi="Arial"/>
                <w:sz w:val="16"/>
                <w:szCs w:val="16"/>
                <w:color w:val="auto"/>
              </w:rPr>
              <w:t>Gas Utility Jurisdiction</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DSM/Energy</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auto"/>
              </w:rPr>
              <w:t>Integrity</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vMerge w:val="restart"/>
          </w:tcPr>
          <w:p>
            <w:pPr>
              <w:jc w:val="center"/>
              <w:ind w:right="36"/>
              <w:spacing w:after="0"/>
              <w:rPr>
                <w:sz w:val="20"/>
                <w:szCs w:val="20"/>
                <w:color w:val="auto"/>
              </w:rPr>
            </w:pPr>
            <w:r>
              <w:rPr>
                <w:rFonts w:ascii="Arial" w:cs="Arial" w:eastAsia="Arial" w:hAnsi="Arial"/>
                <w:sz w:val="16"/>
                <w:szCs w:val="16"/>
                <w:color w:val="auto"/>
              </w:rPr>
              <w:t>Pension</w:t>
            </w:r>
          </w:p>
        </w:tc>
        <w:tc>
          <w:tcPr>
            <w:tcW w:w="1200" w:type="dxa"/>
            <w:vAlign w:val="bottom"/>
          </w:tcPr>
          <w:p>
            <w:pPr>
              <w:spacing w:after="0"/>
              <w:rPr>
                <w:sz w:val="24"/>
                <w:szCs w:val="24"/>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9"/>
              </w:rPr>
              <w:t>Revenue</w:t>
            </w:r>
          </w:p>
        </w:tc>
        <w:tc>
          <w:tcPr>
            <w:tcW w:w="0" w:type="dxa"/>
            <w:vAlign w:val="bottom"/>
          </w:tcPr>
          <w:p>
            <w:pPr>
              <w:spacing w:after="0"/>
              <w:rPr>
                <w:sz w:val="1"/>
                <w:szCs w:val="1"/>
                <w:color w:val="auto"/>
              </w:rPr>
            </w:pPr>
          </w:p>
        </w:tc>
      </w:tr>
      <w:tr>
        <w:trPr>
          <w:trHeight w:val="102"/>
        </w:trPr>
        <w:tc>
          <w:tcPr>
            <w:tcW w:w="26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6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Efficiency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Additions</w:t>
            </w:r>
          </w:p>
        </w:tc>
        <w:tc>
          <w:tcPr>
            <w:tcW w:w="1100" w:type="dxa"/>
            <w:vAlign w:val="bottom"/>
            <w:tcBorders>
              <w:bottom w:val="single" w:sz="8" w:color="auto"/>
            </w:tcBorders>
          </w:tcPr>
          <w:p>
            <w:pPr>
              <w:jc w:val="center"/>
              <w:ind w:left="35"/>
              <w:spacing w:after="0"/>
              <w:rPr>
                <w:sz w:val="20"/>
                <w:szCs w:val="20"/>
                <w:color w:val="auto"/>
              </w:rPr>
            </w:pPr>
            <w:r>
              <w:rPr>
                <w:rFonts w:ascii="Arial" w:cs="Arial" w:eastAsia="Arial" w:hAnsi="Arial"/>
                <w:sz w:val="16"/>
                <w:szCs w:val="16"/>
                <w:color w:val="auto"/>
                <w:w w:val="98"/>
              </w:rPr>
              <w:t>Bad Debt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Weather Normal</w:t>
            </w:r>
          </w:p>
        </w:tc>
        <w:tc>
          <w:tcPr>
            <w:tcW w:w="1100" w:type="dxa"/>
            <w:vAlign w:val="bottom"/>
            <w:tcBorders>
              <w:bottom w:val="single" w:sz="8" w:color="auto"/>
            </w:tcBorders>
          </w:tcPr>
          <w:p>
            <w:pPr>
              <w:jc w:val="center"/>
              <w:ind w:right="36"/>
              <w:spacing w:after="0"/>
              <w:rPr>
                <w:sz w:val="20"/>
                <w:szCs w:val="20"/>
                <w:color w:val="auto"/>
              </w:rPr>
            </w:pPr>
            <w:r>
              <w:rPr>
                <w:rFonts w:ascii="Arial" w:cs="Arial" w:eastAsia="Arial" w:hAnsi="Arial"/>
                <w:sz w:val="16"/>
                <w:szCs w:val="16"/>
                <w:color w:val="auto"/>
              </w:rPr>
              <w:t>Recovery</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Gas Cost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Decoupling</w:t>
            </w:r>
          </w:p>
        </w:tc>
        <w:tc>
          <w:tcPr>
            <w:tcW w:w="0" w:type="dxa"/>
            <w:vAlign w:val="bottom"/>
          </w:tcPr>
          <w:p>
            <w:pPr>
              <w:spacing w:after="0"/>
              <w:rPr>
                <w:sz w:val="1"/>
                <w:szCs w:val="1"/>
                <w:color w:val="auto"/>
              </w:rPr>
            </w:pPr>
          </w:p>
        </w:tc>
      </w:tr>
      <w:tr>
        <w:trPr>
          <w:trHeight w:val="226"/>
        </w:trPr>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Arkansas Gas</w:t>
            </w:r>
          </w:p>
        </w:tc>
        <w:tc>
          <w:tcPr>
            <w:tcW w:w="13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shd w:val="clear" w:color="auto" w:fill="CEFFE7"/>
          </w:tcPr>
          <w:p>
            <w:pPr>
              <w:spacing w:after="0"/>
              <w:rPr>
                <w:sz w:val="19"/>
                <w:szCs w:val="19"/>
                <w:color w:val="auto"/>
              </w:rPr>
            </w:pPr>
          </w:p>
        </w:tc>
        <w:tc>
          <w:tcPr>
            <w:tcW w:w="14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shd w:val="clear" w:color="auto" w:fill="CEFFE7"/>
          </w:tcPr>
          <w:p>
            <w:pPr>
              <w:spacing w:after="0"/>
              <w:rPr>
                <w:sz w:val="19"/>
                <w:szCs w:val="19"/>
                <w:color w:val="auto"/>
              </w:rPr>
            </w:pPr>
          </w:p>
        </w:tc>
        <w:tc>
          <w:tcPr>
            <w:tcW w:w="12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13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EFFE7"/>
          </w:tcPr>
          <w:p>
            <w:pPr>
              <w:ind w:left="20"/>
              <w:spacing w:after="0" w:line="230" w:lineRule="exact"/>
              <w:rPr>
                <w:sz w:val="20"/>
                <w:szCs w:val="20"/>
                <w:color w:val="auto"/>
              </w:rPr>
            </w:pPr>
            <w:r>
              <w:rPr>
                <w:rFonts w:ascii="Arial" w:cs="Arial" w:eastAsia="Arial" w:hAnsi="Arial"/>
                <w:sz w:val="16"/>
                <w:szCs w:val="16"/>
                <w:color w:val="auto"/>
              </w:rPr>
              <w:t xml:space="preserve">RMNG </w:t>
            </w:r>
            <w:r>
              <w:rPr>
                <w:rFonts w:ascii="Arial" w:cs="Arial" w:eastAsia="Arial" w:hAnsi="Arial"/>
                <w:sz w:val="21"/>
                <w:szCs w:val="21"/>
                <w:color w:val="auto"/>
                <w:vertAlign w:val="superscript"/>
              </w:rPr>
              <w:t>(a)</w:t>
            </w:r>
          </w:p>
        </w:tc>
        <w:tc>
          <w:tcPr>
            <w:tcW w:w="1300" w:type="dxa"/>
            <w:vAlign w:val="bottom"/>
            <w:shd w:val="clear" w:color="auto" w:fill="CEFFE7"/>
          </w:tcPr>
          <w:p>
            <w:pPr>
              <w:spacing w:after="0"/>
              <w:rPr>
                <w:sz w:val="19"/>
                <w:szCs w:val="19"/>
                <w:color w:val="auto"/>
              </w:rPr>
            </w:pPr>
          </w:p>
        </w:tc>
        <w:tc>
          <w:tcPr>
            <w:tcW w:w="11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shd w:val="clear" w:color="auto" w:fill="CEFFE7"/>
          </w:tcPr>
          <w:p>
            <w:pPr>
              <w:spacing w:after="0"/>
              <w:rPr>
                <w:sz w:val="19"/>
                <w:szCs w:val="19"/>
                <w:color w:val="auto"/>
              </w:rPr>
            </w:pPr>
          </w:p>
        </w:tc>
        <w:tc>
          <w:tcPr>
            <w:tcW w:w="1480" w:type="dxa"/>
            <w:vAlign w:val="bottom"/>
            <w:shd w:val="clear" w:color="auto" w:fill="CEFFE7"/>
          </w:tcPr>
          <w:p>
            <w:pPr>
              <w:spacing w:after="0"/>
              <w:rPr>
                <w:sz w:val="19"/>
                <w:szCs w:val="19"/>
                <w:color w:val="auto"/>
              </w:rPr>
            </w:pPr>
          </w:p>
        </w:tc>
        <w:tc>
          <w:tcPr>
            <w:tcW w:w="1100" w:type="dxa"/>
            <w:vAlign w:val="bottom"/>
            <w:shd w:val="clear" w:color="auto" w:fill="CEFFE7"/>
          </w:tcPr>
          <w:p>
            <w:pPr>
              <w:spacing w:after="0"/>
              <w:rPr>
                <w:sz w:val="19"/>
                <w:szCs w:val="19"/>
                <w:color w:val="auto"/>
              </w:rPr>
            </w:pPr>
          </w:p>
        </w:tc>
        <w:tc>
          <w:tcPr>
            <w:tcW w:w="1200" w:type="dxa"/>
            <w:vAlign w:val="bottom"/>
            <w:shd w:val="clear" w:color="auto" w:fill="CEFFE7"/>
          </w:tcPr>
          <w:p>
            <w:pPr>
              <w:spacing w:after="0"/>
              <w:rPr>
                <w:sz w:val="19"/>
                <w:szCs w:val="19"/>
                <w:color w:val="auto"/>
              </w:rPr>
            </w:pPr>
          </w:p>
        </w:tc>
        <w:tc>
          <w:tcPr>
            <w:tcW w:w="12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Iowa Gas</w:t>
            </w:r>
          </w:p>
        </w:tc>
        <w:tc>
          <w:tcPr>
            <w:tcW w:w="13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Kansas Gas</w:t>
            </w:r>
          </w:p>
        </w:tc>
        <w:tc>
          <w:tcPr>
            <w:tcW w:w="1300" w:type="dxa"/>
            <w:vAlign w:val="bottom"/>
            <w:shd w:val="clear" w:color="auto" w:fill="CEFFE7"/>
          </w:tcPr>
          <w:p>
            <w:pPr>
              <w:spacing w:after="0"/>
              <w:rPr>
                <w:sz w:val="19"/>
                <w:szCs w:val="19"/>
                <w:color w:val="auto"/>
              </w:rPr>
            </w:pPr>
          </w:p>
        </w:tc>
        <w:tc>
          <w:tcPr>
            <w:tcW w:w="11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shd w:val="clear" w:color="auto" w:fill="CEFFE7"/>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c>
          <w:tcPr>
            <w:tcW w:w="14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shd w:val="clear" w:color="auto" w:fill="CEFFE7"/>
          </w:tcPr>
          <w:p>
            <w:pPr>
              <w:jc w:val="center"/>
              <w:ind w:right="56"/>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6"/>
                <w:szCs w:val="16"/>
                <w:color w:val="auto"/>
              </w:rPr>
              <w:t>Nebraska Gas</w:t>
            </w:r>
          </w:p>
        </w:tc>
        <w:tc>
          <w:tcPr>
            <w:tcW w:w="1300" w:type="dxa"/>
            <w:vAlign w:val="bottom"/>
          </w:tcPr>
          <w:p>
            <w:pPr>
              <w:spacing w:after="0"/>
              <w:rPr>
                <w:sz w:val="19"/>
                <w:szCs w:val="19"/>
                <w:color w:val="auto"/>
              </w:rPr>
            </w:pP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c>
          <w:tcPr>
            <w:tcW w:w="1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Wyoming Gas</w:t>
            </w:r>
          </w:p>
        </w:tc>
        <w:tc>
          <w:tcPr>
            <w:tcW w:w="13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shd w:val="clear" w:color="auto" w:fill="CEFFE7"/>
          </w:tcPr>
          <w:p>
            <w:pPr>
              <w:spacing w:after="0"/>
              <w:rPr>
                <w:sz w:val="19"/>
                <w:szCs w:val="19"/>
                <w:color w:val="auto"/>
              </w:rPr>
            </w:pPr>
          </w:p>
        </w:tc>
        <w:tc>
          <w:tcPr>
            <w:tcW w:w="1480" w:type="dxa"/>
            <w:vAlign w:val="bottom"/>
            <w:shd w:val="clear" w:color="auto" w:fill="CEFFE7"/>
          </w:tcPr>
          <w:p>
            <w:pPr>
              <w:spacing w:after="0"/>
              <w:rPr>
                <w:sz w:val="19"/>
                <w:szCs w:val="19"/>
                <w:color w:val="auto"/>
              </w:rPr>
            </w:pPr>
          </w:p>
        </w:tc>
        <w:tc>
          <w:tcPr>
            <w:tcW w:w="1100" w:type="dxa"/>
            <w:vAlign w:val="bottom"/>
            <w:shd w:val="clear" w:color="auto" w:fill="CEFFE7"/>
          </w:tcPr>
          <w:p>
            <w:pPr>
              <w:spacing w:after="0"/>
              <w:rPr>
                <w:sz w:val="19"/>
                <w:szCs w:val="19"/>
                <w:color w:val="auto"/>
              </w:rPr>
            </w:pPr>
          </w:p>
        </w:tc>
        <w:tc>
          <w:tcPr>
            <w:tcW w:w="12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40" w:hanging="332"/>
        <w:spacing w:after="0" w:line="258" w:lineRule="auto"/>
        <w:tabs>
          <w:tab w:leader="none" w:pos="352" w:val="left"/>
        </w:tabs>
        <w:numPr>
          <w:ilvl w:val="0"/>
          <w:numId w:val="10"/>
        </w:numPr>
        <w:rPr>
          <w:rFonts w:ascii="Arial" w:cs="Arial" w:eastAsia="Arial" w:hAnsi="Arial"/>
          <w:sz w:val="14"/>
          <w:szCs w:val="14"/>
          <w:color w:val="auto"/>
        </w:rPr>
      </w:pPr>
      <w:r>
        <w:rPr>
          <w:rFonts w:ascii="Arial" w:cs="Arial" w:eastAsia="Arial" w:hAnsi="Arial"/>
          <w:sz w:val="14"/>
          <w:szCs w:val="14"/>
          <w:color w:val="auto"/>
        </w:rPr>
        <w:t>RMNG, which is an intrastate transmission pipeline that provides natural gas transmission and wholesale services in western Colorado, has an SSIR recovery mechanism. The other cost recovery mechanisms are not applicable to RMNG.</w:t>
      </w:r>
    </w:p>
    <w:p>
      <w:pPr>
        <w:spacing w:after="0" w:line="198" w:lineRule="exact"/>
        <w:rPr>
          <w:sz w:val="20"/>
          <w:szCs w:val="20"/>
          <w:color w:val="auto"/>
        </w:rPr>
      </w:pPr>
    </w:p>
    <w:p>
      <w:pPr>
        <w:spacing w:after="0" w:line="286"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Tariff Filings. </w:t>
      </w:r>
      <w:r>
        <w:rPr>
          <w:rFonts w:ascii="Arial" w:cs="Arial" w:eastAsia="Arial" w:hAnsi="Arial"/>
          <w:sz w:val="16"/>
          <w:szCs w:val="16"/>
          <w:color w:val="auto"/>
        </w:rPr>
        <w:t>See</w:t>
      </w:r>
      <w:r>
        <w:rPr>
          <w:rFonts w:ascii="Arial" w:cs="Arial" w:eastAsia="Arial" w:hAnsi="Arial"/>
          <w:sz w:val="16"/>
          <w:szCs w:val="16"/>
          <w:b w:val="1"/>
          <w:bCs w:val="1"/>
          <w:i w:val="1"/>
          <w:iCs w:val="1"/>
          <w:color w:val="auto"/>
        </w:rPr>
        <w:t xml:space="preserve"> </w:t>
      </w:r>
      <w:hyperlink w:anchor="page74">
        <w:r>
          <w:rPr>
            <w:rFonts w:ascii="Arial" w:cs="Arial" w:eastAsia="Arial" w:hAnsi="Arial"/>
            <w:sz w:val="16"/>
            <w:szCs w:val="16"/>
            <w:u w:val="single" w:color="auto"/>
            <w:color w:val="0000FF"/>
          </w:rPr>
          <w:t>Note 2</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color w:val="auto"/>
        </w:rPr>
        <w:t>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to Consolidated Financial Statements in this Annual Report on Form 10-K for information regarding current natural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gas regulatory activity.</w:t>
      </w:r>
    </w:p>
    <w:p>
      <w:pPr>
        <w:spacing w:after="0" w:line="183" w:lineRule="exact"/>
        <w:rPr>
          <w:sz w:val="20"/>
          <w:szCs w:val="20"/>
          <w:color w:val="auto"/>
        </w:rPr>
      </w:pPr>
    </w:p>
    <w:p>
      <w:pPr>
        <w:ind w:right="20"/>
        <w:spacing w:after="0" w:line="286" w:lineRule="auto"/>
        <w:rPr>
          <w:rFonts w:ascii="Arial" w:cs="Arial" w:eastAsia="Arial" w:hAnsi="Arial"/>
          <w:sz w:val="16"/>
          <w:szCs w:val="16"/>
          <w:color w:val="auto"/>
        </w:rPr>
      </w:pPr>
      <w:r>
        <w:rPr>
          <w:rFonts w:ascii="Arial" w:cs="Arial" w:eastAsia="Arial" w:hAnsi="Arial"/>
          <w:sz w:val="16"/>
          <w:szCs w:val="16"/>
          <w:b w:val="1"/>
          <w:bCs w:val="1"/>
          <w:i w:val="1"/>
          <w:iCs w:val="1"/>
          <w:color w:val="auto"/>
        </w:rPr>
        <w:t>Operating statistics</w:t>
      </w:r>
      <w:r>
        <w:rPr>
          <w:rFonts w:ascii="Arial" w:cs="Arial" w:eastAsia="Arial" w:hAnsi="Arial"/>
          <w:sz w:val="16"/>
          <w:szCs w:val="16"/>
          <w:color w:val="auto"/>
        </w:rPr>
        <w:t>. See a summary of key operating statistics in the</w:t>
      </w:r>
      <w:r>
        <w:rPr>
          <w:rFonts w:ascii="Arial" w:cs="Arial" w:eastAsia="Arial" w:hAnsi="Arial"/>
          <w:sz w:val="16"/>
          <w:szCs w:val="16"/>
          <w:b w:val="1"/>
          <w:bCs w:val="1"/>
          <w:i w:val="1"/>
          <w:iCs w:val="1"/>
          <w:color w:val="auto"/>
        </w:rPr>
        <w:t xml:space="preserve"> </w:t>
      </w:r>
      <w:hyperlink w:anchor="page41">
        <w:r>
          <w:rPr>
            <w:rFonts w:ascii="Arial" w:cs="Arial" w:eastAsia="Arial" w:hAnsi="Arial"/>
            <w:sz w:val="16"/>
            <w:szCs w:val="16"/>
            <w:u w:val="single" w:color="auto"/>
            <w:color w:val="0000FF"/>
          </w:rPr>
          <w:t>Gas Utilities</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color w:val="auto"/>
        </w:rPr>
        <w:t>segment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results within Management’s Discussion and Analysis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Financial Condition and Results of Operations in </w:t>
      </w:r>
      <w:hyperlink w:anchor="page30">
        <w:r>
          <w:rPr>
            <w:rFonts w:ascii="Arial" w:cs="Arial" w:eastAsia="Arial" w:hAnsi="Arial"/>
            <w:sz w:val="16"/>
            <w:szCs w:val="16"/>
            <w:u w:val="single" w:color="auto"/>
            <w:color w:val="0000FF"/>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Utility Regulation Characteristics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Regulation</w:t>
      </w:r>
    </w:p>
    <w:p>
      <w:pPr>
        <w:spacing w:after="0" w:line="252"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i w:val="1"/>
          <w:iCs w:val="1"/>
          <w:color w:val="auto"/>
        </w:rPr>
        <w:t xml:space="preserve">Energy Policy Act. </w:t>
      </w:r>
      <w:r>
        <w:rPr>
          <w:rFonts w:ascii="Arial" w:cs="Arial" w:eastAsia="Arial" w:hAnsi="Arial"/>
          <w:sz w:val="16"/>
          <w:szCs w:val="16"/>
          <w:color w:val="auto"/>
        </w:rPr>
        <w:t>The Energy Policy Act of 2005 included provisions to create an Electric Reliability Organization, which is required to promulgate</w:t>
      </w:r>
      <w:r>
        <w:rPr>
          <w:rFonts w:ascii="Arial" w:cs="Arial" w:eastAsia="Arial" w:hAnsi="Arial"/>
          <w:sz w:val="16"/>
          <w:szCs w:val="16"/>
          <w:i w:val="1"/>
          <w:iCs w:val="1"/>
          <w:color w:val="auto"/>
        </w:rPr>
        <w:t xml:space="preserve"> </w:t>
      </w:r>
      <w:r>
        <w:rPr>
          <w:rFonts w:ascii="Arial" w:cs="Arial" w:eastAsia="Arial" w:hAnsi="Arial"/>
          <w:sz w:val="16"/>
          <w:szCs w:val="16"/>
          <w:color w:val="auto"/>
        </w:rPr>
        <w:t>mandatory reliability standards governing the operation of the bulk power system in the U.S. FERC certified NERC as the Electric Reliability Organization and also issued an initial order approving many reliability standards that went into effect in 2007. Entities that violate standards can be subject to fines and can also be assessed non-monetary penalties, depending upon the nature and severity of the violation.</w:t>
      </w:r>
    </w:p>
    <w:p>
      <w:pPr>
        <w:spacing w:after="0" w:line="208"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i w:val="1"/>
          <w:iCs w:val="1"/>
          <w:color w:val="auto"/>
        </w:rPr>
        <w:t>Federal Power Act</w:t>
      </w:r>
      <w:r>
        <w:rPr>
          <w:rFonts w:ascii="Arial" w:cs="Arial" w:eastAsia="Arial" w:hAnsi="Arial"/>
          <w:sz w:val="16"/>
          <w:szCs w:val="16"/>
          <w:color w:val="auto"/>
        </w:rPr>
        <w:t>. The Federal Power Act gives FERC exclusive rate-making jurisdiction over wholesale sales of electricity and the transmission of</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electricity in interstate commerce. Pursuant to the Federal Power Act, all public utilities subject to FERC’s jurisdiction must maintain tariffs and rate schedules on file with FERC that govern the rates, and terms and conditions for the provision of FERC-jurisdictional wholesale power and transmission services. Public utilities are also subject to accounting, record-keeping and reporting requirements administered by FERC. FERC also places certain limitations on transactions between public utilities and their affiliates. Our public Electric Utility subsidiaries provide FERC-jurisdictional services subject to FERC’s oversight.</w:t>
      </w:r>
    </w:p>
    <w:p>
      <w:pPr>
        <w:spacing w:after="0" w:line="22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Electric Utilities entities are authorized by FERC to make wholesale sales of electric capacity and energy at market-based rates under tariffs on file with FERC. As a condition of their market-based rate authority, Electric Quarterly Reports are filed with FERC. Our Electric Utilities own and operate FERC-jurisdictional interstate transmission facilities and provide open access transmission service under tariffs on file with FERC. Our Electric Utilities are subject to routine audit by FERC with respect to their compliance with FERC’s regulations.</w:t>
      </w:r>
    </w:p>
    <w:p>
      <w:pPr>
        <w:spacing w:after="0" w:line="213"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i w:val="1"/>
          <w:iCs w:val="1"/>
          <w:color w:val="auto"/>
        </w:rPr>
        <w:t>PUHCA 2005</w:t>
      </w:r>
      <w:r>
        <w:rPr>
          <w:rFonts w:ascii="Arial" w:cs="Arial" w:eastAsia="Arial" w:hAnsi="Arial"/>
          <w:sz w:val="16"/>
          <w:szCs w:val="16"/>
          <w:color w:val="auto"/>
        </w:rPr>
        <w:t>. PUHCA 2005 provides FERC authority with respect to the books and records of a utility holding company. As a utility holding company whose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consist primarily of investments in our subsidiaries, including subsidiaries that are public utilities and also a centralized service company subsidiary, BHSC, we are subject to FERC’s authority under PUHCA 2005.</w:t>
      </w:r>
    </w:p>
    <w:p>
      <w:pPr>
        <w:spacing w:after="0" w:line="208" w:lineRule="exact"/>
        <w:rPr>
          <w:sz w:val="20"/>
          <w:szCs w:val="20"/>
          <w:color w:val="auto"/>
        </w:rPr>
      </w:pPr>
    </w:p>
    <w:p>
      <w:pPr>
        <w:ind w:right="160"/>
        <w:spacing w:after="0" w:line="233" w:lineRule="auto"/>
        <w:rPr>
          <w:sz w:val="20"/>
          <w:szCs w:val="20"/>
          <w:color w:val="auto"/>
        </w:rPr>
      </w:pPr>
      <w:r>
        <w:rPr>
          <w:rFonts w:ascii="Arial" w:cs="Arial" w:eastAsia="Arial" w:hAnsi="Arial"/>
          <w:sz w:val="16"/>
          <w:szCs w:val="16"/>
          <w:color w:val="auto"/>
        </w:rPr>
        <w:t>PUHCA 2005 reiterated the definition and benefits of EWG status. Under PUHCA 2005, an EWG is an entity or generator engaged, directly or indirectly through one or more affiliates, exclusively in the business of owning, operating or both owning and operating all or part of one or more eligible facilities and selling electric energy at wholesale. Though EWGs are public utilities within the definition set forth in the Federal Power Act and are subject to FERC regulation of rates and charges, they are exempt from other FERC requirements. Through its subsidiaries, Black Hills Corporation is affiliated with three EWGs, Wygen I, Pueblo Airport Generation (facilities #4-5) and Top of Iowa. Each of these three EWGs have been granted market-based rate authority.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Environmental Matters</w:t>
      </w:r>
    </w:p>
    <w:p>
      <w:pPr>
        <w:spacing w:after="0" w:line="268" w:lineRule="exact"/>
        <w:rPr>
          <w:sz w:val="20"/>
          <w:szCs w:val="20"/>
          <w:color w:val="auto"/>
        </w:rPr>
      </w:pPr>
    </w:p>
    <w:p>
      <w:pPr>
        <w:jc w:val="both"/>
        <w:ind w:right="42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In November 2020, we announced clean energy goals to reduce GHG emissions that are based on prudent and proven solutions while minimizing cost impacts to our customers. See more information in </w:t>
      </w:r>
      <w:hyperlink w:anchor="page30">
        <w:r>
          <w:rPr>
            <w:rFonts w:ascii="Arial" w:cs="Arial" w:eastAsia="Arial" w:hAnsi="Arial"/>
            <w:sz w:val="16"/>
            <w:szCs w:val="16"/>
            <w:u w:val="single" w:color="auto"/>
            <w:color w:val="0000FF"/>
          </w:rPr>
          <w:t>Key Elements of our Business Strategy</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within Management’s Discussion and Analysis of Financial Condition and Results of Operations in </w:t>
      </w:r>
      <w:hyperlink w:anchor="page30">
        <w:r>
          <w:rPr>
            <w:rFonts w:ascii="Arial" w:cs="Arial" w:eastAsia="Arial" w:hAnsi="Arial"/>
            <w:sz w:val="16"/>
            <w:szCs w:val="16"/>
            <w:u w:val="single" w:color="auto"/>
            <w:color w:val="0000FF"/>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2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are subject to significant state and federal environmental regulations that encourage the use of clean energy technologies and regulate emissions of GHGs. We have undertaken initiatives to meet current requirements and to prepare for anticipated future regulations, reduce GHG emissions, and respond to state renewable and energy efficiency goals. Compliance with future environmental regulations could result in substantial cost.</w:t>
      </w:r>
    </w:p>
    <w:p>
      <w:pPr>
        <w:spacing w:after="0" w:line="2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July of 2019, the EPA adopted the Affordable Clean Energy rule, which requires states to develop plans by 2022 for GHG reductions from coal-fired power plants. In a January 2021 decision, the U.S. Court of Appeals for the D. C. Circuit issued a decision vacating and remanding the Affordable Clean Energy rule. That decision, if not successfully appealed or reconsidered, would allow the EPA to proceed with alternate regulation of coal-fired power plants, either reviving the Clean Power Plan or proposing additional regulation. Compliance could result in significant investment.</w:t>
      </w:r>
    </w:p>
    <w:p>
      <w:pPr>
        <w:spacing w:after="0" w:line="229" w:lineRule="exact"/>
        <w:rPr>
          <w:sz w:val="20"/>
          <w:szCs w:val="20"/>
          <w:color w:val="auto"/>
        </w:rPr>
      </w:pPr>
    </w:p>
    <w:p>
      <w:pPr>
        <w:ind w:right="14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Environmental risk changes constantly with the implementation of new or modified regulations, changing stakeholder interests and needs, and through the introduction of innovative work practices and technologies. We continually assess risk and develop mitigation strategies to manage and ensure compliance across the enterprise successfully and responsibly. For additional information on environmental matters, see </w:t>
      </w:r>
      <w:hyperlink w:anchor="page20">
        <w:r>
          <w:rPr>
            <w:rFonts w:ascii="Arial" w:cs="Arial" w:eastAsia="Arial" w:hAnsi="Arial"/>
            <w:sz w:val="16"/>
            <w:szCs w:val="16"/>
            <w:u w:val="single" w:color="auto"/>
            <w:color w:val="0000FF"/>
          </w:rPr>
          <w:t>Item 1A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79">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Human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ind w:right="40"/>
        <w:spacing w:after="0" w:line="250" w:lineRule="auto"/>
        <w:rPr>
          <w:rFonts w:ascii="Arial" w:cs="Arial" w:eastAsia="Arial" w:hAnsi="Arial"/>
          <w:sz w:val="16"/>
          <w:szCs w:val="16"/>
          <w:color w:val="auto"/>
        </w:rPr>
      </w:pPr>
      <w:r>
        <w:rPr>
          <w:rFonts w:ascii="Arial" w:cs="Arial" w:eastAsia="Arial" w:hAnsi="Arial"/>
          <w:sz w:val="16"/>
          <w:szCs w:val="16"/>
          <w:color w:val="auto"/>
        </w:rPr>
        <w:t xml:space="preserve">Black Hills Corporation is committed to supporting operational excellence by attracting, motivating, retaining and encouraging the development of a highly qualified and diverse employee team. Our employees’ drive and dedication to their work, and their commitment to the safety of our customers and their fellow employees, allows Black Hills Corporation to successfully grow and manage our business year over year. The impacts of COVID-19 to our businesses and employees are discussed in the </w:t>
      </w:r>
      <w:hyperlink w:anchor="page33">
        <w:r>
          <w:rPr>
            <w:rFonts w:ascii="Arial" w:cs="Arial" w:eastAsia="Arial" w:hAnsi="Arial"/>
            <w:sz w:val="16"/>
            <w:szCs w:val="16"/>
            <w:u w:val="single" w:color="auto"/>
            <w:color w:val="0000FF"/>
          </w:rPr>
          <w:t>Recent Developments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within Management’s Discussion and Analysis of Financial Condition and Results of Operations in </w:t>
      </w:r>
      <w:hyperlink w:anchor="page30">
        <w:r>
          <w:rPr>
            <w:rFonts w:ascii="Arial" w:cs="Arial" w:eastAsia="Arial" w:hAnsi="Arial"/>
            <w:sz w:val="16"/>
            <w:szCs w:val="16"/>
            <w:u w:val="single" w:color="auto"/>
            <w:color w:val="0000FF"/>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60" w:type="dxa"/>
            <w:vAlign w:val="bottom"/>
            <w:tcBorders>
              <w:bottom w:val="single" w:sz="8" w:color="auto"/>
            </w:tcBorders>
          </w:tcPr>
          <w:p>
            <w:pPr>
              <w:ind w:left="3080"/>
              <w:spacing w:after="0"/>
              <w:rPr>
                <w:sz w:val="20"/>
                <w:szCs w:val="20"/>
                <w:color w:val="auto"/>
              </w:rPr>
            </w:pPr>
            <w:r>
              <w:rPr>
                <w:rFonts w:ascii="Arial" w:cs="Arial" w:eastAsia="Arial" w:hAnsi="Arial"/>
                <w:sz w:val="16"/>
                <w:szCs w:val="16"/>
                <w:color w:val="auto"/>
              </w:rPr>
              <w:t>Our Team</w:t>
            </w: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As of December 31, 2021</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As of December 31, 2020</w:t>
            </w:r>
          </w:p>
        </w:tc>
      </w:tr>
      <w:tr>
        <w:trPr>
          <w:trHeight w:val="213"/>
        </w:trPr>
        <w:tc>
          <w:tcPr>
            <w:tcW w:w="686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employees</w:t>
            </w:r>
          </w:p>
        </w:tc>
        <w:tc>
          <w:tcPr>
            <w:tcW w:w="188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w w:val="99"/>
              </w:rPr>
              <w:t>2,884</w:t>
            </w:r>
          </w:p>
        </w:tc>
        <w:tc>
          <w:tcPr>
            <w:tcW w:w="240" w:type="dxa"/>
            <w:vAlign w:val="bottom"/>
            <w:shd w:val="clear" w:color="auto" w:fill="CEFFE7"/>
          </w:tcPr>
          <w:p>
            <w:pPr>
              <w:spacing w:after="0"/>
              <w:rPr>
                <w:sz w:val="18"/>
                <w:szCs w:val="18"/>
                <w:color w:val="auto"/>
              </w:rPr>
            </w:pPr>
          </w:p>
        </w:tc>
        <w:tc>
          <w:tcPr>
            <w:tcW w:w="22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3,011</w:t>
            </w:r>
          </w:p>
        </w:tc>
      </w:tr>
      <w:tr>
        <w:trPr>
          <w:trHeight w:val="216"/>
        </w:trPr>
        <w:tc>
          <w:tcPr>
            <w:tcW w:w="68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Women in executive leadership positions </w:t>
            </w:r>
            <w:r>
              <w:rPr>
                <w:rFonts w:ascii="Arial" w:cs="Arial" w:eastAsia="Arial" w:hAnsi="Arial"/>
                <w:sz w:val="21"/>
                <w:szCs w:val="21"/>
                <w:color w:val="auto"/>
                <w:vertAlign w:val="superscript"/>
              </w:rPr>
              <w:t>(a)</w:t>
            </w:r>
          </w:p>
        </w:tc>
        <w:tc>
          <w:tcPr>
            <w:tcW w:w="1880" w:type="dxa"/>
            <w:vAlign w:val="bottom"/>
          </w:tcPr>
          <w:p>
            <w:pPr>
              <w:jc w:val="center"/>
              <w:ind w:left="239"/>
              <w:spacing w:after="0"/>
              <w:rPr>
                <w:sz w:val="20"/>
                <w:szCs w:val="20"/>
                <w:color w:val="auto"/>
              </w:rPr>
            </w:pPr>
            <w:r>
              <w:rPr>
                <w:rFonts w:ascii="Arial" w:cs="Arial" w:eastAsia="Arial" w:hAnsi="Arial"/>
                <w:sz w:val="16"/>
                <w:szCs w:val="16"/>
                <w:color w:val="auto"/>
                <w:w w:val="99"/>
              </w:rPr>
              <w:t>30%</w:t>
            </w: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9"/>
              </w:rPr>
              <w:t>31%</w:t>
            </w:r>
          </w:p>
        </w:tc>
      </w:tr>
      <w:tr>
        <w:trPr>
          <w:trHeight w:val="216"/>
        </w:trPr>
        <w:tc>
          <w:tcPr>
            <w:tcW w:w="6860" w:type="dxa"/>
            <w:vAlign w:val="bottom"/>
            <w:shd w:val="clear" w:color="auto" w:fill="CEFFE7"/>
          </w:tcPr>
          <w:p>
            <w:pPr>
              <w:ind w:left="20"/>
              <w:spacing w:after="0"/>
              <w:rPr>
                <w:sz w:val="20"/>
                <w:szCs w:val="20"/>
                <w:color w:val="auto"/>
              </w:rPr>
            </w:pPr>
            <w:r>
              <w:rPr>
                <w:rFonts w:ascii="Arial" w:cs="Arial" w:eastAsia="Arial" w:hAnsi="Arial"/>
                <w:sz w:val="16"/>
                <w:szCs w:val="16"/>
                <w:color w:val="auto"/>
              </w:rPr>
              <w:t>Gender diversity (women as a % of total employees)</w:t>
            </w:r>
          </w:p>
        </w:tc>
        <w:tc>
          <w:tcPr>
            <w:tcW w:w="188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w w:val="99"/>
              </w:rPr>
              <w:t>26%</w:t>
            </w:r>
          </w:p>
        </w:tc>
        <w:tc>
          <w:tcPr>
            <w:tcW w:w="240" w:type="dxa"/>
            <w:vAlign w:val="bottom"/>
            <w:shd w:val="clear" w:color="auto" w:fill="CEFFE7"/>
          </w:tcPr>
          <w:p>
            <w:pPr>
              <w:spacing w:after="0"/>
              <w:rPr>
                <w:sz w:val="18"/>
                <w:szCs w:val="18"/>
                <w:color w:val="auto"/>
              </w:rPr>
            </w:pPr>
          </w:p>
        </w:tc>
        <w:tc>
          <w:tcPr>
            <w:tcW w:w="22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26%</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Represented by a union</w:t>
            </w:r>
          </w:p>
        </w:tc>
        <w:tc>
          <w:tcPr>
            <w:tcW w:w="1880" w:type="dxa"/>
            <w:vAlign w:val="bottom"/>
          </w:tcPr>
          <w:p>
            <w:pPr>
              <w:jc w:val="center"/>
              <w:ind w:left="239"/>
              <w:spacing w:after="0"/>
              <w:rPr>
                <w:sz w:val="20"/>
                <w:szCs w:val="20"/>
                <w:color w:val="auto"/>
              </w:rPr>
            </w:pPr>
            <w:r>
              <w:rPr>
                <w:rFonts w:ascii="Arial" w:cs="Arial" w:eastAsia="Arial" w:hAnsi="Arial"/>
                <w:sz w:val="16"/>
                <w:szCs w:val="16"/>
                <w:color w:val="auto"/>
                <w:w w:val="99"/>
              </w:rPr>
              <w:t>25%</w:t>
            </w: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9"/>
              </w:rPr>
              <w:t>25%</w:t>
            </w:r>
          </w:p>
        </w:tc>
      </w:tr>
      <w:tr>
        <w:trPr>
          <w:trHeight w:val="219"/>
        </w:trPr>
        <w:tc>
          <w:tcPr>
            <w:tcW w:w="6860" w:type="dxa"/>
            <w:vAlign w:val="bottom"/>
            <w:shd w:val="clear" w:color="auto" w:fill="CEFFE7"/>
          </w:tcPr>
          <w:p>
            <w:pPr>
              <w:ind w:left="20"/>
              <w:spacing w:after="0"/>
              <w:rPr>
                <w:sz w:val="20"/>
                <w:szCs w:val="20"/>
                <w:color w:val="auto"/>
              </w:rPr>
            </w:pPr>
            <w:r>
              <w:rPr>
                <w:rFonts w:ascii="Arial" w:cs="Arial" w:eastAsia="Arial" w:hAnsi="Arial"/>
                <w:sz w:val="16"/>
                <w:szCs w:val="16"/>
                <w:color w:val="auto"/>
              </w:rPr>
              <w:t>Military veterans</w:t>
            </w:r>
          </w:p>
        </w:tc>
        <w:tc>
          <w:tcPr>
            <w:tcW w:w="188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w w:val="99"/>
              </w:rPr>
              <w:t>14%</w:t>
            </w:r>
          </w:p>
        </w:tc>
        <w:tc>
          <w:tcPr>
            <w:tcW w:w="240" w:type="dxa"/>
            <w:vAlign w:val="bottom"/>
            <w:shd w:val="clear" w:color="auto" w:fill="CEFFE7"/>
          </w:tcPr>
          <w:p>
            <w:pPr>
              <w:spacing w:after="0"/>
              <w:rPr>
                <w:sz w:val="19"/>
                <w:szCs w:val="19"/>
                <w:color w:val="auto"/>
              </w:rPr>
            </w:pPr>
          </w:p>
        </w:tc>
        <w:tc>
          <w:tcPr>
            <w:tcW w:w="22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16%</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Ethnic diversity (non-white employees as a % of total)</w:t>
            </w:r>
          </w:p>
        </w:tc>
        <w:tc>
          <w:tcPr>
            <w:tcW w:w="1880" w:type="dxa"/>
            <w:vAlign w:val="bottom"/>
          </w:tcPr>
          <w:p>
            <w:pPr>
              <w:jc w:val="center"/>
              <w:ind w:left="239"/>
              <w:spacing w:after="0"/>
              <w:rPr>
                <w:sz w:val="20"/>
                <w:szCs w:val="20"/>
                <w:color w:val="auto"/>
              </w:rPr>
            </w:pPr>
            <w:r>
              <w:rPr>
                <w:rFonts w:ascii="Arial" w:cs="Arial" w:eastAsia="Arial" w:hAnsi="Arial"/>
                <w:sz w:val="16"/>
                <w:szCs w:val="16"/>
                <w:color w:val="auto"/>
                <w:w w:val="99"/>
              </w:rPr>
              <w:t>12%</w:t>
            </w: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9"/>
              </w:rPr>
              <w:t>11%</w:t>
            </w:r>
          </w:p>
        </w:tc>
      </w:tr>
      <w:tr>
        <w:trPr>
          <w:trHeight w:val="152"/>
        </w:trPr>
        <w:tc>
          <w:tcPr>
            <w:tcW w:w="6860" w:type="dxa"/>
            <w:vAlign w:val="bottom"/>
            <w:shd w:val="clear" w:color="auto" w:fill="CEFFE7"/>
          </w:tcPr>
          <w:p>
            <w:pPr>
              <w:spacing w:after="0"/>
              <w:rPr>
                <w:sz w:val="13"/>
                <w:szCs w:val="13"/>
                <w:color w:val="auto"/>
              </w:rPr>
            </w:pPr>
          </w:p>
        </w:tc>
        <w:tc>
          <w:tcPr>
            <w:tcW w:w="1880" w:type="dxa"/>
            <w:vAlign w:val="bottom"/>
            <w:shd w:val="clear" w:color="auto" w:fill="CEFFE7"/>
          </w:tcPr>
          <w:p>
            <w:pPr>
              <w:spacing w:after="0"/>
              <w:rPr>
                <w:sz w:val="13"/>
                <w:szCs w:val="13"/>
                <w:color w:val="auto"/>
              </w:rPr>
            </w:pPr>
          </w:p>
        </w:tc>
        <w:tc>
          <w:tcPr>
            <w:tcW w:w="240" w:type="dxa"/>
            <w:vAlign w:val="bottom"/>
            <w:shd w:val="clear" w:color="auto" w:fill="CEFFE7"/>
          </w:tcPr>
          <w:p>
            <w:pPr>
              <w:spacing w:after="0"/>
              <w:rPr>
                <w:sz w:val="13"/>
                <w:szCs w:val="13"/>
                <w:color w:val="auto"/>
              </w:rPr>
            </w:pPr>
          </w:p>
        </w:tc>
        <w:tc>
          <w:tcPr>
            <w:tcW w:w="2260" w:type="dxa"/>
            <w:vAlign w:val="bottom"/>
            <w:shd w:val="clear" w:color="auto" w:fill="CEFFE7"/>
          </w:tcPr>
          <w:p>
            <w:pPr>
              <w:spacing w:after="0"/>
              <w:rPr>
                <w:sz w:val="13"/>
                <w:szCs w:val="13"/>
                <w:color w:val="auto"/>
              </w:rPr>
            </w:pPr>
          </w:p>
        </w:tc>
      </w:tr>
      <w:tr>
        <w:trPr>
          <w:trHeight w:val="177"/>
        </w:trPr>
        <w:tc>
          <w:tcPr>
            <w:tcW w:w="6860" w:type="dxa"/>
            <w:vAlign w:val="bottom"/>
          </w:tcPr>
          <w:p>
            <w:pPr>
              <w:spacing w:after="0"/>
              <w:rPr>
                <w:sz w:val="15"/>
                <w:szCs w:val="15"/>
                <w:color w:val="auto"/>
              </w:rPr>
            </w:pPr>
          </w:p>
        </w:tc>
        <w:tc>
          <w:tcPr>
            <w:tcW w:w="2120" w:type="dxa"/>
            <w:vAlign w:val="bottom"/>
            <w:gridSpan w:val="2"/>
          </w:tcPr>
          <w:p>
            <w:pPr>
              <w:jc w:val="center"/>
              <w:spacing w:after="0" w:line="178" w:lineRule="exact"/>
              <w:rPr>
                <w:sz w:val="20"/>
                <w:szCs w:val="20"/>
                <w:color w:val="auto"/>
              </w:rPr>
            </w:pPr>
            <w:r>
              <w:rPr>
                <w:rFonts w:ascii="Arial" w:cs="Arial" w:eastAsia="Arial" w:hAnsi="Arial"/>
                <w:sz w:val="16"/>
                <w:szCs w:val="16"/>
                <w:color w:val="auto"/>
              </w:rPr>
              <w:t>For the year ended</w:t>
            </w:r>
          </w:p>
        </w:tc>
        <w:tc>
          <w:tcPr>
            <w:tcW w:w="2260" w:type="dxa"/>
            <w:vAlign w:val="bottom"/>
          </w:tcPr>
          <w:p>
            <w:pPr>
              <w:jc w:val="center"/>
              <w:spacing w:after="0" w:line="178" w:lineRule="exact"/>
              <w:rPr>
                <w:sz w:val="20"/>
                <w:szCs w:val="20"/>
                <w:color w:val="auto"/>
              </w:rPr>
            </w:pPr>
            <w:r>
              <w:rPr>
                <w:rFonts w:ascii="Arial" w:cs="Arial" w:eastAsia="Arial" w:hAnsi="Arial"/>
                <w:sz w:val="16"/>
                <w:szCs w:val="16"/>
                <w:color w:val="auto"/>
              </w:rPr>
              <w:t>For the year ended</w:t>
            </w:r>
          </w:p>
        </w:tc>
      </w:tr>
      <w:tr>
        <w:trPr>
          <w:trHeight w:val="198"/>
        </w:trPr>
        <w:tc>
          <w:tcPr>
            <w:tcW w:w="6860" w:type="dxa"/>
            <w:vAlign w:val="bottom"/>
            <w:tcBorders>
              <w:bottom w:val="single" w:sz="8" w:color="CEFFE7"/>
            </w:tcBorders>
          </w:tcPr>
          <w:p>
            <w:pPr>
              <w:spacing w:after="0"/>
              <w:rPr>
                <w:sz w:val="17"/>
                <w:szCs w:val="17"/>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December 31, 2021</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December 31, 2020</w:t>
            </w:r>
          </w:p>
        </w:tc>
      </w:tr>
      <w:tr>
        <w:trPr>
          <w:trHeight w:val="213"/>
        </w:trPr>
        <w:tc>
          <w:tcPr>
            <w:tcW w:w="6860" w:type="dxa"/>
            <w:vAlign w:val="bottom"/>
            <w:shd w:val="clear" w:color="auto" w:fill="CEFFE7"/>
          </w:tcPr>
          <w:p>
            <w:pPr>
              <w:ind w:left="20"/>
              <w:spacing w:after="0"/>
              <w:rPr>
                <w:sz w:val="20"/>
                <w:szCs w:val="20"/>
                <w:color w:val="auto"/>
              </w:rPr>
            </w:pPr>
            <w:r>
              <w:rPr>
                <w:rFonts w:ascii="Arial" w:cs="Arial" w:eastAsia="Arial" w:hAnsi="Arial"/>
                <w:sz w:val="16"/>
                <w:szCs w:val="16"/>
                <w:color w:val="auto"/>
              </w:rPr>
              <w:t>Number of external hires</w:t>
            </w:r>
          </w:p>
        </w:tc>
        <w:tc>
          <w:tcPr>
            <w:tcW w:w="188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rPr>
              <w:t>214</w:t>
            </w:r>
          </w:p>
        </w:tc>
        <w:tc>
          <w:tcPr>
            <w:tcW w:w="240" w:type="dxa"/>
            <w:vAlign w:val="bottom"/>
            <w:shd w:val="clear" w:color="auto" w:fill="CEFFE7"/>
          </w:tcPr>
          <w:p>
            <w:pPr>
              <w:spacing w:after="0"/>
              <w:rPr>
                <w:sz w:val="18"/>
                <w:szCs w:val="18"/>
                <w:color w:val="auto"/>
              </w:rPr>
            </w:pPr>
          </w:p>
        </w:tc>
        <w:tc>
          <w:tcPr>
            <w:tcW w:w="22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7"/>
              </w:rPr>
              <w:t>299</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External hires gender diversity (as a % of total external hires)</w:t>
            </w:r>
          </w:p>
        </w:tc>
        <w:tc>
          <w:tcPr>
            <w:tcW w:w="1880" w:type="dxa"/>
            <w:vAlign w:val="bottom"/>
          </w:tcPr>
          <w:p>
            <w:pPr>
              <w:jc w:val="center"/>
              <w:ind w:left="239"/>
              <w:spacing w:after="0"/>
              <w:rPr>
                <w:sz w:val="20"/>
                <w:szCs w:val="20"/>
                <w:color w:val="auto"/>
              </w:rPr>
            </w:pPr>
            <w:r>
              <w:rPr>
                <w:rFonts w:ascii="Arial" w:cs="Arial" w:eastAsia="Arial" w:hAnsi="Arial"/>
                <w:sz w:val="16"/>
                <w:szCs w:val="16"/>
                <w:color w:val="auto"/>
                <w:w w:val="99"/>
              </w:rPr>
              <w:t>25%</w:t>
            </w: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9"/>
              </w:rPr>
              <w:t>29%</w:t>
            </w:r>
          </w:p>
        </w:tc>
      </w:tr>
      <w:tr>
        <w:trPr>
          <w:trHeight w:val="219"/>
        </w:trPr>
        <w:tc>
          <w:tcPr>
            <w:tcW w:w="6860" w:type="dxa"/>
            <w:vAlign w:val="bottom"/>
            <w:shd w:val="clear" w:color="auto" w:fill="CEFFE7"/>
          </w:tcPr>
          <w:p>
            <w:pPr>
              <w:ind w:left="20"/>
              <w:spacing w:after="0"/>
              <w:rPr>
                <w:sz w:val="20"/>
                <w:szCs w:val="20"/>
                <w:color w:val="auto"/>
              </w:rPr>
            </w:pPr>
            <w:r>
              <w:rPr>
                <w:rFonts w:ascii="Arial" w:cs="Arial" w:eastAsia="Arial" w:hAnsi="Arial"/>
                <w:sz w:val="16"/>
                <w:szCs w:val="16"/>
                <w:color w:val="auto"/>
              </w:rPr>
              <w:t>External hires ethnic diversity (as a % of total external hires)</w:t>
            </w:r>
          </w:p>
        </w:tc>
        <w:tc>
          <w:tcPr>
            <w:tcW w:w="188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w w:val="99"/>
              </w:rPr>
              <w:t>20%</w:t>
            </w:r>
          </w:p>
        </w:tc>
        <w:tc>
          <w:tcPr>
            <w:tcW w:w="240" w:type="dxa"/>
            <w:vAlign w:val="bottom"/>
            <w:shd w:val="clear" w:color="auto" w:fill="CEFFE7"/>
          </w:tcPr>
          <w:p>
            <w:pPr>
              <w:spacing w:after="0"/>
              <w:rPr>
                <w:sz w:val="19"/>
                <w:szCs w:val="19"/>
                <w:color w:val="auto"/>
              </w:rPr>
            </w:pPr>
          </w:p>
        </w:tc>
        <w:tc>
          <w:tcPr>
            <w:tcW w:w="22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16%</w:t>
            </w:r>
          </w:p>
        </w:tc>
      </w:tr>
      <w:tr>
        <w:trPr>
          <w:trHeight w:val="216"/>
        </w:trPr>
        <w:tc>
          <w:tcPr>
            <w:tcW w:w="68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Turnover rate </w:t>
            </w:r>
            <w:r>
              <w:rPr>
                <w:rFonts w:ascii="Arial" w:cs="Arial" w:eastAsia="Arial" w:hAnsi="Arial"/>
                <w:sz w:val="21"/>
                <w:szCs w:val="21"/>
                <w:color w:val="auto"/>
                <w:vertAlign w:val="superscript"/>
              </w:rPr>
              <w:t>(b)</w:t>
            </w:r>
          </w:p>
        </w:tc>
        <w:tc>
          <w:tcPr>
            <w:tcW w:w="1880" w:type="dxa"/>
            <w:vAlign w:val="bottom"/>
          </w:tcPr>
          <w:p>
            <w:pPr>
              <w:jc w:val="center"/>
              <w:ind w:left="239"/>
              <w:spacing w:after="0"/>
              <w:rPr>
                <w:sz w:val="20"/>
                <w:szCs w:val="20"/>
                <w:color w:val="auto"/>
              </w:rPr>
            </w:pPr>
            <w:r>
              <w:rPr>
                <w:rFonts w:ascii="Arial" w:cs="Arial" w:eastAsia="Arial" w:hAnsi="Arial"/>
                <w:sz w:val="16"/>
                <w:szCs w:val="16"/>
                <w:color w:val="auto"/>
                <w:w w:val="99"/>
              </w:rPr>
              <w:t>11%</w:t>
            </w: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rPr>
              <w:t>8%</w:t>
            </w:r>
          </w:p>
        </w:tc>
      </w:tr>
      <w:tr>
        <w:trPr>
          <w:trHeight w:val="216"/>
        </w:trPr>
        <w:tc>
          <w:tcPr>
            <w:tcW w:w="686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Retirement rate</w:t>
            </w:r>
          </w:p>
        </w:tc>
        <w:tc>
          <w:tcPr>
            <w:tcW w:w="188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rPr>
              <w:t>3%</w:t>
            </w:r>
          </w:p>
        </w:tc>
        <w:tc>
          <w:tcPr>
            <w:tcW w:w="240" w:type="dxa"/>
            <w:vAlign w:val="bottom"/>
            <w:shd w:val="clear" w:color="auto" w:fill="CEFFE7"/>
          </w:tcPr>
          <w:p>
            <w:pPr>
              <w:spacing w:after="0"/>
              <w:rPr>
                <w:sz w:val="18"/>
                <w:szCs w:val="18"/>
                <w:color w:val="auto"/>
              </w:rPr>
            </w:pPr>
          </w:p>
        </w:tc>
        <w:tc>
          <w:tcPr>
            <w:tcW w:w="22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3%</w:t>
            </w:r>
          </w:p>
        </w:tc>
      </w:tr>
      <w:tr>
        <w:trPr>
          <w:trHeight w:val="261"/>
        </w:trPr>
        <w:tc>
          <w:tcPr>
            <w:tcW w:w="6860" w:type="dxa"/>
            <w:vAlign w:val="bottom"/>
          </w:tcPr>
          <w:p>
            <w:pPr>
              <w:spacing w:after="0"/>
              <w:rPr>
                <w:sz w:val="20"/>
                <w:szCs w:val="20"/>
                <w:color w:val="auto"/>
              </w:rPr>
            </w:pPr>
            <w:r>
              <w:rPr>
                <w:rFonts w:ascii="Arial" w:cs="Arial" w:eastAsia="Arial" w:hAnsi="Arial"/>
                <w:sz w:val="14"/>
                <w:szCs w:val="14"/>
                <w:color w:val="auto"/>
              </w:rPr>
              <w:t>____________________</w:t>
            </w:r>
          </w:p>
        </w:tc>
        <w:tc>
          <w:tcPr>
            <w:tcW w:w="1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60" w:type="dxa"/>
            <w:vAlign w:val="bottom"/>
          </w:tcPr>
          <w:p>
            <w:pPr>
              <w:spacing w:after="0"/>
              <w:rPr>
                <w:sz w:val="22"/>
                <w:szCs w:val="22"/>
                <w:color w:val="auto"/>
              </w:rPr>
            </w:pPr>
          </w:p>
        </w:tc>
      </w:tr>
      <w:tr>
        <w:trPr>
          <w:trHeight w:val="162"/>
        </w:trPr>
        <w:tc>
          <w:tcPr>
            <w:tcW w:w="8980" w:type="dxa"/>
            <w:vAlign w:val="bottom"/>
            <w:gridSpan w:val="3"/>
          </w:tcPr>
          <w:p>
            <w:pPr>
              <w:spacing w:after="0"/>
              <w:rPr>
                <w:sz w:val="20"/>
                <w:szCs w:val="20"/>
                <w:color w:val="auto"/>
              </w:rPr>
            </w:pPr>
            <w:r>
              <w:rPr>
                <w:rFonts w:ascii="Arial" w:cs="Arial" w:eastAsia="Arial" w:hAnsi="Arial"/>
                <w:sz w:val="14"/>
                <w:szCs w:val="14"/>
                <w:color w:val="auto"/>
              </w:rPr>
              <w:t>(a)  Executive leadership positions are defined as positions with Vice President, Senior Vice President or Chief in their title.</w:t>
            </w:r>
          </w:p>
        </w:tc>
        <w:tc>
          <w:tcPr>
            <w:tcW w:w="2260" w:type="dxa"/>
            <w:vAlign w:val="bottom"/>
          </w:tcPr>
          <w:p>
            <w:pPr>
              <w:spacing w:after="0"/>
              <w:rPr>
                <w:sz w:val="14"/>
                <w:szCs w:val="14"/>
                <w:color w:val="auto"/>
              </w:rPr>
            </w:pPr>
          </w:p>
        </w:tc>
      </w:tr>
      <w:tr>
        <w:trPr>
          <w:trHeight w:val="172"/>
        </w:trPr>
        <w:tc>
          <w:tcPr>
            <w:tcW w:w="6860" w:type="dxa"/>
            <w:vAlign w:val="bottom"/>
          </w:tcPr>
          <w:p>
            <w:pPr>
              <w:spacing w:after="0"/>
              <w:rPr>
                <w:sz w:val="20"/>
                <w:szCs w:val="20"/>
                <w:color w:val="auto"/>
              </w:rPr>
            </w:pPr>
            <w:r>
              <w:rPr>
                <w:rFonts w:ascii="Arial" w:cs="Arial" w:eastAsia="Arial" w:hAnsi="Arial"/>
                <w:sz w:val="14"/>
                <w:szCs w:val="14"/>
                <w:color w:val="auto"/>
              </w:rPr>
              <w:t>(b)  Includes voluntary and involuntary separations, but excludes internships.</w:t>
            </w: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425"/>
        </w:trPr>
        <w:tc>
          <w:tcPr>
            <w:tcW w:w="6860" w:type="dxa"/>
            <w:vAlign w:val="bottom"/>
          </w:tcPr>
          <w:p>
            <w:pPr>
              <w:spacing w:after="0"/>
              <w:rPr>
                <w:sz w:val="20"/>
                <w:szCs w:val="20"/>
                <w:color w:val="auto"/>
              </w:rPr>
            </w:pPr>
            <w:r>
              <w:rPr>
                <w:rFonts w:ascii="Arial" w:cs="Arial" w:eastAsia="Arial" w:hAnsi="Arial"/>
                <w:sz w:val="16"/>
                <w:szCs w:val="16"/>
                <w:i w:val="1"/>
                <w:iCs w:val="1"/>
                <w:color w:val="auto"/>
              </w:rPr>
              <w:t>Total Employees</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68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tcPr>
          <w:p>
            <w:pPr>
              <w:jc w:val="right"/>
              <w:ind w:right="359"/>
              <w:spacing w:after="0"/>
              <w:rPr>
                <w:sz w:val="20"/>
                <w:szCs w:val="20"/>
                <w:color w:val="auto"/>
              </w:rPr>
            </w:pPr>
            <w:r>
              <w:rPr>
                <w:rFonts w:ascii="Arial" w:cs="Arial" w:eastAsia="Arial" w:hAnsi="Arial"/>
                <w:sz w:val="16"/>
                <w:szCs w:val="16"/>
                <w:color w:val="auto"/>
              </w:rPr>
              <w:t>Number of Employees</w:t>
            </w:r>
          </w:p>
        </w:tc>
      </w:tr>
      <w:tr>
        <w:trPr>
          <w:trHeight w:val="219"/>
        </w:trPr>
        <w:tc>
          <w:tcPr>
            <w:tcW w:w="6860" w:type="dxa"/>
            <w:vAlign w:val="bottom"/>
            <w:tcBorders>
              <w:bottom w:val="single" w:sz="8" w:color="CEFEE7"/>
            </w:tcBorders>
          </w:tcPr>
          <w:p>
            <w:pPr>
              <w:spacing w:after="0"/>
              <w:rPr>
                <w:sz w:val="19"/>
                <w:szCs w:val="19"/>
                <w:color w:val="auto"/>
              </w:rPr>
            </w:pPr>
          </w:p>
        </w:tc>
        <w:tc>
          <w:tcPr>
            <w:tcW w:w="1880" w:type="dxa"/>
            <w:vAlign w:val="bottom"/>
            <w:tcBorders>
              <w:bottom w:val="single" w:sz="8" w:color="CEFEE7"/>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As of December 31, 2021</w:t>
            </w:r>
          </w:p>
        </w:tc>
      </w:tr>
      <w:tr>
        <w:trPr>
          <w:trHeight w:val="213"/>
        </w:trPr>
        <w:tc>
          <w:tcPr>
            <w:tcW w:w="6860" w:type="dxa"/>
            <w:vAlign w:val="bottom"/>
            <w:shd w:val="clear" w:color="auto" w:fill="CEFEE7"/>
          </w:tcPr>
          <w:p>
            <w:pPr>
              <w:ind w:left="20"/>
              <w:spacing w:after="0"/>
              <w:rPr>
                <w:sz w:val="20"/>
                <w:szCs w:val="20"/>
                <w:color w:val="auto"/>
              </w:rPr>
            </w:pPr>
            <w:r>
              <w:rPr>
                <w:rFonts w:ascii="Arial" w:cs="Arial" w:eastAsia="Arial" w:hAnsi="Arial"/>
                <w:sz w:val="16"/>
                <w:szCs w:val="16"/>
                <w:color w:val="auto"/>
              </w:rPr>
              <w:t>Electric Utilities</w:t>
            </w:r>
          </w:p>
        </w:tc>
        <w:tc>
          <w:tcPr>
            <w:tcW w:w="1880" w:type="dxa"/>
            <w:vAlign w:val="bottom"/>
            <w:shd w:val="clear" w:color="auto" w:fill="CEFEE7"/>
          </w:tcPr>
          <w:p>
            <w:pPr>
              <w:spacing w:after="0"/>
              <w:rPr>
                <w:sz w:val="18"/>
                <w:szCs w:val="18"/>
                <w:color w:val="auto"/>
              </w:rPr>
            </w:pPr>
          </w:p>
        </w:tc>
        <w:tc>
          <w:tcPr>
            <w:tcW w:w="240" w:type="dxa"/>
            <w:vAlign w:val="bottom"/>
            <w:shd w:val="clear" w:color="auto" w:fill="CEFEE7"/>
          </w:tcPr>
          <w:p>
            <w:pPr>
              <w:spacing w:after="0"/>
              <w:rPr>
                <w:sz w:val="18"/>
                <w:szCs w:val="18"/>
                <w:color w:val="auto"/>
              </w:rPr>
            </w:pPr>
          </w:p>
        </w:tc>
        <w:tc>
          <w:tcPr>
            <w:tcW w:w="2260" w:type="dxa"/>
            <w:vAlign w:val="bottom"/>
            <w:shd w:val="clear" w:color="auto" w:fill="CEFEE7"/>
          </w:tcPr>
          <w:p>
            <w:pPr>
              <w:jc w:val="right"/>
              <w:spacing w:after="0"/>
              <w:rPr>
                <w:sz w:val="20"/>
                <w:szCs w:val="20"/>
                <w:color w:val="auto"/>
              </w:rPr>
            </w:pPr>
            <w:r>
              <w:rPr>
                <w:rFonts w:ascii="Arial" w:cs="Arial" w:eastAsia="Arial" w:hAnsi="Arial"/>
                <w:sz w:val="16"/>
                <w:szCs w:val="16"/>
                <w:color w:val="auto"/>
              </w:rPr>
              <w:t>420</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Gas Utilities</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1,191</w:t>
            </w:r>
          </w:p>
        </w:tc>
      </w:tr>
      <w:tr>
        <w:trPr>
          <w:trHeight w:val="216"/>
        </w:trPr>
        <w:tc>
          <w:tcPr>
            <w:tcW w:w="6860" w:type="dxa"/>
            <w:vAlign w:val="bottom"/>
            <w:shd w:val="clear" w:color="auto" w:fill="CEFEE7"/>
          </w:tcPr>
          <w:p>
            <w:pPr>
              <w:ind w:left="20"/>
              <w:spacing w:after="0"/>
              <w:rPr>
                <w:sz w:val="20"/>
                <w:szCs w:val="20"/>
                <w:color w:val="auto"/>
              </w:rPr>
            </w:pPr>
            <w:r>
              <w:rPr>
                <w:rFonts w:ascii="Arial" w:cs="Arial" w:eastAsia="Arial" w:hAnsi="Arial"/>
                <w:sz w:val="16"/>
                <w:szCs w:val="16"/>
                <w:color w:val="auto"/>
              </w:rPr>
              <w:t>Corporate and Other</w:t>
            </w:r>
          </w:p>
        </w:tc>
        <w:tc>
          <w:tcPr>
            <w:tcW w:w="1880" w:type="dxa"/>
            <w:vAlign w:val="bottom"/>
            <w:shd w:val="clear" w:color="auto" w:fill="CEFEE7"/>
          </w:tcPr>
          <w:p>
            <w:pPr>
              <w:spacing w:after="0"/>
              <w:rPr>
                <w:sz w:val="18"/>
                <w:szCs w:val="18"/>
                <w:color w:val="auto"/>
              </w:rPr>
            </w:pPr>
          </w:p>
        </w:tc>
        <w:tc>
          <w:tcPr>
            <w:tcW w:w="240" w:type="dxa"/>
            <w:vAlign w:val="bottom"/>
            <w:tcBorders>
              <w:bottom w:val="single" w:sz="8" w:color="auto"/>
            </w:tcBorders>
            <w:shd w:val="clear" w:color="auto" w:fill="CEFEE7"/>
          </w:tcPr>
          <w:p>
            <w:pPr>
              <w:spacing w:after="0"/>
              <w:rPr>
                <w:sz w:val="18"/>
                <w:szCs w:val="18"/>
                <w:color w:val="auto"/>
              </w:rPr>
            </w:pPr>
          </w:p>
        </w:tc>
        <w:tc>
          <w:tcPr>
            <w:tcW w:w="226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1,273</w:t>
            </w:r>
          </w:p>
        </w:tc>
      </w:tr>
      <w:tr>
        <w:trPr>
          <w:trHeight w:val="213"/>
        </w:trPr>
        <w:tc>
          <w:tcPr>
            <w:tcW w:w="6860" w:type="dxa"/>
            <w:vAlign w:val="bottom"/>
          </w:tcPr>
          <w:p>
            <w:pPr>
              <w:ind w:left="800"/>
              <w:spacing w:after="0"/>
              <w:rPr>
                <w:sz w:val="20"/>
                <w:szCs w:val="20"/>
                <w:color w:val="auto"/>
              </w:rPr>
            </w:pPr>
            <w:r>
              <w:rPr>
                <w:rFonts w:ascii="Arial" w:cs="Arial" w:eastAsia="Arial" w:hAnsi="Arial"/>
                <w:sz w:val="16"/>
                <w:szCs w:val="16"/>
                <w:color w:val="auto"/>
              </w:rPr>
              <w:t>Total</w:t>
            </w:r>
          </w:p>
        </w:tc>
        <w:tc>
          <w:tcPr>
            <w:tcW w:w="1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2,884</w:t>
            </w:r>
          </w:p>
        </w:tc>
      </w:tr>
      <w:tr>
        <w:trPr>
          <w:trHeight w:val="20"/>
        </w:trPr>
        <w:tc>
          <w:tcPr>
            <w:tcW w:w="6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At December 31, 2021, approximately 20% of our total employees and 22% of our Electric and Gas Utilities employees were eligible for retirement (age 55 with at least 5 years of service).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Collective Bargaining Agreements</w:t>
      </w:r>
    </w:p>
    <w:p>
      <w:pPr>
        <w:spacing w:after="0" w:line="264"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At December 31, 2021, certain employees of our Electric Utilities and Gas Utilities were covered by the collective bargaining agreements as shown in the table below. We have not experienced any labor stoppages in decades.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304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4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886"/>
        </w:trPr>
        <w:tc>
          <w:tcPr>
            <w:tcW w:w="1360" w:type="dxa"/>
            <w:vAlign w:val="bottom"/>
            <w:tcBorders>
              <w:top w:val="single" w:sz="8" w:color="0000FF"/>
            </w:tcBorders>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Number of</w:t>
            </w:r>
          </w:p>
        </w:tc>
        <w:tc>
          <w:tcPr>
            <w:tcW w:w="346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6"/>
                <w:szCs w:val="16"/>
                <w:color w:val="auto"/>
              </w:rPr>
              <w:t>Expiration Date of Collective Bargaining</w:t>
            </w:r>
          </w:p>
        </w:tc>
      </w:tr>
      <w:tr>
        <w:trPr>
          <w:trHeight w:val="198"/>
        </w:trPr>
        <w:tc>
          <w:tcPr>
            <w:tcW w:w="3040" w:type="dxa"/>
            <w:vAlign w:val="bottom"/>
            <w:tcBorders>
              <w:bottom w:val="single" w:sz="8" w:color="auto"/>
            </w:tcBorders>
            <w:gridSpan w:val="2"/>
          </w:tcPr>
          <w:p>
            <w:pPr>
              <w:ind w:left="1320"/>
              <w:spacing w:after="0"/>
              <w:rPr>
                <w:sz w:val="20"/>
                <w:szCs w:val="20"/>
                <w:color w:val="auto"/>
              </w:rPr>
            </w:pPr>
            <w:r>
              <w:rPr>
                <w:rFonts w:ascii="Arial" w:cs="Arial" w:eastAsia="Arial" w:hAnsi="Arial"/>
                <w:sz w:val="16"/>
                <w:szCs w:val="16"/>
                <w:color w:val="auto"/>
              </w:rPr>
              <w:t>Utility</w:t>
            </w: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Employees</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Union Affiliation</w:t>
            </w: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Agreement</w:t>
            </w:r>
          </w:p>
        </w:tc>
      </w:tr>
      <w:tr>
        <w:trPr>
          <w:trHeight w:val="213"/>
        </w:trPr>
        <w:tc>
          <w:tcPr>
            <w:tcW w:w="3040" w:type="dxa"/>
            <w:vAlign w:val="bottom"/>
            <w:gridSpan w:val="2"/>
            <w:shd w:val="clear" w:color="auto" w:fill="CEFEE7"/>
          </w:tcPr>
          <w:p>
            <w:pPr>
              <w:ind w:left="20"/>
              <w:spacing w:after="0"/>
              <w:rPr>
                <w:sz w:val="20"/>
                <w:szCs w:val="20"/>
                <w:color w:val="auto"/>
              </w:rPr>
            </w:pPr>
            <w:r>
              <w:rPr>
                <w:rFonts w:ascii="Arial" w:cs="Arial" w:eastAsia="Arial" w:hAnsi="Arial"/>
                <w:sz w:val="16"/>
                <w:szCs w:val="16"/>
                <w:color w:val="auto"/>
              </w:rPr>
              <w:t>Colorado Electric</w:t>
            </w:r>
          </w:p>
        </w:tc>
        <w:tc>
          <w:tcPr>
            <w:tcW w:w="14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94</w:t>
            </w:r>
          </w:p>
        </w:tc>
        <w:tc>
          <w:tcPr>
            <w:tcW w:w="346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IBEW Local 667</w:t>
            </w:r>
          </w:p>
        </w:tc>
        <w:tc>
          <w:tcPr>
            <w:tcW w:w="334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April 15, 2023</w:t>
            </w:r>
          </w:p>
        </w:tc>
      </w:tr>
      <w:tr>
        <w:trPr>
          <w:trHeight w:val="213"/>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South Dakota Electric</w:t>
            </w:r>
          </w:p>
        </w:tc>
        <w:tc>
          <w:tcPr>
            <w:tcW w:w="1400" w:type="dxa"/>
            <w:vAlign w:val="bottom"/>
          </w:tcPr>
          <w:p>
            <w:pPr>
              <w:jc w:val="right"/>
              <w:spacing w:after="0"/>
              <w:rPr>
                <w:sz w:val="20"/>
                <w:szCs w:val="20"/>
                <w:color w:val="auto"/>
              </w:rPr>
            </w:pPr>
            <w:r>
              <w:rPr>
                <w:rFonts w:ascii="Arial" w:cs="Arial" w:eastAsia="Arial" w:hAnsi="Arial"/>
                <w:sz w:val="16"/>
                <w:szCs w:val="16"/>
                <w:color w:val="auto"/>
              </w:rPr>
              <w:t>128</w:t>
            </w:r>
          </w:p>
        </w:tc>
        <w:tc>
          <w:tcPr>
            <w:tcW w:w="3460" w:type="dxa"/>
            <w:vAlign w:val="bottom"/>
          </w:tcPr>
          <w:p>
            <w:pPr>
              <w:jc w:val="center"/>
              <w:spacing w:after="0"/>
              <w:rPr>
                <w:sz w:val="20"/>
                <w:szCs w:val="20"/>
                <w:color w:val="auto"/>
              </w:rPr>
            </w:pPr>
            <w:r>
              <w:rPr>
                <w:rFonts w:ascii="Arial" w:cs="Arial" w:eastAsia="Arial" w:hAnsi="Arial"/>
                <w:sz w:val="16"/>
                <w:szCs w:val="16"/>
                <w:color w:val="auto"/>
              </w:rPr>
              <w:t>IBEW Local 1250</w:t>
            </w:r>
          </w:p>
        </w:tc>
        <w:tc>
          <w:tcPr>
            <w:tcW w:w="3340" w:type="dxa"/>
            <w:vAlign w:val="bottom"/>
          </w:tcPr>
          <w:p>
            <w:pPr>
              <w:jc w:val="center"/>
              <w:spacing w:after="0"/>
              <w:rPr>
                <w:sz w:val="20"/>
                <w:szCs w:val="20"/>
                <w:color w:val="auto"/>
              </w:rPr>
            </w:pPr>
            <w:r>
              <w:rPr>
                <w:rFonts w:ascii="Arial" w:cs="Arial" w:eastAsia="Arial" w:hAnsi="Arial"/>
                <w:sz w:val="16"/>
                <w:szCs w:val="16"/>
                <w:color w:val="auto"/>
              </w:rPr>
              <w:t>March 31, 2022</w:t>
            </w:r>
          </w:p>
        </w:tc>
      </w:tr>
      <w:tr>
        <w:trPr>
          <w:trHeight w:val="219"/>
        </w:trPr>
        <w:tc>
          <w:tcPr>
            <w:tcW w:w="3040" w:type="dxa"/>
            <w:vAlign w:val="bottom"/>
            <w:gridSpan w:val="2"/>
            <w:shd w:val="clear" w:color="auto" w:fill="CEFEE7"/>
          </w:tcPr>
          <w:p>
            <w:pPr>
              <w:ind w:left="20"/>
              <w:spacing w:after="0"/>
              <w:rPr>
                <w:sz w:val="20"/>
                <w:szCs w:val="20"/>
                <w:color w:val="auto"/>
              </w:rPr>
            </w:pPr>
            <w:r>
              <w:rPr>
                <w:rFonts w:ascii="Arial" w:cs="Arial" w:eastAsia="Arial" w:hAnsi="Arial"/>
                <w:sz w:val="16"/>
                <w:szCs w:val="16"/>
                <w:color w:val="auto"/>
              </w:rPr>
              <w:t>Wyoming Electric</w:t>
            </w:r>
          </w:p>
        </w:tc>
        <w:tc>
          <w:tcPr>
            <w:tcW w:w="14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25</w:t>
            </w:r>
          </w:p>
        </w:tc>
        <w:tc>
          <w:tcPr>
            <w:tcW w:w="346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IBEW Local 111</w:t>
            </w:r>
          </w:p>
        </w:tc>
        <w:tc>
          <w:tcPr>
            <w:tcW w:w="334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June 30, 2024</w:t>
            </w:r>
          </w:p>
        </w:tc>
      </w:tr>
      <w:tr>
        <w:trPr>
          <w:trHeight w:val="207"/>
        </w:trPr>
        <w:tc>
          <w:tcPr>
            <w:tcW w:w="3040" w:type="dxa"/>
            <w:vAlign w:val="bottom"/>
            <w:tcBorders>
              <w:bottom w:val="single" w:sz="8" w:color="CEFEE7"/>
            </w:tcBorders>
            <w:gridSpan w:val="2"/>
          </w:tcPr>
          <w:p>
            <w:pPr>
              <w:ind w:left="360"/>
              <w:spacing w:after="0"/>
              <w:rPr>
                <w:sz w:val="20"/>
                <w:szCs w:val="20"/>
                <w:color w:val="auto"/>
              </w:rPr>
            </w:pPr>
            <w:r>
              <w:rPr>
                <w:rFonts w:ascii="Arial" w:cs="Arial" w:eastAsia="Arial" w:hAnsi="Arial"/>
                <w:sz w:val="16"/>
                <w:szCs w:val="16"/>
                <w:b w:val="1"/>
                <w:bCs w:val="1"/>
                <w:color w:val="auto"/>
              </w:rPr>
              <w:t>Total Electric Utilities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3460" w:type="dxa"/>
            <w:vAlign w:val="bottom"/>
            <w:tcBorders>
              <w:bottom w:val="single" w:sz="8" w:color="CEFEE7"/>
            </w:tcBorders>
          </w:tcPr>
          <w:p>
            <w:pPr>
              <w:spacing w:after="0"/>
              <w:rPr>
                <w:sz w:val="17"/>
                <w:szCs w:val="17"/>
                <w:color w:val="auto"/>
              </w:rPr>
            </w:pPr>
          </w:p>
        </w:tc>
        <w:tc>
          <w:tcPr>
            <w:tcW w:w="3340" w:type="dxa"/>
            <w:vAlign w:val="bottom"/>
            <w:tcBorders>
              <w:bottom w:val="single" w:sz="8" w:color="CEFEE7"/>
            </w:tcBorders>
          </w:tcPr>
          <w:p>
            <w:pPr>
              <w:spacing w:after="0"/>
              <w:rPr>
                <w:sz w:val="17"/>
                <w:szCs w:val="17"/>
                <w:color w:val="auto"/>
              </w:rPr>
            </w:pPr>
          </w:p>
        </w:tc>
      </w:tr>
      <w:tr>
        <w:trPr>
          <w:trHeight w:val="78"/>
        </w:trPr>
        <w:tc>
          <w:tcPr>
            <w:tcW w:w="1360" w:type="dxa"/>
            <w:vAlign w:val="bottom"/>
            <w:shd w:val="clear" w:color="auto" w:fill="CEFEE7"/>
          </w:tcPr>
          <w:p>
            <w:pPr>
              <w:spacing w:after="0"/>
              <w:rPr>
                <w:sz w:val="6"/>
                <w:szCs w:val="6"/>
                <w:color w:val="auto"/>
              </w:rPr>
            </w:pPr>
          </w:p>
        </w:tc>
        <w:tc>
          <w:tcPr>
            <w:tcW w:w="1680" w:type="dxa"/>
            <w:vAlign w:val="bottom"/>
            <w:shd w:val="clear" w:color="auto" w:fill="CEFEE7"/>
          </w:tcPr>
          <w:p>
            <w:pPr>
              <w:spacing w:after="0"/>
              <w:rPr>
                <w:sz w:val="6"/>
                <w:szCs w:val="6"/>
                <w:color w:val="auto"/>
              </w:rPr>
            </w:pPr>
          </w:p>
        </w:tc>
        <w:tc>
          <w:tcPr>
            <w:tcW w:w="1400" w:type="dxa"/>
            <w:vAlign w:val="bottom"/>
            <w:shd w:val="clear" w:color="auto" w:fill="CEFEE7"/>
          </w:tcPr>
          <w:p>
            <w:pPr>
              <w:spacing w:after="0"/>
              <w:rPr>
                <w:sz w:val="6"/>
                <w:szCs w:val="6"/>
                <w:color w:val="auto"/>
              </w:rPr>
            </w:pPr>
          </w:p>
        </w:tc>
        <w:tc>
          <w:tcPr>
            <w:tcW w:w="3460" w:type="dxa"/>
            <w:vAlign w:val="bottom"/>
            <w:shd w:val="clear" w:color="auto" w:fill="CEFEE7"/>
          </w:tcPr>
          <w:p>
            <w:pPr>
              <w:spacing w:after="0"/>
              <w:rPr>
                <w:sz w:val="6"/>
                <w:szCs w:val="6"/>
                <w:color w:val="auto"/>
              </w:rPr>
            </w:pPr>
          </w:p>
        </w:tc>
        <w:tc>
          <w:tcPr>
            <w:tcW w:w="3340" w:type="dxa"/>
            <w:vAlign w:val="bottom"/>
            <w:shd w:val="clear" w:color="auto" w:fill="CEFEE7"/>
          </w:tcPr>
          <w:p>
            <w:pPr>
              <w:spacing w:after="0"/>
              <w:rPr>
                <w:sz w:val="6"/>
                <w:szCs w:val="6"/>
                <w:color w:val="auto"/>
              </w:rPr>
            </w:pPr>
          </w:p>
        </w:tc>
      </w:tr>
      <w:tr>
        <w:trPr>
          <w:trHeight w:val="213"/>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Iowa Gas</w:t>
            </w:r>
          </w:p>
        </w:tc>
        <w:tc>
          <w:tcPr>
            <w:tcW w:w="1400" w:type="dxa"/>
            <w:vAlign w:val="bottom"/>
          </w:tcPr>
          <w:p>
            <w:pPr>
              <w:jc w:val="right"/>
              <w:spacing w:after="0"/>
              <w:rPr>
                <w:sz w:val="20"/>
                <w:szCs w:val="20"/>
                <w:color w:val="auto"/>
              </w:rPr>
            </w:pPr>
            <w:r>
              <w:rPr>
                <w:rFonts w:ascii="Arial" w:cs="Arial" w:eastAsia="Arial" w:hAnsi="Arial"/>
                <w:sz w:val="16"/>
                <w:szCs w:val="16"/>
                <w:color w:val="auto"/>
              </w:rPr>
              <w:t>132</w:t>
            </w:r>
          </w:p>
        </w:tc>
        <w:tc>
          <w:tcPr>
            <w:tcW w:w="3460" w:type="dxa"/>
            <w:vAlign w:val="bottom"/>
          </w:tcPr>
          <w:p>
            <w:pPr>
              <w:jc w:val="center"/>
              <w:spacing w:after="0"/>
              <w:rPr>
                <w:sz w:val="20"/>
                <w:szCs w:val="20"/>
                <w:color w:val="auto"/>
              </w:rPr>
            </w:pPr>
            <w:r>
              <w:rPr>
                <w:rFonts w:ascii="Arial" w:cs="Arial" w:eastAsia="Arial" w:hAnsi="Arial"/>
                <w:sz w:val="16"/>
                <w:szCs w:val="16"/>
                <w:color w:val="auto"/>
              </w:rPr>
              <w:t>IBEW Local 204</w:t>
            </w:r>
          </w:p>
        </w:tc>
        <w:tc>
          <w:tcPr>
            <w:tcW w:w="3340" w:type="dxa"/>
            <w:vAlign w:val="bottom"/>
          </w:tcPr>
          <w:p>
            <w:pPr>
              <w:jc w:val="center"/>
              <w:spacing w:after="0"/>
              <w:rPr>
                <w:sz w:val="20"/>
                <w:szCs w:val="20"/>
                <w:color w:val="auto"/>
              </w:rPr>
            </w:pPr>
            <w:r>
              <w:rPr>
                <w:rFonts w:ascii="Arial" w:cs="Arial" w:eastAsia="Arial" w:hAnsi="Arial"/>
                <w:sz w:val="16"/>
                <w:szCs w:val="16"/>
                <w:color w:val="auto"/>
              </w:rPr>
              <w:t>January 31, 2026</w:t>
            </w:r>
          </w:p>
        </w:tc>
      </w:tr>
      <w:tr>
        <w:trPr>
          <w:trHeight w:val="180"/>
        </w:trPr>
        <w:tc>
          <w:tcPr>
            <w:tcW w:w="1360" w:type="dxa"/>
            <w:vAlign w:val="bottom"/>
            <w:shd w:val="clear" w:color="auto" w:fill="CEFEE7"/>
          </w:tcPr>
          <w:p>
            <w:pPr>
              <w:spacing w:after="0"/>
              <w:rPr>
                <w:sz w:val="15"/>
                <w:szCs w:val="15"/>
                <w:color w:val="auto"/>
              </w:rPr>
            </w:pPr>
          </w:p>
        </w:tc>
        <w:tc>
          <w:tcPr>
            <w:tcW w:w="1680" w:type="dxa"/>
            <w:vAlign w:val="bottom"/>
            <w:shd w:val="clear" w:color="auto" w:fill="CEFEE7"/>
          </w:tcPr>
          <w:p>
            <w:pPr>
              <w:spacing w:after="0"/>
              <w:rPr>
                <w:sz w:val="15"/>
                <w:szCs w:val="15"/>
                <w:color w:val="auto"/>
              </w:rPr>
            </w:pPr>
          </w:p>
        </w:tc>
        <w:tc>
          <w:tcPr>
            <w:tcW w:w="1400" w:type="dxa"/>
            <w:vAlign w:val="bottom"/>
            <w:shd w:val="clear" w:color="auto" w:fill="CEFEE7"/>
          </w:tcPr>
          <w:p>
            <w:pPr>
              <w:spacing w:after="0"/>
              <w:rPr>
                <w:sz w:val="15"/>
                <w:szCs w:val="15"/>
                <w:color w:val="auto"/>
              </w:rPr>
            </w:pPr>
          </w:p>
        </w:tc>
        <w:tc>
          <w:tcPr>
            <w:tcW w:w="3460" w:type="dxa"/>
            <w:vAlign w:val="bottom"/>
            <w:shd w:val="clear" w:color="auto" w:fill="CEFEE7"/>
          </w:tcPr>
          <w:p>
            <w:pPr>
              <w:jc w:val="center"/>
              <w:spacing w:after="0" w:line="181" w:lineRule="exact"/>
              <w:rPr>
                <w:sz w:val="20"/>
                <w:szCs w:val="20"/>
                <w:color w:val="auto"/>
              </w:rPr>
            </w:pPr>
            <w:r>
              <w:rPr>
                <w:rFonts w:ascii="Arial" w:cs="Arial" w:eastAsia="Arial" w:hAnsi="Arial"/>
                <w:sz w:val="16"/>
                <w:szCs w:val="16"/>
                <w:color w:val="auto"/>
              </w:rPr>
              <w:t>Communications Workers of America, AFL-</w:t>
            </w:r>
          </w:p>
        </w:tc>
        <w:tc>
          <w:tcPr>
            <w:tcW w:w="3340" w:type="dxa"/>
            <w:vAlign w:val="bottom"/>
            <w:shd w:val="clear" w:color="auto" w:fill="CEFEE7"/>
          </w:tcPr>
          <w:p>
            <w:pPr>
              <w:spacing w:after="0"/>
              <w:rPr>
                <w:sz w:val="15"/>
                <w:szCs w:val="15"/>
                <w:color w:val="auto"/>
              </w:rPr>
            </w:pPr>
          </w:p>
        </w:tc>
      </w:tr>
      <w:tr>
        <w:trPr>
          <w:trHeight w:val="201"/>
        </w:trPr>
        <w:tc>
          <w:tcPr>
            <w:tcW w:w="3040" w:type="dxa"/>
            <w:vAlign w:val="bottom"/>
            <w:gridSpan w:val="2"/>
            <w:shd w:val="clear" w:color="auto" w:fill="CEFEE7"/>
          </w:tcPr>
          <w:p>
            <w:pPr>
              <w:ind w:left="20"/>
              <w:spacing w:after="0"/>
              <w:rPr>
                <w:sz w:val="20"/>
                <w:szCs w:val="20"/>
                <w:color w:val="auto"/>
              </w:rPr>
            </w:pPr>
            <w:r>
              <w:rPr>
                <w:rFonts w:ascii="Arial" w:cs="Arial" w:eastAsia="Arial" w:hAnsi="Arial"/>
                <w:sz w:val="16"/>
                <w:szCs w:val="16"/>
                <w:color w:val="auto"/>
              </w:rPr>
              <w:t>Kansas Gas</w:t>
            </w:r>
          </w:p>
        </w:tc>
        <w:tc>
          <w:tcPr>
            <w:tcW w:w="14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16</w:t>
            </w:r>
          </w:p>
        </w:tc>
        <w:tc>
          <w:tcPr>
            <w:tcW w:w="346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CIO Local 6407</w:t>
            </w:r>
          </w:p>
        </w:tc>
        <w:tc>
          <w:tcPr>
            <w:tcW w:w="334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December 31, 2024</w:t>
            </w:r>
          </w:p>
        </w:tc>
      </w:tr>
      <w:tr>
        <w:trPr>
          <w:trHeight w:val="213"/>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Nebraska Gas</w:t>
            </w:r>
          </w:p>
        </w:tc>
        <w:tc>
          <w:tcPr>
            <w:tcW w:w="1400" w:type="dxa"/>
            <w:vAlign w:val="bottom"/>
          </w:tcPr>
          <w:p>
            <w:pPr>
              <w:jc w:val="right"/>
              <w:spacing w:after="0"/>
              <w:rPr>
                <w:sz w:val="20"/>
                <w:szCs w:val="20"/>
                <w:color w:val="auto"/>
              </w:rPr>
            </w:pPr>
            <w:r>
              <w:rPr>
                <w:rFonts w:ascii="Arial" w:cs="Arial" w:eastAsia="Arial" w:hAnsi="Arial"/>
                <w:sz w:val="16"/>
                <w:szCs w:val="16"/>
                <w:color w:val="auto"/>
              </w:rPr>
              <w:t>92</w:t>
            </w:r>
          </w:p>
        </w:tc>
        <w:tc>
          <w:tcPr>
            <w:tcW w:w="3460" w:type="dxa"/>
            <w:vAlign w:val="bottom"/>
          </w:tcPr>
          <w:p>
            <w:pPr>
              <w:jc w:val="center"/>
              <w:spacing w:after="0"/>
              <w:rPr>
                <w:sz w:val="20"/>
                <w:szCs w:val="20"/>
                <w:color w:val="auto"/>
              </w:rPr>
            </w:pPr>
            <w:r>
              <w:rPr>
                <w:rFonts w:ascii="Arial" w:cs="Arial" w:eastAsia="Arial" w:hAnsi="Arial"/>
                <w:sz w:val="16"/>
                <w:szCs w:val="16"/>
                <w:color w:val="auto"/>
              </w:rPr>
              <w:t>IBEW Local 244</w:t>
            </w:r>
          </w:p>
        </w:tc>
        <w:tc>
          <w:tcPr>
            <w:tcW w:w="3340" w:type="dxa"/>
            <w:vAlign w:val="bottom"/>
          </w:tcPr>
          <w:p>
            <w:pPr>
              <w:jc w:val="center"/>
              <w:spacing w:after="0"/>
              <w:rPr>
                <w:sz w:val="20"/>
                <w:szCs w:val="20"/>
                <w:color w:val="auto"/>
              </w:rPr>
            </w:pPr>
            <w:r>
              <w:rPr>
                <w:rFonts w:ascii="Arial" w:cs="Arial" w:eastAsia="Arial" w:hAnsi="Arial"/>
                <w:sz w:val="16"/>
                <w:szCs w:val="16"/>
                <w:color w:val="auto"/>
              </w:rPr>
              <w:t>March 13, 2022</w:t>
            </w:r>
          </w:p>
        </w:tc>
      </w:tr>
      <w:tr>
        <w:trPr>
          <w:trHeight w:val="219"/>
        </w:trPr>
        <w:tc>
          <w:tcPr>
            <w:tcW w:w="3040" w:type="dxa"/>
            <w:vAlign w:val="bottom"/>
            <w:gridSpan w:val="2"/>
            <w:shd w:val="clear" w:color="auto" w:fill="CEFEE7"/>
          </w:tcPr>
          <w:p>
            <w:pPr>
              <w:ind w:left="20"/>
              <w:spacing w:after="0"/>
              <w:rPr>
                <w:sz w:val="20"/>
                <w:szCs w:val="20"/>
                <w:color w:val="auto"/>
              </w:rPr>
            </w:pPr>
            <w:r>
              <w:rPr>
                <w:rFonts w:ascii="Arial" w:cs="Arial" w:eastAsia="Arial" w:hAnsi="Arial"/>
                <w:sz w:val="16"/>
                <w:szCs w:val="16"/>
                <w:color w:val="auto"/>
              </w:rPr>
              <w:t>Nebraska Gas</w:t>
            </w:r>
          </w:p>
        </w:tc>
        <w:tc>
          <w:tcPr>
            <w:tcW w:w="14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140</w:t>
            </w:r>
          </w:p>
        </w:tc>
        <w:tc>
          <w:tcPr>
            <w:tcW w:w="346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CWA Local 7476</w:t>
            </w:r>
          </w:p>
        </w:tc>
        <w:tc>
          <w:tcPr>
            <w:tcW w:w="334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October 30, 2023</w:t>
            </w:r>
          </w:p>
        </w:tc>
      </w:tr>
      <w:tr>
        <w:trPr>
          <w:trHeight w:val="213"/>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Wyoming Gas</w:t>
            </w:r>
          </w:p>
        </w:tc>
        <w:tc>
          <w:tcPr>
            <w:tcW w:w="1400" w:type="dxa"/>
            <w:vAlign w:val="bottom"/>
          </w:tcPr>
          <w:p>
            <w:pPr>
              <w:jc w:val="right"/>
              <w:spacing w:after="0"/>
              <w:rPr>
                <w:sz w:val="20"/>
                <w:szCs w:val="20"/>
                <w:color w:val="auto"/>
              </w:rPr>
            </w:pPr>
            <w:r>
              <w:rPr>
                <w:rFonts w:ascii="Arial" w:cs="Arial" w:eastAsia="Arial" w:hAnsi="Arial"/>
                <w:sz w:val="16"/>
                <w:szCs w:val="16"/>
                <w:color w:val="auto"/>
              </w:rPr>
              <w:t>15</w:t>
            </w:r>
          </w:p>
        </w:tc>
        <w:tc>
          <w:tcPr>
            <w:tcW w:w="3460" w:type="dxa"/>
            <w:vAlign w:val="bottom"/>
          </w:tcPr>
          <w:p>
            <w:pPr>
              <w:jc w:val="center"/>
              <w:spacing w:after="0"/>
              <w:rPr>
                <w:sz w:val="20"/>
                <w:szCs w:val="20"/>
                <w:color w:val="auto"/>
              </w:rPr>
            </w:pPr>
            <w:r>
              <w:rPr>
                <w:rFonts w:ascii="Arial" w:cs="Arial" w:eastAsia="Arial" w:hAnsi="Arial"/>
                <w:sz w:val="16"/>
                <w:szCs w:val="16"/>
                <w:color w:val="auto"/>
              </w:rPr>
              <w:t>IBEW Local 111</w:t>
            </w:r>
          </w:p>
        </w:tc>
        <w:tc>
          <w:tcPr>
            <w:tcW w:w="3340" w:type="dxa"/>
            <w:vAlign w:val="bottom"/>
          </w:tcPr>
          <w:p>
            <w:pPr>
              <w:jc w:val="center"/>
              <w:spacing w:after="0"/>
              <w:rPr>
                <w:sz w:val="20"/>
                <w:szCs w:val="20"/>
                <w:color w:val="auto"/>
              </w:rPr>
            </w:pPr>
            <w:r>
              <w:rPr>
                <w:rFonts w:ascii="Arial" w:cs="Arial" w:eastAsia="Arial" w:hAnsi="Arial"/>
                <w:sz w:val="16"/>
                <w:szCs w:val="16"/>
                <w:color w:val="auto"/>
              </w:rPr>
              <w:t>June 30, 2024</w:t>
            </w:r>
          </w:p>
        </w:tc>
      </w:tr>
      <w:tr>
        <w:trPr>
          <w:trHeight w:val="219"/>
        </w:trPr>
        <w:tc>
          <w:tcPr>
            <w:tcW w:w="3040" w:type="dxa"/>
            <w:vAlign w:val="bottom"/>
            <w:gridSpan w:val="2"/>
            <w:shd w:val="clear" w:color="auto" w:fill="CEFEE7"/>
          </w:tcPr>
          <w:p>
            <w:pPr>
              <w:ind w:left="20"/>
              <w:spacing w:after="0"/>
              <w:rPr>
                <w:sz w:val="20"/>
                <w:szCs w:val="20"/>
                <w:color w:val="auto"/>
              </w:rPr>
            </w:pPr>
            <w:r>
              <w:rPr>
                <w:rFonts w:ascii="Arial" w:cs="Arial" w:eastAsia="Arial" w:hAnsi="Arial"/>
                <w:sz w:val="16"/>
                <w:szCs w:val="16"/>
                <w:color w:val="auto"/>
              </w:rPr>
              <w:t>Wyoming Gas</w:t>
            </w:r>
          </w:p>
        </w:tc>
        <w:tc>
          <w:tcPr>
            <w:tcW w:w="14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78</w:t>
            </w:r>
          </w:p>
        </w:tc>
        <w:tc>
          <w:tcPr>
            <w:tcW w:w="346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CWA Local 7476</w:t>
            </w:r>
          </w:p>
        </w:tc>
        <w:tc>
          <w:tcPr>
            <w:tcW w:w="334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October 30, 2023</w:t>
            </w:r>
          </w:p>
        </w:tc>
      </w:tr>
      <w:tr>
        <w:trPr>
          <w:trHeight w:val="207"/>
        </w:trPr>
        <w:tc>
          <w:tcPr>
            <w:tcW w:w="3040" w:type="dxa"/>
            <w:vAlign w:val="bottom"/>
            <w:tcBorders>
              <w:bottom w:val="single" w:sz="8" w:color="CEFEE7"/>
            </w:tcBorders>
            <w:gridSpan w:val="2"/>
          </w:tcPr>
          <w:p>
            <w:pPr>
              <w:ind w:left="360"/>
              <w:spacing w:after="0"/>
              <w:rPr>
                <w:sz w:val="20"/>
                <w:szCs w:val="20"/>
                <w:color w:val="auto"/>
              </w:rPr>
            </w:pPr>
            <w:r>
              <w:rPr>
                <w:rFonts w:ascii="Arial" w:cs="Arial" w:eastAsia="Arial" w:hAnsi="Arial"/>
                <w:sz w:val="16"/>
                <w:szCs w:val="16"/>
                <w:b w:val="1"/>
                <w:bCs w:val="1"/>
                <w:color w:val="auto"/>
              </w:rPr>
              <w:t>Total Gas Utilities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3460" w:type="dxa"/>
            <w:vAlign w:val="bottom"/>
            <w:tcBorders>
              <w:bottom w:val="single" w:sz="8" w:color="CEFEE7"/>
            </w:tcBorders>
          </w:tcPr>
          <w:p>
            <w:pPr>
              <w:spacing w:after="0"/>
              <w:rPr>
                <w:sz w:val="17"/>
                <w:szCs w:val="17"/>
                <w:color w:val="auto"/>
              </w:rPr>
            </w:pPr>
          </w:p>
        </w:tc>
        <w:tc>
          <w:tcPr>
            <w:tcW w:w="3340" w:type="dxa"/>
            <w:vAlign w:val="bottom"/>
            <w:tcBorders>
              <w:bottom w:val="single" w:sz="8" w:color="CEFEE7"/>
            </w:tcBorders>
          </w:tcPr>
          <w:p>
            <w:pPr>
              <w:spacing w:after="0"/>
              <w:rPr>
                <w:sz w:val="17"/>
                <w:szCs w:val="17"/>
                <w:color w:val="auto"/>
              </w:rPr>
            </w:pPr>
          </w:p>
        </w:tc>
      </w:tr>
      <w:tr>
        <w:trPr>
          <w:trHeight w:val="78"/>
        </w:trPr>
        <w:tc>
          <w:tcPr>
            <w:tcW w:w="1360" w:type="dxa"/>
            <w:vAlign w:val="bottom"/>
            <w:shd w:val="clear" w:color="auto" w:fill="CEFEE7"/>
          </w:tcPr>
          <w:p>
            <w:pPr>
              <w:spacing w:after="0"/>
              <w:rPr>
                <w:sz w:val="6"/>
                <w:szCs w:val="6"/>
                <w:color w:val="auto"/>
              </w:rPr>
            </w:pPr>
          </w:p>
        </w:tc>
        <w:tc>
          <w:tcPr>
            <w:tcW w:w="1680" w:type="dxa"/>
            <w:vAlign w:val="bottom"/>
            <w:shd w:val="clear" w:color="auto" w:fill="CEFEE7"/>
          </w:tcPr>
          <w:p>
            <w:pPr>
              <w:spacing w:after="0"/>
              <w:rPr>
                <w:sz w:val="6"/>
                <w:szCs w:val="6"/>
                <w:color w:val="auto"/>
              </w:rPr>
            </w:pPr>
          </w:p>
        </w:tc>
        <w:tc>
          <w:tcPr>
            <w:tcW w:w="1400" w:type="dxa"/>
            <w:vAlign w:val="bottom"/>
            <w:tcBorders>
              <w:bottom w:val="single" w:sz="8" w:color="auto"/>
            </w:tcBorders>
            <w:shd w:val="clear" w:color="auto" w:fill="CEFEE7"/>
          </w:tcPr>
          <w:p>
            <w:pPr>
              <w:spacing w:after="0"/>
              <w:rPr>
                <w:sz w:val="6"/>
                <w:szCs w:val="6"/>
                <w:color w:val="auto"/>
              </w:rPr>
            </w:pPr>
          </w:p>
        </w:tc>
        <w:tc>
          <w:tcPr>
            <w:tcW w:w="3460" w:type="dxa"/>
            <w:vAlign w:val="bottom"/>
            <w:shd w:val="clear" w:color="auto" w:fill="CEFEE7"/>
          </w:tcPr>
          <w:p>
            <w:pPr>
              <w:spacing w:after="0"/>
              <w:rPr>
                <w:sz w:val="6"/>
                <w:szCs w:val="6"/>
                <w:color w:val="auto"/>
              </w:rPr>
            </w:pPr>
          </w:p>
        </w:tc>
        <w:tc>
          <w:tcPr>
            <w:tcW w:w="3340" w:type="dxa"/>
            <w:vAlign w:val="bottom"/>
            <w:shd w:val="clear" w:color="auto" w:fill="CEFEE7"/>
          </w:tcPr>
          <w:p>
            <w:pPr>
              <w:spacing w:after="0"/>
              <w:rPr>
                <w:sz w:val="6"/>
                <w:szCs w:val="6"/>
                <w:color w:val="auto"/>
              </w:rPr>
            </w:pPr>
          </w:p>
        </w:tc>
      </w:tr>
      <w:tr>
        <w:trPr>
          <w:trHeight w:val="209"/>
        </w:trPr>
        <w:tc>
          <w:tcPr>
            <w:tcW w:w="3040" w:type="dxa"/>
            <w:vAlign w:val="bottom"/>
            <w:gridSpan w:val="2"/>
          </w:tcPr>
          <w:p>
            <w:pPr>
              <w:ind w:left="800"/>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346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
        </w:trPr>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Attraction</w:t>
      </w:r>
    </w:p>
    <w:p>
      <w:pPr>
        <w:spacing w:after="0" w:line="255" w:lineRule="exact"/>
        <w:rPr>
          <w:sz w:val="20"/>
          <w:szCs w:val="20"/>
          <w:color w:val="auto"/>
        </w:rPr>
      </w:pPr>
    </w:p>
    <w:p>
      <w:pPr>
        <w:ind w:right="80"/>
        <w:spacing w:after="0" w:line="233" w:lineRule="auto"/>
        <w:rPr>
          <w:sz w:val="20"/>
          <w:szCs w:val="20"/>
          <w:color w:val="auto"/>
        </w:rPr>
      </w:pPr>
      <w:r>
        <w:rPr>
          <w:rFonts w:ascii="Arial" w:cs="Arial" w:eastAsia="Arial" w:hAnsi="Arial"/>
          <w:sz w:val="16"/>
          <w:szCs w:val="16"/>
          <w:color w:val="auto"/>
        </w:rPr>
        <w:t>Continuous attraction of qualified team members is critical to our ability to serve our 1.3 million customers safely and efficiently. We actively recruit qualified candidates and continuously evaluate our interviewing and hiring practices to ensure equitable pay and processes. Our attraction efforts include the use of multiple nation-wide job boards, local college and high school outreach programs, a robust college internship program and participation in national and local job fairs. We have targeted diversity initiatives specific to recruiting groups, such as women, minorities and veterans, to fulfill our vision of continuing to build a thriving workforce, which is best able to support our communities, our customers and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Diversity &amp; Inclusion</w:t>
      </w:r>
    </w:p>
    <w:p>
      <w:pPr>
        <w:spacing w:after="0" w:line="268"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At Black Hills Corporation, we believe in the benefits of diversity, equity and inclusion. We believe that a diverse workforce will assist us in executing our strategic business plans, including our growth strategy. Workforce diversity trends, including diverse new hires, promotions and turnover, are monitored at regular intervals.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Development and Retention</w:t>
      </w:r>
    </w:p>
    <w:p>
      <w:pPr>
        <w:spacing w:after="0" w:line="255" w:lineRule="exact"/>
        <w:rPr>
          <w:sz w:val="20"/>
          <w:szCs w:val="20"/>
          <w:color w:val="auto"/>
        </w:rPr>
      </w:pPr>
    </w:p>
    <w:p>
      <w:pPr>
        <w:ind w:right="60"/>
        <w:spacing w:after="0" w:line="232" w:lineRule="auto"/>
        <w:rPr>
          <w:sz w:val="20"/>
          <w:szCs w:val="20"/>
          <w:color w:val="auto"/>
        </w:rPr>
      </w:pPr>
      <w:r>
        <w:rPr>
          <w:rFonts w:ascii="Arial" w:cs="Arial" w:eastAsia="Arial" w:hAnsi="Arial"/>
          <w:sz w:val="16"/>
          <w:szCs w:val="16"/>
          <w:color w:val="auto"/>
        </w:rPr>
        <w:t>Retaining and developing team members is critical to our continued success. Our retention efforts include competitive compensation programs, monitoring employee engagement, career development resources for all employees and internal training programs. Our compensation programs are designed to be strategically aligned, externally competitive, internally equitable, personally motivating, cost effective and legally compliant. We continuously monitor employee engagement through bi-annual engagement surveys and quarterly pulse surveys. Every leader is responsible for creating and implementing an action plan based on their team’s engagement survey results. Our career development resources include management onboarding, leadership development programs, mentoring programs, individual development assessments and more. Internal training opportunities include corporate-wide trainings and specialized training opportunities for different job functions. Our Field Career Path Program (FCPP) promotes career growth through established standards of knowledge, skills, abilities and performance.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Safety and Wellness</w:t>
      </w:r>
    </w:p>
    <w:p>
      <w:pPr>
        <w:spacing w:after="0" w:line="2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Safety is one of our company values, a top priority in all we do and deeply embedded in our culture. We are committed to consistently outperforming utility industry averages in key safety metrics. Meetings of three or more employees begin with a safety share, a practice which contributes to keeping safety top of mind. Since 2009, we have reduced workplace injuries by more than 75% and continue to see long-term, sustained improvements in our safety practices and performance.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tcPr>
          <w:p>
            <w:pPr>
              <w:spacing w:after="0"/>
              <w:rPr>
                <w:sz w:val="16"/>
                <w:szCs w:val="16"/>
                <w:color w:val="auto"/>
              </w:rPr>
            </w:pPr>
          </w:p>
        </w:tc>
        <w:tc>
          <w:tcPr>
            <w:tcW w:w="3320" w:type="dxa"/>
            <w:vAlign w:val="bottom"/>
          </w:tcPr>
          <w:p>
            <w:pPr>
              <w:ind w:left="680"/>
              <w:spacing w:after="0"/>
              <w:rPr>
                <w:sz w:val="20"/>
                <w:szCs w:val="20"/>
                <w:color w:val="auto"/>
              </w:rPr>
            </w:pPr>
            <w:r>
              <w:rPr>
                <w:rFonts w:ascii="Arial" w:cs="Arial" w:eastAsia="Arial" w:hAnsi="Arial"/>
                <w:sz w:val="16"/>
                <w:szCs w:val="16"/>
                <w:color w:val="auto"/>
              </w:rPr>
              <w:t>For the year ended December 31,</w:t>
            </w:r>
          </w:p>
        </w:tc>
      </w:tr>
      <w:tr>
        <w:trPr>
          <w:trHeight w:val="198"/>
        </w:trPr>
        <w:tc>
          <w:tcPr>
            <w:tcW w:w="79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rPr>
              <w:t>2021</w:t>
            </w:r>
          </w:p>
        </w:tc>
      </w:tr>
      <w:tr>
        <w:trPr>
          <w:trHeight w:val="213"/>
        </w:trPr>
        <w:tc>
          <w:tcPr>
            <w:tcW w:w="7920" w:type="dxa"/>
            <w:vAlign w:val="bottom"/>
            <w:shd w:val="clear" w:color="auto" w:fill="CEFFE7"/>
          </w:tcPr>
          <w:p>
            <w:pPr>
              <w:jc w:val="center"/>
              <w:ind w:left="399"/>
              <w:spacing w:after="0"/>
              <w:rPr>
                <w:sz w:val="20"/>
                <w:szCs w:val="20"/>
                <w:color w:val="auto"/>
              </w:rPr>
            </w:pPr>
            <w:r>
              <w:rPr>
                <w:rFonts w:ascii="Arial" w:cs="Arial" w:eastAsia="Arial" w:hAnsi="Arial"/>
                <w:sz w:val="16"/>
                <w:szCs w:val="16"/>
                <w:color w:val="auto"/>
              </w:rPr>
              <w:t>Total Case Incident Rate (incidents per 200,000 hours worked)</w:t>
            </w:r>
          </w:p>
        </w:tc>
        <w:tc>
          <w:tcPr>
            <w:tcW w:w="3320" w:type="dxa"/>
            <w:vAlign w:val="bottom"/>
            <w:shd w:val="clear" w:color="auto" w:fill="CEFFE7"/>
          </w:tcPr>
          <w:p>
            <w:pPr>
              <w:jc w:val="center"/>
              <w:ind w:left="399"/>
              <w:spacing w:after="0"/>
              <w:rPr>
                <w:sz w:val="20"/>
                <w:szCs w:val="20"/>
                <w:color w:val="auto"/>
              </w:rPr>
            </w:pPr>
            <w:r>
              <w:rPr>
                <w:rFonts w:ascii="Arial" w:cs="Arial" w:eastAsia="Arial" w:hAnsi="Arial"/>
                <w:sz w:val="16"/>
                <w:szCs w:val="16"/>
                <w:color w:val="auto"/>
              </w:rPr>
              <w:t>1.06</w:t>
            </w:r>
          </w:p>
        </w:tc>
      </w:tr>
      <w:tr>
        <w:trPr>
          <w:trHeight w:val="213"/>
        </w:trPr>
        <w:tc>
          <w:tcPr>
            <w:tcW w:w="7920" w:type="dxa"/>
            <w:vAlign w:val="bottom"/>
          </w:tcPr>
          <w:p>
            <w:pPr>
              <w:jc w:val="center"/>
              <w:ind w:left="399"/>
              <w:spacing w:after="0"/>
              <w:rPr>
                <w:sz w:val="20"/>
                <w:szCs w:val="20"/>
                <w:color w:val="auto"/>
              </w:rPr>
            </w:pPr>
            <w:r>
              <w:rPr>
                <w:rFonts w:ascii="Arial" w:cs="Arial" w:eastAsia="Arial" w:hAnsi="Arial"/>
                <w:sz w:val="16"/>
                <w:szCs w:val="16"/>
                <w:color w:val="auto"/>
              </w:rPr>
              <w:t>Preventable Motor Vehicle Incident Rate (vehicle accidents per 1 million miles driven)</w:t>
            </w:r>
          </w:p>
        </w:tc>
        <w:tc>
          <w:tcPr>
            <w:tcW w:w="3320" w:type="dxa"/>
            <w:vAlign w:val="bottom"/>
          </w:tcPr>
          <w:p>
            <w:pPr>
              <w:jc w:val="center"/>
              <w:ind w:left="399"/>
              <w:spacing w:after="0"/>
              <w:rPr>
                <w:sz w:val="20"/>
                <w:szCs w:val="20"/>
                <w:color w:val="auto"/>
              </w:rPr>
            </w:pPr>
            <w:r>
              <w:rPr>
                <w:rFonts w:ascii="Arial" w:cs="Arial" w:eastAsia="Arial" w:hAnsi="Arial"/>
                <w:sz w:val="16"/>
                <w:szCs w:val="16"/>
                <w:color w:val="auto"/>
              </w:rPr>
              <w:t>1.81</w:t>
            </w:r>
          </w:p>
        </w:tc>
      </w:tr>
      <w:tr>
        <w:trPr>
          <w:trHeight w:val="219"/>
        </w:trPr>
        <w:tc>
          <w:tcPr>
            <w:tcW w:w="7920" w:type="dxa"/>
            <w:vAlign w:val="bottom"/>
            <w:shd w:val="clear" w:color="auto" w:fill="CEFFE7"/>
          </w:tcPr>
          <w:p>
            <w:pPr>
              <w:jc w:val="center"/>
              <w:ind w:left="399"/>
              <w:spacing w:after="0" w:line="219" w:lineRule="exact"/>
              <w:rPr>
                <w:sz w:val="20"/>
                <w:szCs w:val="20"/>
                <w:color w:val="auto"/>
              </w:rPr>
            </w:pPr>
            <w:r>
              <w:rPr>
                <w:rFonts w:ascii="Arial" w:cs="Arial" w:eastAsia="Arial" w:hAnsi="Arial"/>
                <w:sz w:val="16"/>
                <w:szCs w:val="16"/>
                <w:color w:val="auto"/>
                <w:w w:val="99"/>
              </w:rPr>
              <w:t xml:space="preserve">Proactive Safety and Wellness Participation Rate </w:t>
            </w:r>
            <w:r>
              <w:rPr>
                <w:rFonts w:ascii="Arial" w:cs="Arial" w:eastAsia="Arial" w:hAnsi="Arial"/>
                <w:sz w:val="21"/>
                <w:szCs w:val="21"/>
                <w:color w:val="auto"/>
                <w:w w:val="99"/>
                <w:vertAlign w:val="superscript"/>
              </w:rPr>
              <w:t>(a)</w:t>
            </w:r>
          </w:p>
        </w:tc>
        <w:tc>
          <w:tcPr>
            <w:tcW w:w="3320" w:type="dxa"/>
            <w:vAlign w:val="bottom"/>
            <w:shd w:val="clear" w:color="auto" w:fill="CEFFE7"/>
          </w:tcPr>
          <w:p>
            <w:pPr>
              <w:jc w:val="center"/>
              <w:ind w:left="399"/>
              <w:spacing w:after="0"/>
              <w:rPr>
                <w:sz w:val="20"/>
                <w:szCs w:val="20"/>
                <w:color w:val="auto"/>
              </w:rPr>
            </w:pPr>
            <w:r>
              <w:rPr>
                <w:rFonts w:ascii="Arial" w:cs="Arial" w:eastAsia="Arial" w:hAnsi="Arial"/>
                <w:sz w:val="16"/>
                <w:szCs w:val="16"/>
                <w:color w:val="auto"/>
                <w:w w:val="99"/>
              </w:rPr>
              <w:t>71%</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Measures the employee engagement rate in a fitness tracking system used for the Company’s well-being program.</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7"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The nature of our business subjects us to a number of uncertainties and risks. Risks that may adversely affect our business operations, financial condition, results of operations or cash flows are described below. These risk factors, along with other risk factors that we discuss in our periodic reports filed with the SEC should be considered for a better understanding of our Company.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RISKS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continued success is dependent on execution of our strategic business plans including our growth strategy.</w:t>
      </w:r>
    </w:p>
    <w:p>
      <w:pPr>
        <w:spacing w:after="0" w:line="26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Our success depends, in significant part, on our ability to execute our strategic business plans, including our growth strategy. Our plans and strategy include building sustainable operations and supporting the Energy Transition; consistently outperforming utility industry averages in key safety metrics; modernizing utility infrastructure; transforming the customer experience; growing our electric and natural gas customer load; and pursuing operating efficiencies. Our current plans and strategy may be negatively impacted by disruptive forces and innovations in the marketplace, changing political, business or regulatory conditions and technology advancements.</w:t>
      </w:r>
    </w:p>
    <w:p>
      <w:pPr>
        <w:spacing w:after="0" w:line="230"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In addition, we have significant capital investment programs planned for the next five years that are key to our strategic business plans. The successful execution of our capital investment program depends on, or could be affected by, a variety of factors that include, but are not limited to: weather conditions, effective management of projects, availability of qualified construction personnel including contractors, changes in commodity and other prices, availability and inflationary cost of materials, governmental approvals and permitting, regulatory cost recovery and return on investment.</w:t>
      </w:r>
    </w:p>
    <w:p>
      <w:pPr>
        <w:spacing w:after="0" w:line="229"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An inability to successfully and timely adapt to changing conditions and execute our strategic plans could materially affect our financial operating results including earnings, cash flow and liquidity.</w:t>
      </w:r>
    </w:p>
    <w:p>
      <w:pPr>
        <w:spacing w:after="0" w:line="202"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b w:val="1"/>
          <w:bCs w:val="1"/>
          <w:color w:val="auto"/>
        </w:rPr>
        <w:t>Customer growth and usage in our service territories may fluctuate with economic conditions, emerging technologies, political influences or responses to price increases.</w:t>
      </w:r>
    </w:p>
    <w:p>
      <w:pPr>
        <w:spacing w:after="0" w:line="20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Our financial operating results are impacted by energy demand in our service territories. Customer growth and usage may be impacted by a number of factors, including the voluntary reduction in consumption of electricity and natural gas by our customers in response to increases in prices and energy efficiency programs, electrification initiatives that could negatively impact the demand for natural gas, economic conditions impacting customers’ disposable income and the use of distributed generation resources or other emerging technologies. Continued technological improvements may make customer and third-party distributed generation and energy storage systems, including fuel cells, micro-turbines, wind turbines, solar cells and batteries, more cost effective and feasible for our customers. If more customers utilize their own generation, demand for energy from us could decline. Such developments could affect the price of energy and delivery of energy, require further improvements to our distribution systems to address changing load demands and could make portions of our electric system power supply and transmission and/or distribution facilities obsolete prior to the end of their useful lives. Each of these factors could materially affect our financial operating results including earnings, cash flow and liquidity.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LEGISLATIVE AND LEGAL RISKS</w:t>
      </w:r>
    </w:p>
    <w:p>
      <w:pPr>
        <w:spacing w:after="0" w:line="24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auto"/>
        </w:rPr>
        <w:t>We may be subject to future laws, regulations or actions associated with climate change, including those relating to fossil-fuel generation and GHG emissions, which could increase our operating costs or restrict our market opportunities.</w:t>
      </w:r>
    </w:p>
    <w:p>
      <w:pPr>
        <w:spacing w:after="0" w:line="20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own and operate regulated and non-regulated electric power plants that burn fossil fuels (natural gas and coal) and a surface mine that extracts and sells coal. We also purchase, store and deliver natural gas to our customers. These business activities are subject to evolving public concern regarding fossil fuels, GHG emissions (such as carbon dioxide and methane) and their impact on the climate.</w:t>
      </w:r>
    </w:p>
    <w:p>
      <w:pPr>
        <w:spacing w:after="0" w:line="22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There is uncertainty surrounding climate regulation due to legal challenges to some current regulations and anticipated new federal and/or state climate legislation and regulation. New or more stringent regulations or other energy efficiency requirements could require us to incur significant additional costs relating to, among other things, the installation of additional emission control equipment, the acceleration of capital expenditures, the purchase of additional emissions allowances or offsets, the acquisition or development of additional energy supply from renewable resources, the closure or capacity reductions of coal-fired power generation facilities or conversion to natural gas, and potential increased production from our combined cycle natural gas-fired generating units. Additional rules and regulations associated with fossil fuels and GHG emissions could result in the impairment or retirement of some of our existing or future transmission, distribution, generation and natural gas storage facilities or our coal mine. Further, these rules could create the need to purchase or build clean-energy fuel sources to fulfill obligations to our customers. These actions could also result in increased operating costs which could adversely impact customers and our financial operating results including earnings, cash flow and liquidity. We cannot definitively estimate the effect of GHG legislation or regulation on our results of operations, financial condition or cash flows.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Future GHG constraints designed to minimize emissions from natural gas could likewise result in increased costs and affect the demand for natural gas as well as the prices charged to customers and the competitive position of natural gas among fuel alternatives. Certain cities in our operational footprint are focused on electrification and are considering initiatives that may restrict the direct use of natural gas in homes and businesses. Any such initiatives and legislation could have a negative impact on our results of operations, financial condition and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subject to unfavorable or untimely federal and state regulatory outcomes.</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regulated Electric and Gas Utilities are subject to cost-of-service/rate-of-return regulation and earnings oversight from federal and eight state utility commissions. This regulatory treatment does not provide any assurance as to achievement of desired earnings levels. Our customer rates are regulated based on an analysis of our costs and investments, as reviewed and approved in regulatory proceedings. While rate regulation is premised on the full recovery of prudently incurred costs and a reasonable rate of return on invested capital, there can be no assurance that our various regulatory authorities will judge all of our costs to have been prudently incurred or that the regulatory process in which rates are determined will result in full or timely recovery of our costs with a reasonable return on invested capital. In addition, adverse rate decisions, including rate moratoriums, rate refunds, limits on rate increases, lower allowed returns on investments or rate reductions, could be influenced by competitive, economic, political, legislative, public perception and regulatory pressures and adversely impact results of operations, financial condition and cash flows.</w:t>
      </w:r>
    </w:p>
    <w:p>
      <w:pPr>
        <w:spacing w:after="0" w:line="23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Each of our Electric and Gas Utilities are permitted to recover certain costs (such as increased fuel and purchased power costs, including incremental costs from Winter Storm Uri, or integrity capital investments) outside of a base rate review in order to stabilize customer rates and reduce regulatory lag. If regulators decide to discontinue these tariff-based recovery mechanisms, it could negatively impact results of operations,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could significantly increase to achieve or maintain compliance with existing or future environmental laws, regulations or requirements.</w:t>
      </w:r>
    </w:p>
    <w:p>
      <w:pPr>
        <w:spacing w:after="0" w:line="268" w:lineRule="exact"/>
        <w:rPr>
          <w:sz w:val="20"/>
          <w:szCs w:val="20"/>
          <w:color w:val="auto"/>
        </w:rPr>
      </w:pPr>
    </w:p>
    <w:p>
      <w:pPr>
        <w:ind w:right="20"/>
        <w:spacing w:after="0"/>
        <w:rPr>
          <w:sz w:val="20"/>
          <w:szCs w:val="20"/>
          <w:color w:val="auto"/>
        </w:rPr>
      </w:pPr>
      <w:r>
        <w:rPr>
          <w:rFonts w:ascii="Arial" w:cs="Arial" w:eastAsia="Arial" w:hAnsi="Arial"/>
          <w:sz w:val="16"/>
          <w:szCs w:val="16"/>
          <w:color w:val="auto"/>
        </w:rPr>
        <w:t>Our business segments are subject to numerous environmental laws and regulations affecting many aspects of present and future operations, including air emissions (i.e. SO</w:t>
      </w:r>
      <w:r>
        <w:rPr>
          <w:rFonts w:ascii="Arial" w:cs="Arial" w:eastAsia="Arial" w:hAnsi="Arial"/>
          <w:sz w:val="21"/>
          <w:szCs w:val="21"/>
          <w:color w:val="auto"/>
          <w:vertAlign w:val="subscript"/>
        </w:rPr>
        <w:t>2</w:t>
      </w:r>
      <w:r>
        <w:rPr>
          <w:rFonts w:ascii="Arial" w:cs="Arial" w:eastAsia="Arial" w:hAnsi="Arial"/>
          <w:sz w:val="16"/>
          <w:szCs w:val="16"/>
          <w:color w:val="auto"/>
        </w:rPr>
        <w:t>, NO</w:t>
      </w:r>
      <w:r>
        <w:rPr>
          <w:rFonts w:ascii="Arial" w:cs="Arial" w:eastAsia="Arial" w:hAnsi="Arial"/>
          <w:sz w:val="21"/>
          <w:szCs w:val="21"/>
          <w:color w:val="auto"/>
          <w:vertAlign w:val="subscript"/>
        </w:rPr>
        <w:t>x</w:t>
      </w:r>
      <w:r>
        <w:rPr>
          <w:rFonts w:ascii="Arial" w:cs="Arial" w:eastAsia="Arial" w:hAnsi="Arial"/>
          <w:sz w:val="16"/>
          <w:szCs w:val="16"/>
          <w:color w:val="auto"/>
        </w:rPr>
        <w:t>, volatile organic compounds, particulate matter and GHG), water quality, wastewater discharges, solid waste and hazardous waste. These laws and regulations may result in increased capital, operating and other costs. These laws and regulations generally require the business segments to obtain and comply with a wide variety of environmental licenses, permits, inspections and other government approvals. Compliance with environmental laws and regulations may require significant expenditures, including expenditures for cleanup costs and damages arising from contaminated properties. Failure or inability to comply with evolving environmental regulations may result in the imposition of fines, penalties and injunctive measures affecting operating assets.</w:t>
      </w:r>
    </w:p>
    <w:p>
      <w:pPr>
        <w:spacing w:after="0" w:line="200" w:lineRule="exact"/>
        <w:rPr>
          <w:sz w:val="20"/>
          <w:szCs w:val="20"/>
          <w:color w:val="auto"/>
        </w:rPr>
      </w:pPr>
    </w:p>
    <w:p>
      <w:pPr>
        <w:spacing w:after="0" w:line="20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Our business segments may not be successful in recovering increased capital and operating costs incurred to comply with new environmental regulations through existing regulatory rate structures and contracts with customers. More stringent environmental laws or regulations could result in additional costs of operation for existing facilities or impede the development of new facilities. Although it is not expected that the costs to comply with current environmental regulations will have a material adverse effect on our business segments’ financial position, results of operations or cash flows, future environmental compliance costs could have a significant negative impact.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Legislative and regulatory requirements may result in compliance penalties.</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Business activities in the energy sector are heavily regulated, primarily by agencies of the federal government. Many agencies employ mandatory civil penalty structures for regulatory violations. The FERC, NERC, CFTC, EPA, OSHA, SEC, TSA and MSHA may impose significant civil and criminal penalties to enforce compliance requirements relative to our business, which could have a material adverse effect on our financial operating results including earnings, cash flow and liquidity.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Municipal governments may seek to limit or deny our franchise privileges.</w:t>
      </w:r>
    </w:p>
    <w:p>
      <w:pPr>
        <w:spacing w:after="0" w:line="268"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Municipal governments within our utility service territories possess the power of condemnation and could establish a municipal utility within a portion of our current service territories by limiting or denying franchise privileges for our operations and exercising powers of condemnation over all or part of our utility assets within municipal boundaries. We regularly engage in negotiations on renewals of franchise agreements with our municipal governments. We have from time to time faced challenges or ballot initiatives on franchise renewals. To date, we have been successful in resolving or defending each of these challenges. Although condemnation is a process that is subject to constitutional protections requiring just and fair compensation, as with any judicial procedure, the outcome is uncertain. If a municipality sought to pursue this course of action, we cannot assure that we would secure adequate recovery of our investment in assets subject to condemnation. We also cannot quantify the impact that such action would have on the remainder of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Federal tax law may significantly impact our business.</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are subject to taxation by the various taxing authorities at the federal, state and local levels where we operate. Similar to the TCJA, sweeping legislation or regulation could be enacted by any of these governmental authorities which may affect our tax burden. Changes may include numerous provisions that affect businesses, including changes to corporate tax rates, business-related exclusions, and deductions and credits. The outcome of regulatory proceedings regarding the extent to which a change in corporate tax rate will affect our utility customers and the time period over which that change will occur could significantly impact future earnings and cash flows. Separately, a challenge by a taxing authority, changes in taxing authorities’ administrative interpretations, decisions, policies and positions, our ability to utilize tax benefits such as carryforwards or tax credits, or a deviation from other tax-related assumptions may cause actual financial results to deviate from previous estimates.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RISKS</w:t>
      </w:r>
    </w:p>
    <w:p>
      <w:pPr>
        <w:spacing w:after="0" w:line="248"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b w:val="1"/>
          <w:bCs w:val="1"/>
          <w:color w:val="auto"/>
        </w:rPr>
        <w:t>Our financial performance depends on the successful operation of electric generating facilities, electric and natural gas transmission and distribution systems, natural gas storage facilities and a coal mine.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risks associated with managing these operations include:</w:t>
      </w:r>
    </w:p>
    <w:p>
      <w:pPr>
        <w:spacing w:after="0" w:line="248" w:lineRule="exact"/>
        <w:rPr>
          <w:sz w:val="20"/>
          <w:szCs w:val="20"/>
          <w:color w:val="auto"/>
        </w:rPr>
      </w:pPr>
    </w:p>
    <w:p>
      <w:pPr>
        <w:ind w:left="660" w:right="20" w:hanging="328"/>
        <w:spacing w:after="0" w:line="251"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Inherent dangers. Electricity and natural gas can be dangerous to employees and the general public. Failures of or contact with power lines, natural gas pipelines or service facilities and equipment may result in fires, explosions, property damage and personal injuries, including death. While we maintain liability and property insurance coverage, such policies are subject to certain limits and deductibles. The occurrence of any of these events may not be fully covered by our insurance;</w:t>
      </w:r>
    </w:p>
    <w:p>
      <w:pPr>
        <w:spacing w:after="0" w:line="229" w:lineRule="exact"/>
        <w:rPr>
          <w:rFonts w:ascii="Arial" w:cs="Arial" w:eastAsia="Arial" w:hAnsi="Arial"/>
          <w:sz w:val="16"/>
          <w:szCs w:val="16"/>
          <w:color w:val="auto"/>
        </w:rPr>
      </w:pPr>
    </w:p>
    <w:p>
      <w:pPr>
        <w:ind w:left="660" w:right="80" w:hanging="328"/>
        <w:spacing w:after="0" w:line="251"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Weather, natural conditions and disasters including impacts from climate change. Severe weather events, such as snow and ice storms (e.g., Winter Storm Uri), fires, tornadoes, strong winds, significant thunderstorms, flooding and drought, could negatively impact operations, including our ability to provide energy safely, reliably and profitably and our ability to complete construction, expansion or refurbishment of facilities as planned. Climate change may intensify these events or increase the frequency of occurrence;</w:t>
      </w:r>
    </w:p>
    <w:p>
      <w:pPr>
        <w:spacing w:after="0" w:line="22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Acts of sabotage, terrorism or other malicious attacks. Damage to our facilities due to deliberate acts could lead to outages or other adverse effects;</w:t>
      </w:r>
    </w:p>
    <w:p>
      <w:pPr>
        <w:spacing w:after="0" w:line="248" w:lineRule="exact"/>
        <w:rPr>
          <w:rFonts w:ascii="Arial" w:cs="Arial" w:eastAsia="Arial" w:hAnsi="Arial"/>
          <w:sz w:val="16"/>
          <w:szCs w:val="16"/>
          <w:color w:val="auto"/>
        </w:rPr>
      </w:pPr>
    </w:p>
    <w:p>
      <w:pPr>
        <w:ind w:left="660" w:right="320" w:hanging="328"/>
        <w:spacing w:after="0" w:line="260"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Operating hazards. Operating hazards such as leaks, mechanical problems and accidents, including fires or explosions, could impact employee and public safety, reliability and customer confidence;</w:t>
      </w:r>
    </w:p>
    <w:p>
      <w:pPr>
        <w:spacing w:after="0" w:line="222" w:lineRule="exact"/>
        <w:rPr>
          <w:rFonts w:ascii="Arial" w:cs="Arial" w:eastAsia="Arial" w:hAnsi="Arial"/>
          <w:sz w:val="16"/>
          <w:szCs w:val="16"/>
          <w:color w:val="auto"/>
        </w:rPr>
      </w:pPr>
    </w:p>
    <w:p>
      <w:pPr>
        <w:ind w:left="660" w:right="140" w:hanging="328"/>
        <w:spacing w:after="0" w:line="260"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Equipment and processes. Breakdown or failure of equipment or processes, unavailability or increased cost of equipment, and performance below expected levels of output or efficiency could negatively impact our results of operations;</w:t>
      </w:r>
    </w:p>
    <w:p>
      <w:pPr>
        <w:spacing w:after="0" w:line="222" w:lineRule="exact"/>
        <w:rPr>
          <w:rFonts w:ascii="Arial" w:cs="Arial" w:eastAsia="Arial" w:hAnsi="Arial"/>
          <w:sz w:val="16"/>
          <w:szCs w:val="16"/>
          <w:color w:val="auto"/>
        </w:rPr>
      </w:pPr>
    </w:p>
    <w:p>
      <w:pPr>
        <w:jc w:val="both"/>
        <w:ind w:left="660" w:right="300" w:hanging="328"/>
        <w:spacing w:after="0" w:line="253"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Disrupted transmission and distribution. We depend on transmission and distribution facilities, including those operated by unaffiliated parties, to deliver the electricity and natural gas that we sell to our retail and wholesale customers. If transmission is interrupted physically, mechanically or with cyber means, our ability to sell or deliver utility services and satisfy our contractual obligations may be hindered;</w:t>
      </w:r>
    </w:p>
    <w:p>
      <w:pPr>
        <w:spacing w:after="0" w:line="228" w:lineRule="exact"/>
        <w:rPr>
          <w:rFonts w:ascii="Arial" w:cs="Arial" w:eastAsia="Arial" w:hAnsi="Arial"/>
          <w:sz w:val="16"/>
          <w:szCs w:val="16"/>
          <w:color w:val="auto"/>
        </w:rPr>
      </w:pPr>
    </w:p>
    <w:p>
      <w:pPr>
        <w:ind w:left="660" w:right="260" w:hanging="328"/>
        <w:spacing w:after="0" w:line="251"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Natural gas supply for generation and distribution. Our regulated utilities and non-regulated entities purchase natural gas from a number of suppliers for our generating facilities and for distribution to our customers. Our results of operations could be negatively impacted by the lack of availability and cost of natural gas, and disruptions in the delivery of natural gas due to various factors, including but not limited to, transportation delays, labor relations, weather, sabotage, cyber-attacks and environmental regulations;</w:t>
      </w:r>
    </w:p>
    <w:p>
      <w:pPr>
        <w:spacing w:after="0" w:line="229" w:lineRule="exact"/>
        <w:rPr>
          <w:rFonts w:ascii="Arial" w:cs="Arial" w:eastAsia="Arial" w:hAnsi="Arial"/>
          <w:sz w:val="16"/>
          <w:szCs w:val="16"/>
          <w:color w:val="auto"/>
        </w:rPr>
      </w:pPr>
    </w:p>
    <w:p>
      <w:pPr>
        <w:ind w:left="660" w:right="60" w:hanging="328"/>
        <w:spacing w:after="0" w:line="260"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Replacement power. The cost of supplying or securing replacement power during scheduled and unscheduled outages of generation facilities could negatively impact our results of operations;</w:t>
      </w:r>
    </w:p>
    <w:p>
      <w:pPr>
        <w:spacing w:after="0" w:line="222" w:lineRule="exact"/>
        <w:rPr>
          <w:rFonts w:ascii="Arial" w:cs="Arial" w:eastAsia="Arial" w:hAnsi="Arial"/>
          <w:sz w:val="16"/>
          <w:szCs w:val="16"/>
          <w:color w:val="auto"/>
        </w:rPr>
      </w:pPr>
    </w:p>
    <w:p>
      <w:pPr>
        <w:ind w:left="660" w:right="500" w:hanging="328"/>
        <w:spacing w:after="0" w:line="24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Governmental permits. The inability to obtain required governmental permits and approvals along with the cost of complying with or satisfying conditions imposed upon such approvals could negatively impact our ability to operate</w:t>
      </w:r>
    </w:p>
    <w:p>
      <w:pPr>
        <w:ind w:left="660"/>
        <w:spacing w:after="0"/>
        <w:rPr>
          <w:rFonts w:ascii="Arial" w:cs="Arial" w:eastAsia="Arial" w:hAnsi="Arial"/>
          <w:sz w:val="16"/>
          <w:szCs w:val="16"/>
          <w:color w:val="auto"/>
        </w:rPr>
      </w:pPr>
      <w:r>
        <w:rPr>
          <w:rFonts w:ascii="Arial" w:cs="Arial" w:eastAsia="Arial" w:hAnsi="Arial"/>
          <w:sz w:val="16"/>
          <w:szCs w:val="16"/>
          <w:color w:val="auto"/>
        </w:rPr>
        <w:t>and our results of operations;</w:t>
      </w:r>
    </w:p>
    <w:p>
      <w:pPr>
        <w:spacing w:after="0" w:line="248" w:lineRule="exact"/>
        <w:rPr>
          <w:rFonts w:ascii="Arial" w:cs="Arial" w:eastAsia="Arial" w:hAnsi="Arial"/>
          <w:sz w:val="16"/>
          <w:szCs w:val="16"/>
          <w:color w:val="auto"/>
        </w:rPr>
      </w:pPr>
    </w:p>
    <w:p>
      <w:pPr>
        <w:ind w:left="660" w:right="100" w:hanging="328"/>
        <w:spacing w:after="0" w:line="260"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Operational limitations. Operational limitations imposed by environmental and other regulatory requirements and contractual agreements, including those that restrict the timing of generation plant scheduled outages, could negatively impact our results of operations;</w:t>
      </w:r>
    </w:p>
    <w:p>
      <w:pPr>
        <w:spacing w:after="0" w:line="222" w:lineRule="exact"/>
        <w:rPr>
          <w:rFonts w:ascii="Arial" w:cs="Arial" w:eastAsia="Arial" w:hAnsi="Arial"/>
          <w:sz w:val="16"/>
          <w:szCs w:val="16"/>
          <w:color w:val="auto"/>
        </w:rPr>
      </w:pPr>
    </w:p>
    <w:p>
      <w:pPr>
        <w:ind w:left="660" w:right="660" w:hanging="328"/>
        <w:spacing w:after="0" w:line="260"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costs. Increased capital and operating costs to comply with increasingly stringent laws and regulations, unexpected engineering, environmental and geological problems, and unanticipated cost overruns could negatively impact our results of operations;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right="200" w:hanging="328"/>
        <w:spacing w:after="0" w:line="251"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Supply chain disruptions. We rely on various suppliers in our supply chain for the materials necessary to execute on our capital investment program. Our supply chain, material costs, and capital investment program may be negatively impacted by unanticipated price increases due to factors exacerbated by the COVID-19 pandemic, such as inflation, including wage inflation, or due to supply restrictions beyond our control or the control of our suppliers;</w:t>
      </w:r>
    </w:p>
    <w:p>
      <w:pPr>
        <w:spacing w:after="0" w:line="229" w:lineRule="exact"/>
        <w:rPr>
          <w:rFonts w:ascii="Arial" w:cs="Arial" w:eastAsia="Arial" w:hAnsi="Arial"/>
          <w:sz w:val="16"/>
          <w:szCs w:val="16"/>
          <w:color w:val="auto"/>
        </w:rPr>
      </w:pPr>
    </w:p>
    <w:p>
      <w:pPr>
        <w:ind w:left="660" w:right="140" w:hanging="328"/>
        <w:spacing w:after="0" w:line="216"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6"/>
          <w:szCs w:val="16"/>
          <w:color w:val="auto"/>
        </w:rPr>
        <w:t>Labor and labor relations. The cost of recruiting and retaining skilled technical labor or the unavailability of such resources could have a negative impact on our operations. There is competition and a tightening market for skilled employees. During the COVID-19 pandemic and subsequent recovery, there is a national trend of increased employee turnover. Our ability to transition and replace our retirement-eligible utility employees is a risk; at December 31, 2021, approximately 22% of our Electric Utilities and Gas Utilities employees were eligible for retirement. Our ability to avoid or minimize supply interruptions, work stoppages and labor disputes is also a risk with approximately 25% of our employees are represented by unions; and</w:t>
      </w:r>
    </w:p>
    <w:p>
      <w:pPr>
        <w:spacing w:after="0" w:line="227"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Public opposition. Opposition by members of public or special-interest groups could negatively impact our ability to operate our businesses.</w:t>
      </w:r>
    </w:p>
    <w:p>
      <w:pPr>
        <w:spacing w:after="0" w:line="24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ongoing operation of our business involves the risks described above, in addition to risks associated with threats to our overall business model, such as electrification initiatives. Any of these risks could cause us to experience negative financial results and damage to our reputation and public confidence. These risks could cause us to incur significant costs or be unable to deliver energy and/or operate below expected capacity levels, which in turn could reduce revenues or cause us to incur higher operating and maintenance costs and penalties. While we maintain insurance, obtain warranties from vendors and obligate contractors to meet certain performance levels, the proceeds of such insurance and our rights under contracts, warranties or performance guarantees may not be timely or adequate to cover lost revenues, increased expenses, liability or liquidated damage payments.</w:t>
      </w:r>
    </w:p>
    <w:p>
      <w:pPr>
        <w:spacing w:after="0" w:line="212"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Cyberattacks, terrorism, or other malicious acts targeting our key technology systems could disrupt our operations, or lead to a loss or misuse of confidential and proprietary information.</w:t>
      </w:r>
    </w:p>
    <w:p>
      <w:pPr>
        <w:spacing w:after="0" w:line="189" w:lineRule="exact"/>
        <w:rPr>
          <w:sz w:val="20"/>
          <w:szCs w:val="20"/>
          <w:color w:val="auto"/>
        </w:rPr>
      </w:pPr>
    </w:p>
    <w:p>
      <w:pPr>
        <w:ind w:right="60"/>
        <w:spacing w:after="0" w:line="232" w:lineRule="auto"/>
        <w:rPr>
          <w:sz w:val="20"/>
          <w:szCs w:val="20"/>
          <w:color w:val="auto"/>
        </w:rPr>
      </w:pPr>
      <w:r>
        <w:rPr>
          <w:rFonts w:ascii="Arial" w:cs="Arial" w:eastAsia="Arial" w:hAnsi="Arial"/>
          <w:sz w:val="16"/>
          <w:szCs w:val="16"/>
          <w:color w:val="auto"/>
        </w:rPr>
        <w:t>To effectively operate our business, we rely upon a sophisticated electronic control system, information and operation technology systems and network infrastructure to generate, distribute and deliver energy, and collect and retain sensitive information including personal information about our customers and employees. Cyberattacks, terrorism or other malicious acts targeting electronic control systems could result in a full or partial disruption of our electric and/or natural gas operations. Attacks targeting other key technology systems, including our third-party vendors’ information systems, could further add to a full or partial disruption of our operations. Any disruption of these operations could result in a loss of service to customers and associated revenues, as well as significant expense to repair damages and remedy security breaches. In addition, any theft, loss and/or fraudulent use of customer, shareowner, employee or proprietary data could subject us to significant litigation, liability and costs, as well as adversely impact our reputation with customers and regulators, among others. We maintain cyber risk insurance to mitigate a portion, but not all, or these risks and losses.</w:t>
      </w:r>
    </w:p>
    <w:p>
      <w:pPr>
        <w:spacing w:after="0" w:line="224" w:lineRule="exact"/>
        <w:rPr>
          <w:sz w:val="20"/>
          <w:szCs w:val="20"/>
          <w:color w:val="auto"/>
        </w:rPr>
      </w:pPr>
    </w:p>
    <w:p>
      <w:pPr>
        <w:ind w:right="140"/>
        <w:spacing w:after="0" w:line="233" w:lineRule="auto"/>
        <w:rPr>
          <w:sz w:val="20"/>
          <w:szCs w:val="20"/>
          <w:color w:val="auto"/>
        </w:rPr>
      </w:pPr>
      <w:r>
        <w:rPr>
          <w:rFonts w:ascii="Arial" w:cs="Arial" w:eastAsia="Arial" w:hAnsi="Arial"/>
          <w:sz w:val="16"/>
          <w:szCs w:val="16"/>
          <w:color w:val="auto"/>
        </w:rPr>
        <w:t>In May and July 2021, the TSA issued security directives that included several new cybersecurity requirements for critical pipeline owners and operators. Among these requirements is the implementation of specific mitigation measures to protect against ransomware attacks and other known threats to information and operational technology systems; development and implementation of a cybersecurity contingency and recovery plan; and performance of a cybersecurity architecture design review. We are currently implementing several of these directives and evaluating the potential effect of several others on our operations and facilities, as well as the potential cost of implementation, and will continue to monitor for any clarifications or amendments to these directives.</w:t>
      </w:r>
    </w:p>
    <w:p>
      <w:pPr>
        <w:spacing w:after="0" w:line="238"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We have instituted security measures and safeguards to protect our operational systems and information technology assets, including certain safeguards required by FERC. Despite our implementation of security measures and safeguards, all of our technology systems may still be vulnerable to disability, failures or unauthorized access.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Weather conditions, including the impacts of climate change, may cause fluctuation in customer usage.</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utility businesses are seasonal businesses and weather conditions and patterns can have a material impact on our operating performance. To the extent weather conditions are affected by climate change, customers’ energy use could increase or decrease. Demand for electricity is typically greater in the summer and winter months associated with cooling and heating, respectively. Demand for natural gas depends heavily upon winter-weather patterns throughout our service territory and a significant amount of natural gas revenues are recognized in the first and fourth quarters related to the heating season. Accordingly, our utility operations have historically generated lower revenues and income when weather conditions are cooler than normal in the summer and warmer than normal in the winter. Demand for natural gas is also impacted by summer weather patterns that are cooler than normal and provide higher than normal precipitation; both of which can reduce natural gas demand for irrigation. Unusually mild summers and winters, therefore, could have an adverse effect on our financial operating results, including earnings, cash flow and liquidity.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RISKS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sub-investment grade credit rating could impact our ability to access capital markets.</w:t>
      </w:r>
    </w:p>
    <w:p>
      <w:pPr>
        <w:spacing w:after="0" w:line="26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senior unsecured debt rating is Baa2 (Stable outlook) by Moody’s; BBB+ (Stable outlook) by S&amp;P; and BBB+ (Stable outlook) by Fitch. Reduction of our investment grade credit ratings could impair our ability to refinance or repay our existing debt and complete new financings on reasonable terms, if at all. A credit rating downgrade, particularly to sub-investment grade, could also result in counterparties requiring us to post additional collateral under existing or new contracts. In addition, a ratings downgrade would increase our interest expense under some of our existing debt obligations, including borrowings under our credit facilities, potentially significantly increasing our cost of capital and other associated operating costs which may not be recoverable through existing regulatory rate structures and contracts with customers.</w:t>
      </w:r>
    </w:p>
    <w:p>
      <w:pPr>
        <w:spacing w:after="0" w:line="212"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b w:val="1"/>
          <w:bCs w:val="1"/>
          <w:color w:val="auto"/>
        </w:rPr>
        <w:t>Our use of derivative financial instruments as hedges against commodity prices and financial market risks could result in material financial losses.</w:t>
      </w:r>
    </w:p>
    <w:p>
      <w:pPr>
        <w:spacing w:after="0" w:line="20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use various financial and physical derivatives, including futures, forwards, options and swaps, to manage commodity price and interest rate risks. The timing of the recognition of gains or losses on these economic hedges in accordance with GAAP may not consistently match up with the gains or losses on the commodities being hedged. For Black Hills Energy Services under the Choice Gas Program, and in certain instances within our regulated Utilities where unrealized and realized gains and losses from derivative instruments are not approved for regulatory accounting treatment, fluctuating commodity prices may cause fluctuations in reported financial results due to mark-to-market accounting treatment.</w:t>
      </w:r>
    </w:p>
    <w:p>
      <w:pPr>
        <w:spacing w:after="0" w:line="230"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To the extent that we hedge our commodity price and interest rate exposures, we forgo the benefits we would otherwise experience if commodity prices or interest rates were to change in our favor. In addition, even though they are closely monitored by management, our hedging activities can result in losses. Such losses could occur under various circumstances, including if a counterparty does not perform its obligations under the hedge arrangement, the hedge is economically imperfect, commodity prices or interest rates move unfavorably related to our physical or financial positions, or hedging policies and procedures are not followed.</w:t>
      </w:r>
    </w:p>
    <w:p>
      <w:pPr>
        <w:spacing w:after="0" w:line="23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Additionally, our exchange-traded futures contracts are subject to futures margin posting requirements. To the extent we are unable to meet these requirements, this could have a significant impact on our business by reducing our ability to execute derivative transactions to reduce commodity price uncertainty and to protect cash flows. Requirements to post collateral may cause significant liquidity issues by reducing our ability to use cash for investment or other corporate purposes, or may require us to increase our level of debt. Further, a requirement for our counterparties to post collateral could result in additional costs being passed on to us, thereby decreasing our profitability.</w:t>
      </w:r>
    </w:p>
    <w:p>
      <w:pPr>
        <w:spacing w:after="0" w:line="210"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auto"/>
        </w:rPr>
        <w:t>We have a holding company corporate structure with multiple subsidiaries. Corporate dividends and debt payments are dependent upon cash distributions to the holding company from the subsidiaries.</w:t>
      </w:r>
    </w:p>
    <w:p>
      <w:pPr>
        <w:spacing w:after="0" w:line="20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As a holding company, our investments in our subsidiaries are our primary assets. Our operating cash flow and ability to service our indebtedness depend on the operating cash flow of our subsidiaries and the payment of funds by them to us in the form of dividends or advances. Our subsidiaries are separate legal entities that have no obligation to make any funds available for that purpose, whether by dividends or otherwise. In addition, each subsidiary’s ability to pay dividends to us depends on any applicable contractual or regulatory restrictions that may include requirements to maintain minimum levels of cash, working capital, equity or debt service funds.</w:t>
      </w:r>
    </w:p>
    <w:p>
      <w:pPr>
        <w:spacing w:after="0" w:line="216" w:lineRule="exact"/>
        <w:rPr>
          <w:sz w:val="20"/>
          <w:szCs w:val="20"/>
          <w:color w:val="auto"/>
        </w:rPr>
      </w:pPr>
    </w:p>
    <w:p>
      <w:pPr>
        <w:ind w:right="200"/>
        <w:spacing w:after="0" w:line="235" w:lineRule="auto"/>
        <w:rPr>
          <w:rFonts w:ascii="Arial" w:cs="Arial" w:eastAsia="Arial" w:hAnsi="Arial"/>
          <w:sz w:val="16"/>
          <w:szCs w:val="16"/>
          <w:color w:val="auto"/>
        </w:rPr>
      </w:pPr>
      <w:r>
        <w:rPr>
          <w:rFonts w:ascii="Arial" w:cs="Arial" w:eastAsia="Arial" w:hAnsi="Arial"/>
          <w:sz w:val="16"/>
          <w:szCs w:val="16"/>
          <w:color w:val="auto"/>
        </w:rPr>
        <w:t xml:space="preserve">There is no assurance as to the amount, if any, of future dividends to the holding company because these subsidiaries depend on future earnings, capital requirements and financial conditions to fund such dividends. See “ </w:t>
      </w:r>
      <w:hyperlink w:anchor="page46">
        <w:r>
          <w:rPr>
            <w:rFonts w:ascii="Arial" w:cs="Arial" w:eastAsia="Arial" w:hAnsi="Arial"/>
            <w:sz w:val="16"/>
            <w:szCs w:val="16"/>
            <w:u w:val="single" w:color="auto"/>
            <w:color w:val="0000FF"/>
          </w:rPr>
          <w:t>Liquidity and Capital Resources</w:t>
        </w:r>
      </w:hyperlink>
      <w:r>
        <w:rPr>
          <w:rFonts w:ascii="Arial" w:cs="Arial" w:eastAsia="Arial" w:hAnsi="Arial"/>
          <w:sz w:val="16"/>
          <w:szCs w:val="16"/>
          <w:color w:val="auto"/>
        </w:rPr>
        <w:t xml:space="preserve">” within Management’s Discussion and Analysis of Financial Condition and Results of Operations in </w:t>
      </w:r>
      <w:hyperlink w:anchor="page30">
        <w:r>
          <w:rPr>
            <w:rFonts w:ascii="Arial" w:cs="Arial" w:eastAsia="Arial" w:hAnsi="Arial"/>
            <w:sz w:val="16"/>
            <w:szCs w:val="16"/>
            <w:u w:val="single" w:color="auto"/>
            <w:color w:val="0000FF"/>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88">
        <w:r>
          <w:rPr>
            <w:rFonts w:ascii="Arial" w:cs="Arial" w:eastAsia="Arial" w:hAnsi="Arial"/>
            <w:sz w:val="16"/>
            <w:szCs w:val="16"/>
            <w:u w:val="single" w:color="auto"/>
            <w:color w:val="0000FF"/>
          </w:rPr>
          <w:t>Note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of this Annual Report on Form 10-K for further information regarding these restrictions and their impact on our liquidity.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We may be unable to obtain financing on reasonable terms needed to refinance debt, fund planned capital expenditures or otherwise execute our operating strategy.</w:t>
      </w:r>
    </w:p>
    <w:p>
      <w:pPr>
        <w:spacing w:after="0" w:line="20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ability to execute our operating strategy is highly dependent upon our access to capital. Historically, we have addressed our liquidity needs (including funds required to make scheduled principal and interest payments, refinance debt, pay dividends and fund working capital and planned capital expenditures) with operating cash flow, borrowings under credit facilities, proceeds of debt and equity offerings and proceeds from asset sales. Our ability to access the capital markets and the costs and terms of available financing depend on many factors, including changes in our credit ratings, changes in the federal or state regulatory environment affecting energy companies, volatility in commodity or electricity prices and general economic and market conditions.</w:t>
      </w:r>
    </w:p>
    <w:p>
      <w:pPr>
        <w:spacing w:after="0" w:line="23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addition, because we are a holding company and our utility assets are owned by our subsidiaries, if we are unable to adequately access the credit markets, we could be required to take additional measures designed to ensure that our utility subsidiaries are adequately capitalized to provide safe and reliable service. Possible additional measures would be evaluated in the context of then-prevailing market conditions, prudent financial management and any applicable regulatory requirements.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National and regional economic conditions may cause increased counterparty credit risk, late payments and uncollectible accounts.</w:t>
      </w:r>
    </w:p>
    <w:p>
      <w:pPr>
        <w:spacing w:after="0" w:line="268"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A future recession or pandemic, if one occurs, may lead to an increase in late payments or non-payment from retail residential, commercial and industrial utility customers, as well as from our non-utility customers. If late payments and uncollectible accounts increase, earnings and cash flows from our continuing operations may be reduced.</w:t>
      </w:r>
    </w:p>
    <w:p>
      <w:pPr>
        <w:spacing w:after="0" w:line="20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color w:val="auto"/>
        </w:rPr>
        <w:t>We may be unable to obtain insurance coverage, and the coverage we currently have may not apply or may be insufficient to cover a significant loss.</w:t>
      </w:r>
    </w:p>
    <w:p>
      <w:pPr>
        <w:spacing w:after="0" w:line="20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ability to obtain insurance, as well as the cost of such insurance, could be impacted by developments affecting the insurance industry and the financial condition of insurers. Additionally, insurance providers could deny coverage or decline to extend coverage under the same or similar terms that are presently available to us. A loss for which we are not adequately insured could materially affect our financial results. The coverage we currently have in place may not apply to a particular loss, or it may not be sufficient to cover all liabilities to which the Company may be subject, including liability and losses associated with climate change, wildfire, natural gas and storage field explosions, cyber-security breaches, environmental hazards and natural disasters.</w:t>
      </w:r>
    </w:p>
    <w:p>
      <w:pPr>
        <w:spacing w:after="0" w:line="21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color w:val="auto"/>
        </w:rPr>
        <w:t>Market performance or changes in key valuation assumptions could require us to make significant unplanned contributions to our pension plan and other postretirement benefit plans.</w:t>
      </w:r>
    </w:p>
    <w:p>
      <w:pPr>
        <w:spacing w:after="0" w:line="20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Assumptions related to interest rates, expected return on investments, mortality and other key actuarial assumptions have a significant impact on our funding requirements and the expense recognized related to our pension and other postretirement benefit plans. An adverse change to key assumptions associated with our defined benefit retirement plans may require significant unplanned contributions to the plans which could adversely affect our financial operating results including earnings, cash flow and liquidity.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associated with our healthcare plans and other benefits could increase significantly.</w:t>
      </w:r>
    </w:p>
    <w:p>
      <w:pPr>
        <w:spacing w:after="0" w:line="26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costs of providing healthcare benefits to our employees and retirees have increased substantially in recent years. We believe that our employee benefit costs, including costs related to healthcare plans for our employees and former employees, will continue to rise. Significant regulatory developments have required, and likely will continue to require, changes to our current employee benefit plans and supporting administrative processes. Our electric and natural gas utility rates are regulated on a state-by-state basis by the relevant state regulatory authorities based on an analysis of our costs, as reviewed and approved in a regulatory proceeding. Within our utility rates, we have generally recovered the cost of providing employee benefits. As benefit costs continue to rise, however, there is no assurance that the utility commissions will allow recovery of these increased costs. The rising employee benefit costs, or inadequate recovery of such costs, may adversely affect our financial operating results including earnings, cash flow, or liquidity.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PANDEMIC RISK</w:t>
      </w:r>
    </w:p>
    <w:p>
      <w:pPr>
        <w:spacing w:after="0" w:line="24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212529"/>
        </w:rPr>
        <w:t>The ongoing COVID-19 pandemic, including its variants, or any other pandemic and the associated impact on business and economic conditions could negatively affect our business operations, results of operations, financial condition and cash flows.</w:t>
      </w:r>
    </w:p>
    <w:p>
      <w:pPr>
        <w:spacing w:after="0" w:line="203"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212529"/>
        </w:rPr>
        <w:t xml:space="preserve">The scale and scope of the COVID-19 outbreak, the resulting pandemic or any other future pandemic, and the associated impact on the economy and financial markets could adversely affect the Company’s business, results of operations and financial condition. </w:t>
      </w:r>
      <w:r>
        <w:rPr>
          <w:rFonts w:ascii="Arial" w:cs="Arial" w:eastAsia="Arial" w:hAnsi="Arial"/>
          <w:sz w:val="16"/>
          <w:szCs w:val="16"/>
          <w:color w:val="000000"/>
        </w:rPr>
        <w:t>As a provider of essential services, the</w:t>
      </w:r>
      <w:r>
        <w:rPr>
          <w:rFonts w:ascii="Arial" w:cs="Arial" w:eastAsia="Arial" w:hAnsi="Arial"/>
          <w:sz w:val="16"/>
          <w:szCs w:val="16"/>
          <w:color w:val="212529"/>
        </w:rPr>
        <w:t xml:space="preserve"> </w:t>
      </w:r>
      <w:r>
        <w:rPr>
          <w:rFonts w:ascii="Arial" w:cs="Arial" w:eastAsia="Arial" w:hAnsi="Arial"/>
          <w:sz w:val="16"/>
          <w:szCs w:val="16"/>
          <w:color w:val="000000"/>
        </w:rPr>
        <w:t>Company has an obligation to provide electric and natural gas services to our customers. The Company remains focused on protecting the health of our customers, employees and the communities in which we operate while assuring the continuity of our business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212529"/>
        </w:rPr>
        <w:t>Although the impact of the COVID-19 pandemic and its variants to our 2021 results of operation was not significant, we cannot ultimately predict whether it will have a material impact on our future liquidity, financial condition or results of operations. We also cannot predict the impact of COVID-19 on the health of our employees, our supply chain or our ability to mitigate higher costs associated with managing through the COVID-19 pandemic.</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212529"/>
        </w:rPr>
        <w:t>As recovery from the COVID-19 pandemic continues, additional uncertainties have emerged, including the impacts of:</w:t>
      </w:r>
    </w:p>
    <w:p>
      <w:pPr>
        <w:spacing w:after="0" w:line="5"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212529"/>
        </w:rPr>
      </w:pPr>
      <w:r>
        <w:rPr>
          <w:rFonts w:ascii="Arial" w:cs="Arial" w:eastAsia="Arial" w:hAnsi="Arial"/>
          <w:sz w:val="16"/>
          <w:szCs w:val="16"/>
          <w:color w:val="212529"/>
        </w:rPr>
        <w:t>vaccine mandates and testing requirements on our workforce;</w:t>
      </w:r>
    </w:p>
    <w:p>
      <w:pPr>
        <w:spacing w:after="0" w:line="5" w:lineRule="exact"/>
        <w:rPr>
          <w:rFonts w:ascii="Arial" w:cs="Arial" w:eastAsia="Arial" w:hAnsi="Arial"/>
          <w:sz w:val="16"/>
          <w:szCs w:val="16"/>
          <w:color w:val="212529"/>
        </w:rPr>
      </w:pPr>
    </w:p>
    <w:p>
      <w:pPr>
        <w:ind w:left="640" w:hanging="308"/>
        <w:spacing w:after="0"/>
        <w:tabs>
          <w:tab w:leader="none" w:pos="640" w:val="left"/>
        </w:tabs>
        <w:numPr>
          <w:ilvl w:val="0"/>
          <w:numId w:val="14"/>
        </w:numPr>
        <w:rPr>
          <w:rFonts w:ascii="Arial" w:cs="Arial" w:eastAsia="Arial" w:hAnsi="Arial"/>
          <w:sz w:val="16"/>
          <w:szCs w:val="16"/>
          <w:color w:val="212529"/>
        </w:rPr>
      </w:pPr>
      <w:r>
        <w:rPr>
          <w:rFonts w:ascii="Arial" w:cs="Arial" w:eastAsia="Arial" w:hAnsi="Arial"/>
          <w:sz w:val="16"/>
          <w:szCs w:val="16"/>
          <w:color w:val="212529"/>
        </w:rPr>
        <w:t>inflation increasing prices of commodities and materials, outside services, employee costs and interest rates;</w:t>
      </w:r>
    </w:p>
    <w:p>
      <w:pPr>
        <w:spacing w:after="0" w:line="5" w:lineRule="exact"/>
        <w:rPr>
          <w:rFonts w:ascii="Arial" w:cs="Arial" w:eastAsia="Arial" w:hAnsi="Arial"/>
          <w:sz w:val="16"/>
          <w:szCs w:val="16"/>
          <w:color w:val="212529"/>
        </w:rPr>
      </w:pPr>
    </w:p>
    <w:p>
      <w:pPr>
        <w:ind w:left="640" w:hanging="308"/>
        <w:spacing w:after="0"/>
        <w:tabs>
          <w:tab w:leader="none" w:pos="640" w:val="left"/>
        </w:tabs>
        <w:numPr>
          <w:ilvl w:val="0"/>
          <w:numId w:val="14"/>
        </w:numPr>
        <w:rPr>
          <w:rFonts w:ascii="Arial" w:cs="Arial" w:eastAsia="Arial" w:hAnsi="Arial"/>
          <w:sz w:val="16"/>
          <w:szCs w:val="16"/>
          <w:color w:val="212529"/>
        </w:rPr>
      </w:pPr>
      <w:r>
        <w:rPr>
          <w:rFonts w:ascii="Arial" w:cs="Arial" w:eastAsia="Arial" w:hAnsi="Arial"/>
          <w:sz w:val="16"/>
          <w:szCs w:val="16"/>
          <w:color w:val="212529"/>
        </w:rPr>
        <w:t>supply chain disruptions on the availability and cost of materials; and</w:t>
      </w:r>
    </w:p>
    <w:p>
      <w:pPr>
        <w:spacing w:after="0" w:line="5" w:lineRule="exact"/>
        <w:rPr>
          <w:rFonts w:ascii="Arial" w:cs="Arial" w:eastAsia="Arial" w:hAnsi="Arial"/>
          <w:sz w:val="16"/>
          <w:szCs w:val="16"/>
          <w:color w:val="212529"/>
        </w:rPr>
      </w:pPr>
    </w:p>
    <w:p>
      <w:pPr>
        <w:ind w:left="640" w:hanging="308"/>
        <w:spacing w:after="0"/>
        <w:tabs>
          <w:tab w:leader="none" w:pos="640" w:val="left"/>
        </w:tabs>
        <w:numPr>
          <w:ilvl w:val="0"/>
          <w:numId w:val="14"/>
        </w:numPr>
        <w:rPr>
          <w:rFonts w:ascii="Arial" w:cs="Arial" w:eastAsia="Arial" w:hAnsi="Arial"/>
          <w:sz w:val="16"/>
          <w:szCs w:val="16"/>
          <w:color w:val="212529"/>
        </w:rPr>
      </w:pPr>
      <w:r>
        <w:rPr>
          <w:rFonts w:ascii="Arial" w:cs="Arial" w:eastAsia="Arial" w:hAnsi="Arial"/>
          <w:sz w:val="16"/>
          <w:szCs w:val="16"/>
          <w:color w:val="212529"/>
        </w:rPr>
        <w:t>labor shortages and increased turnover on costs of retaining and attracting employees.</w:t>
      </w:r>
    </w:p>
    <w:p>
      <w:pPr>
        <w:spacing w:after="0" w:line="24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212529"/>
        </w:rPr>
        <w:t>The situation remains fluid and it is difficult to predict with certainty the potential impact of the COVID-19 pandemic, or any other future pandemic, on our financial operating results including earnings, cash flows and liquidity.</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77"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10">
        <w:r>
          <w:rPr>
            <w:rFonts w:ascii="Arial" w:cs="Arial" w:eastAsia="Arial" w:hAnsi="Arial"/>
            <w:sz w:val="16"/>
            <w:szCs w:val="16"/>
            <w:u w:val="single" w:color="auto"/>
            <w:color w:val="0000FF"/>
          </w:rPr>
          <w:t>Item 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 description of our principal business properties.</w:t>
      </w:r>
    </w:p>
    <w:p>
      <w:pPr>
        <w:spacing w:after="0" w:line="248" w:lineRule="exact"/>
        <w:rPr>
          <w:sz w:val="20"/>
          <w:szCs w:val="20"/>
          <w:color w:val="auto"/>
        </w:rPr>
      </w:pPr>
    </w:p>
    <w:p>
      <w:pPr>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In addition to the properties disclosed in the </w:t>
      </w:r>
      <w:hyperlink w:anchor="page10">
        <w:r>
          <w:rPr>
            <w:rFonts w:ascii="Arial" w:cs="Arial" w:eastAsia="Arial" w:hAnsi="Arial"/>
            <w:sz w:val="16"/>
            <w:szCs w:val="16"/>
            <w:u w:val="single" w:color="auto"/>
            <w:color w:val="0000FF"/>
          </w:rPr>
          <w:t>Item 1</w:t>
        </w:r>
      </w:hyperlink>
      <w:r>
        <w:rPr>
          <w:rFonts w:ascii="Arial" w:cs="Arial" w:eastAsia="Arial" w:hAnsi="Arial"/>
          <w:sz w:val="16"/>
          <w:szCs w:val="16"/>
          <w:color w:val="auto"/>
        </w:rPr>
        <w:t>, we own or lease several facilities throughout our service territories including a corporate headquarters building and various office, service center, storage, shop and warehouse space. Substantially all of the tangible utility properties of South Dakota Electric and Wyoming Electric are subject to liens securing first mortgage bonds issued by South Dakota Electric and Wyoming Electric, respectively.</w:t>
      </w:r>
    </w:p>
    <w:p>
      <w:pPr>
        <w:spacing w:after="0" w:line="200" w:lineRule="exact"/>
        <w:rPr>
          <w:sz w:val="20"/>
          <w:szCs w:val="20"/>
          <w:color w:val="auto"/>
        </w:rPr>
      </w:pP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77" w:lineRule="exact"/>
        <w:rPr>
          <w:sz w:val="20"/>
          <w:szCs w:val="20"/>
          <w:color w:val="auto"/>
        </w:rPr>
      </w:pPr>
    </w:p>
    <w:p>
      <w:pPr>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Information regarding our legal proceedings is incorporated herein by reference to the “Legal Proceedings” sub-caption within Item 8, </w:t>
      </w:r>
      <w:hyperlink w:anchor="page79">
        <w:r>
          <w:rPr>
            <w:rFonts w:ascii="Arial" w:cs="Arial" w:eastAsia="Arial" w:hAnsi="Arial"/>
            <w:sz w:val="16"/>
            <w:szCs w:val="16"/>
            <w:u w:val="single" w:color="auto"/>
            <w:color w:val="0000FF"/>
          </w:rPr>
          <w:t>Note 3</w:t>
        </w:r>
      </w:hyperlink>
      <w:r>
        <w:rPr>
          <w:rFonts w:ascii="Arial" w:cs="Arial" w:eastAsia="Arial" w:hAnsi="Arial"/>
          <w:sz w:val="16"/>
          <w:szCs w:val="16"/>
          <w:color w:val="auto"/>
        </w:rPr>
        <w:t>, “Commitments, Contingencies and Guarantees”, of the Notes to Consolidated Financial Statements in this Annual Report on Form 10-K.</w:t>
      </w:r>
    </w:p>
    <w:p>
      <w:pPr>
        <w:spacing w:after="0" w:line="200" w:lineRule="exact"/>
        <w:rPr>
          <w:sz w:val="20"/>
          <w:szCs w:val="20"/>
          <w:color w:val="auto"/>
        </w:rPr>
      </w:pPr>
    </w:p>
    <w:p>
      <w:pPr>
        <w:spacing w:after="0" w:line="2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77" w:lineRule="exact"/>
        <w:rPr>
          <w:sz w:val="20"/>
          <w:szCs w:val="20"/>
          <w:color w:val="auto"/>
        </w:rPr>
      </w:pPr>
    </w:p>
    <w:p>
      <w:pPr>
        <w:ind w:right="2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hyperlink w:anchor="page136">
        <w:r>
          <w:rPr>
            <w:rFonts w:ascii="Arial" w:cs="Arial" w:eastAsia="Arial" w:hAnsi="Arial"/>
            <w:sz w:val="16"/>
            <w:szCs w:val="16"/>
            <w:u w:val="single" w:color="auto"/>
            <w:color w:val="0000FF"/>
          </w:rPr>
          <w:t>Exhibit 95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24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 xml:space="preserve">Linden R. Evans, </w:t>
      </w:r>
      <w:r>
        <w:rPr>
          <w:rFonts w:ascii="Arial" w:cs="Arial" w:eastAsia="Arial" w:hAnsi="Arial"/>
          <w:sz w:val="16"/>
          <w:szCs w:val="16"/>
          <w:color w:val="auto"/>
        </w:rPr>
        <w:t>age 59, has been President and Chief Executive Officer since January 1, 2019, President and Chief Operating Officer from 2016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2018, and President and Chief Operating Officer - Utilities from 2004 through 2015. Mr. Evans served as the Vice President and General Manager of our former communication subsidiary in 2003 and 2004, and Associate Counsel from 2001 to 2003. Mr. Evans has 20 years of experience with the Company.</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Brian G. Iverson, </w:t>
      </w:r>
      <w:r>
        <w:rPr>
          <w:rFonts w:ascii="Arial" w:cs="Arial" w:eastAsia="Arial" w:hAnsi="Arial"/>
          <w:sz w:val="16"/>
          <w:szCs w:val="16"/>
          <w:color w:val="auto"/>
        </w:rPr>
        <w:t>age 59, has been Senior Vice President, General Counsel and Chief Compliance Officer since August 26, 2019. He served as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General Counsel, Chief Compliance Officer and Corporate Secretary from February 1, 2019 to August 26, 2019, Senior Vice President, General Counsel and Chief Compliance Officer from 2016 to February 2019, Senior Vice President - Regulatory and Governmental Affairs and Assistant General Counsel from 2014 to 2016, Vice President and Treasurer from 2011 to 2014, Vice President - Electric Regulatory Services from 2008 to 2011 and as Corporate Counsel from 2004 to 2008. Mr. Iverson has 18 years of experience with the Company.</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Erik D. Keller</w:t>
      </w:r>
      <w:r>
        <w:rPr>
          <w:rFonts w:ascii="Arial" w:cs="Arial" w:eastAsia="Arial" w:hAnsi="Arial"/>
          <w:sz w:val="16"/>
          <w:szCs w:val="16"/>
          <w:color w:val="auto"/>
        </w:rPr>
        <w:t>, age 58, joined the Company as Senior Vice President and Chief Information Officer on July 27, 2020. Prior to joining the company, he was an</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Technology consultant to Ontic Inc., a global provider of parts and services for legacy aerospace platforms, from January 2020 to July 2020, and Chief Information Officer for BBA Aviation, a global aviation support and aftermarket services provider, from February 2012 to January 2020.</w:t>
      </w:r>
    </w:p>
    <w:p>
      <w:pPr>
        <w:spacing w:after="0" w:line="19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b w:val="1"/>
          <w:bCs w:val="1"/>
          <w:color w:val="auto"/>
        </w:rPr>
        <w:t xml:space="preserve">Richard W. Kinzley, </w:t>
      </w:r>
      <w:r>
        <w:rPr>
          <w:rFonts w:ascii="Arial" w:cs="Arial" w:eastAsia="Arial" w:hAnsi="Arial"/>
          <w:sz w:val="16"/>
          <w:szCs w:val="16"/>
          <w:color w:val="auto"/>
        </w:rPr>
        <w:t>age 56, has been Senior Vice President and Chief Financial Officer since 2015. He served as Vice President - Corporate Controller</w:t>
      </w:r>
      <w:r>
        <w:rPr>
          <w:rFonts w:ascii="Arial" w:cs="Arial" w:eastAsia="Arial" w:hAnsi="Arial"/>
          <w:sz w:val="16"/>
          <w:szCs w:val="16"/>
          <w:b w:val="1"/>
          <w:bCs w:val="1"/>
          <w:color w:val="auto"/>
        </w:rPr>
        <w:t xml:space="preserve"> </w:t>
      </w:r>
      <w:r>
        <w:rPr>
          <w:rFonts w:ascii="Arial" w:cs="Arial" w:eastAsia="Arial" w:hAnsi="Arial"/>
          <w:sz w:val="16"/>
          <w:szCs w:val="16"/>
          <w:color w:val="auto"/>
        </w:rPr>
        <w:t>from 2013 to 2014, Vice President - Strategic Planning and Development from 2008 to 2013, and as Director of Corporate Development from 2000 to 2008. Mr. Kinzley has 22 years of experience with the Company.</w:t>
      </w:r>
    </w:p>
    <w:p>
      <w:pPr>
        <w:spacing w:after="0" w:line="198"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b w:val="1"/>
          <w:bCs w:val="1"/>
          <w:color w:val="auto"/>
        </w:rPr>
        <w:t xml:space="preserve">Jennifer C. Landis, </w:t>
      </w:r>
      <w:r>
        <w:rPr>
          <w:rFonts w:ascii="Arial" w:cs="Arial" w:eastAsia="Arial" w:hAnsi="Arial"/>
          <w:sz w:val="16"/>
          <w:szCs w:val="16"/>
          <w:color w:val="auto"/>
        </w:rPr>
        <w:t>age 47, has been Senior Vice President - Chief Human Resources Officer since February 1, 2017. She served as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Human Resources from April 2016 through January 2017, Director of Corporate Human Resources and Talent Management from 2013 to April 2016, and Director of Organization Development from 2008 to 2013. Ms. Landis has 20 years of experience with the Company.</w:t>
      </w:r>
    </w:p>
    <w:p>
      <w:pPr>
        <w:spacing w:after="0" w:line="19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b w:val="1"/>
          <w:bCs w:val="1"/>
          <w:color w:val="auto"/>
        </w:rPr>
        <w:t xml:space="preserve">Stuart A. Wevik, </w:t>
      </w:r>
      <w:r>
        <w:rPr>
          <w:rFonts w:ascii="Arial" w:cs="Arial" w:eastAsia="Arial" w:hAnsi="Arial"/>
          <w:sz w:val="16"/>
          <w:szCs w:val="16"/>
          <w:color w:val="auto"/>
        </w:rPr>
        <w:t>age 60, has been Senior Vice President - Utility Operations since August 26, 2019. He served as Group Vice President - Electric Utilities</w:t>
      </w:r>
      <w:r>
        <w:rPr>
          <w:rFonts w:ascii="Arial" w:cs="Arial" w:eastAsia="Arial" w:hAnsi="Arial"/>
          <w:sz w:val="16"/>
          <w:szCs w:val="16"/>
          <w:b w:val="1"/>
          <w:bCs w:val="1"/>
          <w:color w:val="auto"/>
        </w:rPr>
        <w:t xml:space="preserve"> </w:t>
      </w:r>
      <w:r>
        <w:rPr>
          <w:rFonts w:ascii="Arial" w:cs="Arial" w:eastAsia="Arial" w:hAnsi="Arial"/>
          <w:sz w:val="16"/>
          <w:szCs w:val="16"/>
          <w:color w:val="auto"/>
        </w:rPr>
        <w:t>from 2016 to August 2019, Vice President - Utility Operations from 2008 to 2016, Vice President - Operations from 2004 to 2008 and Vice President and General Manager from 2003 to 2004. Mr. Wevik has 36 years of experience with the Company. Mr. Wevik intends to retire on June 1, 2022.</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300" w:right="140" w:hanging="1295"/>
        <w:spacing w:after="0" w:line="287"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05"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Our common stock is traded on the New York Stock Exchange under the symbol BKH. As of January 31, 2022, we had 3,475 common shareholders of record and 60,937 beneficial owners, representing all 50 states, the District of Columbia and 7 foreign countries.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COMPARATIVE STOCK PERFORMANCE</w:t>
      </w:r>
    </w:p>
    <w:p>
      <w:pPr>
        <w:spacing w:after="0" w:line="268"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following performance graph compares the cumulative total stockholder return from Black Hills Corporation common stock, as compared with the S&amp;P 500 Index, S&amp;P 500 Utilities index, and our performance peer group for the past five years. The graph assumes an initial investment of $100 on December 31, 2016, and assumes all dividends were reinvested. The stockholder return shown below for the five-year historical period may not be indicative of future performance. The information in this "Comparative Stock Performance" section shall not be deemed to be "soliciting material" or to be "filed" with the Securities and Exchange Commission or subject to Regulation 14A or 14C, or to the liabilities of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144780</wp:posOffset>
            </wp:positionV>
            <wp:extent cx="5829300" cy="2143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293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color w:val="auto"/>
              </w:rPr>
              <w:t>Years ended December 31,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10"/>
        </w:trPr>
        <w:tc>
          <w:tcPr>
            <w:tcW w:w="3300" w:type="dxa"/>
            <w:vAlign w:val="bottom"/>
            <w:tcBorders>
              <w:bottom w:val="single" w:sz="8" w:color="CEFFE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2016</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2017</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2018</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2019</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r>
      <w:tr>
        <w:trPr>
          <w:trHeight w:val="213"/>
        </w:trPr>
        <w:tc>
          <w:tcPr>
            <w:tcW w:w="3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Corporation</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100.00</w:t>
            </w:r>
          </w:p>
        </w:tc>
        <w:tc>
          <w:tcPr>
            <w:tcW w:w="32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100.77</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108.81</w:t>
            </w:r>
          </w:p>
        </w:tc>
        <w:tc>
          <w:tcPr>
            <w:tcW w:w="32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139.91</w:t>
            </w:r>
          </w:p>
        </w:tc>
        <w:tc>
          <w:tcPr>
            <w:tcW w:w="32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113.21</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134.59</w:t>
            </w: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S&amp;P 500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100.00</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121.83</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116.49</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153.17</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181.35</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233.41</w:t>
            </w:r>
          </w:p>
        </w:tc>
      </w:tr>
      <w:tr>
        <w:trPr>
          <w:trHeight w:val="219"/>
        </w:trPr>
        <w:tc>
          <w:tcPr>
            <w:tcW w:w="3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S&amp;P 500 Utilities</w:t>
            </w:r>
          </w:p>
        </w:tc>
        <w:tc>
          <w:tcPr>
            <w:tcW w:w="30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100.00</w:t>
            </w:r>
          </w:p>
        </w:tc>
        <w:tc>
          <w:tcPr>
            <w:tcW w:w="32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112.11</w:t>
            </w:r>
          </w:p>
        </w:tc>
        <w:tc>
          <w:tcPr>
            <w:tcW w:w="26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116.71</w:t>
            </w:r>
          </w:p>
        </w:tc>
        <w:tc>
          <w:tcPr>
            <w:tcW w:w="32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147.46</w:t>
            </w:r>
          </w:p>
        </w:tc>
        <w:tc>
          <w:tcPr>
            <w:tcW w:w="32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148.18</w:t>
            </w:r>
          </w:p>
        </w:tc>
        <w:tc>
          <w:tcPr>
            <w:tcW w:w="32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174.36</w:t>
            </w:r>
          </w:p>
        </w:tc>
      </w:tr>
      <w:tr>
        <w:trPr>
          <w:trHeight w:val="268"/>
        </w:trPr>
        <w:tc>
          <w:tcPr>
            <w:tcW w:w="3300" w:type="dxa"/>
            <w:vAlign w:val="bottom"/>
          </w:tcPr>
          <w:p>
            <w:pPr>
              <w:ind w:left="20"/>
              <w:spacing w:after="0"/>
              <w:rPr>
                <w:sz w:val="20"/>
                <w:szCs w:val="20"/>
                <w:color w:val="auto"/>
              </w:rPr>
            </w:pPr>
            <w:r>
              <w:rPr>
                <w:rFonts w:ascii="Arial" w:cs="Arial" w:eastAsia="Arial" w:hAnsi="Arial"/>
                <w:sz w:val="16"/>
                <w:szCs w:val="16"/>
                <w:color w:val="auto"/>
              </w:rPr>
              <w:t xml:space="preserve">Performance Peer Group </w:t>
            </w:r>
            <w:r>
              <w:rPr>
                <w:rFonts w:ascii="Arial" w:cs="Arial" w:eastAsia="Arial" w:hAnsi="Arial"/>
                <w:sz w:val="21"/>
                <w:szCs w:val="21"/>
                <w:color w:val="auto"/>
                <w:vertAlign w:val="superscript"/>
              </w:rPr>
              <w:t>(a)</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100.00</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113.59</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119.17</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143.70</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123.74</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140.78</w:t>
            </w:r>
          </w:p>
        </w:tc>
      </w:tr>
    </w:tbl>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380" w:hanging="332"/>
        <w:spacing w:after="0" w:line="258" w:lineRule="auto"/>
        <w:tabs>
          <w:tab w:leader="none" w:pos="352"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Performance Peer Group represents the list of 20 utility and energy industry companies used in our 2021 Proxy Statement which was filed with the SEC on March 18,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68" w:lineRule="exact"/>
        <w:rPr>
          <w:sz w:val="20"/>
          <w:szCs w:val="20"/>
          <w:color w:val="auto"/>
        </w:rPr>
      </w:pPr>
    </w:p>
    <w:p>
      <w:pPr>
        <w:jc w:val="both"/>
        <w:ind w:right="40"/>
        <w:spacing w:after="0" w:line="253" w:lineRule="auto"/>
        <w:rPr>
          <w:rFonts w:ascii="Arial" w:cs="Arial" w:eastAsia="Arial" w:hAnsi="Arial"/>
          <w:sz w:val="16"/>
          <w:szCs w:val="16"/>
          <w:color w:val="auto"/>
        </w:rPr>
      </w:pPr>
      <w:r>
        <w:rPr>
          <w:rFonts w:ascii="Arial" w:cs="Arial" w:eastAsia="Arial" w:hAnsi="Arial"/>
          <w:sz w:val="16"/>
          <w:szCs w:val="16"/>
          <w:color w:val="auto"/>
        </w:rPr>
        <w:t>For information concerning dividends, our dividend policy and factors that may limit our ability to pay dividends, see “</w:t>
      </w:r>
      <w:hyperlink w:anchor="page30">
        <w:r>
          <w:rPr>
            <w:rFonts w:ascii="Arial" w:cs="Arial" w:eastAsia="Arial" w:hAnsi="Arial"/>
            <w:sz w:val="16"/>
            <w:szCs w:val="16"/>
            <w:u w:val="single" w:color="auto"/>
            <w:color w:val="0000FF"/>
          </w:rPr>
          <w:t>Key Elements of our Business Strategy</w:t>
        </w:r>
      </w:hyperlink>
      <w:r>
        <w:rPr>
          <w:rFonts w:ascii="Arial" w:cs="Arial" w:eastAsia="Arial" w:hAnsi="Arial"/>
          <w:sz w:val="16"/>
          <w:szCs w:val="16"/>
          <w:color w:val="auto"/>
        </w:rPr>
        <w:t>” and “</w:t>
      </w:r>
      <w:hyperlink w:anchor="page46">
        <w:r>
          <w:rPr>
            <w:rFonts w:ascii="Arial" w:cs="Arial" w:eastAsia="Arial" w:hAnsi="Arial"/>
            <w:sz w:val="16"/>
            <w:szCs w:val="16"/>
            <w:u w:val="single" w:color="auto"/>
            <w:color w:val="0000FF"/>
          </w:rPr>
          <w:t>Liquidity and Capital Resources</w:t>
        </w:r>
      </w:hyperlink>
      <w:r>
        <w:rPr>
          <w:rFonts w:ascii="Arial" w:cs="Arial" w:eastAsia="Arial" w:hAnsi="Arial"/>
          <w:sz w:val="16"/>
          <w:szCs w:val="16"/>
          <w:color w:val="auto"/>
        </w:rPr>
        <w:t xml:space="preserve">” under </w:t>
      </w:r>
      <w:hyperlink w:anchor="page30">
        <w:r>
          <w:rPr>
            <w:rFonts w:ascii="Arial" w:cs="Arial" w:eastAsia="Arial" w:hAnsi="Arial"/>
            <w:sz w:val="16"/>
            <w:szCs w:val="16"/>
            <w:u w:val="single" w:color="auto"/>
            <w:color w:val="0000FF"/>
          </w:rPr>
          <w:t>Item 7</w:t>
        </w:r>
      </w:hyperlink>
      <w:r>
        <w:rPr>
          <w:rFonts w:ascii="Arial" w:cs="Arial" w:eastAsia="Arial" w:hAnsi="Arial"/>
          <w:sz w:val="16"/>
          <w:szCs w:val="16"/>
          <w:color w:val="auto"/>
        </w:rPr>
        <w:t>, Management’s Discussion and Analysis of Financial Condition and Results of Operations in this Annual Report on Form 10-K.</w:t>
      </w:r>
    </w:p>
    <w:p>
      <w:pPr>
        <w:spacing w:after="0" w:line="20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UNREGISTERED SECURITIES ISSUED</w:t>
      </w:r>
    </w:p>
    <w:p>
      <w:pPr>
        <w:spacing w:after="0" w:line="26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auto"/>
        </w:rPr>
        <w:t>There were no unregistered securities sold during 2021.</w:t>
      </w:r>
    </w:p>
    <w:p>
      <w:pPr>
        <w:spacing w:after="0" w:line="22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26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115">
        <w:r>
          <w:rPr>
            <w:rFonts w:ascii="Arial" w:cs="Arial" w:eastAsia="Arial" w:hAnsi="Arial"/>
            <w:sz w:val="16"/>
            <w:szCs w:val="16"/>
            <w:u w:val="single" w:color="auto"/>
            <w:color w:val="0000FF"/>
          </w:rPr>
          <w:t>Item 12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 this Annual Report on Form 10-K for information regarding Securities Authorized for Issuance Under Equity Compensation Plans.</w:t>
      </w:r>
    </w:p>
    <w:p>
      <w:pPr>
        <w:sectPr>
          <w:pgSz w:w="11900" w:h="16838" w:orient="portrait"/>
          <w:cols w:equalWidth="0" w:num="1">
            <w:col w:w="11240"/>
          </w:cols>
          <w:pgMar w:left="320" w:top="121" w:right="339" w:bottom="1440" w:gutter="0" w:footer="0" w:header="0"/>
        </w:sectPr>
      </w:pPr>
    </w:p>
    <w:p>
      <w:pPr>
        <w:spacing w:after="0" w:line="200" w:lineRule="exact"/>
        <w:rPr>
          <w:rFonts w:ascii="Arial" w:cs="Arial" w:eastAsia="Arial" w:hAnsi="Arial"/>
          <w:sz w:val="16"/>
          <w:szCs w:val="16"/>
          <w:color w:val="auto"/>
        </w:rPr>
      </w:pPr>
    </w:p>
    <w:p>
      <w:pPr>
        <w:spacing w:after="0" w:line="386"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December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Maximum Number (or</w:t>
            </w:r>
          </w:p>
        </w:tc>
      </w:tr>
      <w:tr>
        <w:trPr>
          <w:trHeight w:val="162"/>
        </w:trPr>
        <w:tc>
          <w:tcPr>
            <w:tcW w:w="3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Total Number of Shares</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Approximate Dollar Value)</w:t>
            </w:r>
          </w:p>
        </w:tc>
      </w:tr>
      <w:tr>
        <w:trPr>
          <w:trHeight w:val="162"/>
        </w:trPr>
        <w:tc>
          <w:tcPr>
            <w:tcW w:w="3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w w:val="99"/>
              </w:rPr>
              <w:t>of Shares That May Yet</w:t>
            </w:r>
          </w:p>
        </w:tc>
      </w:tr>
      <w:tr>
        <w:trPr>
          <w:trHeight w:val="159"/>
        </w:trPr>
        <w:tc>
          <w:tcPr>
            <w:tcW w:w="3700" w:type="dxa"/>
            <w:vAlign w:val="bottom"/>
          </w:tcPr>
          <w:p>
            <w:pPr>
              <w:spacing w:after="0"/>
              <w:rPr>
                <w:sz w:val="13"/>
                <w:szCs w:val="13"/>
                <w:color w:val="auto"/>
              </w:rPr>
            </w:pPr>
          </w:p>
        </w:tc>
        <w:tc>
          <w:tcPr>
            <w:tcW w:w="2020" w:type="dxa"/>
            <w:vAlign w:val="bottom"/>
          </w:tcPr>
          <w:p>
            <w:pPr>
              <w:jc w:val="right"/>
              <w:ind w:right="79"/>
              <w:spacing w:after="0" w:line="159" w:lineRule="exact"/>
              <w:rPr>
                <w:sz w:val="20"/>
                <w:szCs w:val="20"/>
                <w:color w:val="auto"/>
              </w:rPr>
            </w:pPr>
            <w:r>
              <w:rPr>
                <w:rFonts w:ascii="Arial" w:cs="Arial" w:eastAsia="Arial" w:hAnsi="Arial"/>
                <w:sz w:val="16"/>
                <w:szCs w:val="16"/>
                <w:color w:val="auto"/>
              </w:rPr>
              <w:t>Total Number of Shares</w:t>
            </w:r>
          </w:p>
        </w:tc>
        <w:tc>
          <w:tcPr>
            <w:tcW w:w="120" w:type="dxa"/>
            <w:vAlign w:val="bottom"/>
          </w:tcPr>
          <w:p>
            <w:pPr>
              <w:spacing w:after="0"/>
              <w:rPr>
                <w:sz w:val="13"/>
                <w:szCs w:val="13"/>
                <w:color w:val="auto"/>
              </w:rPr>
            </w:pPr>
          </w:p>
        </w:tc>
        <w:tc>
          <w:tcPr>
            <w:tcW w:w="1520" w:type="dxa"/>
            <w:vAlign w:val="bottom"/>
          </w:tcPr>
          <w:p>
            <w:pPr>
              <w:jc w:val="right"/>
              <w:ind w:right="39"/>
              <w:spacing w:after="0" w:line="159" w:lineRule="exact"/>
              <w:rPr>
                <w:sz w:val="20"/>
                <w:szCs w:val="20"/>
                <w:color w:val="auto"/>
              </w:rPr>
            </w:pPr>
            <w:r>
              <w:rPr>
                <w:rFonts w:ascii="Arial" w:cs="Arial" w:eastAsia="Arial" w:hAnsi="Arial"/>
                <w:sz w:val="16"/>
                <w:szCs w:val="16"/>
                <w:color w:val="auto"/>
              </w:rPr>
              <w:t>Average Price Paid</w:t>
            </w:r>
          </w:p>
        </w:tc>
        <w:tc>
          <w:tcPr>
            <w:tcW w:w="1940" w:type="dxa"/>
            <w:vAlign w:val="bottom"/>
          </w:tcPr>
          <w:p>
            <w:pPr>
              <w:jc w:val="center"/>
              <w:spacing w:after="0" w:line="159" w:lineRule="exact"/>
              <w:rPr>
                <w:sz w:val="20"/>
                <w:szCs w:val="20"/>
                <w:color w:val="auto"/>
              </w:rPr>
            </w:pPr>
            <w:r>
              <w:rPr>
                <w:rFonts w:ascii="Arial" w:cs="Arial" w:eastAsia="Arial" w:hAnsi="Arial"/>
                <w:sz w:val="16"/>
                <w:szCs w:val="16"/>
                <w:color w:val="auto"/>
              </w:rPr>
              <w:t>Publicly Announced Plans</w:t>
            </w:r>
          </w:p>
        </w:tc>
        <w:tc>
          <w:tcPr>
            <w:tcW w:w="1940" w:type="dxa"/>
            <w:vAlign w:val="bottom"/>
          </w:tcPr>
          <w:p>
            <w:pPr>
              <w:jc w:val="right"/>
              <w:spacing w:after="0" w:line="159" w:lineRule="exact"/>
              <w:rPr>
                <w:sz w:val="20"/>
                <w:szCs w:val="20"/>
                <w:color w:val="auto"/>
              </w:rPr>
            </w:pPr>
            <w:r>
              <w:rPr>
                <w:rFonts w:ascii="Arial" w:cs="Arial" w:eastAsia="Arial" w:hAnsi="Arial"/>
                <w:sz w:val="16"/>
                <w:szCs w:val="16"/>
                <w:color w:val="auto"/>
              </w:rPr>
              <w:t>Be Purchased Under the</w:t>
            </w:r>
          </w:p>
        </w:tc>
      </w:tr>
      <w:tr>
        <w:trPr>
          <w:trHeight w:val="20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Period</w:t>
            </w:r>
          </w:p>
        </w:tc>
        <w:tc>
          <w:tcPr>
            <w:tcW w:w="2020" w:type="dxa"/>
            <w:vAlign w:val="bottom"/>
            <w:tcBorders>
              <w:bottom w:val="single" w:sz="8" w:color="auto"/>
            </w:tcBorders>
          </w:tcPr>
          <w:p>
            <w:pPr>
              <w:jc w:val="right"/>
              <w:ind w:right="459"/>
              <w:spacing w:after="0" w:line="204" w:lineRule="exact"/>
              <w:rPr>
                <w:sz w:val="20"/>
                <w:szCs w:val="20"/>
                <w:color w:val="auto"/>
              </w:rPr>
            </w:pPr>
            <w:r>
              <w:rPr>
                <w:rFonts w:ascii="Arial" w:cs="Arial" w:eastAsia="Arial" w:hAnsi="Arial"/>
                <w:sz w:val="16"/>
                <w:szCs w:val="16"/>
                <w:color w:val="auto"/>
              </w:rPr>
              <w:t xml:space="preserve">Purchased </w:t>
            </w:r>
            <w:r>
              <w:rPr>
                <w:rFonts w:ascii="Arial" w:cs="Arial" w:eastAsia="Arial" w:hAnsi="Arial"/>
                <w:sz w:val="21"/>
                <w:szCs w:val="21"/>
                <w:color w:val="auto"/>
                <w:vertAlign w:val="superscript"/>
              </w:rPr>
              <w:t>(a)</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per Share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or Programs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Plans or Programs</w:t>
            </w:r>
          </w:p>
        </w:tc>
      </w:tr>
      <w:tr>
        <w:trPr>
          <w:trHeight w:val="210"/>
        </w:trPr>
        <w:tc>
          <w:tcPr>
            <w:tcW w:w="3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October 1, 2021 - October 31, 2021</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63.15</w:t>
            </w:r>
          </w:p>
        </w:tc>
        <w:tc>
          <w:tcPr>
            <w:tcW w:w="1940" w:type="dxa"/>
            <w:vAlign w:val="bottom"/>
            <w:shd w:val="clear" w:color="auto" w:fill="CEFFE7"/>
          </w:tcPr>
          <w:p>
            <w:pPr>
              <w:ind w:left="17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November 1, 2021 - November 30, 2021</w:t>
            </w:r>
          </w:p>
        </w:tc>
        <w:tc>
          <w:tcPr>
            <w:tcW w:w="2020" w:type="dxa"/>
            <w:vAlign w:val="bottom"/>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66.10</w:t>
            </w:r>
          </w:p>
        </w:tc>
        <w:tc>
          <w:tcPr>
            <w:tcW w:w="1940" w:type="dxa"/>
            <w:vAlign w:val="bottom"/>
          </w:tcPr>
          <w:p>
            <w:pPr>
              <w:ind w:left="1720"/>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December 1, 2021 - December 31, 2021</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8,680</w:t>
            </w:r>
          </w:p>
        </w:tc>
        <w:tc>
          <w:tcPr>
            <w:tcW w:w="12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68.40</w:t>
            </w:r>
          </w:p>
        </w:tc>
        <w:tc>
          <w:tcPr>
            <w:tcW w:w="1940" w:type="dxa"/>
            <w:vAlign w:val="bottom"/>
            <w:tcBorders>
              <w:bottom w:val="single" w:sz="8" w:color="auto"/>
            </w:tcBorders>
            <w:shd w:val="clear" w:color="auto" w:fill="CEFFE7"/>
          </w:tcPr>
          <w:p>
            <w:pPr>
              <w:ind w:left="17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700" w:type="dxa"/>
            <w:vAlign w:val="bottom"/>
          </w:tcPr>
          <w:p>
            <w:pPr>
              <w:ind w:left="168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68.21</w:t>
            </w:r>
          </w:p>
        </w:tc>
        <w:tc>
          <w:tcPr>
            <w:tcW w:w="194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37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860" w:hanging="332"/>
        <w:spacing w:after="0" w:line="258" w:lineRule="auto"/>
        <w:tabs>
          <w:tab w:leader="none" w:pos="352" w:val="left"/>
        </w:tabs>
        <w:numPr>
          <w:ilvl w:val="0"/>
          <w:numId w:val="16"/>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Omnibus Incentive Plan for payment of taxes associated with the vesting of various equity compensation plans.</w:t>
      </w:r>
    </w:p>
    <w:p>
      <w:pPr>
        <w:spacing w:after="0" w:line="200" w:lineRule="exact"/>
        <w:rPr>
          <w:sz w:val="20"/>
          <w:szCs w:val="20"/>
          <w:color w:val="auto"/>
        </w:rPr>
      </w:pP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Summary</w:t>
      </w:r>
    </w:p>
    <w:p>
      <w:pPr>
        <w:spacing w:after="0" w:line="239" w:lineRule="exact"/>
        <w:rPr>
          <w:sz w:val="20"/>
          <w:szCs w:val="20"/>
          <w:color w:val="auto"/>
        </w:rPr>
      </w:pPr>
    </w:p>
    <w:p>
      <w:pPr>
        <w:ind w:right="40"/>
        <w:spacing w:after="0"/>
        <w:rPr>
          <w:sz w:val="20"/>
          <w:szCs w:val="20"/>
          <w:color w:val="auto"/>
        </w:rPr>
      </w:pPr>
      <w:r>
        <w:rPr>
          <w:rFonts w:ascii="Arial" w:cs="Arial" w:eastAsia="Arial" w:hAnsi="Arial"/>
          <w:sz w:val="16"/>
          <w:szCs w:val="16"/>
          <w:color w:val="auto"/>
        </w:rPr>
        <w:t xml:space="preserve">We are a customer-focused energy solutions provider that invests in our communities’ safety, sustainability and growth with a mission of </w:t>
      </w:r>
      <w:r>
        <w:rPr>
          <w:rFonts w:ascii="Arial" w:cs="Arial" w:eastAsia="Arial" w:hAnsi="Arial"/>
          <w:sz w:val="16"/>
          <w:szCs w:val="16"/>
          <w:i w:val="1"/>
          <w:iCs w:val="1"/>
          <w:color w:val="auto"/>
        </w:rPr>
        <w:t>Improving Life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Energy </w:t>
      </w:r>
      <w:r>
        <w:rPr>
          <w:rFonts w:ascii="Arial" w:cs="Arial" w:eastAsia="Arial" w:hAnsi="Arial"/>
          <w:sz w:val="16"/>
          <w:szCs w:val="16"/>
          <w:color w:val="auto"/>
        </w:rPr>
        <w:t>and a vision to be the</w:t>
      </w:r>
      <w:r>
        <w:rPr>
          <w:rFonts w:ascii="Arial" w:cs="Arial" w:eastAsia="Arial" w:hAnsi="Arial"/>
          <w:sz w:val="16"/>
          <w:szCs w:val="16"/>
          <w:i w:val="1"/>
          <w:iCs w:val="1"/>
          <w:color w:val="auto"/>
        </w:rPr>
        <w:t xml:space="preserve"> Energy Partner of Choice</w:t>
      </w:r>
      <w:r>
        <w:rPr>
          <w:rFonts w:ascii="Arial" w:cs="Arial" w:eastAsia="Arial" w:hAnsi="Arial"/>
          <w:sz w:val="16"/>
          <w:szCs w:val="16"/>
          <w:color w:val="auto"/>
        </w:rPr>
        <w:t>. The Company’s core mission— and our primary focus — is to provide safe, reliable and cost-effective electric and natural gas service to 1.3 million utility customers in over 800 communities in eight states, including Arkansas, Colorado, Iowa, Kansas, Montana, Nebraska, South Dakota and Wyoming.</w:t>
      </w:r>
    </w:p>
    <w:p>
      <w:pPr>
        <w:spacing w:after="0" w:line="225" w:lineRule="exact"/>
        <w:rPr>
          <w:sz w:val="20"/>
          <w:szCs w:val="20"/>
          <w:color w:val="auto"/>
        </w:rPr>
      </w:pPr>
    </w:p>
    <w:p>
      <w:pPr>
        <w:ind w:right="400"/>
        <w:spacing w:after="0" w:line="235"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The Company conducts its utility operations under the name Black Hills Energy predominantly in rural areas of the Rocky Mountains and Midwestern states. The Company considers itself a domestic electric and natural gas utility company.</w:t>
      </w:r>
    </w:p>
    <w:p>
      <w:pPr>
        <w:spacing w:after="0" w:line="224"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The Company has provided energy and served customers for 138 years, since the 1883 gold rush days in Deadwood, South Dakota. Throughout our history, the common thread that unites the past to the present is our commitment to serve our customers and communities. By being responsive and service focused, we can help our customers and communities thrive while meeting rapidly changing customer expectations.</w:t>
      </w:r>
    </w:p>
    <w:p>
      <w:pPr>
        <w:spacing w:after="0" w:line="23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 xml:space="preserve">An important component of our strategy involves sustainable operations and supporting the Energy Transition. How we operate our company for the social good has never been more important. We are committed to cleaner energy and a low carbon future, integrating the Energy Transition and more renewable energy into our overall strategy and decision making. For this important work, we are </w:t>
      </w:r>
      <w:r>
        <w:rPr>
          <w:rFonts w:ascii="Arial" w:cs="Arial" w:eastAsia="Arial" w:hAnsi="Arial"/>
          <w:sz w:val="16"/>
          <w:szCs w:val="16"/>
          <w:i w:val="1"/>
          <w:iCs w:val="1"/>
          <w:color w:val="auto"/>
        </w:rPr>
        <w:t>Ready</w:t>
      </w:r>
      <w:r>
        <w:rPr>
          <w:rFonts w:ascii="Arial" w:cs="Arial" w:eastAsia="Arial" w:hAnsi="Arial"/>
          <w:sz w:val="16"/>
          <w:szCs w:val="16"/>
          <w:color w:val="auto"/>
        </w:rPr>
        <w:t xml:space="preserve"> to serve. In addition, we are committed to a more sustainable future by better managing our impacts to the planet, whether that is water usage, recycling, biodiversity, or other important measures, and remaining focused on our human capital through diversity and inclusion.</w:t>
      </w:r>
    </w:p>
    <w:p>
      <w:pPr>
        <w:spacing w:after="0" w:line="23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emphasis is on consistently outperforming utility industry averages in key safety metrics; modernizing utility infrastructure; transforming the customer experience; growing our electric and natural gas customer load; and pursuing operating efficiencies. These areas of focus will present the company with significant investment needs as we harden our infrastructure systems, meet customer growth and fulfill customer expectations for cleaner energy services. It will also allow us to better understand our customer and community needs while providing more intuitive and cost-effective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Elements of our Business Strategy</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 xml:space="preserve">Modernize and operate utility infrastructure to provide customers with safe, reliable, cost-effective electric and natural gas service. </w:t>
      </w:r>
      <w:r>
        <w:rPr>
          <w:rFonts w:ascii="Arial" w:cs="Arial" w:eastAsia="Arial" w:hAnsi="Arial"/>
          <w:sz w:val="16"/>
          <w:szCs w:val="16"/>
          <w:color w:val="auto"/>
        </w:rPr>
        <w:t>Our utilities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and operate large electric and natural gas infrastructure systems with a geographic footprint that spans nearly 1,600 miles. Our Electric Utilities own and operate 1,481.5 MW of generation capacity and 8,900 miles of transmission and distribution lines and our Gas Utilities own and operate 47,000 miles of natural gas transmission and distribution pipelines.</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 key strategic focus is to modernize and harden our utility infrastructure to meet customers’ and communities’ varied energy needs, ensure the continued delivery of safe, reliable and cost-effective energy and reduce GHG emissions intensity. In addition, we invest in the expansion, capacity and integrity of our systems to meet customer growth.</w:t>
      </w:r>
    </w:p>
    <w:p>
      <w:pPr>
        <w:spacing w:after="0" w:line="228" w:lineRule="exact"/>
        <w:rPr>
          <w:sz w:val="20"/>
          <w:szCs w:val="20"/>
          <w:color w:val="auto"/>
        </w:rPr>
      </w:pPr>
    </w:p>
    <w:p>
      <w:pPr>
        <w:ind w:right="500"/>
        <w:spacing w:after="0" w:line="253" w:lineRule="auto"/>
        <w:rPr>
          <w:sz w:val="20"/>
          <w:szCs w:val="20"/>
          <w:color w:val="auto"/>
        </w:rPr>
      </w:pPr>
      <w:r>
        <w:rPr>
          <w:rFonts w:ascii="Arial" w:cs="Arial" w:eastAsia="Arial" w:hAnsi="Arial"/>
          <w:sz w:val="16"/>
          <w:szCs w:val="16"/>
          <w:color w:val="auto"/>
        </w:rPr>
        <w:t>We rigorously comply with all applicable federal, state and local regulations and strive to consistently meet industry best practice standards. A key component of our modernization effort is the development of programs by our Electric and Gas Utilities to systematically and proactively replace aging infrastructure on a system-wide basis.</w:t>
      </w:r>
    </w:p>
    <w:p>
      <w:pPr>
        <w:spacing w:after="0" w:line="22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To meet our electric customers’ continued expectations of high levels of reliability, a key strength of the Company, our Electric Utilities utilize an integrity program to ensure the timely repair and replacement of aging infrastructure. In alignment with this program, in November 2021, Wyoming Electric announced its Ready Wyoming electric transmission expansion initiative. The 285-mile, multi-phase transmission expansion project will serve the growing needs of customers enhancing the resiliency of its overall electric system and expanding access to power markets and renewable energy resources. The project will enable Wyoming Electric to maintain top-quartile reliability and support further economic growth in the Cheyenne area. Wyoming Electric plans to file an application with the WPSC seeking approval for the project in the first quarter of 2022. Following approval, construction would commence in early 2023.</w:t>
      </w:r>
    </w:p>
    <w:p>
      <w:pPr>
        <w:spacing w:after="0" w:line="200" w:lineRule="exact"/>
        <w:rPr>
          <w:sz w:val="20"/>
          <w:szCs w:val="20"/>
          <w:color w:val="auto"/>
        </w:rPr>
      </w:pPr>
    </w:p>
    <w:p>
      <w:pPr>
        <w:spacing w:after="0" w:line="221"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Our Gas Utilities utilize a programmatic approach to system-wide pipeline replacement, particularly in high consequence areas. Under the programmatic approach, obsolete, at-risk and vintage materials are replaced in a proactive and systematic time frame. We have removed all cast- and wrought-iron from our natural gas transmission and distribution systems and continue to replace aging infrastructure through programs that prioritize safety and reliability for our customers. Our Gas Utilities are authorized to use system safety, integrity and replacement cost recovery mechanisms that provide for customer rate adjustments, between rate reviews, which allow timely recovery of costs incurred in repairing and replacing the gas delivery systems with a return on the investment.</w:t>
      </w:r>
    </w:p>
    <w:p>
      <w:pPr>
        <w:spacing w:after="0" w:line="232"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As of December 31, 2021, we estimate our five-year capital investment to be approximately $3.2 billion, with most of that investment targeted toward upgrading existing utility infrastructure supporting customer and community growth needs, and complying with safety requirements. Our actual 2021 and forecasted capital expenditures for the next five years from 2022 through 2026 are as follows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 xml:space="preserve">Actual </w:t>
            </w:r>
            <w:r>
              <w:rPr>
                <w:rFonts w:ascii="Arial" w:cs="Arial" w:eastAsia="Arial" w:hAnsi="Arial"/>
                <w:sz w:val="21"/>
                <w:szCs w:val="21"/>
                <w:b w:val="1"/>
                <w:bCs w:val="1"/>
                <w:color w:val="auto"/>
                <w:vertAlign w:val="superscript"/>
              </w:rPr>
              <w:t>(a)</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Forecasted</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7"/>
        </w:trPr>
        <w:tc>
          <w:tcPr>
            <w:tcW w:w="38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Capital Expenditures By Segment :</w:t>
            </w: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200" w:type="dxa"/>
            <w:vAlign w:val="bottom"/>
            <w:tcBorders>
              <w:bottom w:val="single" w:sz="8" w:color="CEFFE7"/>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2024</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2025</w:t>
            </w: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2026</w:t>
            </w:r>
          </w:p>
        </w:tc>
      </w:tr>
      <w:tr>
        <w:trPr>
          <w:trHeight w:val="199"/>
        </w:trPr>
        <w:tc>
          <w:tcPr>
            <w:tcW w:w="3800" w:type="dxa"/>
            <w:vAlign w:val="bottom"/>
            <w:shd w:val="clear" w:color="auto" w:fill="CEFFE7"/>
          </w:tcPr>
          <w:p>
            <w:pPr>
              <w:ind w:left="20"/>
              <w:spacing w:after="0"/>
              <w:rPr>
                <w:sz w:val="20"/>
                <w:szCs w:val="20"/>
                <w:color w:val="auto"/>
              </w:rPr>
            </w:pPr>
            <w:r>
              <w:rPr>
                <w:rFonts w:ascii="Arial" w:cs="Arial" w:eastAsia="Arial" w:hAnsi="Arial"/>
                <w:sz w:val="16"/>
                <w:szCs w:val="16"/>
                <w:i w:val="1"/>
                <w:iCs w:val="1"/>
                <w:color w:val="auto"/>
              </w:rPr>
              <w:t>(in millions)</w:t>
            </w:r>
          </w:p>
        </w:tc>
        <w:tc>
          <w:tcPr>
            <w:tcW w:w="200" w:type="dxa"/>
            <w:vAlign w:val="bottom"/>
            <w:shd w:val="clear" w:color="auto" w:fill="CEFFE7"/>
          </w:tcPr>
          <w:p>
            <w:pPr>
              <w:spacing w:after="0"/>
              <w:rPr>
                <w:sz w:val="17"/>
                <w:szCs w:val="17"/>
                <w:color w:val="auto"/>
              </w:rPr>
            </w:pPr>
          </w:p>
        </w:tc>
        <w:tc>
          <w:tcPr>
            <w:tcW w:w="102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26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28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40" w:type="dxa"/>
            <w:vAlign w:val="bottom"/>
            <w:shd w:val="clear" w:color="auto" w:fill="CEFFE7"/>
          </w:tcPr>
          <w:p>
            <w:pPr>
              <w:spacing w:after="0"/>
              <w:rPr>
                <w:sz w:val="17"/>
                <w:szCs w:val="17"/>
                <w:color w:val="auto"/>
              </w:rPr>
            </w:pPr>
          </w:p>
        </w:tc>
        <w:tc>
          <w:tcPr>
            <w:tcW w:w="28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300" w:type="dxa"/>
            <w:vAlign w:val="bottom"/>
            <w:shd w:val="clear" w:color="auto" w:fill="CEFFE7"/>
          </w:tcPr>
          <w:p>
            <w:pPr>
              <w:spacing w:after="0"/>
              <w:rPr>
                <w:sz w:val="17"/>
                <w:szCs w:val="17"/>
                <w:color w:val="auto"/>
              </w:rPr>
            </w:pPr>
          </w:p>
        </w:tc>
        <w:tc>
          <w:tcPr>
            <w:tcW w:w="940" w:type="dxa"/>
            <w:vAlign w:val="bottom"/>
            <w:shd w:val="clear" w:color="auto" w:fill="CEFFE7"/>
          </w:tcPr>
          <w:p>
            <w:pPr>
              <w:spacing w:after="0"/>
              <w:rPr>
                <w:sz w:val="17"/>
                <w:szCs w:val="17"/>
                <w:color w:val="auto"/>
              </w:rPr>
            </w:pPr>
          </w:p>
        </w:tc>
      </w:tr>
      <w:tr>
        <w:trPr>
          <w:trHeight w:val="213"/>
        </w:trPr>
        <w:tc>
          <w:tcPr>
            <w:tcW w:w="3800" w:type="dxa"/>
            <w:vAlign w:val="bottom"/>
          </w:tcPr>
          <w:p>
            <w:pPr>
              <w:ind w:left="20"/>
              <w:spacing w:after="0"/>
              <w:rPr>
                <w:sz w:val="20"/>
                <w:szCs w:val="20"/>
                <w:color w:val="auto"/>
              </w:rPr>
            </w:pPr>
            <w:r>
              <w:rPr>
                <w:rFonts w:ascii="Arial" w:cs="Arial" w:eastAsia="Arial" w:hAnsi="Arial"/>
                <w:sz w:val="16"/>
                <w:szCs w:val="16"/>
                <w:color w:val="auto"/>
              </w:rPr>
              <w:t>Electric Utilities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286</w:t>
            </w:r>
          </w:p>
        </w:tc>
        <w:tc>
          <w:tcPr>
            <w:tcW w:w="2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239</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285</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231</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9"/>
        </w:trPr>
        <w:tc>
          <w:tcPr>
            <w:tcW w:w="3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Gas Utilities</w:t>
            </w:r>
          </w:p>
        </w:tc>
        <w:tc>
          <w:tcPr>
            <w:tcW w:w="20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383</w:t>
            </w:r>
          </w:p>
        </w:tc>
        <w:tc>
          <w:tcPr>
            <w:tcW w:w="20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363</w:t>
            </w:r>
          </w:p>
        </w:tc>
        <w:tc>
          <w:tcPr>
            <w:tcW w:w="28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383</w:t>
            </w:r>
          </w:p>
        </w:tc>
        <w:tc>
          <w:tcPr>
            <w:tcW w:w="16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386</w:t>
            </w:r>
          </w:p>
        </w:tc>
        <w:tc>
          <w:tcPr>
            <w:tcW w:w="28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349</w:t>
            </w:r>
          </w:p>
        </w:tc>
        <w:tc>
          <w:tcPr>
            <w:tcW w:w="3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346</w:t>
            </w:r>
          </w:p>
        </w:tc>
      </w:tr>
      <w:tr>
        <w:trPr>
          <w:trHeight w:val="213"/>
        </w:trPr>
        <w:tc>
          <w:tcPr>
            <w:tcW w:w="380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3800" w:type="dxa"/>
            <w:vAlign w:val="bottom"/>
            <w:shd w:val="clear" w:color="auto" w:fill="CEFFE7"/>
          </w:tcPr>
          <w:p>
            <w:pPr>
              <w:ind w:left="20"/>
              <w:spacing w:after="0" w:line="219" w:lineRule="exact"/>
              <w:rPr>
                <w:sz w:val="20"/>
                <w:szCs w:val="20"/>
                <w:color w:val="auto"/>
              </w:rPr>
            </w:pPr>
            <w:r>
              <w:rPr>
                <w:rFonts w:ascii="Arial" w:cs="Arial" w:eastAsia="Arial" w:hAnsi="Arial"/>
                <w:sz w:val="16"/>
                <w:szCs w:val="16"/>
                <w:color w:val="auto"/>
              </w:rPr>
              <w:t xml:space="preserve">Incremental projects </w:t>
            </w:r>
            <w:r>
              <w:rPr>
                <w:rFonts w:ascii="Arial" w:cs="Arial" w:eastAsia="Arial" w:hAnsi="Arial"/>
                <w:sz w:val="21"/>
                <w:szCs w:val="21"/>
                <w:color w:val="auto"/>
                <w:vertAlign w:val="superscript"/>
              </w:rPr>
              <w:t>(b)</w:t>
            </w:r>
          </w:p>
        </w:tc>
        <w:tc>
          <w:tcPr>
            <w:tcW w:w="200" w:type="dxa"/>
            <w:vAlign w:val="bottom"/>
            <w:shd w:val="clear" w:color="auto" w:fill="CEFFE7"/>
          </w:tcPr>
          <w:p>
            <w:pPr>
              <w:spacing w:after="0"/>
              <w:rPr>
                <w:sz w:val="19"/>
                <w:szCs w:val="19"/>
                <w:color w:val="auto"/>
              </w:rPr>
            </w:pPr>
          </w:p>
        </w:tc>
        <w:tc>
          <w:tcPr>
            <w:tcW w:w="1220" w:type="dxa"/>
            <w:vAlign w:val="bottom"/>
            <w:gridSpan w:val="2"/>
            <w:shd w:val="clear" w:color="auto" w:fill="CEFFE7"/>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w:t>
            </w:r>
          </w:p>
        </w:tc>
        <w:tc>
          <w:tcPr>
            <w:tcW w:w="3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140</w:t>
            </w:r>
          </w:p>
        </w:tc>
      </w:tr>
      <w:tr>
        <w:trPr>
          <w:trHeight w:val="210"/>
        </w:trPr>
        <w:tc>
          <w:tcPr>
            <w:tcW w:w="3800" w:type="dxa"/>
            <w:vAlign w:val="bottom"/>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653</w:t>
            </w:r>
          </w:p>
        </w:tc>
        <w:tc>
          <w:tcPr>
            <w:tcW w:w="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654</w:t>
            </w:r>
          </w:p>
        </w:tc>
      </w:tr>
      <w:tr>
        <w:trPr>
          <w:trHeight w:val="20"/>
        </w:trPr>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60" w:hanging="332"/>
        <w:spacing w:after="0" w:line="241" w:lineRule="auto"/>
        <w:tabs>
          <w:tab w:leader="none" w:pos="3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as supplemental cash flow information in the </w:t>
      </w:r>
      <w:hyperlink w:anchor="page63">
        <w:r>
          <w:rPr>
            <w:rFonts w:ascii="Arial" w:cs="Arial" w:eastAsia="Arial" w:hAnsi="Arial"/>
            <w:sz w:val="14"/>
            <w:szCs w:val="14"/>
            <w:u w:val="single" w:color="auto"/>
            <w:color w:val="0000FF"/>
          </w:rPr>
          <w:t>Consolidated Statements of Cash Flows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in the Consolidated Financial Statements in this Annual Report on Form 10-K.</w:t>
      </w: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represent projects that are being evaluated by our segments for timing, cost and other factors.</w:t>
      </w: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i w:val="1"/>
          <w:iCs w:val="1"/>
          <w:color w:val="auto"/>
        </w:rPr>
        <w:t xml:space="preserve">Efficiently plan, construct and operate power generation facilities to serve our Electric Utilities. </w:t>
      </w:r>
      <w:r>
        <w:rPr>
          <w:rFonts w:ascii="Arial" w:cs="Arial" w:eastAsia="Arial" w:hAnsi="Arial"/>
          <w:sz w:val="16"/>
          <w:szCs w:val="16"/>
          <w:color w:val="auto"/>
        </w:rPr>
        <w:t>We best serve customers and communities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is vertically integrated into our Electric Utilities. This business model remains a core strength and strategy today as we invest in and operate efficient power generation resources to supply cost-effective electricity to our customers. These generation assets can be rate-based or non-regulated assets within our Electric Utilities segment. However, we believe that generation assets that are rate-based provide long-term benefits to customers. In the fourth quarter of 2021, we revised our operating segments to align with our vertically integrated business model for our Electric Utilities. Our power generation and mining businesses, which were previously presented as separate operating segments, are now part of our vertically integrated Electric Utilities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Our power production strategy focuses on low-cost construction and efficient operation of our generating facilities. Our low power production costs result from a variety of factors including low fuel costs (operations located near energy hubs), efficiency in converting fuel into energy and low per unit operating and maintenance costs. In addition, we operate our plants with high levels of Availability as compared to industry benchmarks.</w:t>
      </w:r>
    </w:p>
    <w:p>
      <w:pPr>
        <w:spacing w:after="0" w:line="212"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 xml:space="preserve">Rate Base Generation: </w:t>
      </w:r>
      <w:r>
        <w:rPr>
          <w:rFonts w:ascii="Arial" w:cs="Arial" w:eastAsia="Arial" w:hAnsi="Arial"/>
          <w:sz w:val="16"/>
          <w:szCs w:val="16"/>
          <w:color w:val="auto"/>
        </w:rPr>
        <w:t>We continue to believe that customers are best served when the power generation facilities are owned and rate-based by our Electric</w:t>
      </w:r>
      <w:r>
        <w:rPr>
          <w:rFonts w:ascii="Arial" w:cs="Arial" w:eastAsia="Arial" w:hAnsi="Arial"/>
          <w:sz w:val="16"/>
          <w:szCs w:val="16"/>
          <w:i w:val="1"/>
          <w:iCs w:val="1"/>
          <w:color w:val="auto"/>
        </w:rPr>
        <w:t xml:space="preserve"> </w:t>
      </w:r>
      <w:r>
        <w:rPr>
          <w:rFonts w:ascii="Arial" w:cs="Arial" w:eastAsia="Arial" w:hAnsi="Arial"/>
          <w:sz w:val="16"/>
          <w:szCs w:val="16"/>
          <w:color w:val="auto"/>
        </w:rPr>
        <w:t>Utilities. Rate-based generation assets offer several advantages for customers and shareholders, including:</w:t>
      </w:r>
    </w:p>
    <w:p>
      <w:pPr>
        <w:spacing w:after="0" w:line="206" w:lineRule="exact"/>
        <w:rPr>
          <w:sz w:val="20"/>
          <w:szCs w:val="20"/>
          <w:color w:val="auto"/>
        </w:rPr>
      </w:pPr>
    </w:p>
    <w:p>
      <w:pPr>
        <w:ind w:left="660" w:right="60" w:hanging="328"/>
        <w:spacing w:after="0" w:line="253"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When generating assets are included in the utility rate base and reviewed and approved by government authorities, customer rates are more stable and predictable, and typically less expensive in the long run; especially when compared to power otherwise purchased from the open market through wholesale contracts or PPAs that are periodically re-priced to reflect current and varying market conditions;</w:t>
      </w:r>
    </w:p>
    <w:p>
      <w:pPr>
        <w:spacing w:after="0" w:line="22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Regulators participate in a planning process where long-term investments are designed to match long-term energy demand;</w:t>
      </w:r>
    </w:p>
    <w:p>
      <w:pPr>
        <w:spacing w:after="0" w:line="248" w:lineRule="exact"/>
        <w:rPr>
          <w:rFonts w:ascii="Arial" w:cs="Arial" w:eastAsia="Arial" w:hAnsi="Arial"/>
          <w:sz w:val="16"/>
          <w:szCs w:val="16"/>
          <w:color w:val="auto"/>
        </w:rPr>
      </w:pPr>
    </w:p>
    <w:p>
      <w:pPr>
        <w:ind w:left="660" w:right="10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lower-risk profile of rate-based generation assets contributes to stronger credit ratings which, in turn, can benefit both customers and investors by lowering the cost of capital; and</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Investors are provided a long-term and stable return on their investment.</w:t>
      </w:r>
    </w:p>
    <w:p>
      <w:pPr>
        <w:spacing w:after="0" w:line="23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i w:val="1"/>
          <w:iCs w:val="1"/>
          <w:color w:val="auto"/>
        </w:rPr>
        <w:t xml:space="preserve">Integrated Generation: </w:t>
      </w:r>
      <w:r>
        <w:rPr>
          <w:rFonts w:ascii="Arial" w:cs="Arial" w:eastAsia="Arial" w:hAnsi="Arial"/>
          <w:sz w:val="16"/>
          <w:szCs w:val="16"/>
          <w:color w:val="auto"/>
        </w:rPr>
        <w:t>Our Electric Utilities segment also contains a power generation business that owns non-regulated generating facilities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contracted through long-term power purchase agreements with our electric utilities. Our power generation business has an experienced staff with significant expertise in planning, building and operating power plants. This team also provides shared services to our Electric Utilities’ generation facilities, resulting in efficient management of all of the company’s generation assets. This business competitively bids for energy and capacity through requests for proposals by our Electric Utilities for energy resources necessary to serve customers. This business can bid competitively due to construction expertise, fuel supply advantages and by co-locating new plants at our existing Electric Utilities’ energy complexes, reducing infrastructure and operating costs. All power plants within this business, except Top of Iowa, are contracted to our Electric Utilities under long-term contracts and are located at our utility-generating complexes, including Busch Ranch, Pueblo Airport Generation, and the Gillette, Wyoming energy complex, and are physically integrated into our Electric Utilities’ operations.</w:t>
      </w:r>
    </w:p>
    <w:p>
      <w:pPr>
        <w:spacing w:after="0" w:line="219"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i w:val="1"/>
          <w:iCs w:val="1"/>
          <w:color w:val="auto"/>
        </w:rPr>
        <w:t xml:space="preserve">Generation Fuel Supply: </w:t>
      </w:r>
      <w:r>
        <w:rPr>
          <w:rFonts w:ascii="Arial" w:cs="Arial" w:eastAsia="Arial" w:hAnsi="Arial"/>
          <w:sz w:val="16"/>
          <w:szCs w:val="16"/>
          <w:color w:val="auto"/>
        </w:rPr>
        <w:t>Our generating facilities are strategically located close to energy hubs that help reduce fuel supply costs. Our Colorado and</w:t>
      </w:r>
      <w:r>
        <w:rPr>
          <w:rFonts w:ascii="Arial" w:cs="Arial" w:eastAsia="Arial" w:hAnsi="Arial"/>
          <w:sz w:val="16"/>
          <w:szCs w:val="16"/>
          <w:i w:val="1"/>
          <w:iCs w:val="1"/>
          <w:color w:val="auto"/>
        </w:rPr>
        <w:t xml:space="preserve"> </w:t>
      </w:r>
      <w:r>
        <w:rPr>
          <w:rFonts w:ascii="Arial" w:cs="Arial" w:eastAsia="Arial" w:hAnsi="Arial"/>
          <w:sz w:val="16"/>
          <w:szCs w:val="16"/>
          <w:color w:val="auto"/>
        </w:rPr>
        <w:t>Wyoming gas-fired generating facilities are located close to major natural gas energy hubs that provide trading liquidity and transparent pricing. Due to their location in the resource rich areas of Colorado and Wyoming, natural gas supply to fuel our gas-fired generation can be sourced at competitive prices. Our only coal-fired power plants, all located at the Gillette energy complex in northeastern Wyoming, are supplied by our adjacent coal mine. We operate and own majority interests in four of the five power plants and own 20% of the fifth power plant. The small coal mine provides approximately 3.5 million tons of low-sulfur coal directly to these power plants via a conveyor belt system, minimizing transportation costs. On average, the fuel can be delivered to the adjacent power plants at less than $1.00 per MMBtu, providing very cost competitive fuel to our power plants when compared to alternatives. Nearly all the mine’s production is sold to these on-site generation facilities under long-term supply contracts. Approximately one-half of our production is sold under cost-plus contracts with affiliates. A small portion of the mine’s production is sold to off-site industrial customers and delivered by truck.</w:t>
      </w:r>
    </w:p>
    <w:p>
      <w:pPr>
        <w:spacing w:after="0" w:line="21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b w:val="1"/>
          <w:bCs w:val="1"/>
          <w:i w:val="1"/>
          <w:iCs w:val="1"/>
          <w:color w:val="auto"/>
        </w:rPr>
        <w:t xml:space="preserve">Supporting the Energy Transition by proactively integrating alternative and renewable energy into our utility energy supply while mitigating customer rate impacts. </w:t>
      </w:r>
      <w:r>
        <w:rPr>
          <w:rFonts w:ascii="Arial" w:cs="Arial" w:eastAsia="Arial" w:hAnsi="Arial"/>
          <w:sz w:val="16"/>
          <w:szCs w:val="16"/>
          <w:color w:val="auto"/>
        </w:rPr>
        <w:t>In November 2020, we announced clean energy goals to reduce GHG emissions intensity for our Electric Utilities of 40% by 2030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70% by 2040 and achieve GHG reductions of 50% by 2035 for our Gas Utilities. Our goals are based on existing technology and computed from 2005 baseline levels of GHG emissions intensity for our electric operations and natural gas distribution system. Since 2005, we have reduced GHG emissions intensity from our Gas Utilities by more than 33% and achieved a 30% reduction from our Electric Utilities (an additional 5% reduction since announcing our goal in 2020 for our Electric Utilities). Additionally, our Electric Utilities have reduced nitrogen oxide and sulfur dioxide emissions by more than 75% since 2005. Our electric utility in Colorado has achieved a nearly 50% reduction in GHG emissions since 2005 and is on track to reach the State of Colorado’s 80% carbon reduction goal by 2030. Our goals are based on prudent and proven solutions to reduce our emissions while minimizing cost impacts to our customers. This keeps our customers at the forefront of our decision-making, which is central to our values.</w:t>
      </w:r>
    </w:p>
    <w:p>
      <w:pPr>
        <w:spacing w:after="0" w:line="232" w:lineRule="exact"/>
        <w:rPr>
          <w:sz w:val="20"/>
          <w:szCs w:val="20"/>
          <w:color w:val="auto"/>
        </w:rPr>
      </w:pPr>
    </w:p>
    <w:p>
      <w:pPr>
        <w:jc w:val="both"/>
        <w:ind w:right="320"/>
        <w:spacing w:after="0" w:line="260" w:lineRule="auto"/>
        <w:rPr>
          <w:sz w:val="20"/>
          <w:szCs w:val="20"/>
          <w:color w:val="auto"/>
        </w:rPr>
      </w:pPr>
      <w:r>
        <w:rPr>
          <w:rFonts w:ascii="Arial" w:cs="Arial" w:eastAsia="Arial" w:hAnsi="Arial"/>
          <w:sz w:val="16"/>
          <w:szCs w:val="16"/>
          <w:color w:val="auto"/>
        </w:rPr>
        <w:t>More of our customers, particularly our larger customers, are demanding cleaner sources of energy to meet their sustainability goals. In addition, there is more interest from consumers, regulators and legislators to increase the use of renewable and other alternative energy sources. To support this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260" w:hanging="328"/>
        <w:spacing w:after="0" w:line="251"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created the Renewable Ready program for South Dakota and Wyoming customers. In support of this program, we created and received approvals for new, voluntary renewable energy tariffs to serve certain commercial, industrial and governmental customer requests for renewable energy resources. To meet the renewable energy commitments under the new tariffs, on November 30, 2020, we completed construction and placed into service the Corriedale wind project, a 52.5 MW wind energy project near Cheyenne, Wyoming.</w:t>
      </w:r>
    </w:p>
    <w:p>
      <w:pPr>
        <w:spacing w:after="0" w:line="229" w:lineRule="exact"/>
        <w:rPr>
          <w:rFonts w:ascii="Arial" w:cs="Arial" w:eastAsia="Arial" w:hAnsi="Arial"/>
          <w:sz w:val="16"/>
          <w:szCs w:val="16"/>
          <w:color w:val="auto"/>
        </w:rPr>
      </w:pPr>
    </w:p>
    <w:p>
      <w:pPr>
        <w:ind w:left="660" w:right="60" w:hanging="328"/>
        <w:spacing w:after="0" w:line="249"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June 2021, South Dakota Electric and Wyoming Electric submitted an IRP to the SDPUC and WPSC. The IRP outlines a range of options for the two electric utilities over a 20-year planning horizon to meet long-term forecasted energy needs while strengthening reliability and resiliency of the grid. The analysis focused on the least-cost resource needs to best meet customers’ future peak energy needs while maintaining system flexibility and achieving the Company’s generation emissions reduction goals. The IRP’s preferred options for the near-term planning period through 2026 propose the addition of 100 MW of renewable generation, the conversion of Neil Simpson II to natural gas in 2025 and consideration of up to 20 MW of battery storage.</w:t>
      </w:r>
    </w:p>
    <w:p>
      <w:pPr>
        <w:spacing w:after="0" w:line="23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Many states have enacted, and others are considering, mandatory renewable energy standards, requiring utilities to meet certain thresholds of renewable energy generation. In addition, some states have either enacted or are considering legislation setting GHG emission reduction targets. Federal legislation for renewable energy standards and GHG emission reductions has been considered and may be implemented in the future. Mandates for the use of renewable energy or the reduction of GHG emissions will likely drive the need for significant investment in our Electric Utilities and Gas Utilities segments. These mandates will also likely increase prices for electricity and/or natural gas for our utility customers. As a regulated utility we are responsible for providing safe, reliable and cost-effective sources of energy to our customers. Accordingly, we employ a customer-focused strategy for complying with standards and regulations that balances our customers’ rate concerns with environmental considerations and administrative and legislative mandates. We attempt to strike this balance by prudently and proactively incorporating renewable energy into our resource supply, while seeking to minimize the magnitude and frequency of rate increases for our utility customers.</w:t>
      </w:r>
    </w:p>
    <w:p>
      <w:pPr>
        <w:spacing w:after="0" w:line="199"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b w:val="1"/>
          <w:bCs w:val="1"/>
          <w:i w:val="1"/>
          <w:iCs w:val="1"/>
          <w:color w:val="auto"/>
        </w:rPr>
        <w:t xml:space="preserve">Explore opportunities as an energy solutions provider. </w:t>
      </w:r>
      <w:r>
        <w:rPr>
          <w:rFonts w:ascii="Arial" w:cs="Arial" w:eastAsia="Arial" w:hAnsi="Arial"/>
          <w:sz w:val="16"/>
          <w:szCs w:val="16"/>
          <w:color w:val="auto"/>
        </w:rPr>
        <w:t>Another strategic initiative is to grow our business through creative energy solutions with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and partnerships. We see value creation by recruiting new customers and expanding existing partnerships with data centers, crypto miners and other blockchain opportunities; exploring energy markets such as RTOs; and expanding our transmission capabilities. As an example, we have supported enabling legislation in Wyoming for the growing blockchain and digital currency businesses while implementing our own Blockchain Interruptible Service Tariff to serve these customers. We are also re-focusing on our product and services offerings to our natural gas customers.</w:t>
      </w:r>
    </w:p>
    <w:p>
      <w:pPr>
        <w:spacing w:after="0" w:line="23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Additionally, we are pursuing two important initiatives in the form of sustainable energy solutions for electric vehicles and renewable natural gas. These two programs support our near-term sustainable strategy and contribute to the achievement of our aspirational greenhouse gas emissions reduction goals.</w:t>
      </w:r>
    </w:p>
    <w:p>
      <w:pPr>
        <w:spacing w:after="0" w:line="222" w:lineRule="exact"/>
        <w:rPr>
          <w:sz w:val="20"/>
          <w:szCs w:val="20"/>
          <w:color w:val="auto"/>
        </w:rPr>
      </w:pPr>
    </w:p>
    <w:p>
      <w:pPr>
        <w:ind w:left="660" w:right="40" w:hanging="328"/>
        <w:spacing w:after="0" w:line="251"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Electric Vehicles (EV)</w:t>
      </w:r>
      <w:r>
        <w:rPr>
          <w:rFonts w:ascii="Arial" w:cs="Arial" w:eastAsia="Arial" w:hAnsi="Arial"/>
          <w:sz w:val="16"/>
          <w:szCs w:val="16"/>
          <w:color w:val="auto"/>
        </w:rPr>
        <w:t>: We expect EV market share to increase over the next one to three years, commensurate with a significant uptick in vehicle range and product offerings and marked decrease in EV purchase prices. In addition to future load growth opportunities, we will investigate behind-the-meter solutions for customers. In January 2022, the CPUC approved a transportation electrification plan for Colorado Electric including the implementation of EV and charger rebates and EV rates.</w:t>
      </w:r>
    </w:p>
    <w:p>
      <w:pPr>
        <w:spacing w:after="0" w:line="229" w:lineRule="exact"/>
        <w:rPr>
          <w:rFonts w:ascii="Arial" w:cs="Arial" w:eastAsia="Arial" w:hAnsi="Arial"/>
          <w:sz w:val="16"/>
          <w:szCs w:val="16"/>
          <w:color w:val="auto"/>
        </w:rPr>
      </w:pPr>
    </w:p>
    <w:p>
      <w:pPr>
        <w:ind w:left="660" w:right="800" w:hanging="328"/>
        <w:spacing w:after="0" w:line="253"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Renewable Natural Gas (RNG)</w:t>
      </w:r>
      <w:r>
        <w:rPr>
          <w:rFonts w:ascii="Arial" w:cs="Arial" w:eastAsia="Arial" w:hAnsi="Arial"/>
          <w:sz w:val="16"/>
          <w:szCs w:val="16"/>
          <w:color w:val="auto"/>
        </w:rPr>
        <w:t>: Our teams are developing RNG/carbon offset offerings for our retail customers, evaluating multiple RNG investment opportunities and exploring value generation with our natural gas storage assets. We also continue to expand our RNG interconnections, with several projects actively injecting RNG into our natural gas system.</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i w:val="1"/>
          <w:iCs w:val="1"/>
          <w:color w:val="auto"/>
        </w:rPr>
        <w:t xml:space="preserve">Execute disciplined capital allocation and explore small strategic opportunities. </w:t>
      </w:r>
      <w:r>
        <w:rPr>
          <w:rFonts w:ascii="Arial" w:cs="Arial" w:eastAsia="Arial" w:hAnsi="Arial"/>
          <w:sz w:val="16"/>
          <w:szCs w:val="16"/>
          <w:color w:val="auto"/>
        </w:rPr>
        <w:t>We are planning a disciplined capital investment program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$600 million annually over the next two years to improve our cash flows and reduce our debt to total capitalization ratio. By carefully managing capital, we plan to continue to strengthen our balance sheet and enhance our liquidity. With this goal in mind, we will continue to evaluate smaller scale acquisitions of private utility infrastructure systems and small municipal systems that can be easily incorporated into our existing utility systems.</w:t>
      </w:r>
    </w:p>
    <w:p>
      <w:pPr>
        <w:spacing w:after="0" w:line="205"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b w:val="1"/>
          <w:bCs w:val="1"/>
          <w:i w:val="1"/>
          <w:iCs w:val="1"/>
          <w:color w:val="auto"/>
        </w:rPr>
        <w:t xml:space="preserve">Deliver a competitive total return to investors and maintain an investment grade credit rating. </w:t>
      </w:r>
      <w:r>
        <w:rPr>
          <w:rFonts w:ascii="Arial" w:cs="Arial" w:eastAsia="Arial" w:hAnsi="Arial"/>
          <w:sz w:val="16"/>
          <w:szCs w:val="16"/>
          <w:color w:val="auto"/>
        </w:rPr>
        <w:t>We are proud of our track record of annual dividend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increases for shareholders. 2021 represented our 51st consecutive year of increasing dividends. In January 2022, our Board of Directors declared a quarterly dividend of $0.595 per share, equivalent to an annual dividend of $2.38 per share. We intend to continue our record of annual dividend increases with a targeted dividend payout ratio of 50% to 60%.</w:t>
      </w:r>
    </w:p>
    <w:p>
      <w:pPr>
        <w:spacing w:after="0" w:line="225"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We require access to the capital markets to fund our planned capital investments or acquire strategic assets that support prudent and earnings-accretive business growth. We have demonstrated our ability to cost-effectively access the debt and equity markets, while maintaining our investment-grade issuer credit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Recent Developments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Winter Storm Uri</w:t>
      </w:r>
    </w:p>
    <w:p>
      <w:pPr>
        <w:spacing w:after="0" w:line="268"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In February 2021, a prolonged period of historic cold temperatures across the central United States covered all of our Utilities’ service territories, caused a substantial increase in heating and energy demand and contributed to unforeseeable and unprecedented market prices for natural gas and electricity. As a result of Winter Storm Uri, we incurred significant incremental natural gas and fuel costs.</w:t>
      </w:r>
    </w:p>
    <w:p>
      <w:pPr>
        <w:spacing w:after="0" w:line="228" w:lineRule="exact"/>
        <w:rPr>
          <w:sz w:val="20"/>
          <w:szCs w:val="20"/>
          <w:color w:val="auto"/>
        </w:rPr>
      </w:pPr>
    </w:p>
    <w:p>
      <w:pPr>
        <w:ind w:right="2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On February 24, 2021, we entered into a nine-month, $800 million unsecured term loan to provide additional liquidity and to meet our cash needs related to the incremental fuel, purchased power and natural gas costs from Winter Storm Uri. Proceeds from the August 26, 2021 debt transaction were used to repay amounts outstanding under this term loan. See </w:t>
      </w:r>
      <w:hyperlink w:anchor="page88">
        <w:r>
          <w:rPr>
            <w:rFonts w:ascii="Arial" w:cs="Arial" w:eastAsia="Arial" w:hAnsi="Arial"/>
            <w:sz w:val="16"/>
            <w:szCs w:val="16"/>
            <w:u w:val="single" w:color="auto"/>
            <w:color w:val="0000FF"/>
          </w:rPr>
          <w:t>Note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 for further information.</w:t>
      </w:r>
    </w:p>
    <w:p>
      <w:pPr>
        <w:spacing w:after="0" w:line="229" w:lineRule="exact"/>
        <w:rPr>
          <w:sz w:val="20"/>
          <w:szCs w:val="20"/>
          <w:color w:val="auto"/>
        </w:rPr>
      </w:pPr>
    </w:p>
    <w:p>
      <w:pPr>
        <w:spacing w:after="0" w:line="252" w:lineRule="auto"/>
        <w:rPr>
          <w:rFonts w:ascii="Arial" w:cs="Arial" w:eastAsia="Arial" w:hAnsi="Arial"/>
          <w:sz w:val="16"/>
          <w:szCs w:val="16"/>
          <w:color w:val="auto"/>
        </w:rPr>
      </w:pPr>
      <w:r>
        <w:rPr>
          <w:rFonts w:ascii="Arial" w:cs="Arial" w:eastAsia="Arial" w:hAnsi="Arial"/>
          <w:sz w:val="16"/>
          <w:szCs w:val="16"/>
          <w:color w:val="auto"/>
        </w:rPr>
        <w:t xml:space="preserve">During the second quarter, our Utilities submitted cost recovery applications with the utility commissions in our state jurisdictions to recover incremental costs associated with Winter Storm Uri. To date, several of our Utilities have received interim or final Commission Orders and have begun recovering costs from customers. See </w:t>
      </w:r>
      <w:hyperlink w:anchor="page74">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 for further information on our regulatory activity.</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26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For the year ended December 31, 2021, we did not experience significant impacts to our financial results, liquidity or operational activities due to COVID-19. We continue to monitor loads, customers’ ability to pay, the potential for supply chain disruption or inflation that may impact our capital and maintenance project plans, the availability of third-party resources to execute our business plans and the capital markets to ensure we have the liquidity necessary to support our financial needs. State Orders lifting temporarily suspended disconnections have been issued in all of our jurisdictions.</w:t>
      </w:r>
    </w:p>
    <w:p>
      <w:pPr>
        <w:spacing w:after="0" w:line="22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As we look forward, our operating results could be affected by COVID-19 as discussed in detail in our </w:t>
      </w:r>
      <w:hyperlink w:anchor="page20">
        <w:r>
          <w:rPr>
            <w:rFonts w:ascii="Arial" w:cs="Arial" w:eastAsia="Arial" w:hAnsi="Arial"/>
            <w:sz w:val="16"/>
            <w:szCs w:val="16"/>
            <w:u w:val="single" w:color="auto"/>
            <w:color w:val="0000FF"/>
          </w:rPr>
          <w:t>Risk Factors</w:t>
        </w:r>
      </w:hyperlink>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Highlights and Corporate Activity</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248" w:lineRule="exact"/>
        <w:rPr>
          <w:sz w:val="20"/>
          <w:szCs w:val="20"/>
          <w:color w:val="auto"/>
        </w:rPr>
      </w:pPr>
    </w:p>
    <w:p>
      <w:pPr>
        <w:ind w:left="660" w:right="140" w:hanging="328"/>
        <w:spacing w:after="0" w:line="253"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January 26, 2022, Colorado Electric agreed to join SPP’s Western Energy Imbalance Service Market. Colorado Electric, PRPA, and the Colorado subsidiary of Xcel Energy Inc. will join the market in April 2023 and will continue to study long-term solutions for joining or developing an organized wholesale market. The expansion allows the utilities to participate in a real-time market to dispatch energy at lower costs.</w:t>
      </w:r>
    </w:p>
    <w:p>
      <w:pPr>
        <w:spacing w:after="0" w:line="228" w:lineRule="exact"/>
        <w:rPr>
          <w:rFonts w:ascii="Arial" w:cs="Arial" w:eastAsia="Arial" w:hAnsi="Arial"/>
          <w:sz w:val="16"/>
          <w:szCs w:val="16"/>
          <w:color w:val="auto"/>
        </w:rPr>
      </w:pPr>
    </w:p>
    <w:p>
      <w:pPr>
        <w:ind w:left="660" w:right="280" w:hanging="328"/>
        <w:spacing w:after="0" w:line="253"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January 5, 2022, South Dakota Electric and Wyoming Electric set new winter peak loads. This is the fourth new winter peak for Wyoming Electric since 2015. Wyoming Electric’s new winter peak load of 253 MW surpasses the previous peak of 247 MW set in December 2019. South Dakota Electric’s new winter peak of 327 MW surpasses the previous winter peak of 326 MW set in February 2021.</w:t>
      </w:r>
    </w:p>
    <w:p>
      <w:pPr>
        <w:spacing w:after="0" w:line="212" w:lineRule="exact"/>
        <w:rPr>
          <w:rFonts w:ascii="Arial" w:cs="Arial" w:eastAsia="Arial" w:hAnsi="Arial"/>
          <w:sz w:val="16"/>
          <w:szCs w:val="16"/>
          <w:color w:val="auto"/>
        </w:rPr>
      </w:pPr>
    </w:p>
    <w:p>
      <w:pPr>
        <w:ind w:left="660" w:right="100" w:hanging="328"/>
        <w:spacing w:after="0" w:line="281" w:lineRule="auto"/>
        <w:tabs>
          <w:tab w:leader="none" w:pos="649" w:val="left"/>
        </w:tabs>
        <w:numPr>
          <w:ilvl w:val="0"/>
          <w:numId w:val="21"/>
        </w:numPr>
        <w:rPr>
          <w:rFonts w:ascii="Arial" w:cs="Arial" w:eastAsia="Arial" w:hAnsi="Arial"/>
          <w:sz w:val="16"/>
          <w:szCs w:val="16"/>
          <w:color w:val="0000FF"/>
        </w:rPr>
      </w:pPr>
      <w:hyperlink w:anchor="page30">
        <w:r>
          <w:rPr>
            <w:rFonts w:ascii="Arial" w:cs="Arial" w:eastAsia="Arial" w:hAnsi="Arial"/>
            <w:sz w:val="16"/>
            <w:szCs w:val="16"/>
            <w:color w:val="auto"/>
          </w:rPr>
          <w:t xml:space="preserve">In November 2021, Wyoming Electric announced its </w:t>
        </w:r>
        <w:r>
          <w:rPr>
            <w:rFonts w:ascii="Arial" w:cs="Arial" w:eastAsia="Arial" w:hAnsi="Arial"/>
            <w:sz w:val="16"/>
            <w:szCs w:val="16"/>
            <w:i w:val="1"/>
            <w:iCs w:val="1"/>
            <w:color w:val="auto"/>
          </w:rPr>
          <w:t>Ready Wyoming</w:t>
        </w:r>
        <w:r>
          <w:rPr>
            <w:rFonts w:ascii="Arial" w:cs="Arial" w:eastAsia="Arial" w:hAnsi="Arial"/>
            <w:sz w:val="16"/>
            <w:szCs w:val="16"/>
            <w:color w:val="auto"/>
          </w:rPr>
          <w:t xml:space="preserve"> electric transmission expansion initiative. See </w:t>
        </w:r>
        <w:r>
          <w:rPr>
            <w:rFonts w:ascii="Arial" w:cs="Arial" w:eastAsia="Arial" w:hAnsi="Arial"/>
            <w:sz w:val="16"/>
            <w:szCs w:val="16"/>
            <w:u w:val="single" w:color="auto"/>
            <w:color w:val="0000FF"/>
          </w:rPr>
          <w:t>Key Elements of our Business</w:t>
        </w:r>
      </w:hyperlink>
      <w:r>
        <w:rPr>
          <w:rFonts w:ascii="Arial" w:cs="Arial" w:eastAsia="Arial" w:hAnsi="Arial"/>
          <w:sz w:val="16"/>
          <w:szCs w:val="16"/>
          <w:color w:val="auto"/>
        </w:rPr>
        <w:t xml:space="preserve"> </w:t>
      </w:r>
      <w:hyperlink w:anchor="page30">
        <w:r>
          <w:rPr>
            <w:rFonts w:ascii="Arial" w:cs="Arial" w:eastAsia="Arial" w:hAnsi="Arial"/>
            <w:sz w:val="16"/>
            <w:szCs w:val="16"/>
            <w:u w:val="single" w:color="auto"/>
            <w:color w:val="0000FF"/>
          </w:rPr>
          <w:t>Strategy</w:t>
        </w:r>
        <w:r>
          <w:rPr>
            <w:rFonts w:ascii="Arial" w:cs="Arial" w:eastAsia="Arial" w:hAnsi="Arial"/>
            <w:sz w:val="16"/>
            <w:szCs w:val="16"/>
            <w:color w:val="0000FF"/>
          </w:rPr>
          <w:t xml:space="preserve"> </w:t>
        </w:r>
        <w:r>
          <w:rPr>
            <w:rFonts w:ascii="Arial" w:cs="Arial" w:eastAsia="Arial" w:hAnsi="Arial"/>
            <w:sz w:val="16"/>
            <w:szCs w:val="16"/>
            <w:color w:val="000000"/>
          </w:rPr>
          <w:t>above for further information.</w:t>
        </w:r>
      </w:hyperlink>
    </w:p>
    <w:p>
      <w:pPr>
        <w:spacing w:after="0" w:line="206" w:lineRule="exact"/>
        <w:rPr>
          <w:rFonts w:ascii="Arial" w:cs="Arial" w:eastAsia="Arial" w:hAnsi="Arial"/>
          <w:sz w:val="16"/>
          <w:szCs w:val="16"/>
          <w:color w:val="0000FF"/>
        </w:rPr>
      </w:pPr>
    </w:p>
    <w:p>
      <w:pPr>
        <w:ind w:left="660" w:right="120" w:hanging="328"/>
        <w:spacing w:after="0" w:line="251"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October 5, 2021, our Electric Utilities and several other utilities in the western United States formed the Western Markets Exploratory Group to research the potential for an organized wholesale market in the western interconnect, including expanding transmission systems and other grid-related services. The group plans to identify market solutions that can help achieve carbon reduction goals while supporting reliable, cost-effective services for customers.</w:t>
      </w:r>
    </w:p>
    <w:p>
      <w:pPr>
        <w:spacing w:after="0" w:line="229" w:lineRule="exact"/>
        <w:rPr>
          <w:rFonts w:ascii="Arial" w:cs="Arial" w:eastAsia="Arial" w:hAnsi="Arial"/>
          <w:sz w:val="16"/>
          <w:szCs w:val="16"/>
          <w:color w:val="auto"/>
        </w:rPr>
      </w:pPr>
    </w:p>
    <w:p>
      <w:pPr>
        <w:ind w:left="660" w:right="22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September 19, 2021, Wygen I experienced an unplanned outage that continued until mid-December 2021. For the year ended December 31, 2021, the outage had an $11 million negative impact to Operating income. We are currently assessing insurance recovery opportunities.</w:t>
      </w:r>
    </w:p>
    <w:p>
      <w:pPr>
        <w:spacing w:after="0" w:line="222" w:lineRule="exact"/>
        <w:rPr>
          <w:rFonts w:ascii="Arial" w:cs="Arial" w:eastAsia="Arial" w:hAnsi="Arial"/>
          <w:sz w:val="16"/>
          <w:szCs w:val="16"/>
          <w:color w:val="auto"/>
        </w:rPr>
      </w:pPr>
    </w:p>
    <w:p>
      <w:pPr>
        <w:ind w:left="660" w:right="52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August 24, 2021, Wyoming Electric issued a request for proposals under its Blockchain Interruptible Service tariff. We have narrowed the bidder’s list and selected finalists for contract negotiations.</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July 28, 2021, Wyoming Electric set a new all-time and summer peak load of 274 MW, exceeding the previous peak of 271 MW set in July 2020.</w:t>
      </w:r>
    </w:p>
    <w:p>
      <w:pPr>
        <w:spacing w:after="0" w:line="248" w:lineRule="exact"/>
        <w:rPr>
          <w:rFonts w:ascii="Arial" w:cs="Arial" w:eastAsia="Arial" w:hAnsi="Arial"/>
          <w:sz w:val="16"/>
          <w:szCs w:val="16"/>
          <w:color w:val="auto"/>
        </w:rPr>
      </w:pPr>
    </w:p>
    <w:p>
      <w:pPr>
        <w:ind w:left="660" w:right="48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July 27, 2021, South Dakota Electric set a new all-time and summer peak load of 397 MW, exceeding the previous peak of 378 MW set in August 2020.</w:t>
      </w:r>
    </w:p>
    <w:p>
      <w:pPr>
        <w:sectPr>
          <w:pgSz w:w="11900" w:h="16838" w:orient="portrait"/>
          <w:cols w:equalWidth="0" w:num="1">
            <w:col w:w="11220"/>
          </w:cols>
          <w:pgMar w:left="320" w:top="121" w:right="359" w:bottom="1440" w:gutter="0" w:footer="0" w:header="0"/>
        </w:sect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200" w:hanging="328"/>
        <w:spacing w:after="0" w:line="260" w:lineRule="auto"/>
        <w:tabs>
          <w:tab w:leader="none" w:pos="649" w:val="left"/>
        </w:tabs>
        <w:numPr>
          <w:ilvl w:val="0"/>
          <w:numId w:val="22"/>
        </w:numPr>
        <w:rPr>
          <w:rFonts w:ascii="Arial" w:cs="Arial" w:eastAsia="Arial" w:hAnsi="Arial"/>
          <w:sz w:val="16"/>
          <w:szCs w:val="16"/>
          <w:color w:val="0000FF"/>
        </w:rPr>
      </w:pPr>
      <w:hyperlink w:anchor="page30">
        <w:r>
          <w:rPr>
            <w:rFonts w:ascii="Arial" w:cs="Arial" w:eastAsia="Arial" w:hAnsi="Arial"/>
            <w:sz w:val="16"/>
            <w:szCs w:val="16"/>
            <w:color w:val="auto"/>
          </w:rPr>
          <w:t xml:space="preserve">On June 30, 2021, South Dakota Electric and Wyoming Electric submitted an IRP to the SDPUC and WPSC. See </w:t>
        </w:r>
        <w:r>
          <w:rPr>
            <w:rFonts w:ascii="Arial" w:cs="Arial" w:eastAsia="Arial" w:hAnsi="Arial"/>
            <w:sz w:val="16"/>
            <w:szCs w:val="16"/>
            <w:u w:val="single" w:color="auto"/>
            <w:color w:val="0000FF"/>
          </w:rPr>
          <w:t>Key Elements of our Business</w:t>
        </w:r>
      </w:hyperlink>
      <w:r>
        <w:rPr>
          <w:rFonts w:ascii="Arial" w:cs="Arial" w:eastAsia="Arial" w:hAnsi="Arial"/>
          <w:sz w:val="16"/>
          <w:szCs w:val="16"/>
          <w:color w:val="auto"/>
        </w:rPr>
        <w:t xml:space="preserve"> </w:t>
      </w:r>
      <w:hyperlink w:anchor="page30">
        <w:r>
          <w:rPr>
            <w:rFonts w:ascii="Arial" w:cs="Arial" w:eastAsia="Arial" w:hAnsi="Arial"/>
            <w:sz w:val="16"/>
            <w:szCs w:val="16"/>
            <w:u w:val="single" w:color="auto"/>
            <w:color w:val="0000FF"/>
          </w:rPr>
          <w:t>Strategy</w:t>
        </w:r>
        <w:r>
          <w:rPr>
            <w:rFonts w:ascii="Arial" w:cs="Arial" w:eastAsia="Arial" w:hAnsi="Arial"/>
            <w:sz w:val="16"/>
            <w:szCs w:val="16"/>
            <w:color w:val="0000FF"/>
          </w:rPr>
          <w:t xml:space="preserve"> </w:t>
        </w:r>
        <w:r>
          <w:rPr>
            <w:rFonts w:ascii="Arial" w:cs="Arial" w:eastAsia="Arial" w:hAnsi="Arial"/>
            <w:sz w:val="16"/>
            <w:szCs w:val="16"/>
            <w:color w:val="000000"/>
          </w:rPr>
          <w:t>above for further information.</w:t>
        </w:r>
      </w:hyperlink>
    </w:p>
    <w:p>
      <w:pPr>
        <w:spacing w:after="0" w:line="222" w:lineRule="exact"/>
        <w:rPr>
          <w:rFonts w:ascii="Arial" w:cs="Arial" w:eastAsia="Arial" w:hAnsi="Arial"/>
          <w:sz w:val="16"/>
          <w:szCs w:val="16"/>
          <w:color w:val="0000FF"/>
        </w:rPr>
      </w:pPr>
    </w:p>
    <w:p>
      <w:pPr>
        <w:ind w:left="660" w:hanging="328"/>
        <w:spacing w:after="0" w:line="251"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February 19, 2021, Colorado Electric entered into a PPA with TC Colorado Solar, LLC (TC Solar) to purchase up to 200 MW of renewable energy upon construction of a new solar facility, to be owned by TC Solar. On January 31, 2022, TC Solar provided termination notice of the PPA to Colorado Electric. Colorado Electric has disputed TC Solar’s right to termination and pursuant to the agreement, has initiated discussions with TC Solar.</w:t>
      </w:r>
    </w:p>
    <w:p>
      <w:pPr>
        <w:spacing w:after="0" w:line="22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248" w:lineRule="exact"/>
        <w:rPr>
          <w:rFonts w:ascii="Arial" w:cs="Arial" w:eastAsia="Arial" w:hAnsi="Arial"/>
          <w:sz w:val="16"/>
          <w:szCs w:val="16"/>
          <w:color w:val="auto"/>
        </w:rPr>
      </w:pPr>
    </w:p>
    <w:p>
      <w:pPr>
        <w:ind w:left="660" w:right="4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See </w:t>
      </w:r>
      <w:hyperlink w:anchor="page74">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 for recent regulatory activity for our Gas Utilities in Arkansas, Colorado, Iowa, Kansas and Nebraska.</w:t>
      </w:r>
    </w:p>
    <w:p>
      <w:pPr>
        <w:spacing w:after="0" w:line="22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248" w:lineRule="exact"/>
        <w:rPr>
          <w:rFonts w:ascii="Arial" w:cs="Arial" w:eastAsia="Arial" w:hAnsi="Arial"/>
          <w:sz w:val="16"/>
          <w:szCs w:val="16"/>
          <w:color w:val="auto"/>
        </w:rPr>
      </w:pPr>
    </w:p>
    <w:p>
      <w:pPr>
        <w:ind w:left="660" w:right="40" w:hanging="328"/>
        <w:spacing w:after="0" w:line="253"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On August 26, 2021, we completed a public debt offering which consisted of $600 million, 1.037% 3-year senior unsecured notes due August 23, 2024. The proceeds from the offering were used to repay amounts outstanding under our term loan entered into on February 24, 2021. See </w:t>
      </w:r>
      <w:hyperlink w:anchor="page88">
        <w:r>
          <w:rPr>
            <w:rFonts w:ascii="Arial" w:cs="Arial" w:eastAsia="Arial" w:hAnsi="Arial"/>
            <w:sz w:val="16"/>
            <w:szCs w:val="16"/>
            <w:u w:val="single" w:color="auto"/>
            <w:color w:val="0000FF"/>
          </w:rPr>
          <w:t>Note 8</w:t>
        </w:r>
      </w:hyperlink>
      <w:r>
        <w:rPr>
          <w:rFonts w:ascii="Arial" w:cs="Arial" w:eastAsia="Arial" w:hAnsi="Arial"/>
          <w:sz w:val="16"/>
          <w:szCs w:val="16"/>
          <w:color w:val="auto"/>
        </w:rPr>
        <w:t xml:space="preserve"> of the Notes to Consolidated Financial Statements in this Annual Report on Form 10-K for further information.</w:t>
      </w:r>
    </w:p>
    <w:p>
      <w:pPr>
        <w:spacing w:after="0" w:line="228"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On July 19, 2021, we amended and restated our corporate Revolving Credit Facility. See </w:t>
      </w:r>
      <w:hyperlink w:anchor="page88">
        <w:r>
          <w:rPr>
            <w:rFonts w:ascii="Arial" w:cs="Arial" w:eastAsia="Arial" w:hAnsi="Arial"/>
            <w:sz w:val="16"/>
            <w:szCs w:val="16"/>
            <w:u w:val="single" w:color="auto"/>
            <w:color w:val="0000FF"/>
          </w:rPr>
          <w:t>Note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 for further information.</w:t>
      </w: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46" w:lineRule="exact"/>
        <w:rPr>
          <w:rFonts w:ascii="Arial" w:cs="Arial" w:eastAsia="Arial" w:hAnsi="Arial"/>
          <w:sz w:val="16"/>
          <w:szCs w:val="16"/>
          <w:b w:val="1"/>
          <w:bCs w:val="1"/>
          <w:i w:val="1"/>
          <w:iCs w:val="1"/>
          <w:color w:val="auto"/>
        </w:rPr>
      </w:pPr>
    </w:p>
    <w:p>
      <w:pPr>
        <w:jc w:val="center"/>
        <w:ind w:right="-59"/>
        <w:spacing w:after="0"/>
        <w:rPr>
          <w:sz w:val="20"/>
          <w:szCs w:val="20"/>
          <w:color w:val="auto"/>
        </w:rPr>
      </w:pPr>
      <w:r>
        <w:rPr>
          <w:rFonts w:ascii="Arial" w:cs="Arial" w:eastAsia="Arial" w:hAnsi="Arial"/>
          <w:sz w:val="16"/>
          <w:szCs w:val="16"/>
          <w:color w:val="auto"/>
        </w:rPr>
        <w:t>35</w:t>
      </w:r>
    </w:p>
    <w:p>
      <w:pPr>
        <w:spacing w:after="0" w:line="20" w:lineRule="exact"/>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6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discussion and analysis for the year ended December 31, 2021 compared to 2020 as well as discussion and analysis of the results of operations for the year ended December 31, 2020 compared to 2019, is included herein. For further discussion and analysis that remains unchanged for the year ended December 31, 2020 compared to 2019, please refer to Item 7 of Part II, “Management’s Discussion and Analysis of Financial Condition and Results of Operations” in our Annual Report on Form 10-K for the year ended December 31, 2020, which was filed with the SEC on February 26, 2021.</w:t>
      </w:r>
    </w:p>
    <w:p>
      <w:pPr>
        <w:spacing w:after="0" w:line="216" w:lineRule="exact"/>
        <w:rPr>
          <w:sz w:val="20"/>
          <w:szCs w:val="20"/>
          <w:color w:val="auto"/>
        </w:rPr>
      </w:pPr>
    </w:p>
    <w:p>
      <w:pPr>
        <w:ind w:right="80"/>
        <w:spacing w:after="0" w:line="235" w:lineRule="auto"/>
        <w:rPr>
          <w:rFonts w:ascii="Arial" w:cs="Arial" w:eastAsia="Arial" w:hAnsi="Arial"/>
          <w:sz w:val="16"/>
          <w:szCs w:val="16"/>
          <w:color w:val="auto"/>
        </w:rPr>
      </w:pPr>
      <w:r>
        <w:rPr>
          <w:rFonts w:ascii="Arial" w:cs="Arial" w:eastAsia="Arial" w:hAnsi="Arial"/>
          <w:sz w:val="16"/>
          <w:szCs w:val="16"/>
          <w:color w:val="auto"/>
        </w:rPr>
        <w:t xml:space="preserve">In the fourth quarter of 2021, we integrated our power generation and mining businesses within the Electric Utilities segment. The alignment is consistent with the current way our CODM evaluates the performance of the business and makes decisions related to the allocation of resources. Comparative periods presented reflect this change. See further segment information in </w:t>
      </w:r>
      <w:hyperlink w:anchor="page111">
        <w:r>
          <w:rPr>
            <w:rFonts w:ascii="Arial" w:cs="Arial" w:eastAsia="Arial" w:hAnsi="Arial"/>
            <w:sz w:val="16"/>
            <w:szCs w:val="16"/>
            <w:u w:val="single" w:color="auto"/>
            <w:color w:val="0000FF"/>
          </w:rPr>
          <w:t>Note 16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24" w:lineRule="exact"/>
        <w:rPr>
          <w:sz w:val="20"/>
          <w:szCs w:val="20"/>
          <w:color w:val="auto"/>
        </w:rPr>
      </w:pPr>
    </w:p>
    <w:p>
      <w:pPr>
        <w:ind w:right="580"/>
        <w:spacing w:after="0" w:line="242" w:lineRule="auto"/>
        <w:rPr>
          <w:sz w:val="20"/>
          <w:szCs w:val="20"/>
          <w:color w:val="auto"/>
        </w:rPr>
      </w:pPr>
      <w:r>
        <w:rPr>
          <w:rFonts w:ascii="Arial" w:cs="Arial" w:eastAsia="Arial" w:hAnsi="Arial"/>
          <w:sz w:val="16"/>
          <w:szCs w:val="16"/>
          <w:color w:val="auto"/>
        </w:rPr>
        <w:t>Segment information does not include intercompany eliminations and all amounts are presented on a pre-tax basis unless otherwise indicated. Minor differences in amounts may result due to rounding.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80" w:type="dxa"/>
            <w:vAlign w:val="bottom"/>
            <w:gridSpan w:val="4"/>
          </w:tcPr>
          <w:p>
            <w:pPr>
              <w:jc w:val="center"/>
              <w:ind w:left="659"/>
              <w:spacing w:after="0"/>
              <w:rPr>
                <w:sz w:val="20"/>
                <w:szCs w:val="20"/>
                <w:color w:val="auto"/>
              </w:rPr>
            </w:pPr>
            <w:r>
              <w:rPr>
                <w:rFonts w:ascii="Arial" w:cs="Arial" w:eastAsia="Arial" w:hAnsi="Arial"/>
                <w:sz w:val="16"/>
                <w:szCs w:val="16"/>
                <w:color w:val="auto"/>
              </w:rPr>
              <w:t>For the Years Ended December 31,</w:t>
            </w:r>
          </w:p>
        </w:tc>
        <w:tc>
          <w:tcPr>
            <w:tcW w:w="1120" w:type="dxa"/>
            <w:vAlign w:val="bottom"/>
          </w:tcPr>
          <w:p>
            <w:pPr>
              <w:spacing w:after="0"/>
              <w:rPr>
                <w:sz w:val="19"/>
                <w:szCs w:val="19"/>
                <w:color w:val="auto"/>
              </w:rPr>
            </w:pPr>
          </w:p>
        </w:tc>
      </w:tr>
      <w:tr>
        <w:trPr>
          <w:trHeight w:val="219"/>
        </w:trPr>
        <w:tc>
          <w:tcPr>
            <w:tcW w:w="6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color w:val="auto"/>
              </w:rPr>
              <w:t>2020</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2019</w:t>
            </w:r>
          </w:p>
        </w:tc>
      </w:tr>
      <w:tr>
        <w:trPr>
          <w:trHeight w:val="209"/>
        </w:trPr>
        <w:tc>
          <w:tcPr>
            <w:tcW w:w="6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0" w:type="dxa"/>
            <w:vAlign w:val="bottom"/>
            <w:gridSpan w:val="5"/>
          </w:tcPr>
          <w:p>
            <w:pPr>
              <w:jc w:val="center"/>
              <w:ind w:right="299"/>
              <w:spacing w:after="0"/>
              <w:rPr>
                <w:sz w:val="20"/>
                <w:szCs w:val="20"/>
                <w:color w:val="auto"/>
              </w:rPr>
            </w:pPr>
            <w:r>
              <w:rPr>
                <w:rFonts w:ascii="Arial" w:cs="Arial" w:eastAsia="Arial" w:hAnsi="Arial"/>
                <w:sz w:val="16"/>
                <w:szCs w:val="16"/>
                <w:color w:val="auto"/>
              </w:rPr>
              <w:t>(in thousands, except per share amounts)</w:t>
            </w:r>
          </w:p>
        </w:tc>
      </w:tr>
      <w:tr>
        <w:trPr>
          <w:trHeight w:val="219"/>
        </w:trPr>
        <w:tc>
          <w:tcPr>
            <w:tcW w:w="6260" w:type="dxa"/>
            <w:vAlign w:val="bottom"/>
            <w:shd w:val="clear" w:color="auto" w:fill="CEFEE7"/>
          </w:tcPr>
          <w:p>
            <w:pPr>
              <w:ind w:left="20"/>
              <w:spacing w:after="0"/>
              <w:rPr>
                <w:sz w:val="20"/>
                <w:szCs w:val="20"/>
                <w:color w:val="auto"/>
              </w:rPr>
            </w:pPr>
            <w:r>
              <w:rPr>
                <w:rFonts w:ascii="Arial" w:cs="Arial" w:eastAsia="Arial" w:hAnsi="Arial"/>
                <w:sz w:val="16"/>
                <w:szCs w:val="16"/>
                <w:color w:val="auto"/>
              </w:rPr>
              <w:t>Operating income (loss):</w:t>
            </w:r>
          </w:p>
        </w:tc>
        <w:tc>
          <w:tcPr>
            <w:tcW w:w="380" w:type="dxa"/>
            <w:vAlign w:val="bottom"/>
            <w:shd w:val="clear" w:color="auto" w:fill="CEFEE7"/>
          </w:tcPr>
          <w:p>
            <w:pPr>
              <w:spacing w:after="0"/>
              <w:rPr>
                <w:sz w:val="19"/>
                <w:szCs w:val="19"/>
                <w:color w:val="auto"/>
              </w:rPr>
            </w:pPr>
          </w:p>
        </w:tc>
        <w:tc>
          <w:tcPr>
            <w:tcW w:w="1280" w:type="dxa"/>
            <w:vAlign w:val="bottom"/>
            <w:shd w:val="clear" w:color="auto" w:fill="CEFEE7"/>
          </w:tcPr>
          <w:p>
            <w:pPr>
              <w:spacing w:after="0"/>
              <w:rPr>
                <w:sz w:val="19"/>
                <w:szCs w:val="19"/>
                <w:color w:val="auto"/>
              </w:rPr>
            </w:pPr>
          </w:p>
        </w:tc>
        <w:tc>
          <w:tcPr>
            <w:tcW w:w="380" w:type="dxa"/>
            <w:vAlign w:val="bottom"/>
            <w:shd w:val="clear" w:color="auto" w:fill="CEFEE7"/>
          </w:tcPr>
          <w:p>
            <w:pPr>
              <w:spacing w:after="0"/>
              <w:rPr>
                <w:sz w:val="19"/>
                <w:szCs w:val="19"/>
                <w:color w:val="auto"/>
              </w:rPr>
            </w:pPr>
          </w:p>
        </w:tc>
        <w:tc>
          <w:tcPr>
            <w:tcW w:w="1280" w:type="dxa"/>
            <w:vAlign w:val="bottom"/>
            <w:shd w:val="clear" w:color="auto" w:fill="CEFEE7"/>
          </w:tcPr>
          <w:p>
            <w:pPr>
              <w:spacing w:after="0"/>
              <w:rPr>
                <w:sz w:val="19"/>
                <w:szCs w:val="19"/>
                <w:color w:val="auto"/>
              </w:rPr>
            </w:pPr>
          </w:p>
        </w:tc>
        <w:tc>
          <w:tcPr>
            <w:tcW w:w="540" w:type="dxa"/>
            <w:vAlign w:val="bottom"/>
            <w:shd w:val="clear" w:color="auto" w:fill="CEFEE7"/>
          </w:tcPr>
          <w:p>
            <w:pPr>
              <w:spacing w:after="0"/>
              <w:rPr>
                <w:sz w:val="19"/>
                <w:szCs w:val="19"/>
                <w:color w:val="auto"/>
              </w:rPr>
            </w:pPr>
          </w:p>
        </w:tc>
        <w:tc>
          <w:tcPr>
            <w:tcW w:w="1120" w:type="dxa"/>
            <w:vAlign w:val="bottom"/>
            <w:shd w:val="clear" w:color="auto" w:fill="CEFEE7"/>
          </w:tcPr>
          <w:p>
            <w:pPr>
              <w:spacing w:after="0"/>
              <w:rPr>
                <w:sz w:val="19"/>
                <w:szCs w:val="19"/>
                <w:color w:val="auto"/>
              </w:rPr>
            </w:pPr>
          </w:p>
        </w:tc>
      </w:tr>
      <w:tr>
        <w:trPr>
          <w:trHeight w:val="213"/>
        </w:trPr>
        <w:tc>
          <w:tcPr>
            <w:tcW w:w="6260" w:type="dxa"/>
            <w:vAlign w:val="bottom"/>
          </w:tcPr>
          <w:p>
            <w:pPr>
              <w:ind w:left="240"/>
              <w:spacing w:after="0"/>
              <w:rPr>
                <w:sz w:val="20"/>
                <w:szCs w:val="20"/>
                <w:color w:val="auto"/>
              </w:rPr>
            </w:pPr>
            <w:r>
              <w:rPr>
                <w:rFonts w:ascii="Arial" w:cs="Arial" w:eastAsia="Arial" w:hAnsi="Arial"/>
                <w:sz w:val="16"/>
                <w:szCs w:val="16"/>
                <w:color w:val="auto"/>
              </w:rPr>
              <w:t>Electric Utilities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202,676</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210,974</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217,677</w:t>
            </w:r>
          </w:p>
        </w:tc>
      </w:tr>
      <w:tr>
        <w:trPr>
          <w:trHeight w:val="219"/>
        </w:trPr>
        <w:tc>
          <w:tcPr>
            <w:tcW w:w="6260" w:type="dxa"/>
            <w:vAlign w:val="bottom"/>
            <w:shd w:val="clear" w:color="auto" w:fill="CEFEE7"/>
          </w:tcPr>
          <w:p>
            <w:pPr>
              <w:ind w:left="240"/>
              <w:spacing w:after="0"/>
              <w:rPr>
                <w:sz w:val="20"/>
                <w:szCs w:val="20"/>
                <w:color w:val="auto"/>
              </w:rPr>
            </w:pPr>
            <w:r>
              <w:rPr>
                <w:rFonts w:ascii="Arial" w:cs="Arial" w:eastAsia="Arial" w:hAnsi="Arial"/>
                <w:sz w:val="16"/>
                <w:szCs w:val="16"/>
                <w:color w:val="auto"/>
              </w:rPr>
              <w:t>Gas Utilities</w:t>
            </w:r>
          </w:p>
        </w:tc>
        <w:tc>
          <w:tcPr>
            <w:tcW w:w="380" w:type="dxa"/>
            <w:vAlign w:val="bottom"/>
            <w:shd w:val="clear" w:color="auto" w:fill="CEFEE7"/>
          </w:tcPr>
          <w:p>
            <w:pPr>
              <w:spacing w:after="0"/>
              <w:rPr>
                <w:sz w:val="19"/>
                <w:szCs w:val="19"/>
                <w:color w:val="auto"/>
              </w:rPr>
            </w:pPr>
          </w:p>
        </w:tc>
        <w:tc>
          <w:tcPr>
            <w:tcW w:w="12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211,157</w:t>
            </w:r>
          </w:p>
        </w:tc>
        <w:tc>
          <w:tcPr>
            <w:tcW w:w="380" w:type="dxa"/>
            <w:vAlign w:val="bottom"/>
            <w:shd w:val="clear" w:color="auto" w:fill="CEFEE7"/>
          </w:tcPr>
          <w:p>
            <w:pPr>
              <w:spacing w:after="0"/>
              <w:rPr>
                <w:sz w:val="19"/>
                <w:szCs w:val="19"/>
                <w:color w:val="auto"/>
              </w:rPr>
            </w:pPr>
          </w:p>
        </w:tc>
        <w:tc>
          <w:tcPr>
            <w:tcW w:w="12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215,889</w:t>
            </w:r>
          </w:p>
        </w:tc>
        <w:tc>
          <w:tcPr>
            <w:tcW w:w="540" w:type="dxa"/>
            <w:vAlign w:val="bottom"/>
            <w:shd w:val="clear" w:color="auto" w:fill="CEFEE7"/>
          </w:tcPr>
          <w:p>
            <w:pPr>
              <w:spacing w:after="0"/>
              <w:rPr>
                <w:sz w:val="19"/>
                <w:szCs w:val="19"/>
                <w:color w:val="auto"/>
              </w:rPr>
            </w:pPr>
          </w:p>
        </w:tc>
        <w:tc>
          <w:tcPr>
            <w:tcW w:w="11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189,971</w:t>
            </w:r>
          </w:p>
        </w:tc>
      </w:tr>
      <w:tr>
        <w:trPr>
          <w:trHeight w:val="213"/>
        </w:trPr>
        <w:tc>
          <w:tcPr>
            <w:tcW w:w="6260" w:type="dxa"/>
            <w:vAlign w:val="bottom"/>
            <w:tcBorders>
              <w:bottom w:val="single" w:sz="8" w:color="CEFEE7"/>
            </w:tcBorders>
          </w:tcPr>
          <w:p>
            <w:pPr>
              <w:ind w:left="240"/>
              <w:spacing w:after="0"/>
              <w:rPr>
                <w:sz w:val="20"/>
                <w:szCs w:val="20"/>
                <w:color w:val="auto"/>
              </w:rPr>
            </w:pPr>
            <w:r>
              <w:rPr>
                <w:rFonts w:ascii="Arial" w:cs="Arial" w:eastAsia="Arial" w:hAnsi="Arial"/>
                <w:sz w:val="16"/>
                <w:szCs w:val="16"/>
                <w:color w:val="auto"/>
              </w:rPr>
              <w:t>Corporate and Other</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(4,404)</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w:t>
            </w:r>
          </w:p>
        </w:tc>
      </w:tr>
      <w:tr>
        <w:trPr>
          <w:trHeight w:val="209"/>
        </w:trPr>
        <w:tc>
          <w:tcPr>
            <w:tcW w:w="6260" w:type="dxa"/>
            <w:vAlign w:val="bottom"/>
            <w:shd w:val="clear" w:color="auto" w:fill="CEFEE7"/>
          </w:tcPr>
          <w:p>
            <w:pPr>
              <w:ind w:left="20"/>
              <w:spacing w:after="0"/>
              <w:rPr>
                <w:sz w:val="20"/>
                <w:szCs w:val="20"/>
                <w:color w:val="auto"/>
              </w:rPr>
            </w:pPr>
            <w:r>
              <w:rPr>
                <w:rFonts w:ascii="Arial" w:cs="Arial" w:eastAsia="Arial" w:hAnsi="Arial"/>
                <w:sz w:val="16"/>
                <w:szCs w:val="16"/>
                <w:color w:val="auto"/>
              </w:rPr>
              <w:t>Operating Income</w:t>
            </w:r>
          </w:p>
        </w:tc>
        <w:tc>
          <w:tcPr>
            <w:tcW w:w="380" w:type="dxa"/>
            <w:vAlign w:val="bottom"/>
            <w:tcBorders>
              <w:bottom w:val="single" w:sz="8" w:color="auto"/>
            </w:tcBorders>
            <w:shd w:val="clear" w:color="auto" w:fill="CEFEE7"/>
          </w:tcPr>
          <w:p>
            <w:pPr>
              <w:spacing w:after="0"/>
              <w:rPr>
                <w:sz w:val="18"/>
                <w:szCs w:val="18"/>
                <w:color w:val="auto"/>
              </w:rPr>
            </w:pPr>
          </w:p>
        </w:tc>
        <w:tc>
          <w:tcPr>
            <w:tcW w:w="12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409,429</w:t>
            </w:r>
          </w:p>
        </w:tc>
        <w:tc>
          <w:tcPr>
            <w:tcW w:w="380" w:type="dxa"/>
            <w:vAlign w:val="bottom"/>
            <w:tcBorders>
              <w:bottom w:val="single" w:sz="8" w:color="auto"/>
            </w:tcBorders>
            <w:shd w:val="clear" w:color="auto" w:fill="CEFEE7"/>
          </w:tcPr>
          <w:p>
            <w:pPr>
              <w:spacing w:after="0"/>
              <w:rPr>
                <w:sz w:val="18"/>
                <w:szCs w:val="18"/>
                <w:color w:val="auto"/>
              </w:rPr>
            </w:pPr>
          </w:p>
        </w:tc>
        <w:tc>
          <w:tcPr>
            <w:tcW w:w="12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428,303</w:t>
            </w:r>
          </w:p>
        </w:tc>
        <w:tc>
          <w:tcPr>
            <w:tcW w:w="540" w:type="dxa"/>
            <w:vAlign w:val="bottom"/>
            <w:tcBorders>
              <w:bottom w:val="single" w:sz="8" w:color="auto"/>
            </w:tcBorders>
            <w:shd w:val="clear" w:color="auto" w:fill="CEFEE7"/>
          </w:tcPr>
          <w:p>
            <w:pPr>
              <w:spacing w:after="0"/>
              <w:rPr>
                <w:sz w:val="18"/>
                <w:szCs w:val="18"/>
                <w:color w:val="auto"/>
              </w:rPr>
            </w:pPr>
          </w:p>
        </w:tc>
        <w:tc>
          <w:tcPr>
            <w:tcW w:w="11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406,042</w:t>
            </w:r>
          </w:p>
        </w:tc>
      </w:tr>
      <w:tr>
        <w:trPr>
          <w:trHeight w:val="199"/>
        </w:trPr>
        <w:tc>
          <w:tcPr>
            <w:tcW w:w="6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6260" w:type="dxa"/>
            <w:vAlign w:val="bottom"/>
            <w:shd w:val="clear" w:color="auto" w:fill="CEFEE7"/>
          </w:tcPr>
          <w:p>
            <w:pPr>
              <w:ind w:left="20"/>
              <w:spacing w:after="0"/>
              <w:rPr>
                <w:sz w:val="20"/>
                <w:szCs w:val="20"/>
                <w:color w:val="auto"/>
              </w:rPr>
            </w:pPr>
            <w:r>
              <w:rPr>
                <w:rFonts w:ascii="Arial" w:cs="Arial" w:eastAsia="Arial" w:hAnsi="Arial"/>
                <w:sz w:val="16"/>
                <w:szCs w:val="16"/>
                <w:color w:val="auto"/>
              </w:rPr>
              <w:t>Interest expense, net</w:t>
            </w:r>
          </w:p>
        </w:tc>
        <w:tc>
          <w:tcPr>
            <w:tcW w:w="380" w:type="dxa"/>
            <w:vAlign w:val="bottom"/>
            <w:shd w:val="clear" w:color="auto" w:fill="CEFEE7"/>
          </w:tcPr>
          <w:p>
            <w:pPr>
              <w:spacing w:after="0"/>
              <w:rPr>
                <w:sz w:val="18"/>
                <w:szCs w:val="18"/>
                <w:color w:val="auto"/>
              </w:rPr>
            </w:pPr>
          </w:p>
        </w:tc>
        <w:tc>
          <w:tcPr>
            <w:tcW w:w="12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(152,404)</w:t>
            </w:r>
          </w:p>
        </w:tc>
        <w:tc>
          <w:tcPr>
            <w:tcW w:w="380" w:type="dxa"/>
            <w:vAlign w:val="bottom"/>
            <w:shd w:val="clear" w:color="auto" w:fill="CEFEE7"/>
          </w:tcPr>
          <w:p>
            <w:pPr>
              <w:spacing w:after="0"/>
              <w:rPr>
                <w:sz w:val="18"/>
                <w:szCs w:val="18"/>
                <w:color w:val="auto"/>
              </w:rPr>
            </w:pPr>
          </w:p>
        </w:tc>
        <w:tc>
          <w:tcPr>
            <w:tcW w:w="12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(143,470)</w:t>
            </w:r>
          </w:p>
        </w:tc>
        <w:tc>
          <w:tcPr>
            <w:tcW w:w="540" w:type="dxa"/>
            <w:vAlign w:val="bottom"/>
            <w:shd w:val="clear" w:color="auto" w:fill="CEFEE7"/>
          </w:tcPr>
          <w:p>
            <w:pPr>
              <w:spacing w:after="0"/>
              <w:rPr>
                <w:sz w:val="18"/>
                <w:szCs w:val="18"/>
                <w:color w:val="auto"/>
              </w:rPr>
            </w:pPr>
          </w:p>
        </w:tc>
        <w:tc>
          <w:tcPr>
            <w:tcW w:w="11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(137,659)</w:t>
            </w: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Impairment of investment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(6,859)</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(19,741)</w:t>
            </w:r>
          </w:p>
        </w:tc>
      </w:tr>
      <w:tr>
        <w:trPr>
          <w:trHeight w:val="219"/>
        </w:trPr>
        <w:tc>
          <w:tcPr>
            <w:tcW w:w="6260" w:type="dxa"/>
            <w:vAlign w:val="bottom"/>
            <w:shd w:val="clear" w:color="auto" w:fill="CEFEE7"/>
          </w:tcPr>
          <w:p>
            <w:pPr>
              <w:ind w:left="20"/>
              <w:spacing w:after="0"/>
              <w:rPr>
                <w:sz w:val="20"/>
                <w:szCs w:val="20"/>
                <w:color w:val="auto"/>
              </w:rPr>
            </w:pPr>
            <w:r>
              <w:rPr>
                <w:rFonts w:ascii="Arial" w:cs="Arial" w:eastAsia="Arial" w:hAnsi="Arial"/>
                <w:sz w:val="16"/>
                <w:szCs w:val="16"/>
                <w:color w:val="auto"/>
              </w:rPr>
              <w:t>Other income (expense), net</w:t>
            </w:r>
          </w:p>
        </w:tc>
        <w:tc>
          <w:tcPr>
            <w:tcW w:w="380" w:type="dxa"/>
            <w:vAlign w:val="bottom"/>
            <w:shd w:val="clear" w:color="auto" w:fill="CEFEE7"/>
          </w:tcPr>
          <w:p>
            <w:pPr>
              <w:spacing w:after="0"/>
              <w:rPr>
                <w:sz w:val="19"/>
                <w:szCs w:val="19"/>
                <w:color w:val="auto"/>
              </w:rPr>
            </w:pPr>
          </w:p>
        </w:tc>
        <w:tc>
          <w:tcPr>
            <w:tcW w:w="12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1,404</w:t>
            </w:r>
          </w:p>
        </w:tc>
        <w:tc>
          <w:tcPr>
            <w:tcW w:w="380" w:type="dxa"/>
            <w:vAlign w:val="bottom"/>
            <w:shd w:val="clear" w:color="auto" w:fill="CEFEE7"/>
          </w:tcPr>
          <w:p>
            <w:pPr>
              <w:spacing w:after="0"/>
              <w:rPr>
                <w:sz w:val="19"/>
                <w:szCs w:val="19"/>
                <w:color w:val="auto"/>
              </w:rPr>
            </w:pPr>
          </w:p>
        </w:tc>
        <w:tc>
          <w:tcPr>
            <w:tcW w:w="12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(2,293)</w:t>
            </w:r>
          </w:p>
        </w:tc>
        <w:tc>
          <w:tcPr>
            <w:tcW w:w="540" w:type="dxa"/>
            <w:vAlign w:val="bottom"/>
            <w:shd w:val="clear" w:color="auto" w:fill="CEFEE7"/>
          </w:tcPr>
          <w:p>
            <w:pPr>
              <w:spacing w:after="0"/>
              <w:rPr>
                <w:sz w:val="19"/>
                <w:szCs w:val="19"/>
                <w:color w:val="auto"/>
              </w:rPr>
            </w:pPr>
          </w:p>
        </w:tc>
        <w:tc>
          <w:tcPr>
            <w:tcW w:w="11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(5,740)</w:t>
            </w:r>
          </w:p>
        </w:tc>
      </w:tr>
      <w:tr>
        <w:trPr>
          <w:trHeight w:val="213"/>
        </w:trPr>
        <w:tc>
          <w:tcPr>
            <w:tcW w:w="6260" w:type="dxa"/>
            <w:vAlign w:val="bottom"/>
            <w:tcBorders>
              <w:bottom w:val="single" w:sz="8" w:color="CEFEE7"/>
            </w:tcBorders>
          </w:tcPr>
          <w:p>
            <w:pPr>
              <w:ind w:left="20"/>
              <w:spacing w:after="0"/>
              <w:rPr>
                <w:sz w:val="20"/>
                <w:szCs w:val="20"/>
                <w:color w:val="auto"/>
              </w:rPr>
            </w:pPr>
            <w:r>
              <w:rPr>
                <w:rFonts w:ascii="Arial" w:cs="Arial" w:eastAsia="Arial" w:hAnsi="Arial"/>
                <w:sz w:val="16"/>
                <w:szCs w:val="16"/>
                <w:color w:val="auto"/>
              </w:rPr>
              <w:t>Income tax (expense)</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(7,169)</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(32,918)</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(29,580)</w:t>
            </w:r>
          </w:p>
        </w:tc>
      </w:tr>
      <w:tr>
        <w:trPr>
          <w:trHeight w:val="213"/>
        </w:trPr>
        <w:tc>
          <w:tcPr>
            <w:tcW w:w="6260" w:type="dxa"/>
            <w:vAlign w:val="bottom"/>
            <w:shd w:val="clear" w:color="auto" w:fill="CEFEE7"/>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shd w:val="clear" w:color="auto" w:fill="CEFEE7"/>
          </w:tcPr>
          <w:p>
            <w:pPr>
              <w:spacing w:after="0"/>
              <w:rPr>
                <w:sz w:val="18"/>
                <w:szCs w:val="18"/>
                <w:color w:val="auto"/>
              </w:rPr>
            </w:pPr>
          </w:p>
        </w:tc>
        <w:tc>
          <w:tcPr>
            <w:tcW w:w="12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251,260</w:t>
            </w:r>
          </w:p>
        </w:tc>
        <w:tc>
          <w:tcPr>
            <w:tcW w:w="380" w:type="dxa"/>
            <w:vAlign w:val="bottom"/>
            <w:shd w:val="clear" w:color="auto" w:fill="CEFEE7"/>
          </w:tcPr>
          <w:p>
            <w:pPr>
              <w:spacing w:after="0"/>
              <w:rPr>
                <w:sz w:val="18"/>
                <w:szCs w:val="18"/>
                <w:color w:val="auto"/>
              </w:rPr>
            </w:pPr>
          </w:p>
        </w:tc>
        <w:tc>
          <w:tcPr>
            <w:tcW w:w="12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242,763</w:t>
            </w:r>
          </w:p>
        </w:tc>
        <w:tc>
          <w:tcPr>
            <w:tcW w:w="540" w:type="dxa"/>
            <w:vAlign w:val="bottom"/>
            <w:shd w:val="clear" w:color="auto" w:fill="CEFEE7"/>
          </w:tcPr>
          <w:p>
            <w:pPr>
              <w:spacing w:after="0"/>
              <w:rPr>
                <w:sz w:val="18"/>
                <w:szCs w:val="18"/>
                <w:color w:val="auto"/>
              </w:rPr>
            </w:pPr>
          </w:p>
        </w:tc>
        <w:tc>
          <w:tcPr>
            <w:tcW w:w="11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213,322</w:t>
            </w:r>
          </w:p>
        </w:tc>
      </w:tr>
      <w:tr>
        <w:trPr>
          <w:trHeight w:val="213"/>
        </w:trPr>
        <w:tc>
          <w:tcPr>
            <w:tcW w:w="6260" w:type="dxa"/>
            <w:vAlign w:val="bottom"/>
            <w:tcBorders>
              <w:bottom w:val="single" w:sz="8" w:color="CEFEE7"/>
            </w:tcBorders>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(14,516)</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(15,155)</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(14,012)</w:t>
            </w:r>
          </w:p>
        </w:tc>
      </w:tr>
      <w:tr>
        <w:trPr>
          <w:trHeight w:val="238"/>
        </w:trPr>
        <w:tc>
          <w:tcPr>
            <w:tcW w:w="626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380" w:type="dxa"/>
            <w:vAlign w:val="bottom"/>
            <w:tcBorders>
              <w:bottom w:val="single" w:sz="8" w:color="auto"/>
            </w:tcBorders>
            <w:shd w:val="clear" w:color="auto" w:fill="CEFEE7"/>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236,744</w:t>
            </w:r>
          </w:p>
        </w:tc>
        <w:tc>
          <w:tcPr>
            <w:tcW w:w="380" w:type="dxa"/>
            <w:vAlign w:val="bottom"/>
            <w:tcBorders>
              <w:bottom w:val="single" w:sz="8" w:color="auto"/>
            </w:tcBorders>
            <w:shd w:val="clear" w:color="auto" w:fill="CEFEE7"/>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227,608</w:t>
            </w:r>
          </w:p>
        </w:tc>
        <w:tc>
          <w:tcPr>
            <w:tcW w:w="540" w:type="dxa"/>
            <w:vAlign w:val="bottom"/>
            <w:tcBorders>
              <w:bottom w:val="single" w:sz="8" w:color="auto"/>
            </w:tcBorders>
            <w:shd w:val="clear" w:color="auto" w:fill="CEFEE7"/>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199,310</w:t>
            </w:r>
          </w:p>
        </w:tc>
      </w:tr>
      <w:tr>
        <w:trPr>
          <w:trHeight w:val="20"/>
        </w:trPr>
        <w:tc>
          <w:tcPr>
            <w:tcW w:w="6260" w:type="dxa"/>
            <w:vAlign w:val="bottom"/>
            <w:tcBorders>
              <w:top w:val="single" w:sz="8" w:color="CEFEE7"/>
            </w:tcBorders>
          </w:tcPr>
          <w:p>
            <w:pPr>
              <w:spacing w:after="0" w:line="20" w:lineRule="exact"/>
              <w:rPr>
                <w:sz w:val="1"/>
                <w:szCs w:val="1"/>
                <w:color w:val="auto"/>
              </w:rPr>
            </w:pPr>
          </w:p>
        </w:tc>
        <w:tc>
          <w:tcPr>
            <w:tcW w:w="380" w:type="dxa"/>
            <w:vAlign w:val="bottom"/>
            <w:tcBorders>
              <w:top w:val="single" w:sz="8" w:color="CEFEE7"/>
              <w:bottom w:val="single" w:sz="8" w:color="auto"/>
            </w:tcBorders>
          </w:tcPr>
          <w:p>
            <w:pPr>
              <w:spacing w:after="0" w:line="20" w:lineRule="exact"/>
              <w:rPr>
                <w:sz w:val="1"/>
                <w:szCs w:val="1"/>
                <w:color w:val="auto"/>
              </w:rPr>
            </w:pPr>
          </w:p>
        </w:tc>
        <w:tc>
          <w:tcPr>
            <w:tcW w:w="1280" w:type="dxa"/>
            <w:vAlign w:val="bottom"/>
            <w:tcBorders>
              <w:top w:val="single" w:sz="8" w:color="CEFEE7"/>
              <w:bottom w:val="single" w:sz="8" w:color="auto"/>
            </w:tcBorders>
          </w:tcPr>
          <w:p>
            <w:pPr>
              <w:spacing w:after="0" w:line="20" w:lineRule="exact"/>
              <w:rPr>
                <w:sz w:val="1"/>
                <w:szCs w:val="1"/>
                <w:color w:val="auto"/>
              </w:rPr>
            </w:pPr>
          </w:p>
        </w:tc>
        <w:tc>
          <w:tcPr>
            <w:tcW w:w="380" w:type="dxa"/>
            <w:vAlign w:val="bottom"/>
            <w:tcBorders>
              <w:top w:val="single" w:sz="8" w:color="CEFEE7"/>
              <w:bottom w:val="single" w:sz="8" w:color="auto"/>
            </w:tcBorders>
          </w:tcPr>
          <w:p>
            <w:pPr>
              <w:spacing w:after="0" w:line="20" w:lineRule="exact"/>
              <w:rPr>
                <w:sz w:val="1"/>
                <w:szCs w:val="1"/>
                <w:color w:val="auto"/>
              </w:rPr>
            </w:pPr>
          </w:p>
        </w:tc>
        <w:tc>
          <w:tcPr>
            <w:tcW w:w="1280" w:type="dxa"/>
            <w:vAlign w:val="bottom"/>
            <w:tcBorders>
              <w:top w:val="single" w:sz="8" w:color="CEFEE7"/>
              <w:bottom w:val="single" w:sz="8" w:color="auto"/>
            </w:tcBorders>
          </w:tcPr>
          <w:p>
            <w:pPr>
              <w:spacing w:after="0" w:line="20" w:lineRule="exact"/>
              <w:rPr>
                <w:sz w:val="1"/>
                <w:szCs w:val="1"/>
                <w:color w:val="auto"/>
              </w:rPr>
            </w:pPr>
          </w:p>
        </w:tc>
        <w:tc>
          <w:tcPr>
            <w:tcW w:w="540" w:type="dxa"/>
            <w:vAlign w:val="bottom"/>
            <w:tcBorders>
              <w:top w:val="single" w:sz="8" w:color="CEFEE7"/>
              <w:bottom w:val="single" w:sz="8" w:color="auto"/>
            </w:tcBorders>
          </w:tcPr>
          <w:p>
            <w:pPr>
              <w:spacing w:after="0" w:line="20" w:lineRule="exact"/>
              <w:rPr>
                <w:sz w:val="1"/>
                <w:szCs w:val="1"/>
                <w:color w:val="auto"/>
              </w:rPr>
            </w:pPr>
          </w:p>
        </w:tc>
        <w:tc>
          <w:tcPr>
            <w:tcW w:w="1120" w:type="dxa"/>
            <w:vAlign w:val="bottom"/>
            <w:tcBorders>
              <w:top w:val="single" w:sz="8" w:color="CEFEE7"/>
              <w:bottom w:val="single" w:sz="8" w:color="auto"/>
            </w:tcBorders>
          </w:tcPr>
          <w:p>
            <w:pPr>
              <w:spacing w:after="0" w:line="20" w:lineRule="exact"/>
              <w:rPr>
                <w:sz w:val="1"/>
                <w:szCs w:val="1"/>
                <w:color w:val="auto"/>
              </w:rPr>
            </w:pPr>
          </w:p>
        </w:tc>
      </w:tr>
      <w:tr>
        <w:trPr>
          <w:trHeight w:val="204"/>
        </w:trPr>
        <w:tc>
          <w:tcPr>
            <w:tcW w:w="6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1"/>
        </w:trPr>
        <w:tc>
          <w:tcPr>
            <w:tcW w:w="626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380" w:type="dxa"/>
            <w:vAlign w:val="bottom"/>
            <w:tcBorders>
              <w:bottom w:val="single" w:sz="8" w:color="auto"/>
            </w:tcBorders>
            <w:shd w:val="clear" w:color="auto" w:fill="CEFEE7"/>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3.74</w:t>
            </w:r>
          </w:p>
        </w:tc>
        <w:tc>
          <w:tcPr>
            <w:tcW w:w="380" w:type="dxa"/>
            <w:vAlign w:val="bottom"/>
            <w:tcBorders>
              <w:bottom w:val="single" w:sz="8" w:color="auto"/>
            </w:tcBorders>
            <w:shd w:val="clear" w:color="auto" w:fill="CEFEE7"/>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3.65</w:t>
            </w:r>
          </w:p>
        </w:tc>
        <w:tc>
          <w:tcPr>
            <w:tcW w:w="540" w:type="dxa"/>
            <w:vAlign w:val="bottom"/>
            <w:tcBorders>
              <w:bottom w:val="single" w:sz="8" w:color="auto"/>
            </w:tcBorders>
            <w:shd w:val="clear" w:color="auto" w:fill="CEFEE7"/>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3.28</w:t>
            </w:r>
          </w:p>
        </w:tc>
      </w:tr>
      <w:tr>
        <w:trPr>
          <w:trHeight w:val="20"/>
        </w:trPr>
        <w:tc>
          <w:tcPr>
            <w:tcW w:w="6260" w:type="dxa"/>
            <w:vAlign w:val="bottom"/>
            <w:tcBorders>
              <w:top w:val="single" w:sz="8" w:color="CEFEE7"/>
            </w:tcBorders>
          </w:tcPr>
          <w:p>
            <w:pPr>
              <w:spacing w:after="0" w:line="20" w:lineRule="exact"/>
              <w:rPr>
                <w:sz w:val="1"/>
                <w:szCs w:val="1"/>
                <w:color w:val="auto"/>
              </w:rPr>
            </w:pPr>
          </w:p>
        </w:tc>
        <w:tc>
          <w:tcPr>
            <w:tcW w:w="380" w:type="dxa"/>
            <w:vAlign w:val="bottom"/>
            <w:tcBorders>
              <w:top w:val="single" w:sz="8" w:color="CEFEE7"/>
              <w:bottom w:val="single" w:sz="8" w:color="auto"/>
            </w:tcBorders>
          </w:tcPr>
          <w:p>
            <w:pPr>
              <w:spacing w:after="0" w:line="20" w:lineRule="exact"/>
              <w:rPr>
                <w:sz w:val="1"/>
                <w:szCs w:val="1"/>
                <w:color w:val="auto"/>
              </w:rPr>
            </w:pPr>
          </w:p>
        </w:tc>
        <w:tc>
          <w:tcPr>
            <w:tcW w:w="1280" w:type="dxa"/>
            <w:vAlign w:val="bottom"/>
            <w:tcBorders>
              <w:top w:val="single" w:sz="8" w:color="CEFEE7"/>
              <w:bottom w:val="single" w:sz="8" w:color="auto"/>
            </w:tcBorders>
          </w:tcPr>
          <w:p>
            <w:pPr>
              <w:spacing w:after="0" w:line="20" w:lineRule="exact"/>
              <w:rPr>
                <w:sz w:val="1"/>
                <w:szCs w:val="1"/>
                <w:color w:val="auto"/>
              </w:rPr>
            </w:pPr>
          </w:p>
        </w:tc>
        <w:tc>
          <w:tcPr>
            <w:tcW w:w="380" w:type="dxa"/>
            <w:vAlign w:val="bottom"/>
            <w:tcBorders>
              <w:top w:val="single" w:sz="8" w:color="CEFEE7"/>
              <w:bottom w:val="single" w:sz="8" w:color="auto"/>
            </w:tcBorders>
          </w:tcPr>
          <w:p>
            <w:pPr>
              <w:spacing w:after="0" w:line="20" w:lineRule="exact"/>
              <w:rPr>
                <w:sz w:val="1"/>
                <w:szCs w:val="1"/>
                <w:color w:val="auto"/>
              </w:rPr>
            </w:pPr>
          </w:p>
        </w:tc>
        <w:tc>
          <w:tcPr>
            <w:tcW w:w="1280" w:type="dxa"/>
            <w:vAlign w:val="bottom"/>
            <w:tcBorders>
              <w:top w:val="single" w:sz="8" w:color="CEFEE7"/>
              <w:bottom w:val="single" w:sz="8" w:color="auto"/>
            </w:tcBorders>
          </w:tcPr>
          <w:p>
            <w:pPr>
              <w:spacing w:after="0" w:line="20" w:lineRule="exact"/>
              <w:rPr>
                <w:sz w:val="1"/>
                <w:szCs w:val="1"/>
                <w:color w:val="auto"/>
              </w:rPr>
            </w:pPr>
          </w:p>
        </w:tc>
        <w:tc>
          <w:tcPr>
            <w:tcW w:w="540" w:type="dxa"/>
            <w:vAlign w:val="bottom"/>
            <w:tcBorders>
              <w:top w:val="single" w:sz="8" w:color="CEFEE7"/>
              <w:bottom w:val="single" w:sz="8" w:color="auto"/>
            </w:tcBorders>
          </w:tcPr>
          <w:p>
            <w:pPr>
              <w:spacing w:after="0" w:line="20" w:lineRule="exact"/>
              <w:rPr>
                <w:sz w:val="1"/>
                <w:szCs w:val="1"/>
                <w:color w:val="auto"/>
              </w:rPr>
            </w:pPr>
          </w:p>
        </w:tc>
        <w:tc>
          <w:tcPr>
            <w:tcW w:w="1120" w:type="dxa"/>
            <w:vAlign w:val="bottom"/>
            <w:tcBorders>
              <w:top w:val="single" w:sz="8" w:color="CEFE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2021 Compared to 2020</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248" w:lineRule="exact"/>
        <w:rPr>
          <w:sz w:val="20"/>
          <w:szCs w:val="20"/>
          <w:color w:val="auto"/>
        </w:rPr>
      </w:pPr>
    </w:p>
    <w:p>
      <w:pPr>
        <w:ind w:left="660" w:right="60" w:hanging="328"/>
        <w:spacing w:after="0" w:line="24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Electric Utilities’ operating income decreased $8.3 million primarily due to Colorado Electric’s TCJA-related bill credits to customers (which is offset by reduced tax expense), unfavorable impacts from an unplanned outage at Wygen I and higher depreciation as a result of additional plant placed in service, partially offset by increased power marketing and wholesale revenues, increased rider revenues, increased commercial and industrial demand, a prior year expense related to the early retirement of certain non-regulated generation assets, residential customer growth and increased usage, and prior year COVID-19 impacts;</w:t>
      </w:r>
    </w:p>
    <w:p>
      <w:pPr>
        <w:spacing w:after="0" w:line="2" w:lineRule="exact"/>
        <w:rPr>
          <w:rFonts w:ascii="Arial" w:cs="Arial" w:eastAsia="Arial" w:hAnsi="Arial"/>
          <w:sz w:val="16"/>
          <w:szCs w:val="16"/>
          <w:color w:val="auto"/>
        </w:rPr>
      </w:pPr>
    </w:p>
    <w:p>
      <w:pPr>
        <w:ind w:left="660" w:right="460" w:hanging="328"/>
        <w:spacing w:after="0" w:line="24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Gas Utilities’ operating income decreased $4.7 million primarily due to Winter Storm Uri costs incurred by Black Hills Energy Services, lower heating demand from milder weather (primarily in the fourth quarter of 2021), Nebraska Gas TCJA-related bill credits to customers and higher operating expenses partially offset by new rates and customer growth;</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Corporate and Other expenses increased $5.8 million primarily due to higher employee costs driven by a prior year favorable true-up;</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Interest expense increased $8.9 million primarily due to higher debt balances partially offset by lower rates;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prior year $6.9 million pre-tax non-cash impairment in 2020 of our investment in equity securities of a privately held oil and gas company;</w:t>
      </w:r>
    </w:p>
    <w:p>
      <w:pPr>
        <w:spacing w:after="0" w:line="5" w:lineRule="exact"/>
        <w:rPr>
          <w:rFonts w:ascii="Arial" w:cs="Arial" w:eastAsia="Arial" w:hAnsi="Arial"/>
          <w:sz w:val="16"/>
          <w:szCs w:val="16"/>
          <w:color w:val="auto"/>
        </w:rPr>
      </w:pPr>
    </w:p>
    <w:p>
      <w:pPr>
        <w:ind w:left="660" w:right="48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income increased $3.7 million primarily due to lower non-service pension costs driven by a lower discount rate, lower costs for our non-qualified benefit plans which were driven by market performance and recognition of death benefits from Company-owned life insurance; 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660" w:right="100" w:hanging="328"/>
        <w:spacing w:after="0" w:line="253" w:lineRule="auto"/>
        <w:tabs>
          <w:tab w:leader="none" w:pos="649" w:val="left"/>
        </w:tabs>
        <w:numPr>
          <w:ilvl w:val="0"/>
          <w:numId w:val="26"/>
        </w:numPr>
        <w:rPr>
          <w:rFonts w:ascii="Arial" w:cs="Arial" w:eastAsia="Arial" w:hAnsi="Arial"/>
          <w:sz w:val="16"/>
          <w:szCs w:val="16"/>
          <w:b w:val="1"/>
          <w:bCs w:val="1"/>
          <w:i w:val="1"/>
          <w:iCs w:val="1"/>
          <w:u w:val="single" w:color="auto"/>
          <w:color w:val="auto"/>
        </w:rPr>
      </w:pPr>
      <w:r>
        <w:rPr>
          <w:rFonts w:ascii="Arial" w:cs="Arial" w:eastAsia="Arial" w:hAnsi="Arial"/>
          <w:sz w:val="16"/>
          <w:szCs w:val="16"/>
          <w:color w:val="auto"/>
        </w:rPr>
        <w:t>Income tax expense decreased $26 million primarily due to lower pre-tax income and a lower effective tax rate driven primarily by tax benefits from Colorado Electric and Nebraska Gas TCJA-related bill credits (which is offset by reduced revenue), flow-through tax benefits related to repairs and gain deferral and increased tax benefits from federal production tax credits associated with new wind assets.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2020 Compared to 2019</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248" w:lineRule="exact"/>
        <w:rPr>
          <w:sz w:val="20"/>
          <w:szCs w:val="20"/>
          <w:color w:val="auto"/>
        </w:rPr>
      </w:pPr>
    </w:p>
    <w:p>
      <w:pPr>
        <w:jc w:val="both"/>
        <w:ind w:left="660" w:right="240" w:hanging="328"/>
        <w:spacing w:after="0" w:line="246"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COVID-19 related impacts to consolidated results included $3.6 million of lower Electric and Gas Utility margin driven primarily by lower volumes and waived customer late payment fees, $2.6 million of costs due to sequestration of essential employees and $3.3 million of additional bad debt expense which were partially offset by $3.8 million of lower travel, training, and outside services related expenses;</w:t>
      </w:r>
    </w:p>
    <w:p>
      <w:pPr>
        <w:spacing w:after="0" w:line="1" w:lineRule="exact"/>
        <w:rPr>
          <w:rFonts w:ascii="Arial" w:cs="Arial" w:eastAsia="Arial" w:hAnsi="Arial"/>
          <w:sz w:val="16"/>
          <w:szCs w:val="16"/>
          <w:color w:val="auto"/>
        </w:rPr>
      </w:pPr>
    </w:p>
    <w:p>
      <w:pPr>
        <w:ind w:left="660" w:right="60" w:hanging="328"/>
        <w:spacing w:after="0" w:line="246"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Electric Utilities’ operating income decreased $6.7 million due to higher depreciation and amortization expense as a result of additional plant placed in service including new wind assets, expense from the early retirement of certain non-regulated assets, lower commercial and industrial demand and COVID-19 impacts partially offset by increased revenue from our non-regulated power generation and mining businesses, benefits from the release of TCJA revenue reserves and increased rider revenues;</w:t>
      </w:r>
    </w:p>
    <w:p>
      <w:pPr>
        <w:spacing w:after="0" w:line="1" w:lineRule="exact"/>
        <w:rPr>
          <w:rFonts w:ascii="Arial" w:cs="Arial" w:eastAsia="Arial" w:hAnsi="Arial"/>
          <w:sz w:val="16"/>
          <w:szCs w:val="16"/>
          <w:color w:val="auto"/>
        </w:rPr>
      </w:pPr>
    </w:p>
    <w:p>
      <w:pPr>
        <w:ind w:left="660" w:right="40" w:hanging="328"/>
        <w:spacing w:after="0" w:line="246"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Gas Utilities’ operating income increased $26 million primarily due to new customer rates in Wyoming and Nebraska and increased rider revenues, customer growth, mark-to-market gains on non-utility natural gas commodity contracts and a 2019 amortization of excess deferred income taxes partially offset by higher depreciation and amortization expense as a result of additional plant placed in service, COVID-19 impacts and unfavorable weather;</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Corporate and Other expenses decreased $3.0 million primarily due to an unallocated favorable true-up of employee costs;</w:t>
      </w:r>
    </w:p>
    <w:p>
      <w:pPr>
        <w:spacing w:after="0" w:line="5" w:lineRule="exact"/>
        <w:rPr>
          <w:rFonts w:ascii="Arial" w:cs="Arial" w:eastAsia="Arial" w:hAnsi="Arial"/>
          <w:sz w:val="16"/>
          <w:szCs w:val="16"/>
          <w:color w:val="auto"/>
        </w:rPr>
      </w:pPr>
    </w:p>
    <w:p>
      <w:pPr>
        <w:ind w:left="660" w:right="340" w:hanging="328"/>
        <w:spacing w:after="0" w:line="246"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$6.9 million pre-tax non-cash impairment in 2020 of our investment in equity securities of a privately held oil and gas company compared to a similar $20 million impairment in 2019;</w:t>
      </w: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Interest expense increased $5.8 million primarily due to higher debt balances partially offset by lower rates;</w:t>
      </w:r>
    </w:p>
    <w:p>
      <w:pPr>
        <w:spacing w:after="0" w:line="5" w:lineRule="exact"/>
        <w:rPr>
          <w:rFonts w:ascii="Arial" w:cs="Arial" w:eastAsia="Arial" w:hAnsi="Arial"/>
          <w:sz w:val="16"/>
          <w:szCs w:val="16"/>
          <w:color w:val="auto"/>
        </w:rPr>
      </w:pPr>
    </w:p>
    <w:p>
      <w:pPr>
        <w:ind w:left="660" w:right="320" w:hanging="328"/>
        <w:spacing w:after="0" w:line="246"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expense decreased $3.4 million due to the 2019 expensing of $5.4 million of development costs related to projects we no longer intend to construct partially offset by increased pension non-service costs in 2020; and</w:t>
      </w: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Income tax expense increased $3.3 million primarily due to higher pre-tax income partially offset by a lower effective tax rate.</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 discussion of operating results from our business segments follows.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Electric and Gas Utility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Electric and Gas Utility margin (revenue less cost of sales) is a non-GAAP financial measure due to the exclusion of operation and maintenance expenses, depreciation and amortization expenses, and property and production taxes from the measure.</w:t>
      </w: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Electric Utility margin is calculated as operating revenue less cost of fuel and purchased power. Gas Utility margin is calculated as operating revenue less cost of natural gas sold. Our Electric and Gas Utility margin is impacted by the fluctuations in power and natural gas purchases and other fuel supply costs. However, while these fluctuating costs impact Electric and Gas Utility margin as a percentage of revenue, they only impact total Electric and Gas Utility margin if the costs cannot be passed through to our customers.</w:t>
      </w:r>
    </w:p>
    <w:p>
      <w:pPr>
        <w:spacing w:after="0" w:line="229"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Our Electric and Gas Utility margin measure may not be comparable to other companies’ Electric and Gas Utility margin measures.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4"/>
        </w:trPr>
        <w:tc>
          <w:tcPr>
            <w:tcW w:w="3720" w:type="dxa"/>
            <w:vAlign w:val="bottom"/>
            <w:gridSpan w:val="5"/>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4"/>
        </w:trPr>
        <w:tc>
          <w:tcPr>
            <w:tcW w:w="1360" w:type="dxa"/>
            <w:vAlign w:val="bottom"/>
            <w:tcBorders>
              <w:top w:val="single" w:sz="8" w:color="0000FF"/>
            </w:tcBorders>
            <w:gridSpan w:val="2"/>
          </w:tcPr>
          <w:p>
            <w:pPr>
              <w:spacing w:after="0"/>
              <w:rPr>
                <w:sz w:val="20"/>
                <w:szCs w:val="20"/>
                <w:color w:val="auto"/>
              </w:rPr>
            </w:pPr>
            <w:r>
              <w:rPr>
                <w:rFonts w:ascii="Arial" w:cs="Arial" w:eastAsia="Arial" w:hAnsi="Arial"/>
                <w:sz w:val="16"/>
                <w:szCs w:val="16"/>
                <w:b w:val="1"/>
                <w:bCs w:val="1"/>
                <w:color w:val="auto"/>
              </w:rPr>
              <w:t>Electric Utilities</w:t>
            </w:r>
          </w:p>
        </w:tc>
        <w:tc>
          <w:tcPr>
            <w:tcW w:w="236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20" w:type="dxa"/>
            <w:vAlign w:val="bottom"/>
            <w:gridSpan w:val="11"/>
          </w:tcPr>
          <w:p>
            <w:pPr>
              <w:spacing w:after="0"/>
              <w:rPr>
                <w:sz w:val="20"/>
                <w:szCs w:val="20"/>
                <w:color w:val="auto"/>
              </w:rPr>
            </w:pPr>
            <w:r>
              <w:rPr>
                <w:rFonts w:ascii="Arial" w:cs="Arial" w:eastAsia="Arial" w:hAnsi="Arial"/>
                <w:sz w:val="16"/>
                <w:szCs w:val="16"/>
                <w:color w:val="auto"/>
              </w:rPr>
              <w:t>Operating results for the years ended December 31 for the Electric Utilities were as follows (in thousands):</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2021 vs 2020</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rPr>
              <w:t>2020 vs 2019</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Variance</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6"/>
                <w:szCs w:val="16"/>
                <w:color w:val="auto"/>
              </w:rPr>
              <w:t>2019</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color w:val="auto"/>
                <w:w w:val="98"/>
              </w:rPr>
              <w:t>Variance</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20" w:type="dxa"/>
            <w:vAlign w:val="bottom"/>
            <w:gridSpan w:val="5"/>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36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132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460" w:type="dxa"/>
            <w:vAlign w:val="bottom"/>
            <w:shd w:val="clear" w:color="auto" w:fill="CEFFE7"/>
          </w:tcPr>
          <w:p>
            <w:pPr>
              <w:spacing w:after="0"/>
              <w:rPr>
                <w:sz w:val="18"/>
                <w:szCs w:val="18"/>
                <w:color w:val="auto"/>
              </w:rPr>
            </w:pPr>
          </w:p>
        </w:tc>
        <w:tc>
          <w:tcPr>
            <w:tcW w:w="66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30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gridSpan w:val="4"/>
          </w:tcPr>
          <w:p>
            <w:pPr>
              <w:ind w:left="100"/>
              <w:spacing w:after="0"/>
              <w:rPr>
                <w:sz w:val="20"/>
                <w:szCs w:val="20"/>
                <w:color w:val="auto"/>
              </w:rPr>
            </w:pPr>
            <w:r>
              <w:rPr>
                <w:rFonts w:ascii="Arial" w:cs="Arial" w:eastAsia="Arial" w:hAnsi="Arial"/>
                <w:sz w:val="16"/>
                <w:szCs w:val="16"/>
                <w:color w:val="auto"/>
              </w:rPr>
              <w:t>Electric - regulated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800,747</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699,712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101,035</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698,807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EFFE7"/>
          </w:tcPr>
          <w:p>
            <w:pPr>
              <w:spacing w:after="0"/>
              <w:rPr>
                <w:sz w:val="18"/>
                <w:szCs w:val="18"/>
                <w:color w:val="auto"/>
              </w:rPr>
            </w:pPr>
          </w:p>
        </w:tc>
        <w:tc>
          <w:tcPr>
            <w:tcW w:w="3680" w:type="dxa"/>
            <w:vAlign w:val="bottom"/>
            <w:gridSpan w:val="4"/>
            <w:shd w:val="clear" w:color="auto" w:fill="CEFFE7"/>
          </w:tcPr>
          <w:p>
            <w:pPr>
              <w:ind w:left="100"/>
              <w:spacing w:after="0"/>
              <w:rPr>
                <w:sz w:val="20"/>
                <w:szCs w:val="20"/>
                <w:color w:val="auto"/>
              </w:rPr>
            </w:pPr>
            <w:r>
              <w:rPr>
                <w:rFonts w:ascii="Arial" w:cs="Arial" w:eastAsia="Arial" w:hAnsi="Arial"/>
                <w:sz w:val="16"/>
                <w:szCs w:val="16"/>
                <w:color w:val="auto"/>
              </w:rPr>
              <w:t>Other - non-regulated</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41,511</w:t>
            </w:r>
          </w:p>
        </w:tc>
        <w:tc>
          <w:tcPr>
            <w:tcW w:w="36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39,145</w:t>
            </w:r>
          </w:p>
        </w:tc>
        <w:tc>
          <w:tcPr>
            <w:tcW w:w="20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2,366</w:t>
            </w:r>
          </w:p>
        </w:tc>
        <w:tc>
          <w:tcPr>
            <w:tcW w:w="34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40,548</w:t>
            </w:r>
          </w:p>
        </w:tc>
        <w:tc>
          <w:tcPr>
            <w:tcW w:w="24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(1,403)</w:t>
            </w:r>
          </w:p>
        </w:tc>
        <w:tc>
          <w:tcPr>
            <w:tcW w:w="20" w:type="dxa"/>
            <w:vAlign w:val="bottom"/>
            <w:tcBorders>
              <w:bottom w:val="single" w:sz="8" w:color="auto"/>
            </w:tcBorders>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bottom w:val="single" w:sz="8" w:color="CEFFE7"/>
            </w:tcBorders>
          </w:tcPr>
          <w:p>
            <w:pPr>
              <w:spacing w:after="0"/>
              <w:rPr>
                <w:sz w:val="18"/>
                <w:szCs w:val="18"/>
                <w:color w:val="auto"/>
              </w:rPr>
            </w:pPr>
          </w:p>
        </w:tc>
        <w:tc>
          <w:tcPr>
            <w:tcW w:w="3680" w:type="dxa"/>
            <w:vAlign w:val="bottom"/>
            <w:tcBorders>
              <w:bottom w:val="single" w:sz="8" w:color="CEFFE7"/>
            </w:tcBorders>
            <w:gridSpan w:val="4"/>
          </w:tcPr>
          <w:p>
            <w:pPr>
              <w:ind w:left="44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842,258</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738,857</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103,401</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739,355</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839"/>
              <w:spacing w:after="0"/>
              <w:rPr>
                <w:sz w:val="20"/>
                <w:szCs w:val="20"/>
                <w:color w:val="auto"/>
              </w:rPr>
            </w:pPr>
            <w:r>
              <w:rPr>
                <w:rFonts w:ascii="Arial" w:cs="Arial" w:eastAsia="Arial" w:hAnsi="Arial"/>
                <w:sz w:val="16"/>
                <w:szCs w:val="16"/>
                <w:color w:val="auto"/>
              </w:rPr>
              <w:t>(498)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0" w:type="dxa"/>
            <w:vAlign w:val="bottom"/>
            <w:shd w:val="clear" w:color="auto" w:fill="CEFFE7"/>
          </w:tcPr>
          <w:p>
            <w:pPr>
              <w:spacing w:after="0"/>
              <w:rPr>
                <w:sz w:val="22"/>
                <w:szCs w:val="22"/>
                <w:color w:val="auto"/>
              </w:rPr>
            </w:pPr>
          </w:p>
        </w:tc>
        <w:tc>
          <w:tcPr>
            <w:tcW w:w="1320" w:type="dxa"/>
            <w:vAlign w:val="bottom"/>
            <w:shd w:val="clear" w:color="auto" w:fill="CEFFE7"/>
          </w:tcPr>
          <w:p>
            <w:pPr>
              <w:spacing w:after="0"/>
              <w:rPr>
                <w:sz w:val="22"/>
                <w:szCs w:val="22"/>
                <w:color w:val="auto"/>
              </w:rPr>
            </w:pPr>
          </w:p>
        </w:tc>
        <w:tc>
          <w:tcPr>
            <w:tcW w:w="160" w:type="dxa"/>
            <w:vAlign w:val="bottom"/>
            <w:shd w:val="clear" w:color="auto" w:fill="CEFFE7"/>
          </w:tcPr>
          <w:p>
            <w:pPr>
              <w:spacing w:after="0"/>
              <w:rPr>
                <w:sz w:val="22"/>
                <w:szCs w:val="22"/>
                <w:color w:val="auto"/>
              </w:rPr>
            </w:pPr>
          </w:p>
        </w:tc>
        <w:tc>
          <w:tcPr>
            <w:tcW w:w="240" w:type="dxa"/>
            <w:vAlign w:val="bottom"/>
            <w:shd w:val="clear" w:color="auto" w:fill="CEFFE7"/>
          </w:tcPr>
          <w:p>
            <w:pPr>
              <w:spacing w:after="0"/>
              <w:rPr>
                <w:sz w:val="22"/>
                <w:szCs w:val="22"/>
                <w:color w:val="auto"/>
              </w:rPr>
            </w:pPr>
          </w:p>
        </w:tc>
        <w:tc>
          <w:tcPr>
            <w:tcW w:w="1960" w:type="dxa"/>
            <w:vAlign w:val="bottom"/>
            <w:shd w:val="clear" w:color="auto" w:fill="CEFFE7"/>
          </w:tcPr>
          <w:p>
            <w:pPr>
              <w:spacing w:after="0"/>
              <w:rPr>
                <w:sz w:val="22"/>
                <w:szCs w:val="22"/>
                <w:color w:val="auto"/>
              </w:rPr>
            </w:pPr>
          </w:p>
        </w:tc>
        <w:tc>
          <w:tcPr>
            <w:tcW w:w="340" w:type="dxa"/>
            <w:vAlign w:val="bottom"/>
            <w:shd w:val="clear" w:color="auto" w:fill="CEFFE7"/>
          </w:tcPr>
          <w:p>
            <w:pPr>
              <w:spacing w:after="0"/>
              <w:rPr>
                <w:sz w:val="22"/>
                <w:szCs w:val="22"/>
                <w:color w:val="auto"/>
              </w:rPr>
            </w:pPr>
          </w:p>
        </w:tc>
        <w:tc>
          <w:tcPr>
            <w:tcW w:w="1140" w:type="dxa"/>
            <w:vAlign w:val="bottom"/>
            <w:shd w:val="clear" w:color="auto" w:fill="CEFFE7"/>
          </w:tcPr>
          <w:p>
            <w:pPr>
              <w:spacing w:after="0"/>
              <w:rPr>
                <w:sz w:val="22"/>
                <w:szCs w:val="22"/>
                <w:color w:val="auto"/>
              </w:rPr>
            </w:pPr>
          </w:p>
        </w:tc>
        <w:tc>
          <w:tcPr>
            <w:tcW w:w="360" w:type="dxa"/>
            <w:vAlign w:val="bottom"/>
            <w:shd w:val="clear" w:color="auto" w:fill="CEFFE7"/>
          </w:tcPr>
          <w:p>
            <w:pPr>
              <w:spacing w:after="0"/>
              <w:rPr>
                <w:sz w:val="22"/>
                <w:szCs w:val="22"/>
                <w:color w:val="auto"/>
              </w:rPr>
            </w:pPr>
          </w:p>
        </w:tc>
        <w:tc>
          <w:tcPr>
            <w:tcW w:w="1140" w:type="dxa"/>
            <w:vAlign w:val="bottom"/>
            <w:shd w:val="clear" w:color="auto" w:fill="CEFFE7"/>
          </w:tcPr>
          <w:p>
            <w:pPr>
              <w:spacing w:after="0"/>
              <w:rPr>
                <w:sz w:val="22"/>
                <w:szCs w:val="22"/>
                <w:color w:val="auto"/>
              </w:rPr>
            </w:pPr>
          </w:p>
        </w:tc>
        <w:tc>
          <w:tcPr>
            <w:tcW w:w="200" w:type="dxa"/>
            <w:vAlign w:val="bottom"/>
            <w:shd w:val="clear" w:color="auto" w:fill="CEFFE7"/>
          </w:tcPr>
          <w:p>
            <w:pPr>
              <w:spacing w:after="0"/>
              <w:rPr>
                <w:sz w:val="22"/>
                <w:szCs w:val="22"/>
                <w:color w:val="auto"/>
              </w:rPr>
            </w:pPr>
          </w:p>
        </w:tc>
        <w:tc>
          <w:tcPr>
            <w:tcW w:w="1320" w:type="dxa"/>
            <w:vAlign w:val="bottom"/>
            <w:shd w:val="clear" w:color="auto" w:fill="CEFFE7"/>
          </w:tcPr>
          <w:p>
            <w:pPr>
              <w:spacing w:after="0"/>
              <w:rPr>
                <w:sz w:val="22"/>
                <w:szCs w:val="22"/>
                <w:color w:val="auto"/>
              </w:rPr>
            </w:pPr>
          </w:p>
        </w:tc>
        <w:tc>
          <w:tcPr>
            <w:tcW w:w="340" w:type="dxa"/>
            <w:vAlign w:val="bottom"/>
            <w:shd w:val="clear" w:color="auto" w:fill="CEFFE7"/>
          </w:tcPr>
          <w:p>
            <w:pPr>
              <w:spacing w:after="0"/>
              <w:rPr>
                <w:sz w:val="22"/>
                <w:szCs w:val="22"/>
                <w:color w:val="auto"/>
              </w:rPr>
            </w:pPr>
          </w:p>
        </w:tc>
        <w:tc>
          <w:tcPr>
            <w:tcW w:w="460" w:type="dxa"/>
            <w:vAlign w:val="bottom"/>
            <w:shd w:val="clear" w:color="auto" w:fill="CEFFE7"/>
          </w:tcPr>
          <w:p>
            <w:pPr>
              <w:spacing w:after="0"/>
              <w:rPr>
                <w:sz w:val="22"/>
                <w:szCs w:val="22"/>
                <w:color w:val="auto"/>
              </w:rPr>
            </w:pPr>
          </w:p>
        </w:tc>
        <w:tc>
          <w:tcPr>
            <w:tcW w:w="660" w:type="dxa"/>
            <w:vAlign w:val="bottom"/>
            <w:shd w:val="clear" w:color="auto" w:fill="CEFFE7"/>
          </w:tcPr>
          <w:p>
            <w:pPr>
              <w:spacing w:after="0"/>
              <w:rPr>
                <w:sz w:val="22"/>
                <w:szCs w:val="22"/>
                <w:color w:val="auto"/>
              </w:rPr>
            </w:pPr>
          </w:p>
        </w:tc>
        <w:tc>
          <w:tcPr>
            <w:tcW w:w="240" w:type="dxa"/>
            <w:vAlign w:val="bottom"/>
            <w:shd w:val="clear" w:color="auto" w:fill="CEFFE7"/>
          </w:tcPr>
          <w:p>
            <w:pPr>
              <w:spacing w:after="0"/>
              <w:rPr>
                <w:sz w:val="22"/>
                <w:szCs w:val="22"/>
                <w:color w:val="auto"/>
              </w:rPr>
            </w:pPr>
          </w:p>
        </w:tc>
        <w:tc>
          <w:tcPr>
            <w:tcW w:w="1300" w:type="dxa"/>
            <w:vAlign w:val="bottom"/>
            <w:shd w:val="clear" w:color="auto" w:fill="CEFFE7"/>
          </w:tcPr>
          <w:p>
            <w:pPr>
              <w:spacing w:after="0"/>
              <w:rPr>
                <w:sz w:val="22"/>
                <w:szCs w:val="22"/>
                <w:color w:val="auto"/>
              </w:rPr>
            </w:pPr>
          </w:p>
        </w:tc>
        <w:tc>
          <w:tcPr>
            <w:tcW w:w="20" w:type="dxa"/>
            <w:vAlign w:val="bottom"/>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720" w:type="dxa"/>
            <w:vAlign w:val="bottom"/>
            <w:gridSpan w:val="5"/>
          </w:tcPr>
          <w:p>
            <w:pPr>
              <w:ind w:left="20"/>
              <w:spacing w:after="0"/>
              <w:rPr>
                <w:sz w:val="20"/>
                <w:szCs w:val="20"/>
                <w:color w:val="auto"/>
              </w:rPr>
            </w:pPr>
            <w:r>
              <w:rPr>
                <w:rFonts w:ascii="Arial" w:cs="Arial" w:eastAsia="Arial" w:hAnsi="Arial"/>
                <w:sz w:val="16"/>
                <w:szCs w:val="16"/>
                <w:color w:val="auto"/>
              </w:rPr>
              <w:t>Fuel and Purchased Power: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EFFE7"/>
          </w:tcPr>
          <w:p>
            <w:pPr>
              <w:spacing w:after="0"/>
              <w:rPr>
                <w:sz w:val="19"/>
                <w:szCs w:val="19"/>
                <w:color w:val="auto"/>
              </w:rPr>
            </w:pPr>
          </w:p>
        </w:tc>
        <w:tc>
          <w:tcPr>
            <w:tcW w:w="3680" w:type="dxa"/>
            <w:vAlign w:val="bottom"/>
            <w:gridSpan w:val="4"/>
            <w:shd w:val="clear" w:color="auto" w:fill="CEFFE7"/>
          </w:tcPr>
          <w:p>
            <w:pPr>
              <w:ind w:left="100"/>
              <w:spacing w:after="0"/>
              <w:rPr>
                <w:sz w:val="20"/>
                <w:szCs w:val="20"/>
                <w:color w:val="auto"/>
              </w:rPr>
            </w:pPr>
            <w:r>
              <w:rPr>
                <w:rFonts w:ascii="Arial" w:cs="Arial" w:eastAsia="Arial" w:hAnsi="Arial"/>
                <w:sz w:val="16"/>
                <w:szCs w:val="16"/>
                <w:color w:val="auto"/>
              </w:rPr>
              <w:t>Electric - regulated</w:t>
            </w:r>
          </w:p>
        </w:tc>
        <w:tc>
          <w:tcPr>
            <w:tcW w:w="34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244,504</w:t>
            </w:r>
          </w:p>
        </w:tc>
        <w:tc>
          <w:tcPr>
            <w:tcW w:w="36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136,374</w:t>
            </w:r>
          </w:p>
        </w:tc>
        <w:tc>
          <w:tcPr>
            <w:tcW w:w="200" w:type="dxa"/>
            <w:vAlign w:val="bottom"/>
            <w:shd w:val="clear" w:color="auto" w:fill="CEFFE7"/>
          </w:tcPr>
          <w:p>
            <w:pPr>
              <w:spacing w:after="0"/>
              <w:rPr>
                <w:sz w:val="19"/>
                <w:szCs w:val="19"/>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108,130</w:t>
            </w:r>
          </w:p>
        </w:tc>
        <w:tc>
          <w:tcPr>
            <w:tcW w:w="340" w:type="dxa"/>
            <w:vAlign w:val="bottom"/>
            <w:shd w:val="clear" w:color="auto" w:fill="CEFFE7"/>
          </w:tcPr>
          <w:p>
            <w:pPr>
              <w:spacing w:after="0"/>
              <w:rPr>
                <w:sz w:val="19"/>
                <w:szCs w:val="19"/>
                <w:color w:val="auto"/>
              </w:rPr>
            </w:pPr>
          </w:p>
        </w:tc>
        <w:tc>
          <w:tcPr>
            <w:tcW w:w="1120" w:type="dxa"/>
            <w:vAlign w:val="bottom"/>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143,668</w:t>
            </w:r>
          </w:p>
        </w:tc>
        <w:tc>
          <w:tcPr>
            <w:tcW w:w="24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(7,294)</w:t>
            </w:r>
          </w:p>
        </w:tc>
        <w:tc>
          <w:tcPr>
            <w:tcW w:w="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EFFE7"/>
            </w:tcBorders>
          </w:tcPr>
          <w:p>
            <w:pPr>
              <w:spacing w:after="0"/>
              <w:rPr>
                <w:sz w:val="18"/>
                <w:szCs w:val="18"/>
                <w:color w:val="auto"/>
              </w:rPr>
            </w:pPr>
          </w:p>
        </w:tc>
        <w:tc>
          <w:tcPr>
            <w:tcW w:w="3680" w:type="dxa"/>
            <w:vAlign w:val="bottom"/>
            <w:tcBorders>
              <w:bottom w:val="single" w:sz="8" w:color="CEFFE7"/>
            </w:tcBorders>
            <w:gridSpan w:val="4"/>
          </w:tcPr>
          <w:p>
            <w:pPr>
              <w:ind w:left="100"/>
              <w:spacing w:after="0"/>
              <w:rPr>
                <w:sz w:val="20"/>
                <w:szCs w:val="20"/>
                <w:color w:val="auto"/>
              </w:rPr>
            </w:pPr>
            <w:r>
              <w:rPr>
                <w:rFonts w:ascii="Arial" w:cs="Arial" w:eastAsia="Arial" w:hAnsi="Arial"/>
                <w:sz w:val="16"/>
                <w:szCs w:val="16"/>
                <w:color w:val="auto"/>
              </w:rPr>
              <w:t>Other - non-regulated</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3,514</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2,305</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839"/>
              <w:spacing w:after="0"/>
              <w:rPr>
                <w:sz w:val="20"/>
                <w:szCs w:val="20"/>
                <w:color w:val="auto"/>
              </w:rPr>
            </w:pPr>
            <w:r>
              <w:rPr>
                <w:rFonts w:ascii="Arial" w:cs="Arial" w:eastAsia="Arial" w:hAnsi="Arial"/>
                <w:sz w:val="16"/>
                <w:szCs w:val="16"/>
                <w:color w:val="auto"/>
              </w:rPr>
              <w:t>(107)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EFFE7"/>
          </w:tcPr>
          <w:p>
            <w:pPr>
              <w:spacing w:after="0"/>
              <w:rPr>
                <w:sz w:val="18"/>
                <w:szCs w:val="18"/>
                <w:color w:val="auto"/>
              </w:rPr>
            </w:pPr>
          </w:p>
        </w:tc>
        <w:tc>
          <w:tcPr>
            <w:tcW w:w="3680" w:type="dxa"/>
            <w:vAlign w:val="bottom"/>
            <w:gridSpan w:val="4"/>
            <w:shd w:val="clear" w:color="auto" w:fill="CEFFE7"/>
          </w:tcPr>
          <w:p>
            <w:pPr>
              <w:ind w:left="440"/>
              <w:spacing w:after="0"/>
              <w:rPr>
                <w:sz w:val="20"/>
                <w:szCs w:val="20"/>
                <w:color w:val="auto"/>
              </w:rPr>
            </w:pPr>
            <w:r>
              <w:rPr>
                <w:rFonts w:ascii="Arial" w:cs="Arial" w:eastAsia="Arial" w:hAnsi="Arial"/>
                <w:sz w:val="16"/>
                <w:szCs w:val="16"/>
                <w:color w:val="auto"/>
              </w:rPr>
              <w:t>Total fuel and purchased power</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248,018</w:t>
            </w:r>
          </w:p>
        </w:tc>
        <w:tc>
          <w:tcPr>
            <w:tcW w:w="36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138,572</w:t>
            </w:r>
          </w:p>
        </w:tc>
        <w:tc>
          <w:tcPr>
            <w:tcW w:w="20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109,446</w:t>
            </w:r>
          </w:p>
        </w:tc>
        <w:tc>
          <w:tcPr>
            <w:tcW w:w="34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145,973</w:t>
            </w:r>
          </w:p>
        </w:tc>
        <w:tc>
          <w:tcPr>
            <w:tcW w:w="24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(7,401)</w:t>
            </w:r>
          </w:p>
        </w:tc>
        <w:tc>
          <w:tcPr>
            <w:tcW w:w="20" w:type="dxa"/>
            <w:vAlign w:val="bottom"/>
            <w:tcBorders>
              <w:bottom w:val="single" w:sz="8" w:color="auto"/>
            </w:tcBorders>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0" w:type="dxa"/>
            <w:vAlign w:val="bottom"/>
            <w:tcBorders>
              <w:bottom w:val="single" w:sz="8" w:color="CEFFE7"/>
            </w:tcBorders>
          </w:tcPr>
          <w:p>
            <w:pPr>
              <w:spacing w:after="0"/>
              <w:rPr>
                <w:sz w:val="22"/>
                <w:szCs w:val="22"/>
                <w:color w:val="auto"/>
              </w:rPr>
            </w:pPr>
          </w:p>
        </w:tc>
        <w:tc>
          <w:tcPr>
            <w:tcW w:w="1320" w:type="dxa"/>
            <w:vAlign w:val="bottom"/>
            <w:tcBorders>
              <w:bottom w:val="single" w:sz="8" w:color="CEFFE7"/>
            </w:tcBorders>
          </w:tcPr>
          <w:p>
            <w:pPr>
              <w:spacing w:after="0"/>
              <w:rPr>
                <w:sz w:val="22"/>
                <w:szCs w:val="22"/>
                <w:color w:val="auto"/>
              </w:rPr>
            </w:pPr>
          </w:p>
        </w:tc>
        <w:tc>
          <w:tcPr>
            <w:tcW w:w="160" w:type="dxa"/>
            <w:vAlign w:val="bottom"/>
            <w:tcBorders>
              <w:bottom w:val="single" w:sz="8" w:color="CEFFE7"/>
            </w:tcBorders>
          </w:tcPr>
          <w:p>
            <w:pPr>
              <w:spacing w:after="0"/>
              <w:rPr>
                <w:sz w:val="22"/>
                <w:szCs w:val="22"/>
                <w:color w:val="auto"/>
              </w:rPr>
            </w:pPr>
          </w:p>
        </w:tc>
        <w:tc>
          <w:tcPr>
            <w:tcW w:w="240" w:type="dxa"/>
            <w:vAlign w:val="bottom"/>
            <w:tcBorders>
              <w:bottom w:val="single" w:sz="8" w:color="CEFFE7"/>
            </w:tcBorders>
          </w:tcPr>
          <w:p>
            <w:pPr>
              <w:spacing w:after="0"/>
              <w:rPr>
                <w:sz w:val="22"/>
                <w:szCs w:val="22"/>
                <w:color w:val="auto"/>
              </w:rPr>
            </w:pPr>
          </w:p>
        </w:tc>
        <w:tc>
          <w:tcPr>
            <w:tcW w:w="1960" w:type="dxa"/>
            <w:vAlign w:val="bottom"/>
            <w:tcBorders>
              <w:bottom w:val="single" w:sz="8" w:color="CEFFE7"/>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720" w:type="dxa"/>
            <w:vAlign w:val="bottom"/>
            <w:gridSpan w:val="5"/>
            <w:shd w:val="clear" w:color="auto" w:fill="CEFFE7"/>
          </w:tcPr>
          <w:p>
            <w:pPr>
              <w:ind w:left="20"/>
              <w:spacing w:after="0"/>
              <w:rPr>
                <w:sz w:val="20"/>
                <w:szCs w:val="20"/>
                <w:color w:val="auto"/>
              </w:rPr>
            </w:pPr>
            <w:r>
              <w:rPr>
                <w:rFonts w:ascii="Arial" w:cs="Arial" w:eastAsia="Arial" w:hAnsi="Arial"/>
                <w:sz w:val="16"/>
                <w:szCs w:val="16"/>
                <w:color w:val="auto"/>
              </w:rPr>
              <w:t>Electric Utility margin (non-GAAP)</w:t>
            </w:r>
          </w:p>
        </w:tc>
        <w:tc>
          <w:tcPr>
            <w:tcW w:w="340" w:type="dxa"/>
            <w:vAlign w:val="bottom"/>
            <w:tcBorders>
              <w:bottom w:val="single" w:sz="8" w:color="auto"/>
            </w:tcBorders>
            <w:shd w:val="clear" w:color="auto" w:fill="CEFFE7"/>
          </w:tcPr>
          <w:p>
            <w:pPr>
              <w:spacing w:after="0"/>
              <w:rPr>
                <w:sz w:val="17"/>
                <w:szCs w:val="17"/>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594,240</w:t>
            </w:r>
          </w:p>
        </w:tc>
        <w:tc>
          <w:tcPr>
            <w:tcW w:w="360" w:type="dxa"/>
            <w:vAlign w:val="bottom"/>
            <w:tcBorders>
              <w:bottom w:val="single" w:sz="8" w:color="auto"/>
            </w:tcBorders>
            <w:shd w:val="clear" w:color="auto" w:fill="CEFFE7"/>
          </w:tcPr>
          <w:p>
            <w:pPr>
              <w:spacing w:after="0"/>
              <w:rPr>
                <w:sz w:val="17"/>
                <w:szCs w:val="17"/>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600,285</w:t>
            </w:r>
          </w:p>
        </w:tc>
        <w:tc>
          <w:tcPr>
            <w:tcW w:w="200" w:type="dxa"/>
            <w:vAlign w:val="bottom"/>
            <w:tcBorders>
              <w:bottom w:val="single" w:sz="8" w:color="auto"/>
            </w:tcBorders>
            <w:shd w:val="clear" w:color="auto" w:fill="CEFFE7"/>
          </w:tcPr>
          <w:p>
            <w:pPr>
              <w:spacing w:after="0"/>
              <w:rPr>
                <w:sz w:val="17"/>
                <w:szCs w:val="17"/>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(6,045)</w:t>
            </w:r>
          </w:p>
        </w:tc>
        <w:tc>
          <w:tcPr>
            <w:tcW w:w="340" w:type="dxa"/>
            <w:vAlign w:val="bottom"/>
            <w:tcBorders>
              <w:bottom w:val="single" w:sz="8" w:color="auto"/>
            </w:tcBorders>
            <w:shd w:val="clear" w:color="auto" w:fill="CEFFE7"/>
          </w:tcPr>
          <w:p>
            <w:pPr>
              <w:spacing w:after="0"/>
              <w:rPr>
                <w:sz w:val="17"/>
                <w:szCs w:val="17"/>
                <w:color w:val="auto"/>
              </w:rPr>
            </w:pPr>
          </w:p>
        </w:tc>
        <w:tc>
          <w:tcPr>
            <w:tcW w:w="112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593,382</w:t>
            </w:r>
          </w:p>
        </w:tc>
        <w:tc>
          <w:tcPr>
            <w:tcW w:w="240" w:type="dxa"/>
            <w:vAlign w:val="bottom"/>
            <w:tcBorders>
              <w:bottom w:val="single" w:sz="8" w:color="auto"/>
            </w:tcBorders>
            <w:shd w:val="clear" w:color="auto" w:fill="CEFFE7"/>
          </w:tcPr>
          <w:p>
            <w:pPr>
              <w:spacing w:after="0"/>
              <w:rPr>
                <w:sz w:val="17"/>
                <w:szCs w:val="17"/>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6,903</w:t>
            </w:r>
          </w:p>
        </w:tc>
        <w:tc>
          <w:tcPr>
            <w:tcW w:w="20" w:type="dxa"/>
            <w:vAlign w:val="bottom"/>
            <w:tcBorders>
              <w:bottom w:val="single" w:sz="8" w:color="auto"/>
            </w:tcBorders>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20" w:type="dxa"/>
            <w:vAlign w:val="bottom"/>
            <w:gridSpan w:val="5"/>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3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260,036</w:t>
            </w:r>
          </w:p>
        </w:tc>
        <w:tc>
          <w:tcPr>
            <w:tcW w:w="36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265,679</w:t>
            </w:r>
          </w:p>
        </w:tc>
        <w:tc>
          <w:tcPr>
            <w:tcW w:w="20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(5,643)</w:t>
            </w:r>
          </w:p>
        </w:tc>
        <w:tc>
          <w:tcPr>
            <w:tcW w:w="340" w:type="dxa"/>
            <w:vAlign w:val="bottom"/>
            <w:shd w:val="clear" w:color="auto" w:fill="CEFFE7"/>
          </w:tcPr>
          <w:p>
            <w:pPr>
              <w:spacing w:after="0"/>
              <w:rPr>
                <w:sz w:val="18"/>
                <w:szCs w:val="18"/>
                <w:color w:val="auto"/>
              </w:rPr>
            </w:pPr>
          </w:p>
        </w:tc>
        <w:tc>
          <w:tcPr>
            <w:tcW w:w="1120" w:type="dxa"/>
            <w:vAlign w:val="bottom"/>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259,167</w:t>
            </w:r>
          </w:p>
        </w:tc>
        <w:tc>
          <w:tcPr>
            <w:tcW w:w="240" w:type="dxa"/>
            <w:vAlign w:val="bottom"/>
            <w:shd w:val="clear" w:color="auto" w:fill="CEFFE7"/>
          </w:tcPr>
          <w:p>
            <w:pPr>
              <w:spacing w:after="0"/>
              <w:rPr>
                <w:sz w:val="18"/>
                <w:szCs w:val="18"/>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6,512</w:t>
            </w:r>
          </w:p>
        </w:tc>
        <w:tc>
          <w:tcPr>
            <w:tcW w:w="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tcBorders>
              <w:bottom w:val="single" w:sz="8" w:color="CEFFE7"/>
            </w:tcBorders>
            <w:gridSpan w:val="5"/>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131,528</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123,632</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7,896</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116,538</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EFFE7"/>
          </w:tcPr>
          <w:p>
            <w:pPr>
              <w:spacing w:after="0"/>
              <w:rPr>
                <w:sz w:val="18"/>
                <w:szCs w:val="18"/>
                <w:color w:val="auto"/>
              </w:rPr>
            </w:pPr>
          </w:p>
        </w:tc>
        <w:tc>
          <w:tcPr>
            <w:tcW w:w="3680" w:type="dxa"/>
            <w:vAlign w:val="bottom"/>
            <w:gridSpan w:val="4"/>
            <w:shd w:val="clear" w:color="auto" w:fill="CEFFE7"/>
          </w:tcPr>
          <w:p>
            <w:pPr>
              <w:ind w:left="3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391,564</w:t>
            </w:r>
          </w:p>
        </w:tc>
        <w:tc>
          <w:tcPr>
            <w:tcW w:w="36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389,311</w:t>
            </w:r>
          </w:p>
        </w:tc>
        <w:tc>
          <w:tcPr>
            <w:tcW w:w="20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2,253</w:t>
            </w:r>
          </w:p>
        </w:tc>
        <w:tc>
          <w:tcPr>
            <w:tcW w:w="34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375,705</w:t>
            </w:r>
          </w:p>
        </w:tc>
        <w:tc>
          <w:tcPr>
            <w:tcW w:w="24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13,606</w:t>
            </w:r>
          </w:p>
        </w:tc>
        <w:tc>
          <w:tcPr>
            <w:tcW w:w="20" w:type="dxa"/>
            <w:vAlign w:val="bottom"/>
            <w:tcBorders>
              <w:bottom w:val="single" w:sz="8" w:color="auto"/>
            </w:tcBorders>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0" w:type="dxa"/>
            <w:vAlign w:val="bottom"/>
            <w:tcBorders>
              <w:bottom w:val="single" w:sz="8" w:color="CEFFE7"/>
            </w:tcBorders>
          </w:tcPr>
          <w:p>
            <w:pPr>
              <w:spacing w:after="0"/>
              <w:rPr>
                <w:sz w:val="22"/>
                <w:szCs w:val="22"/>
                <w:color w:val="auto"/>
              </w:rPr>
            </w:pPr>
          </w:p>
        </w:tc>
        <w:tc>
          <w:tcPr>
            <w:tcW w:w="1320" w:type="dxa"/>
            <w:vAlign w:val="bottom"/>
            <w:tcBorders>
              <w:bottom w:val="single" w:sz="8" w:color="CEFFE7"/>
            </w:tcBorders>
          </w:tcPr>
          <w:p>
            <w:pPr>
              <w:spacing w:after="0"/>
              <w:rPr>
                <w:sz w:val="22"/>
                <w:szCs w:val="22"/>
                <w:color w:val="auto"/>
              </w:rPr>
            </w:pPr>
          </w:p>
        </w:tc>
        <w:tc>
          <w:tcPr>
            <w:tcW w:w="160" w:type="dxa"/>
            <w:vAlign w:val="bottom"/>
            <w:tcBorders>
              <w:bottom w:val="single" w:sz="8" w:color="CEFFE7"/>
            </w:tcBorders>
          </w:tcPr>
          <w:p>
            <w:pPr>
              <w:spacing w:after="0"/>
              <w:rPr>
                <w:sz w:val="22"/>
                <w:szCs w:val="22"/>
                <w:color w:val="auto"/>
              </w:rPr>
            </w:pPr>
          </w:p>
        </w:tc>
        <w:tc>
          <w:tcPr>
            <w:tcW w:w="240" w:type="dxa"/>
            <w:vAlign w:val="bottom"/>
            <w:tcBorders>
              <w:bottom w:val="single" w:sz="8" w:color="CEFFE7"/>
            </w:tcBorders>
          </w:tcPr>
          <w:p>
            <w:pPr>
              <w:spacing w:after="0"/>
              <w:rPr>
                <w:sz w:val="22"/>
                <w:szCs w:val="22"/>
                <w:color w:val="auto"/>
              </w:rPr>
            </w:pPr>
          </w:p>
        </w:tc>
        <w:tc>
          <w:tcPr>
            <w:tcW w:w="1960" w:type="dxa"/>
            <w:vAlign w:val="bottom"/>
            <w:tcBorders>
              <w:bottom w:val="single" w:sz="8" w:color="CEFFE7"/>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720" w:type="dxa"/>
            <w:vAlign w:val="bottom"/>
            <w:tcBorders>
              <w:bottom w:val="single" w:sz="8" w:color="CEFFE7"/>
            </w:tcBorders>
            <w:gridSpan w:val="5"/>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202,676</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210,974</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(8,298)</w:t>
            </w:r>
          </w:p>
        </w:tc>
        <w:tc>
          <w:tcPr>
            <w:tcW w:w="34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217,677</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(6,703)</w:t>
            </w:r>
          </w:p>
        </w:tc>
        <w:tc>
          <w:tcPr>
            <w:tcW w:w="20" w:type="dxa"/>
            <w:vAlign w:val="bottom"/>
            <w:tcBorders>
              <w:bottom w:val="single" w:sz="8" w:color="auto"/>
            </w:tcBorders>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EFFE7"/>
              <w:bottom w:val="single" w:sz="8" w:color="CEFFE7"/>
            </w:tcBorders>
            <w:gridSpan w:val="4"/>
            <w:vMerge w:val="restart"/>
          </w:tcPr>
          <w:p>
            <w:pPr>
              <w:spacing w:after="0"/>
              <w:rPr>
                <w:sz w:val="20"/>
                <w:szCs w:val="20"/>
                <w:color w:val="auto"/>
              </w:rPr>
            </w:pPr>
            <w:r>
              <w:rPr>
                <w:rFonts w:ascii="Arial" w:cs="Arial" w:eastAsia="Arial" w:hAnsi="Arial"/>
                <w:sz w:val="16"/>
                <w:szCs w:val="16"/>
                <w:color w:val="auto"/>
              </w:rPr>
              <w:t>2021 Compared to 2020</w:t>
            </w:r>
          </w:p>
        </w:tc>
        <w:tc>
          <w:tcPr>
            <w:tcW w:w="1960" w:type="dxa"/>
            <w:vAlign w:val="bottom"/>
            <w:tcBorders>
              <w:top w:val="single" w:sz="8" w:color="CEFFE7"/>
              <w:bottom w:val="single" w:sz="8" w:color="CEFFE7"/>
            </w:tcBorders>
            <w:vMerge w:val="restart"/>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46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760" w:type="dxa"/>
            <w:vAlign w:val="bottom"/>
            <w:tcBorders>
              <w:bottom w:val="single" w:sz="8" w:color="auto"/>
            </w:tcBorders>
            <w:gridSpan w:val="4"/>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0" w:type="dxa"/>
            <w:vAlign w:val="bottom"/>
            <w:gridSpan w:val="7"/>
          </w:tcPr>
          <w:p>
            <w:pPr>
              <w:spacing w:after="0"/>
              <w:rPr>
                <w:sz w:val="20"/>
                <w:szCs w:val="20"/>
                <w:color w:val="auto"/>
              </w:rPr>
            </w:pPr>
            <w:r>
              <w:rPr>
                <w:rFonts w:ascii="Arial" w:cs="Arial" w:eastAsia="Arial" w:hAnsi="Arial"/>
                <w:sz w:val="16"/>
                <w:szCs w:val="16"/>
                <w:color w:val="auto"/>
              </w:rPr>
              <w:t>Electric Utility margin decreased over the prior year as a result of:</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tcBorders>
              <w:top w:val="single" w:sz="8" w:color="auto"/>
            </w:tcBorders>
            <w:gridSpan w:val="4"/>
            <w:shd w:val="clear" w:color="auto" w:fill="CEFFE7"/>
          </w:tcPr>
          <w:p>
            <w:pPr>
              <w:spacing w:after="0" w:line="213" w:lineRule="exact"/>
              <w:rPr>
                <w:sz w:val="20"/>
                <w:szCs w:val="20"/>
                <w:color w:val="auto"/>
              </w:rPr>
            </w:pPr>
            <w:r>
              <w:rPr>
                <w:rFonts w:ascii="Arial" w:cs="Arial" w:eastAsia="Arial" w:hAnsi="Arial"/>
                <w:sz w:val="16"/>
                <w:szCs w:val="16"/>
                <w:color w:val="auto"/>
              </w:rPr>
              <w:t xml:space="preserve">TCJA-related bill credits </w:t>
            </w:r>
            <w:r>
              <w:rPr>
                <w:rFonts w:ascii="Arial" w:cs="Arial" w:eastAsia="Arial" w:hAnsi="Arial"/>
                <w:sz w:val="21"/>
                <w:szCs w:val="21"/>
                <w:color w:val="auto"/>
                <w:vertAlign w:val="superscript"/>
              </w:rPr>
              <w:t>(a)</w:t>
            </w:r>
          </w:p>
        </w:tc>
        <w:tc>
          <w:tcPr>
            <w:tcW w:w="340" w:type="dxa"/>
            <w:vAlign w:val="bottom"/>
            <w:tcBorders>
              <w:top w:val="single" w:sz="8" w:color="auto"/>
            </w:tcBorders>
            <w:shd w:val="clear" w:color="auto" w:fill="CEFFE7"/>
          </w:tcPr>
          <w:p>
            <w:pPr>
              <w:spacing w:after="0"/>
              <w:rPr>
                <w:sz w:val="18"/>
                <w:szCs w:val="18"/>
                <w:color w:val="auto"/>
              </w:rPr>
            </w:pPr>
          </w:p>
        </w:tc>
        <w:tc>
          <w:tcPr>
            <w:tcW w:w="1140" w:type="dxa"/>
            <w:vAlign w:val="bottom"/>
            <w:tcBorders>
              <w:top w:val="single" w:sz="8" w:color="auto"/>
            </w:tcBorders>
            <w:shd w:val="clear" w:color="auto" w:fill="CEFFE7"/>
          </w:tcPr>
          <w:p>
            <w:pPr>
              <w:spacing w:after="0"/>
              <w:rPr>
                <w:sz w:val="18"/>
                <w:szCs w:val="18"/>
                <w:color w:val="auto"/>
              </w:rPr>
            </w:pPr>
          </w:p>
        </w:tc>
        <w:tc>
          <w:tcPr>
            <w:tcW w:w="360" w:type="dxa"/>
            <w:vAlign w:val="bottom"/>
            <w:tcBorders>
              <w:top w:val="single" w:sz="8" w:color="auto"/>
            </w:tcBorders>
            <w:shd w:val="clear" w:color="auto" w:fill="CEFFE7"/>
          </w:tcPr>
          <w:p>
            <w:pPr>
              <w:spacing w:after="0"/>
              <w:rPr>
                <w:sz w:val="18"/>
                <w:szCs w:val="18"/>
                <w:color w:val="auto"/>
              </w:rPr>
            </w:pPr>
          </w:p>
        </w:tc>
        <w:tc>
          <w:tcPr>
            <w:tcW w:w="1140" w:type="dxa"/>
            <w:vAlign w:val="bottom"/>
            <w:tcBorders>
              <w:top w:val="single" w:sz="8" w:color="auto"/>
            </w:tcBorders>
            <w:shd w:val="clear" w:color="auto" w:fill="CEFFE7"/>
          </w:tcPr>
          <w:p>
            <w:pPr>
              <w:spacing w:after="0"/>
              <w:rPr>
                <w:sz w:val="18"/>
                <w:szCs w:val="18"/>
                <w:color w:val="auto"/>
              </w:rPr>
            </w:pPr>
          </w:p>
        </w:tc>
        <w:tc>
          <w:tcPr>
            <w:tcW w:w="200" w:type="dxa"/>
            <w:vAlign w:val="bottom"/>
            <w:tcBorders>
              <w:top w:val="single" w:sz="8" w:color="auto"/>
            </w:tcBorders>
            <w:shd w:val="clear" w:color="auto" w:fill="CEFFE7"/>
          </w:tcPr>
          <w:p>
            <w:pPr>
              <w:spacing w:after="0"/>
              <w:rPr>
                <w:sz w:val="18"/>
                <w:szCs w:val="18"/>
                <w:color w:val="auto"/>
              </w:rPr>
            </w:pPr>
          </w:p>
        </w:tc>
        <w:tc>
          <w:tcPr>
            <w:tcW w:w="1320" w:type="dxa"/>
            <w:vAlign w:val="bottom"/>
            <w:tcBorders>
              <w:top w:val="single" w:sz="8" w:color="auto"/>
            </w:tcBorders>
            <w:shd w:val="clear" w:color="auto" w:fill="CEFFE7"/>
          </w:tcPr>
          <w:p>
            <w:pPr>
              <w:spacing w:after="0"/>
              <w:rPr>
                <w:sz w:val="18"/>
                <w:szCs w:val="18"/>
                <w:color w:val="auto"/>
              </w:rPr>
            </w:pPr>
          </w:p>
        </w:tc>
        <w:tc>
          <w:tcPr>
            <w:tcW w:w="340" w:type="dxa"/>
            <w:vAlign w:val="bottom"/>
            <w:tcBorders>
              <w:top w:val="single" w:sz="8" w:color="auto"/>
            </w:tcBorders>
            <w:shd w:val="clear" w:color="auto" w:fill="CEFFE7"/>
          </w:tcPr>
          <w:p>
            <w:pPr>
              <w:spacing w:after="0"/>
              <w:rPr>
                <w:sz w:val="18"/>
                <w:szCs w:val="18"/>
                <w:color w:val="auto"/>
              </w:rPr>
            </w:pPr>
          </w:p>
        </w:tc>
        <w:tc>
          <w:tcPr>
            <w:tcW w:w="1120" w:type="dxa"/>
            <w:vAlign w:val="bottom"/>
            <w:tcBorders>
              <w:top w:val="single" w:sz="8" w:color="auto"/>
            </w:tcBorders>
            <w:gridSpan w:val="2"/>
            <w:shd w:val="clear" w:color="auto" w:fill="CEFFE7"/>
          </w:tcPr>
          <w:p>
            <w:pPr>
              <w:jc w:val="right"/>
              <w:ind w:right="56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shd w:val="clear" w:color="auto" w:fill="CEFFE7"/>
          </w:tcPr>
          <w:p>
            <w:pPr>
              <w:spacing w:after="0"/>
              <w:rPr>
                <w:sz w:val="18"/>
                <w:szCs w:val="18"/>
                <w:color w:val="auto"/>
              </w:rPr>
            </w:pPr>
          </w:p>
        </w:tc>
        <w:tc>
          <w:tcPr>
            <w:tcW w:w="13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gridSpan w:val="4"/>
          </w:tcPr>
          <w:p>
            <w:pPr>
              <w:spacing w:after="0"/>
              <w:rPr>
                <w:sz w:val="20"/>
                <w:szCs w:val="20"/>
                <w:color w:val="auto"/>
              </w:rPr>
            </w:pPr>
            <w:r>
              <w:rPr>
                <w:rFonts w:ascii="Arial" w:cs="Arial" w:eastAsia="Arial" w:hAnsi="Arial"/>
                <w:sz w:val="16"/>
                <w:szCs w:val="16"/>
                <w:color w:val="auto"/>
              </w:rPr>
              <w:t>Wygen I unplanned outage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left="839"/>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80" w:type="dxa"/>
            <w:vAlign w:val="bottom"/>
            <w:gridSpan w:val="4"/>
            <w:shd w:val="clear" w:color="auto" w:fill="CEFFE7"/>
          </w:tcPr>
          <w:p>
            <w:pPr>
              <w:spacing w:after="0"/>
              <w:rPr>
                <w:sz w:val="20"/>
                <w:szCs w:val="20"/>
                <w:color w:val="auto"/>
              </w:rPr>
            </w:pPr>
            <w:r>
              <w:rPr>
                <w:rFonts w:ascii="Arial" w:cs="Arial" w:eastAsia="Arial" w:hAnsi="Arial"/>
                <w:sz w:val="16"/>
                <w:szCs w:val="16"/>
                <w:color w:val="auto"/>
              </w:rPr>
              <w:t>Prior year release of TCJA revenue reserves</w:t>
            </w:r>
          </w:p>
        </w:tc>
        <w:tc>
          <w:tcPr>
            <w:tcW w:w="340" w:type="dxa"/>
            <w:vAlign w:val="bottom"/>
            <w:shd w:val="clear" w:color="auto" w:fill="CEFFE7"/>
          </w:tcPr>
          <w:p>
            <w:pPr>
              <w:spacing w:after="0"/>
              <w:rPr>
                <w:sz w:val="19"/>
                <w:szCs w:val="19"/>
                <w:color w:val="auto"/>
              </w:rPr>
            </w:pPr>
          </w:p>
        </w:tc>
        <w:tc>
          <w:tcPr>
            <w:tcW w:w="114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11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32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460" w:type="dxa"/>
            <w:vAlign w:val="bottom"/>
            <w:shd w:val="clear" w:color="auto" w:fill="CEFFE7"/>
          </w:tcPr>
          <w:p>
            <w:pPr>
              <w:spacing w:after="0"/>
              <w:rPr>
                <w:sz w:val="19"/>
                <w:szCs w:val="19"/>
                <w:color w:val="auto"/>
              </w:rPr>
            </w:pPr>
          </w:p>
        </w:tc>
        <w:tc>
          <w:tcPr>
            <w:tcW w:w="66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300" w:type="dxa"/>
            <w:vAlign w:val="bottom"/>
            <w:shd w:val="clear" w:color="auto" w:fill="CEFFE7"/>
          </w:tcPr>
          <w:p>
            <w:pPr>
              <w:jc w:val="center"/>
              <w:ind w:left="839"/>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gridSpan w:val="4"/>
          </w:tcPr>
          <w:p>
            <w:pPr>
              <w:spacing w:after="0"/>
              <w:rPr>
                <w:sz w:val="20"/>
                <w:szCs w:val="20"/>
                <w:color w:val="auto"/>
              </w:rPr>
            </w:pPr>
            <w:r>
              <w:rPr>
                <w:rFonts w:ascii="Arial" w:cs="Arial" w:eastAsia="Arial" w:hAnsi="Arial"/>
                <w:sz w:val="16"/>
                <w:szCs w:val="16"/>
                <w:color w:val="auto"/>
              </w:rPr>
              <w:t>Weather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left="839"/>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80" w:type="dxa"/>
            <w:vAlign w:val="bottom"/>
            <w:gridSpan w:val="4"/>
            <w:shd w:val="clear" w:color="auto" w:fill="CEFFE7"/>
          </w:tcPr>
          <w:p>
            <w:pPr>
              <w:spacing w:after="0" w:line="219" w:lineRule="exact"/>
              <w:rPr>
                <w:sz w:val="20"/>
                <w:szCs w:val="20"/>
                <w:color w:val="auto"/>
              </w:rPr>
            </w:pPr>
            <w:r>
              <w:rPr>
                <w:rFonts w:ascii="Arial" w:cs="Arial" w:eastAsia="Arial" w:hAnsi="Arial"/>
                <w:sz w:val="16"/>
                <w:szCs w:val="16"/>
                <w:color w:val="auto"/>
              </w:rPr>
              <w:t xml:space="preserve">Winter Storm Uri impacts </w:t>
            </w:r>
            <w:r>
              <w:rPr>
                <w:rFonts w:ascii="Arial" w:cs="Arial" w:eastAsia="Arial" w:hAnsi="Arial"/>
                <w:sz w:val="21"/>
                <w:szCs w:val="21"/>
                <w:color w:val="auto"/>
                <w:vertAlign w:val="superscript"/>
              </w:rPr>
              <w:t>(b)</w:t>
            </w:r>
          </w:p>
        </w:tc>
        <w:tc>
          <w:tcPr>
            <w:tcW w:w="340" w:type="dxa"/>
            <w:vAlign w:val="bottom"/>
            <w:shd w:val="clear" w:color="auto" w:fill="CEFFE7"/>
          </w:tcPr>
          <w:p>
            <w:pPr>
              <w:spacing w:after="0"/>
              <w:rPr>
                <w:sz w:val="19"/>
                <w:szCs w:val="19"/>
                <w:color w:val="auto"/>
              </w:rPr>
            </w:pPr>
          </w:p>
        </w:tc>
        <w:tc>
          <w:tcPr>
            <w:tcW w:w="114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11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32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460" w:type="dxa"/>
            <w:vAlign w:val="bottom"/>
            <w:shd w:val="clear" w:color="auto" w:fill="CEFFE7"/>
          </w:tcPr>
          <w:p>
            <w:pPr>
              <w:spacing w:after="0"/>
              <w:rPr>
                <w:sz w:val="19"/>
                <w:szCs w:val="19"/>
                <w:color w:val="auto"/>
              </w:rPr>
            </w:pPr>
          </w:p>
        </w:tc>
        <w:tc>
          <w:tcPr>
            <w:tcW w:w="66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300" w:type="dxa"/>
            <w:vAlign w:val="bottom"/>
            <w:shd w:val="clear" w:color="auto" w:fill="CEFFE7"/>
          </w:tcPr>
          <w:p>
            <w:pPr>
              <w:jc w:val="center"/>
              <w:ind w:left="839"/>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gridSpan w:val="4"/>
          </w:tcPr>
          <w:p>
            <w:pPr>
              <w:spacing w:after="0"/>
              <w:rPr>
                <w:sz w:val="20"/>
                <w:szCs w:val="20"/>
                <w:color w:val="auto"/>
              </w:rPr>
            </w:pPr>
            <w:r>
              <w:rPr>
                <w:rFonts w:ascii="Arial" w:cs="Arial" w:eastAsia="Arial" w:hAnsi="Arial"/>
                <w:sz w:val="16"/>
                <w:szCs w:val="16"/>
                <w:color w:val="auto"/>
              </w:rPr>
              <w:t>Power marketing and wholesale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160" w:type="dxa"/>
            <w:vAlign w:val="bottom"/>
            <w:gridSpan w:val="6"/>
            <w:shd w:val="clear" w:color="auto" w:fill="CEFFE7"/>
          </w:tcPr>
          <w:p>
            <w:pPr>
              <w:spacing w:after="0"/>
              <w:rPr>
                <w:sz w:val="20"/>
                <w:szCs w:val="20"/>
                <w:color w:val="auto"/>
              </w:rPr>
            </w:pPr>
            <w:r>
              <w:rPr>
                <w:rFonts w:ascii="Arial" w:cs="Arial" w:eastAsia="Arial" w:hAnsi="Arial"/>
                <w:sz w:val="16"/>
                <w:szCs w:val="16"/>
                <w:color w:val="auto"/>
              </w:rPr>
              <w:t>Residential customer growth and increased usage per customer</w:t>
            </w:r>
          </w:p>
        </w:tc>
        <w:tc>
          <w:tcPr>
            <w:tcW w:w="360" w:type="dxa"/>
            <w:vAlign w:val="bottom"/>
            <w:shd w:val="clear" w:color="auto" w:fill="CEFFE7"/>
          </w:tcPr>
          <w:p>
            <w:pPr>
              <w:spacing w:after="0"/>
              <w:rPr>
                <w:sz w:val="19"/>
                <w:szCs w:val="19"/>
                <w:color w:val="auto"/>
              </w:rPr>
            </w:pPr>
          </w:p>
        </w:tc>
        <w:tc>
          <w:tcPr>
            <w:tcW w:w="11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32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460" w:type="dxa"/>
            <w:vAlign w:val="bottom"/>
            <w:shd w:val="clear" w:color="auto" w:fill="CEFFE7"/>
          </w:tcPr>
          <w:p>
            <w:pPr>
              <w:spacing w:after="0"/>
              <w:rPr>
                <w:sz w:val="19"/>
                <w:szCs w:val="19"/>
                <w:color w:val="auto"/>
              </w:rPr>
            </w:pPr>
          </w:p>
        </w:tc>
        <w:tc>
          <w:tcPr>
            <w:tcW w:w="66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gridSpan w:val="4"/>
          </w:tcPr>
          <w:p>
            <w:pPr>
              <w:spacing w:after="0"/>
              <w:rPr>
                <w:sz w:val="20"/>
                <w:szCs w:val="20"/>
                <w:color w:val="auto"/>
              </w:rPr>
            </w:pPr>
            <w:r>
              <w:rPr>
                <w:rFonts w:ascii="Arial" w:cs="Arial" w:eastAsia="Arial" w:hAnsi="Arial"/>
                <w:sz w:val="16"/>
                <w:szCs w:val="16"/>
                <w:color w:val="auto"/>
              </w:rPr>
              <w:t>Rider recovery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80" w:type="dxa"/>
            <w:vAlign w:val="bottom"/>
            <w:gridSpan w:val="4"/>
            <w:shd w:val="clear" w:color="auto" w:fill="CEFFE7"/>
          </w:tcPr>
          <w:p>
            <w:pPr>
              <w:spacing w:after="0"/>
              <w:rPr>
                <w:sz w:val="20"/>
                <w:szCs w:val="20"/>
                <w:color w:val="auto"/>
              </w:rPr>
            </w:pPr>
            <w:r>
              <w:rPr>
                <w:rFonts w:ascii="Arial" w:cs="Arial" w:eastAsia="Arial" w:hAnsi="Arial"/>
                <w:sz w:val="16"/>
                <w:szCs w:val="16"/>
                <w:color w:val="auto"/>
              </w:rPr>
              <w:t>Prior year COVID-19 impacts</w:t>
            </w:r>
          </w:p>
        </w:tc>
        <w:tc>
          <w:tcPr>
            <w:tcW w:w="340" w:type="dxa"/>
            <w:vAlign w:val="bottom"/>
            <w:shd w:val="clear" w:color="auto" w:fill="CEFFE7"/>
          </w:tcPr>
          <w:p>
            <w:pPr>
              <w:spacing w:after="0"/>
              <w:rPr>
                <w:sz w:val="19"/>
                <w:szCs w:val="19"/>
                <w:color w:val="auto"/>
              </w:rPr>
            </w:pPr>
          </w:p>
        </w:tc>
        <w:tc>
          <w:tcPr>
            <w:tcW w:w="114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11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32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460" w:type="dxa"/>
            <w:vAlign w:val="bottom"/>
            <w:shd w:val="clear" w:color="auto" w:fill="CEFFE7"/>
          </w:tcPr>
          <w:p>
            <w:pPr>
              <w:spacing w:after="0"/>
              <w:rPr>
                <w:sz w:val="19"/>
                <w:szCs w:val="19"/>
                <w:color w:val="auto"/>
              </w:rPr>
            </w:pPr>
          </w:p>
        </w:tc>
        <w:tc>
          <w:tcPr>
            <w:tcW w:w="66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tcBorders>
              <w:bottom w:val="single" w:sz="8" w:color="CEFFE7"/>
            </w:tcBorders>
            <w:gridSpan w:val="4"/>
          </w:tcPr>
          <w:p>
            <w:pPr>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EFFE7"/>
            </w:tcBorders>
          </w:tcPr>
          <w:p>
            <w:pPr>
              <w:spacing w:after="0"/>
              <w:rPr>
                <w:sz w:val="18"/>
                <w:szCs w:val="18"/>
                <w:color w:val="auto"/>
              </w:rPr>
            </w:pPr>
          </w:p>
        </w:tc>
        <w:tc>
          <w:tcPr>
            <w:tcW w:w="1140" w:type="dxa"/>
            <w:vAlign w:val="bottom"/>
            <w:tcBorders>
              <w:bottom w:val="single" w:sz="8" w:color="CEFFE7"/>
            </w:tcBorders>
          </w:tcPr>
          <w:p>
            <w:pPr>
              <w:spacing w:after="0"/>
              <w:rPr>
                <w:sz w:val="18"/>
                <w:szCs w:val="18"/>
                <w:color w:val="auto"/>
              </w:rPr>
            </w:pPr>
          </w:p>
        </w:tc>
        <w:tc>
          <w:tcPr>
            <w:tcW w:w="360" w:type="dxa"/>
            <w:vAlign w:val="bottom"/>
            <w:tcBorders>
              <w:bottom w:val="single" w:sz="8" w:color="CEFFE7"/>
            </w:tcBorders>
          </w:tcPr>
          <w:p>
            <w:pPr>
              <w:spacing w:after="0"/>
              <w:rPr>
                <w:sz w:val="18"/>
                <w:szCs w:val="18"/>
                <w:color w:val="auto"/>
              </w:rPr>
            </w:pPr>
          </w:p>
        </w:tc>
        <w:tc>
          <w:tcPr>
            <w:tcW w:w="1140" w:type="dxa"/>
            <w:vAlign w:val="bottom"/>
            <w:tcBorders>
              <w:bottom w:val="single" w:sz="8" w:color="CEFFE7"/>
            </w:tcBorders>
          </w:tcPr>
          <w:p>
            <w:pPr>
              <w:spacing w:after="0"/>
              <w:rPr>
                <w:sz w:val="18"/>
                <w:szCs w:val="18"/>
                <w:color w:val="auto"/>
              </w:rPr>
            </w:pPr>
          </w:p>
        </w:tc>
        <w:tc>
          <w:tcPr>
            <w:tcW w:w="200" w:type="dxa"/>
            <w:vAlign w:val="bottom"/>
            <w:tcBorders>
              <w:bottom w:val="single" w:sz="8" w:color="CEFFE7"/>
            </w:tcBorders>
          </w:tcPr>
          <w:p>
            <w:pPr>
              <w:spacing w:after="0"/>
              <w:rPr>
                <w:sz w:val="18"/>
                <w:szCs w:val="18"/>
                <w:color w:val="auto"/>
              </w:rPr>
            </w:pPr>
          </w:p>
        </w:tc>
        <w:tc>
          <w:tcPr>
            <w:tcW w:w="1320" w:type="dxa"/>
            <w:vAlign w:val="bottom"/>
            <w:tcBorders>
              <w:bottom w:val="single" w:sz="8" w:color="CEFFE7"/>
            </w:tcBorders>
          </w:tcPr>
          <w:p>
            <w:pPr>
              <w:spacing w:after="0"/>
              <w:rPr>
                <w:sz w:val="18"/>
                <w:szCs w:val="18"/>
                <w:color w:val="auto"/>
              </w:rPr>
            </w:pPr>
          </w:p>
        </w:tc>
        <w:tc>
          <w:tcPr>
            <w:tcW w:w="340" w:type="dxa"/>
            <w:vAlign w:val="bottom"/>
            <w:tcBorders>
              <w:bottom w:val="single" w:sz="8" w:color="CEFFE7"/>
            </w:tcBorders>
          </w:tcPr>
          <w:p>
            <w:pPr>
              <w:spacing w:after="0"/>
              <w:rPr>
                <w:sz w:val="18"/>
                <w:szCs w:val="18"/>
                <w:color w:val="auto"/>
              </w:rPr>
            </w:pPr>
          </w:p>
        </w:tc>
        <w:tc>
          <w:tcPr>
            <w:tcW w:w="460" w:type="dxa"/>
            <w:vAlign w:val="bottom"/>
            <w:tcBorders>
              <w:bottom w:val="single" w:sz="8" w:color="CEFFE7"/>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839"/>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680" w:type="dxa"/>
            <w:vAlign w:val="bottom"/>
            <w:gridSpan w:val="4"/>
            <w:shd w:val="clear" w:color="auto" w:fill="CEFFE7"/>
          </w:tcPr>
          <w:p>
            <w:pPr>
              <w:spacing w:after="0"/>
              <w:rPr>
                <w:sz w:val="20"/>
                <w:szCs w:val="20"/>
                <w:color w:val="auto"/>
              </w:rPr>
            </w:pPr>
            <w:r>
              <w:rPr>
                <w:rFonts w:ascii="Arial" w:cs="Arial" w:eastAsia="Arial" w:hAnsi="Arial"/>
                <w:sz w:val="16"/>
                <w:szCs w:val="16"/>
                <w:color w:val="auto"/>
              </w:rPr>
              <w:t>Total decrease in Electric Utility margin</w:t>
            </w:r>
          </w:p>
        </w:tc>
        <w:tc>
          <w:tcPr>
            <w:tcW w:w="340" w:type="dxa"/>
            <w:vAlign w:val="bottom"/>
            <w:shd w:val="clear" w:color="auto" w:fill="CEFFE7"/>
          </w:tcPr>
          <w:p>
            <w:pPr>
              <w:spacing w:after="0"/>
              <w:rPr>
                <w:sz w:val="20"/>
                <w:szCs w:val="20"/>
                <w:color w:val="auto"/>
              </w:rPr>
            </w:pPr>
          </w:p>
        </w:tc>
        <w:tc>
          <w:tcPr>
            <w:tcW w:w="1140" w:type="dxa"/>
            <w:vAlign w:val="bottom"/>
            <w:shd w:val="clear" w:color="auto" w:fill="CEFFE7"/>
          </w:tcPr>
          <w:p>
            <w:pPr>
              <w:spacing w:after="0"/>
              <w:rPr>
                <w:sz w:val="20"/>
                <w:szCs w:val="20"/>
                <w:color w:val="auto"/>
              </w:rPr>
            </w:pPr>
          </w:p>
        </w:tc>
        <w:tc>
          <w:tcPr>
            <w:tcW w:w="360" w:type="dxa"/>
            <w:vAlign w:val="bottom"/>
            <w:shd w:val="clear" w:color="auto" w:fill="CEFFE7"/>
          </w:tcPr>
          <w:p>
            <w:pPr>
              <w:spacing w:after="0"/>
              <w:rPr>
                <w:sz w:val="20"/>
                <w:szCs w:val="20"/>
                <w:color w:val="auto"/>
              </w:rPr>
            </w:pPr>
          </w:p>
        </w:tc>
        <w:tc>
          <w:tcPr>
            <w:tcW w:w="1140" w:type="dxa"/>
            <w:vAlign w:val="bottom"/>
            <w:shd w:val="clear" w:color="auto" w:fill="CEFFE7"/>
          </w:tcPr>
          <w:p>
            <w:pPr>
              <w:spacing w:after="0"/>
              <w:rPr>
                <w:sz w:val="20"/>
                <w:szCs w:val="20"/>
                <w:color w:val="auto"/>
              </w:rPr>
            </w:pPr>
          </w:p>
        </w:tc>
        <w:tc>
          <w:tcPr>
            <w:tcW w:w="200" w:type="dxa"/>
            <w:vAlign w:val="bottom"/>
            <w:shd w:val="clear" w:color="auto" w:fill="CEFFE7"/>
          </w:tcPr>
          <w:p>
            <w:pPr>
              <w:spacing w:after="0"/>
              <w:rPr>
                <w:sz w:val="20"/>
                <w:szCs w:val="20"/>
                <w:color w:val="auto"/>
              </w:rPr>
            </w:pPr>
          </w:p>
        </w:tc>
        <w:tc>
          <w:tcPr>
            <w:tcW w:w="1320" w:type="dxa"/>
            <w:vAlign w:val="bottom"/>
            <w:shd w:val="clear" w:color="auto" w:fill="CEFFE7"/>
          </w:tcPr>
          <w:p>
            <w:pPr>
              <w:spacing w:after="0"/>
              <w:rPr>
                <w:sz w:val="20"/>
                <w:szCs w:val="20"/>
                <w:color w:val="auto"/>
              </w:rPr>
            </w:pPr>
          </w:p>
        </w:tc>
        <w:tc>
          <w:tcPr>
            <w:tcW w:w="340" w:type="dxa"/>
            <w:vAlign w:val="bottom"/>
            <w:shd w:val="clear" w:color="auto" w:fill="CEFFE7"/>
          </w:tcPr>
          <w:p>
            <w:pPr>
              <w:spacing w:after="0"/>
              <w:rPr>
                <w:sz w:val="20"/>
                <w:szCs w:val="20"/>
                <w:color w:val="auto"/>
              </w:rPr>
            </w:pPr>
          </w:p>
        </w:tc>
        <w:tc>
          <w:tcPr>
            <w:tcW w:w="1120" w:type="dxa"/>
            <w:vAlign w:val="bottom"/>
            <w:gridSpan w:val="2"/>
            <w:shd w:val="clear" w:color="auto" w:fill="CEFFE7"/>
          </w:tcPr>
          <w:p>
            <w:pPr>
              <w:jc w:val="right"/>
              <w:ind w:right="5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20"/>
                <w:szCs w:val="20"/>
                <w:color w:val="auto"/>
              </w:rPr>
            </w:pPr>
          </w:p>
        </w:tc>
        <w:tc>
          <w:tcPr>
            <w:tcW w:w="1300" w:type="dxa"/>
            <w:vAlign w:val="bottom"/>
            <w:shd w:val="clear" w:color="auto" w:fill="CEFFE7"/>
          </w:tcPr>
          <w:p>
            <w:pPr>
              <w:jc w:val="center"/>
              <w:ind w:left="839"/>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tcBorders>
          </w:tcPr>
          <w:p>
            <w:pPr>
              <w:spacing w:after="0" w:line="20" w:lineRule="exact"/>
              <w:rPr>
                <w:sz w:val="1"/>
                <w:szCs w:val="1"/>
                <w:color w:val="auto"/>
              </w:rPr>
            </w:pPr>
          </w:p>
        </w:tc>
        <w:tc>
          <w:tcPr>
            <w:tcW w:w="1960" w:type="dxa"/>
            <w:vAlign w:val="bottom"/>
            <w:tcBorders>
              <w:top w:val="single" w:sz="8" w:color="CEFFE7"/>
            </w:tcBorders>
          </w:tcPr>
          <w:p>
            <w:pPr>
              <w:spacing w:after="0" w:line="20" w:lineRule="exact"/>
              <w:rPr>
                <w:sz w:val="1"/>
                <w:szCs w:val="1"/>
                <w:color w:val="auto"/>
              </w:rPr>
            </w:pPr>
          </w:p>
        </w:tc>
        <w:tc>
          <w:tcPr>
            <w:tcW w:w="340" w:type="dxa"/>
            <w:vAlign w:val="bottom"/>
            <w:tcBorders>
              <w:top w:val="single" w:sz="8" w:color="CEFFE7"/>
            </w:tcBorders>
          </w:tcPr>
          <w:p>
            <w:pPr>
              <w:spacing w:after="0" w:line="20" w:lineRule="exact"/>
              <w:rPr>
                <w:sz w:val="1"/>
                <w:szCs w:val="1"/>
                <w:color w:val="auto"/>
              </w:rPr>
            </w:pPr>
          </w:p>
        </w:tc>
        <w:tc>
          <w:tcPr>
            <w:tcW w:w="1140" w:type="dxa"/>
            <w:vAlign w:val="bottom"/>
            <w:tcBorders>
              <w:top w:val="single" w:sz="8" w:color="CEFFE7"/>
            </w:tcBorders>
          </w:tcPr>
          <w:p>
            <w:pPr>
              <w:spacing w:after="0" w:line="20" w:lineRule="exact"/>
              <w:rPr>
                <w:sz w:val="1"/>
                <w:szCs w:val="1"/>
                <w:color w:val="auto"/>
              </w:rPr>
            </w:pPr>
          </w:p>
        </w:tc>
        <w:tc>
          <w:tcPr>
            <w:tcW w:w="360" w:type="dxa"/>
            <w:vAlign w:val="bottom"/>
            <w:tcBorders>
              <w:top w:val="single" w:sz="8" w:color="CEFFE7"/>
            </w:tcBorders>
          </w:tcPr>
          <w:p>
            <w:pPr>
              <w:spacing w:after="0" w:line="20" w:lineRule="exact"/>
              <w:rPr>
                <w:sz w:val="1"/>
                <w:szCs w:val="1"/>
                <w:color w:val="auto"/>
              </w:rPr>
            </w:pPr>
          </w:p>
        </w:tc>
        <w:tc>
          <w:tcPr>
            <w:tcW w:w="114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tcBorders>
          </w:tcPr>
          <w:p>
            <w:pPr>
              <w:spacing w:after="0" w:line="20" w:lineRule="exact"/>
              <w:rPr>
                <w:sz w:val="1"/>
                <w:szCs w:val="1"/>
                <w:color w:val="auto"/>
              </w:rPr>
            </w:pPr>
          </w:p>
        </w:tc>
        <w:tc>
          <w:tcPr>
            <w:tcW w:w="1320" w:type="dxa"/>
            <w:vAlign w:val="bottom"/>
            <w:tcBorders>
              <w:top w:val="single" w:sz="8" w:color="CEFFE7"/>
            </w:tcBorders>
          </w:tcPr>
          <w:p>
            <w:pPr>
              <w:spacing w:after="0" w:line="20" w:lineRule="exact"/>
              <w:rPr>
                <w:sz w:val="1"/>
                <w:szCs w:val="1"/>
                <w:color w:val="auto"/>
              </w:rPr>
            </w:pPr>
          </w:p>
        </w:tc>
        <w:tc>
          <w:tcPr>
            <w:tcW w:w="340" w:type="dxa"/>
            <w:vAlign w:val="bottom"/>
            <w:tcBorders>
              <w:top w:val="single" w:sz="8" w:color="CEFFE7"/>
            </w:tcBorders>
          </w:tcPr>
          <w:p>
            <w:pPr>
              <w:spacing w:after="0" w:line="20" w:lineRule="exact"/>
              <w:rPr>
                <w:sz w:val="1"/>
                <w:szCs w:val="1"/>
                <w:color w:val="auto"/>
              </w:rPr>
            </w:pPr>
          </w:p>
        </w:tc>
        <w:tc>
          <w:tcPr>
            <w:tcW w:w="460" w:type="dxa"/>
            <w:vAlign w:val="bottom"/>
            <w:tcBorders>
              <w:top w:val="single" w:sz="8" w:color="CEFFE7"/>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180" w:hanging="332"/>
        <w:spacing w:after="0" w:line="241" w:lineRule="auto"/>
        <w:tabs>
          <w:tab w:leader="none" w:pos="352"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February and April 2021, Colorado Electric delivered TCJA-related bill credits to its customers. These bill credits were offset by a reduction in income tax expense and resulted in a minimal impact to Net income.</w:t>
      </w:r>
    </w:p>
    <w:p>
      <w:pPr>
        <w:ind w:left="340" w:right="400" w:hanging="332"/>
        <w:spacing w:after="0" w:line="258" w:lineRule="auto"/>
        <w:tabs>
          <w:tab w:leader="none" w:pos="344"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a result of Winter Storm Uri, our Electric Utilities incurred $2.1 million of incremental fuel costs that are not recoverable through our fuel cost recovery mechanisms which were mostly offset by $1.7 million of increased Electric Utility margin realized under Black Hills Wyoming’s Economy Energy PSA.</w:t>
      </w:r>
    </w:p>
    <w:p>
      <w:pPr>
        <w:spacing w:after="0" w:line="21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decreased primarily due to a $3.1 million prior year expense related to the early retirement of certain non-regulated generation assets, $2.7 million of lower overburden, production taxes and other operating expenses on decreased mining volumes, $2.0 million of prior year COVID-19 expenses and $1.7 million of decreased bad debt expense associated with lower expected credit losses, partially offset by $2.7 million of increased expenses related to planned and unplanned outages at our generation facilities and $1.0 million of increased operating expenses from new wind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higher asset base driven by prior and current year capital expenditures.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2020 Compared to 2019</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Utility margin</w:t>
      </w:r>
      <w:r>
        <w:rPr>
          <w:rFonts w:ascii="Arial" w:cs="Arial" w:eastAsia="Arial" w:hAnsi="Arial"/>
          <w:sz w:val="16"/>
          <w:szCs w:val="16"/>
          <w:color w:val="auto"/>
        </w:rPr>
        <w:t xml:space="preserve"> increased in 2020 over 2019 as a result of:</w:t>
      </w:r>
    </w:p>
    <w:p>
      <w:pPr>
        <w:spacing w:after="0" w:line="140" w:lineRule="exact"/>
        <w:rPr>
          <w:sz w:val="20"/>
          <w:szCs w:val="20"/>
          <w:color w:val="auto"/>
        </w:rPr>
      </w:pPr>
    </w:p>
    <w:p>
      <w:pPr>
        <w:jc w:val="right"/>
        <w:ind w:right="72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710628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Integrated Generation </w:t>
      </w:r>
      <w:r>
        <w:rPr>
          <w:rFonts w:ascii="Arial" w:cs="Arial" w:eastAsia="Arial" w:hAnsi="Arial"/>
          <w:sz w:val="21"/>
          <w:szCs w:val="21"/>
          <w:color w:val="auto"/>
          <w:vertAlign w:val="superscript"/>
        </w:rPr>
        <w:t>(a)</w:t>
      </w:r>
    </w:p>
    <w:p>
      <w:pPr>
        <w:ind w:left="40"/>
        <w:spacing w:after="0"/>
        <w:rPr>
          <w:sz w:val="20"/>
          <w:szCs w:val="20"/>
          <w:color w:val="auto"/>
        </w:rPr>
      </w:pPr>
      <w:r>
        <w:rPr>
          <w:rFonts w:ascii="Arial" w:cs="Arial" w:eastAsia="Arial" w:hAnsi="Arial"/>
          <w:sz w:val="16"/>
          <w:szCs w:val="16"/>
          <w:color w:val="auto"/>
        </w:rPr>
        <w:t>Rider recovery</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Release of TCJA revenue reserves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-146050</wp:posOffset>
            </wp:positionV>
            <wp:extent cx="710628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Transmission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710628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customer growth</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Lower commercial and industrial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710628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xml:space="preserve">COVID-19 impacts </w:t>
      </w:r>
      <w:r>
        <w:rPr>
          <w:rFonts w:ascii="Arial" w:cs="Arial" w:eastAsia="Arial" w:hAnsi="Arial"/>
          <w:sz w:val="21"/>
          <w:szCs w:val="21"/>
          <w:color w:val="auto"/>
          <w:vertAlign w:val="superscript"/>
        </w:rPr>
        <w:t>(c)</w:t>
      </w:r>
    </w:p>
    <w:p>
      <w:pPr>
        <w:ind w:left="40"/>
        <w:spacing w:after="0"/>
        <w:rPr>
          <w:sz w:val="20"/>
          <w:szCs w:val="20"/>
          <w:color w:val="auto"/>
        </w:rPr>
      </w:pPr>
      <w:r>
        <w:rPr>
          <w:rFonts w:ascii="Arial" w:cs="Arial" w:eastAsia="Arial" w:hAnsi="Arial"/>
          <w:sz w:val="16"/>
          <w:szCs w:val="16"/>
          <w:color w:val="auto"/>
        </w:rPr>
        <w:t>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710628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increase in Electric Utility margin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center"/>
              <w:ind w:left="759"/>
              <w:spacing w:after="0"/>
              <w:rPr>
                <w:sz w:val="20"/>
                <w:szCs w:val="20"/>
                <w:color w:val="auto"/>
              </w:rPr>
            </w:pPr>
            <w:r>
              <w:rPr>
                <w:rFonts w:ascii="Arial" w:cs="Arial" w:eastAsia="Arial" w:hAnsi="Arial"/>
                <w:sz w:val="16"/>
                <w:szCs w:val="16"/>
                <w:color w:val="auto"/>
                <w:w w:val="98"/>
              </w:rPr>
              <w:t>3.3</w:t>
            </w:r>
          </w:p>
        </w:tc>
      </w:tr>
      <w:tr>
        <w:trPr>
          <w:trHeight w:val="216"/>
        </w:trPr>
        <w:tc>
          <w:tcPr>
            <w:tcW w:w="980" w:type="dxa"/>
            <w:vAlign w:val="bottom"/>
          </w:tcPr>
          <w:p>
            <w:pPr>
              <w:spacing w:after="0"/>
              <w:rPr>
                <w:sz w:val="18"/>
                <w:szCs w:val="18"/>
                <w:color w:val="auto"/>
              </w:rPr>
            </w:pPr>
          </w:p>
        </w:tc>
        <w:tc>
          <w:tcPr>
            <w:tcW w:w="1220" w:type="dxa"/>
            <w:vAlign w:val="bottom"/>
          </w:tcPr>
          <w:p>
            <w:pPr>
              <w:jc w:val="center"/>
              <w:ind w:left="759"/>
              <w:spacing w:after="0"/>
              <w:rPr>
                <w:sz w:val="20"/>
                <w:szCs w:val="20"/>
                <w:color w:val="auto"/>
              </w:rPr>
            </w:pPr>
            <w:r>
              <w:rPr>
                <w:rFonts w:ascii="Arial" w:cs="Arial" w:eastAsia="Arial" w:hAnsi="Arial"/>
                <w:sz w:val="16"/>
                <w:szCs w:val="16"/>
                <w:color w:val="auto"/>
                <w:w w:val="98"/>
              </w:rPr>
              <w:t>2.3</w:t>
            </w:r>
          </w:p>
        </w:tc>
      </w:tr>
      <w:tr>
        <w:trPr>
          <w:trHeight w:val="216"/>
        </w:trPr>
        <w:tc>
          <w:tcPr>
            <w:tcW w:w="980" w:type="dxa"/>
            <w:vAlign w:val="bottom"/>
          </w:tcPr>
          <w:p>
            <w:pPr>
              <w:spacing w:after="0"/>
              <w:rPr>
                <w:sz w:val="18"/>
                <w:szCs w:val="18"/>
                <w:color w:val="auto"/>
              </w:rPr>
            </w:pPr>
          </w:p>
        </w:tc>
        <w:tc>
          <w:tcPr>
            <w:tcW w:w="1220" w:type="dxa"/>
            <w:vAlign w:val="bottom"/>
          </w:tcPr>
          <w:p>
            <w:pPr>
              <w:jc w:val="center"/>
              <w:ind w:left="759"/>
              <w:spacing w:after="0"/>
              <w:rPr>
                <w:sz w:val="20"/>
                <w:szCs w:val="20"/>
                <w:color w:val="auto"/>
              </w:rPr>
            </w:pPr>
            <w:r>
              <w:rPr>
                <w:rFonts w:ascii="Arial" w:cs="Arial" w:eastAsia="Arial" w:hAnsi="Arial"/>
                <w:sz w:val="16"/>
                <w:szCs w:val="16"/>
                <w:color w:val="auto"/>
                <w:w w:val="98"/>
              </w:rPr>
              <w:t>2.2</w:t>
            </w:r>
          </w:p>
        </w:tc>
      </w:tr>
      <w:tr>
        <w:trPr>
          <w:trHeight w:val="216"/>
        </w:trPr>
        <w:tc>
          <w:tcPr>
            <w:tcW w:w="980" w:type="dxa"/>
            <w:vAlign w:val="bottom"/>
          </w:tcPr>
          <w:p>
            <w:pPr>
              <w:spacing w:after="0"/>
              <w:rPr>
                <w:sz w:val="18"/>
                <w:szCs w:val="18"/>
                <w:color w:val="auto"/>
              </w:rPr>
            </w:pPr>
          </w:p>
        </w:tc>
        <w:tc>
          <w:tcPr>
            <w:tcW w:w="1220" w:type="dxa"/>
            <w:vAlign w:val="bottom"/>
          </w:tcPr>
          <w:p>
            <w:pPr>
              <w:jc w:val="center"/>
              <w:ind w:left="759"/>
              <w:spacing w:after="0"/>
              <w:rPr>
                <w:sz w:val="20"/>
                <w:szCs w:val="20"/>
                <w:color w:val="auto"/>
              </w:rPr>
            </w:pPr>
            <w:r>
              <w:rPr>
                <w:rFonts w:ascii="Arial" w:cs="Arial" w:eastAsia="Arial" w:hAnsi="Arial"/>
                <w:sz w:val="16"/>
                <w:szCs w:val="16"/>
                <w:color w:val="auto"/>
                <w:w w:val="98"/>
              </w:rPr>
              <w:t>1.4</w:t>
            </w:r>
          </w:p>
        </w:tc>
      </w:tr>
      <w:tr>
        <w:trPr>
          <w:trHeight w:val="216"/>
        </w:trPr>
        <w:tc>
          <w:tcPr>
            <w:tcW w:w="980" w:type="dxa"/>
            <w:vAlign w:val="bottom"/>
          </w:tcPr>
          <w:p>
            <w:pPr>
              <w:spacing w:after="0"/>
              <w:rPr>
                <w:sz w:val="18"/>
                <w:szCs w:val="18"/>
                <w:color w:val="auto"/>
              </w:rPr>
            </w:pPr>
          </w:p>
        </w:tc>
        <w:tc>
          <w:tcPr>
            <w:tcW w:w="1220" w:type="dxa"/>
            <w:vAlign w:val="bottom"/>
          </w:tcPr>
          <w:p>
            <w:pPr>
              <w:jc w:val="center"/>
              <w:ind w:left="759"/>
              <w:spacing w:after="0"/>
              <w:rPr>
                <w:sz w:val="20"/>
                <w:szCs w:val="20"/>
                <w:color w:val="auto"/>
              </w:rPr>
            </w:pPr>
            <w:r>
              <w:rPr>
                <w:rFonts w:ascii="Arial" w:cs="Arial" w:eastAsia="Arial" w:hAnsi="Arial"/>
                <w:sz w:val="16"/>
                <w:szCs w:val="16"/>
                <w:color w:val="auto"/>
                <w:w w:val="98"/>
              </w:rPr>
              <w:t>0.9</w:t>
            </w:r>
          </w:p>
        </w:tc>
      </w:tr>
      <w:tr>
        <w:trPr>
          <w:trHeight w:val="216"/>
        </w:trPr>
        <w:tc>
          <w:tcPr>
            <w:tcW w:w="980" w:type="dxa"/>
            <w:vAlign w:val="bottom"/>
          </w:tcPr>
          <w:p>
            <w:pPr>
              <w:spacing w:after="0"/>
              <w:rPr>
                <w:sz w:val="18"/>
                <w:szCs w:val="18"/>
                <w:color w:val="auto"/>
              </w:rPr>
            </w:pPr>
          </w:p>
        </w:tc>
        <w:tc>
          <w:tcPr>
            <w:tcW w:w="1220" w:type="dxa"/>
            <w:vAlign w:val="bottom"/>
          </w:tcPr>
          <w:p>
            <w:pPr>
              <w:jc w:val="center"/>
              <w:ind w:left="759"/>
              <w:spacing w:after="0"/>
              <w:rPr>
                <w:sz w:val="20"/>
                <w:szCs w:val="20"/>
                <w:color w:val="auto"/>
              </w:rPr>
            </w:pPr>
            <w:r>
              <w:rPr>
                <w:rFonts w:ascii="Arial" w:cs="Arial" w:eastAsia="Arial" w:hAnsi="Arial"/>
                <w:sz w:val="16"/>
                <w:szCs w:val="16"/>
                <w:color w:val="auto"/>
              </w:rPr>
              <w:t>(2.7)</w:t>
            </w:r>
          </w:p>
        </w:tc>
      </w:tr>
      <w:tr>
        <w:trPr>
          <w:trHeight w:val="216"/>
        </w:trPr>
        <w:tc>
          <w:tcPr>
            <w:tcW w:w="980" w:type="dxa"/>
            <w:vAlign w:val="bottom"/>
          </w:tcPr>
          <w:p>
            <w:pPr>
              <w:spacing w:after="0"/>
              <w:rPr>
                <w:sz w:val="18"/>
                <w:szCs w:val="18"/>
                <w:color w:val="auto"/>
              </w:rPr>
            </w:pPr>
          </w:p>
        </w:tc>
        <w:tc>
          <w:tcPr>
            <w:tcW w:w="1220" w:type="dxa"/>
            <w:vAlign w:val="bottom"/>
          </w:tcPr>
          <w:p>
            <w:pPr>
              <w:jc w:val="center"/>
              <w:ind w:left="759"/>
              <w:spacing w:after="0"/>
              <w:rPr>
                <w:sz w:val="20"/>
                <w:szCs w:val="20"/>
                <w:color w:val="auto"/>
              </w:rPr>
            </w:pPr>
            <w:r>
              <w:rPr>
                <w:rFonts w:ascii="Arial" w:cs="Arial" w:eastAsia="Arial" w:hAnsi="Arial"/>
                <w:sz w:val="16"/>
                <w:szCs w:val="16"/>
                <w:color w:val="auto"/>
              </w:rPr>
              <w:t>(1.8)</w:t>
            </w:r>
          </w:p>
        </w:tc>
      </w:tr>
      <w:tr>
        <w:trPr>
          <w:trHeight w:val="216"/>
        </w:trPr>
        <w:tc>
          <w:tcPr>
            <w:tcW w:w="980" w:type="dxa"/>
            <w:vAlign w:val="bottom"/>
          </w:tcPr>
          <w:p>
            <w:pPr>
              <w:spacing w:after="0"/>
              <w:rPr>
                <w:sz w:val="18"/>
                <w:szCs w:val="18"/>
                <w:color w:val="auto"/>
              </w:rPr>
            </w:pPr>
          </w:p>
        </w:tc>
        <w:tc>
          <w:tcPr>
            <w:tcW w:w="1220" w:type="dxa"/>
            <w:vAlign w:val="bottom"/>
          </w:tcPr>
          <w:p>
            <w:pPr>
              <w:jc w:val="center"/>
              <w:ind w:left="759"/>
              <w:spacing w:after="0"/>
              <w:rPr>
                <w:sz w:val="20"/>
                <w:szCs w:val="20"/>
                <w:color w:val="auto"/>
              </w:rPr>
            </w:pPr>
            <w:r>
              <w:rPr>
                <w:rFonts w:ascii="Arial" w:cs="Arial" w:eastAsia="Arial" w:hAnsi="Arial"/>
                <w:sz w:val="16"/>
                <w:szCs w:val="16"/>
                <w:color w:val="auto"/>
              </w:rPr>
              <w:t>(0.3)</w:t>
            </w:r>
          </w:p>
        </w:tc>
      </w:tr>
      <w:tr>
        <w:trPr>
          <w:trHeight w:val="219"/>
        </w:trPr>
        <w:tc>
          <w:tcPr>
            <w:tcW w:w="9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color w:val="auto"/>
                <w:w w:val="98"/>
              </w:rPr>
              <w:t>1.6</w:t>
            </w:r>
          </w:p>
        </w:tc>
      </w:tr>
      <w:tr>
        <w:trPr>
          <w:trHeight w:val="210"/>
        </w:trPr>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color w:val="auto"/>
                <w:w w:val="98"/>
              </w:rPr>
              <w:t>6.9</w:t>
            </w:r>
          </w:p>
        </w:tc>
      </w:tr>
      <w:tr>
        <w:trPr>
          <w:trHeight w:val="23"/>
        </w:trPr>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sectPr>
          <w:pgSz w:w="11900" w:h="16838" w:orient="portrait"/>
          <w:cols w:equalWidth="0" w:num="2">
            <w:col w:w="8300" w:space="720"/>
            <w:col w:w="2220"/>
          </w:cols>
          <w:pgMar w:left="320" w:top="121" w:right="339" w:bottom="1440" w:gutter="0" w:footer="0" w:header="0"/>
          <w:type w:val="continuous"/>
        </w:sect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Primarily driven by revenue from Busch Ranch II, which was placed in service in November 2019.</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52"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In July 2020, regulatory proceedings resolved the last of the Company's open dockets seeking approval of its TCJA plans. As a result, the Company reversed certain TCJA-related liabilities, which resulted in an increase to Electric Utility margin of $2.2 million. See </w:t>
      </w:r>
      <w:hyperlink w:anchor="page74">
        <w:r>
          <w:rPr>
            <w:rFonts w:ascii="Arial" w:cs="Arial" w:eastAsia="Arial" w:hAnsi="Arial"/>
            <w:sz w:val="14"/>
            <w:szCs w:val="14"/>
            <w:u w:val="single" w:color="auto"/>
            <w:color w:val="0000FF"/>
          </w:rPr>
          <w:t>Note 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Consolidated Financial Statements in this Annual Report on Form 10-K for additional details.</w:t>
      </w:r>
    </w:p>
    <w:p>
      <w:pPr>
        <w:spacing w:after="0" w:line="1" w:lineRule="exact"/>
        <w:rPr>
          <w:rFonts w:ascii="Arial" w:cs="Arial" w:eastAsia="Arial" w:hAnsi="Arial"/>
          <w:sz w:val="14"/>
          <w:szCs w:val="14"/>
          <w:color w:val="auto"/>
        </w:rPr>
      </w:pPr>
    </w:p>
    <w:p>
      <w:pPr>
        <w:ind w:left="340" w:right="380" w:hanging="332"/>
        <w:spacing w:after="0" w:line="258" w:lineRule="auto"/>
        <w:tabs>
          <w:tab w:leader="none" w:pos="341"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impacts to Electric Utility margin from COVID-19 were primarily driven by reduced commercial volumes and waived customer late payment fees partially offset by higher residential usage.</w:t>
      </w:r>
    </w:p>
    <w:p>
      <w:pPr>
        <w:spacing w:after="0" w:line="21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a $3.1 million expense related to the early retirement of certain non-regulated assets, $2.0 million of higher maintenance expense from new wind assets and $2.0 million of unfavorable net impacts from COVID-19 which included $2.6 million of expenses related to the sequestration of essential employees and $0.8 million of additional bad debt expense which were partially offset by $1.4 million of lower travel, training and outside services related expenses. Additionally, lower employee costs of $1.9 million were partially offset by $1.0 million of higher property taxes due to a higher asset base driven by capital expenditures.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higher asset base driven by capital expenditures.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Revenue (in thousands)</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Quantities Sold (MWh)</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 the year ended December 31,</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2020</w:t>
            </w: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45"/>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244,589</w:t>
            </w:r>
          </w:p>
        </w:tc>
        <w:tc>
          <w:tcPr>
            <w:tcW w:w="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221,530</w:t>
            </w:r>
          </w:p>
        </w:tc>
        <w:tc>
          <w:tcPr>
            <w:tcW w:w="3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216,108</w:t>
            </w:r>
          </w:p>
        </w:tc>
        <w:tc>
          <w:tcPr>
            <w:tcW w:w="120" w:type="dxa"/>
            <w:vAlign w:val="bottom"/>
            <w:shd w:val="clear" w:color="auto" w:fill="CEFFE7"/>
          </w:tcPr>
          <w:p>
            <w:pPr>
              <w:spacing w:after="0"/>
              <w:rPr>
                <w:sz w:val="18"/>
                <w:szCs w:val="18"/>
                <w:color w:val="auto"/>
              </w:rPr>
            </w:pPr>
          </w:p>
        </w:tc>
        <w:tc>
          <w:tcPr>
            <w:tcW w:w="126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1,494,028</w:t>
            </w:r>
          </w:p>
        </w:tc>
        <w:tc>
          <w:tcPr>
            <w:tcW w:w="130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1,477,515</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1,440,551</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275,998</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239,166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246,704</w:t>
            </w:r>
          </w:p>
        </w:tc>
        <w:tc>
          <w:tcPr>
            <w:tcW w:w="1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2,075,690</w:t>
            </w: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1,974,043</w:t>
            </w:r>
          </w:p>
        </w:tc>
        <w:tc>
          <w:tcPr>
            <w:tcW w:w="840" w:type="dxa"/>
            <w:vAlign w:val="bottom"/>
          </w:tcPr>
          <w:p>
            <w:pPr>
              <w:jc w:val="right"/>
              <w:spacing w:after="0"/>
              <w:rPr>
                <w:sz w:val="20"/>
                <w:szCs w:val="20"/>
                <w:color w:val="auto"/>
              </w:rPr>
            </w:pPr>
            <w:r>
              <w:rPr>
                <w:rFonts w:ascii="Arial" w:cs="Arial" w:eastAsia="Arial" w:hAnsi="Arial"/>
                <w:sz w:val="16"/>
                <w:szCs w:val="16"/>
                <w:color w:val="auto"/>
              </w:rPr>
              <w:t>2,055,253</w:t>
            </w:r>
          </w:p>
        </w:tc>
        <w:tc>
          <w:tcPr>
            <w:tcW w:w="0" w:type="dxa"/>
            <w:vAlign w:val="bottom"/>
          </w:tcPr>
          <w:p>
            <w:pPr>
              <w:spacing w:after="0"/>
              <w:rPr>
                <w:sz w:val="1"/>
                <w:szCs w:val="1"/>
                <w:color w:val="auto"/>
              </w:rPr>
            </w:pPr>
          </w:p>
        </w:tc>
      </w:tr>
      <w:tr>
        <w:trPr>
          <w:trHeight w:val="219"/>
        </w:trPr>
        <w:tc>
          <w:tcPr>
            <w:tcW w:w="428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149,040</w:t>
            </w:r>
          </w:p>
        </w:tc>
        <w:tc>
          <w:tcPr>
            <w:tcW w:w="28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131,154</w:t>
            </w:r>
          </w:p>
        </w:tc>
        <w:tc>
          <w:tcPr>
            <w:tcW w:w="36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131,831</w:t>
            </w:r>
          </w:p>
        </w:tc>
        <w:tc>
          <w:tcPr>
            <w:tcW w:w="120" w:type="dxa"/>
            <w:vAlign w:val="bottom"/>
            <w:shd w:val="clear" w:color="auto" w:fill="CEFFE7"/>
          </w:tcPr>
          <w:p>
            <w:pPr>
              <w:spacing w:after="0"/>
              <w:rPr>
                <w:sz w:val="19"/>
                <w:szCs w:val="19"/>
                <w:color w:val="auto"/>
              </w:rPr>
            </w:pPr>
          </w:p>
        </w:tc>
        <w:tc>
          <w:tcPr>
            <w:tcW w:w="126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1,751,344</w:t>
            </w:r>
          </w:p>
        </w:tc>
        <w:tc>
          <w:tcPr>
            <w:tcW w:w="130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1,794,795</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1,787,412</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Municipal</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19,092</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16,860</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17,206</w:t>
            </w:r>
          </w:p>
        </w:tc>
        <w:tc>
          <w:tcPr>
            <w:tcW w:w="120" w:type="dxa"/>
            <w:vAlign w:val="bottom"/>
            <w:tcBorders>
              <w:bottom w:val="single" w:sz="8" w:color="CEFFE7"/>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162,903</w:t>
            </w:r>
          </w:p>
        </w:tc>
        <w:tc>
          <w:tcPr>
            <w:tcW w:w="1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158,222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157,298</w:t>
            </w:r>
          </w:p>
        </w:tc>
        <w:tc>
          <w:tcPr>
            <w:tcW w:w="0" w:type="dxa"/>
            <w:vAlign w:val="bottom"/>
          </w:tcPr>
          <w:p>
            <w:pPr>
              <w:spacing w:after="0"/>
              <w:rPr>
                <w:sz w:val="1"/>
                <w:szCs w:val="1"/>
                <w:color w:val="auto"/>
              </w:rPr>
            </w:pPr>
          </w:p>
        </w:tc>
      </w:tr>
      <w:tr>
        <w:trPr>
          <w:trHeight w:val="209"/>
        </w:trPr>
        <w:tc>
          <w:tcPr>
            <w:tcW w:w="4280" w:type="dxa"/>
            <w:vAlign w:val="bottom"/>
            <w:shd w:val="clear" w:color="auto" w:fill="CEFFE7"/>
          </w:tcPr>
          <w:p>
            <w:pPr>
              <w:ind w:left="220"/>
              <w:spacing w:after="0"/>
              <w:rPr>
                <w:sz w:val="20"/>
                <w:szCs w:val="20"/>
                <w:color w:val="auto"/>
              </w:rPr>
            </w:pPr>
            <w:r>
              <w:rPr>
                <w:rFonts w:ascii="Arial" w:cs="Arial" w:eastAsia="Arial" w:hAnsi="Arial"/>
                <w:sz w:val="16"/>
                <w:szCs w:val="16"/>
                <w:color w:val="auto"/>
              </w:rPr>
              <w:t>Subtotal Retail Revenue - Electric</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688,719</w:t>
            </w:r>
          </w:p>
        </w:tc>
        <w:tc>
          <w:tcPr>
            <w:tcW w:w="28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608,710</w:t>
            </w:r>
          </w:p>
        </w:tc>
        <w:tc>
          <w:tcPr>
            <w:tcW w:w="36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611,849</w:t>
            </w:r>
          </w:p>
        </w:tc>
        <w:tc>
          <w:tcPr>
            <w:tcW w:w="120" w:type="dxa"/>
            <w:vAlign w:val="bottom"/>
            <w:shd w:val="clear" w:color="auto" w:fill="CEFFE7"/>
          </w:tcPr>
          <w:p>
            <w:pPr>
              <w:spacing w:after="0"/>
              <w:rPr>
                <w:sz w:val="18"/>
                <w:szCs w:val="18"/>
                <w:color w:val="auto"/>
              </w:rPr>
            </w:pPr>
          </w:p>
        </w:tc>
        <w:tc>
          <w:tcPr>
            <w:tcW w:w="126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5,483,965</w:t>
            </w:r>
          </w:p>
        </w:tc>
        <w:tc>
          <w:tcPr>
            <w:tcW w:w="130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5,404,575</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5,440,514</w:t>
            </w:r>
          </w:p>
        </w:tc>
        <w:tc>
          <w:tcPr>
            <w:tcW w:w="0" w:type="dxa"/>
            <w:vAlign w:val="bottom"/>
          </w:tcPr>
          <w:p>
            <w:pPr>
              <w:spacing w:after="0"/>
              <w:rPr>
                <w:sz w:val="1"/>
                <w:szCs w:val="1"/>
                <w:color w:val="auto"/>
              </w:rPr>
            </w:pPr>
          </w:p>
        </w:tc>
      </w:tr>
      <w:tr>
        <w:trPr>
          <w:trHeight w:val="209"/>
        </w:trPr>
        <w:tc>
          <w:tcPr>
            <w:tcW w:w="4280" w:type="dxa"/>
            <w:vAlign w:val="bottom"/>
          </w:tcPr>
          <w:p>
            <w:pPr>
              <w:ind w:left="20"/>
              <w:spacing w:after="0"/>
              <w:rPr>
                <w:sz w:val="20"/>
                <w:szCs w:val="20"/>
                <w:color w:val="auto"/>
              </w:rPr>
            </w:pPr>
            <w:r>
              <w:rPr>
                <w:rFonts w:ascii="Arial" w:cs="Arial" w:eastAsia="Arial" w:hAnsi="Arial"/>
                <w:sz w:val="16"/>
                <w:szCs w:val="16"/>
                <w:color w:val="auto"/>
              </w:rPr>
              <w:t>Contract Wholesale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16,128</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17,847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19,078</w:t>
            </w:r>
          </w:p>
        </w:tc>
        <w:tc>
          <w:tcPr>
            <w:tcW w:w="1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574,137</w:t>
            </w: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492,637</w:t>
            </w:r>
          </w:p>
        </w:tc>
        <w:tc>
          <w:tcPr>
            <w:tcW w:w="840" w:type="dxa"/>
            <w:vAlign w:val="bottom"/>
          </w:tcPr>
          <w:p>
            <w:pPr>
              <w:jc w:val="right"/>
              <w:spacing w:after="0"/>
              <w:rPr>
                <w:sz w:val="20"/>
                <w:szCs w:val="20"/>
                <w:color w:val="auto"/>
              </w:rPr>
            </w:pPr>
            <w:r>
              <w:rPr>
                <w:rFonts w:ascii="Arial" w:cs="Arial" w:eastAsia="Arial" w:hAnsi="Arial"/>
                <w:sz w:val="16"/>
                <w:szCs w:val="16"/>
                <w:color w:val="auto"/>
              </w:rPr>
              <w:t>368,360</w:t>
            </w:r>
          </w:p>
        </w:tc>
        <w:tc>
          <w:tcPr>
            <w:tcW w:w="0" w:type="dxa"/>
            <w:vAlign w:val="bottom"/>
          </w:tcPr>
          <w:p>
            <w:pPr>
              <w:spacing w:after="0"/>
              <w:rPr>
                <w:sz w:val="1"/>
                <w:szCs w:val="1"/>
                <w:color w:val="auto"/>
              </w:rPr>
            </w:pPr>
          </w:p>
        </w:tc>
      </w:tr>
      <w:tr>
        <w:trPr>
          <w:trHeight w:val="219"/>
        </w:trPr>
        <w:tc>
          <w:tcPr>
            <w:tcW w:w="4280" w:type="dxa"/>
            <w:vAlign w:val="bottom"/>
            <w:shd w:val="clear" w:color="auto" w:fill="CEFFE7"/>
          </w:tcPr>
          <w:p>
            <w:pPr>
              <w:ind w:left="20"/>
              <w:spacing w:after="0"/>
              <w:rPr>
                <w:sz w:val="20"/>
                <w:szCs w:val="20"/>
                <w:color w:val="auto"/>
              </w:rPr>
            </w:pPr>
            <w:r>
              <w:rPr>
                <w:rFonts w:ascii="Arial" w:cs="Arial" w:eastAsia="Arial" w:hAnsi="Arial"/>
                <w:sz w:val="16"/>
                <w:szCs w:val="16"/>
                <w:color w:val="auto"/>
              </w:rPr>
              <w:t>Off-system/Power Marketing Wholesale</w:t>
            </w: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41,682</w:t>
            </w:r>
          </w:p>
        </w:tc>
        <w:tc>
          <w:tcPr>
            <w:tcW w:w="28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15,511</w:t>
            </w:r>
          </w:p>
        </w:tc>
        <w:tc>
          <w:tcPr>
            <w:tcW w:w="36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17,886</w:t>
            </w:r>
          </w:p>
        </w:tc>
        <w:tc>
          <w:tcPr>
            <w:tcW w:w="120" w:type="dxa"/>
            <w:vAlign w:val="bottom"/>
            <w:shd w:val="clear" w:color="auto" w:fill="CEFFE7"/>
          </w:tcPr>
          <w:p>
            <w:pPr>
              <w:spacing w:after="0"/>
              <w:rPr>
                <w:sz w:val="19"/>
                <w:szCs w:val="19"/>
                <w:color w:val="auto"/>
              </w:rPr>
            </w:pPr>
          </w:p>
        </w:tc>
        <w:tc>
          <w:tcPr>
            <w:tcW w:w="126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638,923</w:t>
            </w:r>
          </w:p>
        </w:tc>
        <w:tc>
          <w:tcPr>
            <w:tcW w:w="130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437,288</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507,042</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EFFE7"/>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54,218</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57,644</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49,994</w:t>
            </w:r>
          </w:p>
        </w:tc>
        <w:tc>
          <w:tcPr>
            <w:tcW w:w="120" w:type="dxa"/>
            <w:vAlign w:val="bottom"/>
            <w:tcBorders>
              <w:bottom w:val="single" w:sz="8" w:color="CEFFE7"/>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280" w:type="dxa"/>
            <w:vAlign w:val="bottom"/>
            <w:shd w:val="clear" w:color="auto" w:fill="CEFFE7"/>
          </w:tcPr>
          <w:p>
            <w:pPr>
              <w:ind w:left="220"/>
              <w:spacing w:after="0"/>
              <w:rPr>
                <w:sz w:val="20"/>
                <w:szCs w:val="20"/>
                <w:color w:val="auto"/>
              </w:rPr>
            </w:pPr>
            <w:r>
              <w:rPr>
                <w:rFonts w:ascii="Arial" w:cs="Arial" w:eastAsia="Arial" w:hAnsi="Arial"/>
                <w:sz w:val="16"/>
                <w:szCs w:val="16"/>
                <w:color w:val="auto"/>
              </w:rPr>
              <w:t>Total Regulated</w:t>
            </w: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800,747</w:t>
            </w:r>
          </w:p>
        </w:tc>
        <w:tc>
          <w:tcPr>
            <w:tcW w:w="280" w:type="dxa"/>
            <w:vAlign w:val="bottom"/>
            <w:shd w:val="clear" w:color="auto" w:fill="CEFFE7"/>
          </w:tcPr>
          <w:p>
            <w:pPr>
              <w:spacing w:after="0"/>
              <w:rPr>
                <w:sz w:val="18"/>
                <w:szCs w:val="18"/>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699,712</w:t>
            </w:r>
          </w:p>
        </w:tc>
        <w:tc>
          <w:tcPr>
            <w:tcW w:w="36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698,807</w:t>
            </w:r>
          </w:p>
        </w:tc>
        <w:tc>
          <w:tcPr>
            <w:tcW w:w="120" w:type="dxa"/>
            <w:vAlign w:val="bottom"/>
            <w:shd w:val="clear" w:color="auto" w:fill="CEFFE7"/>
          </w:tcPr>
          <w:p>
            <w:pPr>
              <w:spacing w:after="0"/>
              <w:rPr>
                <w:sz w:val="18"/>
                <w:szCs w:val="18"/>
                <w:color w:val="auto"/>
              </w:rPr>
            </w:pPr>
          </w:p>
        </w:tc>
        <w:tc>
          <w:tcPr>
            <w:tcW w:w="126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6,697,025</w:t>
            </w:r>
          </w:p>
        </w:tc>
        <w:tc>
          <w:tcPr>
            <w:tcW w:w="130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6,334,500</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6,315,916</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EFFE7"/>
            </w:tcBorders>
          </w:tcPr>
          <w:p>
            <w:pPr>
              <w:ind w:left="20"/>
              <w:spacing w:after="0" w:line="216" w:lineRule="exact"/>
              <w:rPr>
                <w:sz w:val="20"/>
                <w:szCs w:val="20"/>
                <w:color w:val="auto"/>
              </w:rPr>
            </w:pPr>
            <w:r>
              <w:rPr>
                <w:rFonts w:ascii="Arial" w:cs="Arial" w:eastAsia="Arial" w:hAnsi="Arial"/>
                <w:sz w:val="16"/>
                <w:szCs w:val="16"/>
                <w:color w:val="auto"/>
              </w:rPr>
              <w:t xml:space="preserve">Non-Regulated </w:t>
            </w:r>
            <w:r>
              <w:rPr>
                <w:rFonts w:ascii="Arial" w:cs="Arial" w:eastAsia="Arial" w:hAnsi="Arial"/>
                <w:sz w:val="21"/>
                <w:szCs w:val="21"/>
                <w:color w:val="auto"/>
                <w:vertAlign w:val="superscript"/>
              </w:rPr>
              <w:t>(b)</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41,511</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39,145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40,548</w:t>
            </w:r>
          </w:p>
        </w:tc>
        <w:tc>
          <w:tcPr>
            <w:tcW w:w="120" w:type="dxa"/>
            <w:vAlign w:val="bottom"/>
            <w:tcBorders>
              <w:bottom w:val="single" w:sz="8" w:color="CEFFE7"/>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269,558</w:t>
            </w:r>
          </w:p>
        </w:tc>
        <w:tc>
          <w:tcPr>
            <w:tcW w:w="1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258,399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238,415</w:t>
            </w:r>
          </w:p>
        </w:tc>
        <w:tc>
          <w:tcPr>
            <w:tcW w:w="0" w:type="dxa"/>
            <w:vAlign w:val="bottom"/>
          </w:tcPr>
          <w:p>
            <w:pPr>
              <w:spacing w:after="0"/>
              <w:rPr>
                <w:sz w:val="1"/>
                <w:szCs w:val="1"/>
                <w:color w:val="auto"/>
              </w:rPr>
            </w:pPr>
          </w:p>
        </w:tc>
      </w:tr>
      <w:tr>
        <w:trPr>
          <w:trHeight w:val="235"/>
        </w:trPr>
        <w:tc>
          <w:tcPr>
            <w:tcW w:w="428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6"/>
                <w:szCs w:val="16"/>
                <w:color w:val="auto"/>
              </w:rPr>
              <w:t>Total Revenue and Quantities Sold</w:t>
            </w:r>
          </w:p>
        </w:tc>
        <w:tc>
          <w:tcPr>
            <w:tcW w:w="260" w:type="dxa"/>
            <w:vAlign w:val="bottom"/>
            <w:tcBorders>
              <w:bottom w:val="single" w:sz="8" w:color="auto"/>
            </w:tcBorders>
            <w:shd w:val="clear" w:color="auto" w:fill="CEFFE7"/>
          </w:tcPr>
          <w:p>
            <w:pPr>
              <w:spacing w:after="0"/>
              <w:rPr>
                <w:sz w:val="19"/>
                <w:szCs w:val="19"/>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842,258</w:t>
            </w:r>
          </w:p>
        </w:tc>
        <w:tc>
          <w:tcPr>
            <w:tcW w:w="280" w:type="dxa"/>
            <w:vAlign w:val="bottom"/>
            <w:tcBorders>
              <w:bottom w:val="single" w:sz="8" w:color="auto"/>
            </w:tcBorders>
            <w:shd w:val="clear" w:color="auto" w:fill="CEFFE7"/>
          </w:tcPr>
          <w:p>
            <w:pPr>
              <w:spacing w:after="0"/>
              <w:rPr>
                <w:sz w:val="19"/>
                <w:szCs w:val="19"/>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738,857</w:t>
            </w:r>
          </w:p>
        </w:tc>
        <w:tc>
          <w:tcPr>
            <w:tcW w:w="360" w:type="dxa"/>
            <w:vAlign w:val="bottom"/>
            <w:tcBorders>
              <w:bottom w:val="single" w:sz="8" w:color="auto"/>
            </w:tcBorders>
            <w:shd w:val="clear" w:color="auto" w:fill="CEFFE7"/>
          </w:tcPr>
          <w:p>
            <w:pPr>
              <w:spacing w:after="0"/>
              <w:rPr>
                <w:sz w:val="19"/>
                <w:szCs w:val="19"/>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739,355</w:t>
            </w:r>
          </w:p>
        </w:tc>
        <w:tc>
          <w:tcPr>
            <w:tcW w:w="120" w:type="dxa"/>
            <w:vAlign w:val="bottom"/>
            <w:tcBorders>
              <w:bottom w:val="single" w:sz="8" w:color="CEFFE7"/>
            </w:tcBorders>
            <w:shd w:val="clear" w:color="auto" w:fill="CEFFE7"/>
          </w:tcPr>
          <w:p>
            <w:pPr>
              <w:spacing w:after="0"/>
              <w:rPr>
                <w:sz w:val="19"/>
                <w:szCs w:val="19"/>
                <w:color w:val="auto"/>
              </w:rPr>
            </w:pPr>
          </w:p>
        </w:tc>
        <w:tc>
          <w:tcPr>
            <w:tcW w:w="126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6,966,583</w:t>
            </w:r>
          </w:p>
        </w:tc>
        <w:tc>
          <w:tcPr>
            <w:tcW w:w="130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6,592,899</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6,554,331</w:t>
            </w:r>
          </w:p>
        </w:tc>
        <w:tc>
          <w:tcPr>
            <w:tcW w:w="0" w:type="dxa"/>
            <w:vAlign w:val="bottom"/>
          </w:tcPr>
          <w:p>
            <w:pPr>
              <w:spacing w:after="0"/>
              <w:rPr>
                <w:sz w:val="1"/>
                <w:szCs w:val="1"/>
                <w:color w:val="auto"/>
              </w:rPr>
            </w:pPr>
          </w:p>
        </w:tc>
      </w:tr>
      <w:tr>
        <w:trPr>
          <w:trHeight w:val="20"/>
        </w:trPr>
        <w:tc>
          <w:tcPr>
            <w:tcW w:w="4280" w:type="dxa"/>
            <w:vAlign w:val="bottom"/>
            <w:tcBorders>
              <w:top w:val="single" w:sz="8" w:color="CEFFE7"/>
              <w:bottom w:val="single" w:sz="8" w:color="CEFFE7"/>
            </w:tcBorders>
            <w:vMerge w:val="restart"/>
          </w:tcPr>
          <w:p>
            <w:pPr>
              <w:ind w:left="20"/>
              <w:spacing w:after="0" w:line="230" w:lineRule="exact"/>
              <w:rPr>
                <w:sz w:val="20"/>
                <w:szCs w:val="20"/>
                <w:color w:val="auto"/>
              </w:rPr>
            </w:pPr>
            <w:r>
              <w:rPr>
                <w:rFonts w:ascii="Arial" w:cs="Arial" w:eastAsia="Arial" w:hAnsi="Arial"/>
                <w:sz w:val="16"/>
                <w:szCs w:val="16"/>
                <w:color w:val="auto"/>
              </w:rPr>
              <w:t xml:space="preserve">Other Uses, Losses or Generation, net </w:t>
            </w:r>
            <w:r>
              <w:rPr>
                <w:rFonts w:ascii="Arial" w:cs="Arial" w:eastAsia="Arial" w:hAnsi="Arial"/>
                <w:sz w:val="21"/>
                <w:szCs w:val="21"/>
                <w:color w:val="auto"/>
                <w:vertAlign w:val="superscript"/>
              </w:rPr>
              <w:t>(c)</w:t>
            </w: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26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tcBorders>
              <w:bottom w:val="single" w:sz="8" w:color="CEFFE7"/>
            </w:tcBorders>
            <w:vMerge w:val="continue"/>
          </w:tcPr>
          <w:p>
            <w:pPr>
              <w:spacing w:after="0"/>
              <w:rPr>
                <w:sz w:val="16"/>
                <w:szCs w:val="16"/>
                <w:color w:val="auto"/>
              </w:rPr>
            </w:pPr>
          </w:p>
        </w:tc>
        <w:tc>
          <w:tcPr>
            <w:tcW w:w="260" w:type="dxa"/>
            <w:vAlign w:val="bottom"/>
            <w:tcBorders>
              <w:bottom w:val="single" w:sz="8" w:color="CEFFE7"/>
            </w:tcBorders>
          </w:tcPr>
          <w:p>
            <w:pPr>
              <w:spacing w:after="0"/>
              <w:rPr>
                <w:sz w:val="16"/>
                <w:szCs w:val="16"/>
                <w:color w:val="auto"/>
              </w:rPr>
            </w:pPr>
          </w:p>
        </w:tc>
        <w:tc>
          <w:tcPr>
            <w:tcW w:w="860" w:type="dxa"/>
            <w:vAlign w:val="bottom"/>
            <w:tcBorders>
              <w:bottom w:val="single" w:sz="8" w:color="CEFFE7"/>
            </w:tcBorders>
          </w:tcPr>
          <w:p>
            <w:pPr>
              <w:spacing w:after="0"/>
              <w:rPr>
                <w:sz w:val="16"/>
                <w:szCs w:val="16"/>
                <w:color w:val="auto"/>
              </w:rPr>
            </w:pPr>
          </w:p>
        </w:tc>
        <w:tc>
          <w:tcPr>
            <w:tcW w:w="280" w:type="dxa"/>
            <w:vAlign w:val="bottom"/>
            <w:tcBorders>
              <w:bottom w:val="single" w:sz="8" w:color="CEFFE7"/>
            </w:tcBorders>
          </w:tcPr>
          <w:p>
            <w:pPr>
              <w:spacing w:after="0"/>
              <w:rPr>
                <w:sz w:val="16"/>
                <w:szCs w:val="16"/>
                <w:color w:val="auto"/>
              </w:rPr>
            </w:pPr>
          </w:p>
        </w:tc>
        <w:tc>
          <w:tcPr>
            <w:tcW w:w="880" w:type="dxa"/>
            <w:vAlign w:val="bottom"/>
            <w:tcBorders>
              <w:bottom w:val="single" w:sz="8" w:color="CEFFE7"/>
            </w:tcBorders>
          </w:tcPr>
          <w:p>
            <w:pPr>
              <w:spacing w:after="0"/>
              <w:rPr>
                <w:sz w:val="16"/>
                <w:szCs w:val="16"/>
                <w:color w:val="auto"/>
              </w:rPr>
            </w:pPr>
          </w:p>
        </w:tc>
        <w:tc>
          <w:tcPr>
            <w:tcW w:w="360" w:type="dxa"/>
            <w:vAlign w:val="bottom"/>
            <w:tcBorders>
              <w:bottom w:val="single" w:sz="8" w:color="CEFFE7"/>
            </w:tcBorders>
          </w:tcPr>
          <w:p>
            <w:pPr>
              <w:spacing w:after="0"/>
              <w:rPr>
                <w:sz w:val="16"/>
                <w:szCs w:val="16"/>
                <w:color w:val="auto"/>
              </w:rPr>
            </w:pPr>
          </w:p>
        </w:tc>
        <w:tc>
          <w:tcPr>
            <w:tcW w:w="800" w:type="dxa"/>
            <w:vAlign w:val="bottom"/>
            <w:tcBorders>
              <w:bottom w:val="single" w:sz="8" w:color="CEFFE7"/>
            </w:tcBorders>
          </w:tcPr>
          <w:p>
            <w:pPr>
              <w:spacing w:after="0"/>
              <w:rPr>
                <w:sz w:val="16"/>
                <w:szCs w:val="16"/>
                <w:color w:val="auto"/>
              </w:rPr>
            </w:pPr>
          </w:p>
        </w:tc>
        <w:tc>
          <w:tcPr>
            <w:tcW w:w="120" w:type="dxa"/>
            <w:vAlign w:val="bottom"/>
            <w:tcBorders>
              <w:bottom w:val="single" w:sz="8" w:color="CEFFE7"/>
            </w:tcBorders>
          </w:tcPr>
          <w:p>
            <w:pPr>
              <w:spacing w:after="0"/>
              <w:rPr>
                <w:sz w:val="16"/>
                <w:szCs w:val="16"/>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475,280</w:t>
            </w:r>
          </w:p>
        </w:tc>
        <w:tc>
          <w:tcPr>
            <w:tcW w:w="1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406,422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393,573</w:t>
            </w:r>
          </w:p>
        </w:tc>
        <w:tc>
          <w:tcPr>
            <w:tcW w:w="0" w:type="dxa"/>
            <w:vAlign w:val="bottom"/>
          </w:tcPr>
          <w:p>
            <w:pPr>
              <w:spacing w:after="0"/>
              <w:rPr>
                <w:sz w:val="1"/>
                <w:szCs w:val="1"/>
                <w:color w:val="auto"/>
              </w:rPr>
            </w:pPr>
          </w:p>
        </w:tc>
      </w:tr>
      <w:tr>
        <w:trPr>
          <w:trHeight w:val="234"/>
        </w:trPr>
        <w:tc>
          <w:tcPr>
            <w:tcW w:w="428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6"/>
                <w:szCs w:val="16"/>
                <w:color w:val="auto"/>
              </w:rPr>
              <w:t>Total Energy</w:t>
            </w:r>
          </w:p>
        </w:tc>
        <w:tc>
          <w:tcPr>
            <w:tcW w:w="260" w:type="dxa"/>
            <w:vAlign w:val="bottom"/>
            <w:tcBorders>
              <w:bottom w:val="single" w:sz="8" w:color="CEFFE7"/>
            </w:tcBorders>
            <w:shd w:val="clear" w:color="auto" w:fill="CEFFE7"/>
          </w:tcPr>
          <w:p>
            <w:pPr>
              <w:spacing w:after="0"/>
              <w:rPr>
                <w:sz w:val="19"/>
                <w:szCs w:val="19"/>
                <w:color w:val="auto"/>
              </w:rPr>
            </w:pPr>
          </w:p>
        </w:tc>
        <w:tc>
          <w:tcPr>
            <w:tcW w:w="860" w:type="dxa"/>
            <w:vAlign w:val="bottom"/>
            <w:tcBorders>
              <w:bottom w:val="single" w:sz="8" w:color="CEFFE7"/>
            </w:tcBorders>
            <w:shd w:val="clear" w:color="auto" w:fill="CEFFE7"/>
          </w:tcPr>
          <w:p>
            <w:pPr>
              <w:spacing w:after="0"/>
              <w:rPr>
                <w:sz w:val="19"/>
                <w:szCs w:val="19"/>
                <w:color w:val="auto"/>
              </w:rPr>
            </w:pPr>
          </w:p>
        </w:tc>
        <w:tc>
          <w:tcPr>
            <w:tcW w:w="280" w:type="dxa"/>
            <w:vAlign w:val="bottom"/>
            <w:tcBorders>
              <w:bottom w:val="single" w:sz="8" w:color="CEFFE7"/>
            </w:tcBorders>
            <w:shd w:val="clear" w:color="auto" w:fill="CEFFE7"/>
          </w:tcPr>
          <w:p>
            <w:pPr>
              <w:spacing w:after="0"/>
              <w:rPr>
                <w:sz w:val="19"/>
                <w:szCs w:val="19"/>
                <w:color w:val="auto"/>
              </w:rPr>
            </w:pPr>
          </w:p>
        </w:tc>
        <w:tc>
          <w:tcPr>
            <w:tcW w:w="880" w:type="dxa"/>
            <w:vAlign w:val="bottom"/>
            <w:tcBorders>
              <w:bottom w:val="single" w:sz="8" w:color="CEFFE7"/>
            </w:tcBorders>
            <w:shd w:val="clear" w:color="auto" w:fill="CEFFE7"/>
          </w:tcPr>
          <w:p>
            <w:pPr>
              <w:spacing w:after="0"/>
              <w:rPr>
                <w:sz w:val="19"/>
                <w:szCs w:val="19"/>
                <w:color w:val="auto"/>
              </w:rPr>
            </w:pPr>
          </w:p>
        </w:tc>
        <w:tc>
          <w:tcPr>
            <w:tcW w:w="360" w:type="dxa"/>
            <w:vAlign w:val="bottom"/>
            <w:tcBorders>
              <w:bottom w:val="single" w:sz="8" w:color="CEFFE7"/>
            </w:tcBorders>
            <w:shd w:val="clear" w:color="auto" w:fill="CEFFE7"/>
          </w:tcPr>
          <w:p>
            <w:pPr>
              <w:spacing w:after="0"/>
              <w:rPr>
                <w:sz w:val="19"/>
                <w:szCs w:val="19"/>
                <w:color w:val="auto"/>
              </w:rPr>
            </w:pPr>
          </w:p>
        </w:tc>
        <w:tc>
          <w:tcPr>
            <w:tcW w:w="800" w:type="dxa"/>
            <w:vAlign w:val="bottom"/>
            <w:tcBorders>
              <w:bottom w:val="single" w:sz="8" w:color="CEFFE7"/>
            </w:tcBorders>
            <w:shd w:val="clear" w:color="auto" w:fill="CEFFE7"/>
          </w:tcPr>
          <w:p>
            <w:pPr>
              <w:spacing w:after="0"/>
              <w:rPr>
                <w:sz w:val="19"/>
                <w:szCs w:val="19"/>
                <w:color w:val="auto"/>
              </w:rPr>
            </w:pPr>
          </w:p>
        </w:tc>
        <w:tc>
          <w:tcPr>
            <w:tcW w:w="120" w:type="dxa"/>
            <w:vAlign w:val="bottom"/>
            <w:tcBorders>
              <w:bottom w:val="single" w:sz="8" w:color="CEFFE7"/>
            </w:tcBorders>
            <w:shd w:val="clear" w:color="auto" w:fill="CEFFE7"/>
          </w:tcPr>
          <w:p>
            <w:pPr>
              <w:spacing w:after="0"/>
              <w:rPr>
                <w:sz w:val="19"/>
                <w:szCs w:val="19"/>
                <w:color w:val="auto"/>
              </w:rPr>
            </w:pPr>
          </w:p>
        </w:tc>
        <w:tc>
          <w:tcPr>
            <w:tcW w:w="126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7,441,863</w:t>
            </w:r>
          </w:p>
        </w:tc>
        <w:tc>
          <w:tcPr>
            <w:tcW w:w="130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6,999,321</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6,947,904</w:t>
            </w:r>
          </w:p>
        </w:tc>
        <w:tc>
          <w:tcPr>
            <w:tcW w:w="0" w:type="dxa"/>
            <w:vAlign w:val="bottom"/>
          </w:tcPr>
          <w:p>
            <w:pPr>
              <w:spacing w:after="0"/>
              <w:rPr>
                <w:sz w:val="1"/>
                <w:szCs w:val="1"/>
                <w:color w:val="auto"/>
              </w:rPr>
            </w:pPr>
          </w:p>
        </w:tc>
      </w:tr>
      <w:tr>
        <w:trPr>
          <w:trHeight w:val="20"/>
        </w:trPr>
        <w:tc>
          <w:tcPr>
            <w:tcW w:w="428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tcBorders>
          </w:tcPr>
          <w:p>
            <w:pPr>
              <w:spacing w:after="0" w:line="20" w:lineRule="exact"/>
              <w:rPr>
                <w:sz w:val="1"/>
                <w:szCs w:val="1"/>
                <w:color w:val="auto"/>
              </w:rPr>
            </w:pPr>
          </w:p>
        </w:tc>
        <w:tc>
          <w:tcPr>
            <w:tcW w:w="86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tcBorders>
          </w:tcPr>
          <w:p>
            <w:pPr>
              <w:spacing w:after="0" w:line="20" w:lineRule="exact"/>
              <w:rPr>
                <w:sz w:val="1"/>
                <w:szCs w:val="1"/>
                <w:color w:val="auto"/>
              </w:rPr>
            </w:pPr>
          </w:p>
        </w:tc>
        <w:tc>
          <w:tcPr>
            <w:tcW w:w="880" w:type="dxa"/>
            <w:vAlign w:val="bottom"/>
            <w:tcBorders>
              <w:top w:val="single" w:sz="8" w:color="CEFFE7"/>
            </w:tcBorders>
          </w:tcPr>
          <w:p>
            <w:pPr>
              <w:spacing w:after="0" w:line="20" w:lineRule="exact"/>
              <w:rPr>
                <w:sz w:val="1"/>
                <w:szCs w:val="1"/>
                <w:color w:val="auto"/>
              </w:rPr>
            </w:pPr>
          </w:p>
        </w:tc>
        <w:tc>
          <w:tcPr>
            <w:tcW w:w="360" w:type="dxa"/>
            <w:vAlign w:val="bottom"/>
            <w:tcBorders>
              <w:top w:val="single" w:sz="8" w:color="CEFFE7"/>
            </w:tcBorders>
          </w:tcPr>
          <w:p>
            <w:pPr>
              <w:spacing w:after="0" w:line="20" w:lineRule="exact"/>
              <w:rPr>
                <w:sz w:val="1"/>
                <w:szCs w:val="1"/>
                <w:color w:val="auto"/>
              </w:rPr>
            </w:pPr>
          </w:p>
        </w:tc>
        <w:tc>
          <w:tcPr>
            <w:tcW w:w="8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26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Primarily related to transmission revenues from the Common Use System.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Integrated Generation and non-regulated services to our retail customers under the Service Guard Comfort Plan and Tech Services.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428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28"/>
        </w:trPr>
        <w:tc>
          <w:tcPr>
            <w:tcW w:w="1360" w:type="dxa"/>
            <w:vAlign w:val="bottom"/>
            <w:tcBorders>
              <w:top w:val="single" w:sz="8" w:color="0000FF"/>
            </w:tcBorders>
          </w:tcPr>
          <w:p>
            <w:pPr>
              <w:spacing w:after="0"/>
              <w:rPr>
                <w:sz w:val="24"/>
                <w:szCs w:val="24"/>
                <w:color w:val="auto"/>
              </w:rPr>
            </w:pPr>
          </w:p>
        </w:tc>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00" w:type="dxa"/>
            <w:vAlign w:val="bottom"/>
            <w:gridSpan w:val="6"/>
          </w:tcPr>
          <w:p>
            <w:pPr>
              <w:ind w:left="320"/>
              <w:spacing w:after="0"/>
              <w:rPr>
                <w:sz w:val="20"/>
                <w:szCs w:val="20"/>
                <w:color w:val="auto"/>
              </w:rPr>
            </w:pPr>
            <w:r>
              <w:rPr>
                <w:rFonts w:ascii="Arial" w:cs="Arial" w:eastAsia="Arial" w:hAnsi="Arial"/>
                <w:sz w:val="16"/>
                <w:szCs w:val="16"/>
                <w:color w:val="auto"/>
              </w:rPr>
              <w:t>Electric Revenue (in thousands)</w:t>
            </w:r>
          </w:p>
        </w:tc>
        <w:tc>
          <w:tcPr>
            <w:tcW w:w="2560" w:type="dxa"/>
            <w:vAlign w:val="bottom"/>
            <w:gridSpan w:val="2"/>
          </w:tcPr>
          <w:p>
            <w:pPr>
              <w:jc w:val="right"/>
              <w:spacing w:after="0"/>
              <w:rPr>
                <w:sz w:val="20"/>
                <w:szCs w:val="20"/>
                <w:color w:val="auto"/>
              </w:rPr>
            </w:pPr>
            <w:r>
              <w:rPr>
                <w:rFonts w:ascii="Arial" w:cs="Arial" w:eastAsia="Arial" w:hAnsi="Arial"/>
                <w:sz w:val="16"/>
                <w:szCs w:val="16"/>
                <w:color w:val="auto"/>
              </w:rPr>
              <w:t>Quantities Sold (MWh)</w:t>
            </w:r>
          </w:p>
        </w:tc>
        <w:tc>
          <w:tcPr>
            <w:tcW w:w="840" w:type="dxa"/>
            <w:vAlign w:val="bottom"/>
          </w:tcPr>
          <w:p>
            <w:pPr>
              <w:spacing w:after="0"/>
              <w:rPr>
                <w:sz w:val="24"/>
                <w:szCs w:val="24"/>
                <w:color w:val="auto"/>
              </w:rPr>
            </w:pPr>
          </w:p>
        </w:tc>
      </w:tr>
      <w:tr>
        <w:trPr>
          <w:trHeight w:val="209"/>
        </w:trPr>
        <w:tc>
          <w:tcPr>
            <w:tcW w:w="42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For the year ended December 31,</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EFFE7"/>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color w:val="auto"/>
              </w:rPr>
              <w:t>2020</w:t>
            </w: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2019</w:t>
            </w:r>
          </w:p>
        </w:tc>
      </w:tr>
      <w:tr>
        <w:trPr>
          <w:trHeight w:val="213"/>
        </w:trPr>
        <w:tc>
          <w:tcPr>
            <w:tcW w:w="42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Colorado Electric</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302,896</w:t>
            </w:r>
          </w:p>
        </w:tc>
        <w:tc>
          <w:tcPr>
            <w:tcW w:w="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252,094</w:t>
            </w:r>
          </w:p>
        </w:tc>
        <w:tc>
          <w:tcPr>
            <w:tcW w:w="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246,197</w:t>
            </w:r>
          </w:p>
        </w:tc>
        <w:tc>
          <w:tcPr>
            <w:tcW w:w="120" w:type="dxa"/>
            <w:vAlign w:val="bottom"/>
            <w:shd w:val="clear" w:color="auto" w:fill="CEFFE7"/>
          </w:tcPr>
          <w:p>
            <w:pPr>
              <w:spacing w:after="0"/>
              <w:rPr>
                <w:sz w:val="18"/>
                <w:szCs w:val="18"/>
                <w:color w:val="auto"/>
              </w:rPr>
            </w:pPr>
          </w:p>
        </w:tc>
        <w:tc>
          <w:tcPr>
            <w:tcW w:w="126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2,574,016</w:t>
            </w:r>
          </w:p>
        </w:tc>
        <w:tc>
          <w:tcPr>
            <w:tcW w:w="130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2,243,034</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2,046,728</w:t>
            </w: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South Dakota Electric</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319,362</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280,431</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288,120</w:t>
            </w:r>
          </w:p>
        </w:tc>
        <w:tc>
          <w:tcPr>
            <w:tcW w:w="1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2,389,407</w:t>
            </w: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2,363,776</w:t>
            </w:r>
          </w:p>
        </w:tc>
        <w:tc>
          <w:tcPr>
            <w:tcW w:w="840" w:type="dxa"/>
            <w:vAlign w:val="bottom"/>
          </w:tcPr>
          <w:p>
            <w:pPr>
              <w:jc w:val="right"/>
              <w:spacing w:after="0"/>
              <w:rPr>
                <w:sz w:val="20"/>
                <w:szCs w:val="20"/>
                <w:color w:val="auto"/>
              </w:rPr>
            </w:pPr>
            <w:r>
              <w:rPr>
                <w:rFonts w:ascii="Arial" w:cs="Arial" w:eastAsia="Arial" w:hAnsi="Arial"/>
                <w:sz w:val="16"/>
                <w:szCs w:val="16"/>
                <w:color w:val="auto"/>
              </w:rPr>
              <w:t>2,519,448</w:t>
            </w:r>
          </w:p>
        </w:tc>
      </w:tr>
      <w:tr>
        <w:trPr>
          <w:trHeight w:val="219"/>
        </w:trPr>
        <w:tc>
          <w:tcPr>
            <w:tcW w:w="42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Wyoming Electric</w:t>
            </w: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180,413</w:t>
            </w:r>
          </w:p>
        </w:tc>
        <w:tc>
          <w:tcPr>
            <w:tcW w:w="28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169,179</w:t>
            </w:r>
          </w:p>
        </w:tc>
        <w:tc>
          <w:tcPr>
            <w:tcW w:w="28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167,345</w:t>
            </w:r>
          </w:p>
        </w:tc>
        <w:tc>
          <w:tcPr>
            <w:tcW w:w="120" w:type="dxa"/>
            <w:vAlign w:val="bottom"/>
            <w:shd w:val="clear" w:color="auto" w:fill="CEFFE7"/>
          </w:tcPr>
          <w:p>
            <w:pPr>
              <w:spacing w:after="0"/>
              <w:rPr>
                <w:sz w:val="19"/>
                <w:szCs w:val="19"/>
                <w:color w:val="auto"/>
              </w:rPr>
            </w:pPr>
          </w:p>
        </w:tc>
        <w:tc>
          <w:tcPr>
            <w:tcW w:w="126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1,733,602</w:t>
            </w:r>
          </w:p>
        </w:tc>
        <w:tc>
          <w:tcPr>
            <w:tcW w:w="130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1,727,690</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1,749,740</w:t>
            </w:r>
          </w:p>
        </w:tc>
      </w:tr>
      <w:tr>
        <w:trPr>
          <w:trHeight w:val="213"/>
        </w:trPr>
        <w:tc>
          <w:tcPr>
            <w:tcW w:w="428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Integrated Generation</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39,587</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37,153</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37,693</w:t>
            </w:r>
          </w:p>
        </w:tc>
        <w:tc>
          <w:tcPr>
            <w:tcW w:w="120" w:type="dxa"/>
            <w:vAlign w:val="bottom"/>
            <w:tcBorders>
              <w:bottom w:val="single" w:sz="8" w:color="CEFFE7"/>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269,558</w:t>
            </w:r>
          </w:p>
        </w:tc>
        <w:tc>
          <w:tcPr>
            <w:tcW w:w="1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258,399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238,415</w:t>
            </w:r>
          </w:p>
        </w:tc>
      </w:tr>
      <w:tr>
        <w:trPr>
          <w:trHeight w:val="238"/>
        </w:trPr>
        <w:tc>
          <w:tcPr>
            <w:tcW w:w="4280" w:type="dxa"/>
            <w:vAlign w:val="bottom"/>
            <w:tcBorders>
              <w:bottom w:val="single" w:sz="8" w:color="CEFFE7"/>
            </w:tcBorders>
            <w:gridSpan w:val="2"/>
            <w:shd w:val="clear" w:color="auto" w:fill="CEFFE7"/>
          </w:tcPr>
          <w:p>
            <w:pPr>
              <w:ind w:left="220"/>
              <w:spacing w:after="0"/>
              <w:rPr>
                <w:sz w:val="20"/>
                <w:szCs w:val="20"/>
                <w:color w:val="auto"/>
              </w:rPr>
            </w:pPr>
            <w:r>
              <w:rPr>
                <w:rFonts w:ascii="Arial" w:cs="Arial" w:eastAsia="Arial" w:hAnsi="Arial"/>
                <w:sz w:val="16"/>
                <w:szCs w:val="16"/>
                <w:color w:val="auto"/>
              </w:rPr>
              <w:t>Total Revenue and Quantities Sold</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842,258</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738,857</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739,355</w:t>
            </w:r>
          </w:p>
        </w:tc>
        <w:tc>
          <w:tcPr>
            <w:tcW w:w="120" w:type="dxa"/>
            <w:vAlign w:val="bottom"/>
            <w:tcBorders>
              <w:bottom w:val="single" w:sz="8" w:color="CEFFE7"/>
            </w:tcBorders>
            <w:shd w:val="clear" w:color="auto" w:fill="CEFFE7"/>
          </w:tcPr>
          <w:p>
            <w:pPr>
              <w:spacing w:after="0"/>
              <w:rPr>
                <w:sz w:val="20"/>
                <w:szCs w:val="20"/>
                <w:color w:val="auto"/>
              </w:rPr>
            </w:pPr>
          </w:p>
        </w:tc>
        <w:tc>
          <w:tcPr>
            <w:tcW w:w="126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6,966,583</w:t>
            </w:r>
          </w:p>
        </w:tc>
        <w:tc>
          <w:tcPr>
            <w:tcW w:w="130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6,592,899</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6,554,331</w:t>
            </w: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29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26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580" w:type="dxa"/>
            <w:vAlign w:val="bottom"/>
            <w:gridSpan w:val="2"/>
          </w:tcPr>
          <w:p>
            <w:pPr>
              <w:jc w:val="center"/>
              <w:ind w:left="919"/>
              <w:spacing w:after="0"/>
              <w:rPr>
                <w:sz w:val="20"/>
                <w:szCs w:val="20"/>
                <w:color w:val="auto"/>
              </w:rPr>
            </w:pPr>
            <w:r>
              <w:rPr>
                <w:rFonts w:ascii="Arial" w:cs="Arial" w:eastAsia="Arial" w:hAnsi="Arial"/>
                <w:sz w:val="16"/>
                <w:szCs w:val="16"/>
                <w:color w:val="auto"/>
              </w:rPr>
              <w:t>For the year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Quantities Generated and Purchased by Fuel Type (MWh)</w:t>
            </w:r>
          </w:p>
        </w:tc>
        <w:tc>
          <w:tcPr>
            <w:tcW w:w="358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6"/>
                <w:szCs w:val="16"/>
                <w:color w:val="auto"/>
              </w:rPr>
              <w:t>2021</w:t>
            </w:r>
          </w:p>
        </w:tc>
        <w:tc>
          <w:tcPr>
            <w:tcW w:w="1800" w:type="dxa"/>
            <w:vAlign w:val="bottom"/>
            <w:tcBorders>
              <w:bottom w:val="single" w:sz="8" w:color="auto"/>
            </w:tcBorders>
          </w:tcPr>
          <w:p>
            <w:pPr>
              <w:jc w:val="center"/>
              <w:ind w:right="679"/>
              <w:spacing w:after="0"/>
              <w:rPr>
                <w:sz w:val="20"/>
                <w:szCs w:val="20"/>
                <w:color w:val="auto"/>
              </w:rPr>
            </w:pPr>
            <w:r>
              <w:rPr>
                <w:rFonts w:ascii="Arial" w:cs="Arial" w:eastAsia="Arial" w:hAnsi="Arial"/>
                <w:sz w:val="16"/>
                <w:szCs w:val="16"/>
                <w:color w:val="auto"/>
              </w:rPr>
              <w:t>2020</w:t>
            </w: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6"/>
                <w:szCs w:val="16"/>
                <w:color w:val="auto"/>
              </w:rPr>
              <w:t>Generated:</w:t>
            </w:r>
          </w:p>
        </w:tc>
        <w:tc>
          <w:tcPr>
            <w:tcW w:w="18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EFFE7"/>
          </w:tcPr>
          <w:p>
            <w:pPr>
              <w:ind w:left="240"/>
              <w:spacing w:after="0"/>
              <w:rPr>
                <w:sz w:val="20"/>
                <w:szCs w:val="20"/>
                <w:color w:val="auto"/>
              </w:rPr>
            </w:pPr>
            <w:r>
              <w:rPr>
                <w:rFonts w:ascii="Arial" w:cs="Arial" w:eastAsia="Arial" w:hAnsi="Arial"/>
                <w:sz w:val="16"/>
                <w:szCs w:val="16"/>
                <w:color w:val="auto"/>
              </w:rPr>
              <w:t>Coal</w:t>
            </w:r>
          </w:p>
        </w:tc>
        <w:tc>
          <w:tcPr>
            <w:tcW w:w="358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2,546,926</w:t>
            </w:r>
          </w:p>
        </w:tc>
        <w:tc>
          <w:tcPr>
            <w:tcW w:w="1800" w:type="dxa"/>
            <w:vAlign w:val="bottom"/>
            <w:shd w:val="clear" w:color="auto" w:fill="CEFFE7"/>
          </w:tcPr>
          <w:p>
            <w:pPr>
              <w:jc w:val="right"/>
              <w:ind w:right="519"/>
              <w:spacing w:after="0"/>
              <w:rPr>
                <w:sz w:val="20"/>
                <w:szCs w:val="20"/>
                <w:color w:val="auto"/>
              </w:rPr>
            </w:pPr>
            <w:r>
              <w:rPr>
                <w:rFonts w:ascii="Arial" w:cs="Arial" w:eastAsia="Arial" w:hAnsi="Arial"/>
                <w:sz w:val="16"/>
                <w:szCs w:val="16"/>
                <w:color w:val="auto"/>
              </w:rPr>
              <w:t>2,817,846</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2,783,147</w:t>
            </w:r>
          </w:p>
        </w:tc>
        <w:tc>
          <w:tcPr>
            <w:tcW w:w="0" w:type="dxa"/>
            <w:vAlign w:val="bottom"/>
          </w:tcPr>
          <w:p>
            <w:pPr>
              <w:spacing w:after="0"/>
              <w:rPr>
                <w:sz w:val="1"/>
                <w:szCs w:val="1"/>
                <w:color w:val="auto"/>
              </w:rPr>
            </w:pPr>
          </w:p>
        </w:tc>
      </w:tr>
      <w:tr>
        <w:trPr>
          <w:trHeight w:val="213"/>
        </w:trPr>
        <w:tc>
          <w:tcPr>
            <w:tcW w:w="4860" w:type="dxa"/>
            <w:vAlign w:val="bottom"/>
          </w:tcPr>
          <w:p>
            <w:pPr>
              <w:ind w:left="240"/>
              <w:spacing w:after="0"/>
              <w:rPr>
                <w:sz w:val="20"/>
                <w:szCs w:val="20"/>
                <w:color w:val="auto"/>
              </w:rPr>
            </w:pPr>
            <w:r>
              <w:rPr>
                <w:rFonts w:ascii="Arial" w:cs="Arial" w:eastAsia="Arial" w:hAnsi="Arial"/>
                <w:sz w:val="16"/>
                <w:szCs w:val="16"/>
                <w:color w:val="auto"/>
              </w:rPr>
              <w:t>Natural Gas and Oil</w:t>
            </w:r>
          </w:p>
        </w:tc>
        <w:tc>
          <w:tcPr>
            <w:tcW w:w="3580" w:type="dxa"/>
            <w:vAlign w:val="bottom"/>
            <w:gridSpan w:val="2"/>
          </w:tcPr>
          <w:p>
            <w:pPr>
              <w:jc w:val="right"/>
              <w:ind w:right="239"/>
              <w:spacing w:after="0"/>
              <w:rPr>
                <w:sz w:val="20"/>
                <w:szCs w:val="20"/>
                <w:color w:val="auto"/>
              </w:rPr>
            </w:pPr>
            <w:r>
              <w:rPr>
                <w:rFonts w:ascii="Arial" w:cs="Arial" w:eastAsia="Arial" w:hAnsi="Arial"/>
                <w:sz w:val="16"/>
                <w:szCs w:val="16"/>
                <w:color w:val="auto"/>
              </w:rPr>
              <w:t>1,817,133</w:t>
            </w:r>
          </w:p>
        </w:tc>
        <w:tc>
          <w:tcPr>
            <w:tcW w:w="1800" w:type="dxa"/>
            <w:vAlign w:val="bottom"/>
          </w:tcPr>
          <w:p>
            <w:pPr>
              <w:jc w:val="right"/>
              <w:ind w:right="519"/>
              <w:spacing w:after="0"/>
              <w:rPr>
                <w:sz w:val="20"/>
                <w:szCs w:val="20"/>
                <w:color w:val="auto"/>
              </w:rPr>
            </w:pPr>
            <w:r>
              <w:rPr>
                <w:rFonts w:ascii="Arial" w:cs="Arial" w:eastAsia="Arial" w:hAnsi="Arial"/>
                <w:sz w:val="16"/>
                <w:szCs w:val="16"/>
                <w:color w:val="auto"/>
              </w:rPr>
              <w:t>1,753,568</w:t>
            </w:r>
          </w:p>
        </w:tc>
        <w:tc>
          <w:tcPr>
            <w:tcW w:w="1000" w:type="dxa"/>
            <w:vAlign w:val="bottom"/>
          </w:tcPr>
          <w:p>
            <w:pPr>
              <w:jc w:val="right"/>
              <w:spacing w:after="0"/>
              <w:rPr>
                <w:sz w:val="20"/>
                <w:szCs w:val="20"/>
                <w:color w:val="auto"/>
              </w:rPr>
            </w:pPr>
            <w:r>
              <w:rPr>
                <w:rFonts w:ascii="Arial" w:cs="Arial" w:eastAsia="Arial" w:hAnsi="Arial"/>
                <w:sz w:val="16"/>
                <w:szCs w:val="16"/>
                <w:color w:val="auto"/>
              </w:rPr>
              <w:t>1,535,999</w:t>
            </w:r>
          </w:p>
        </w:tc>
        <w:tc>
          <w:tcPr>
            <w:tcW w:w="0" w:type="dxa"/>
            <w:vAlign w:val="bottom"/>
          </w:tcPr>
          <w:p>
            <w:pPr>
              <w:spacing w:after="0"/>
              <w:rPr>
                <w:sz w:val="1"/>
                <w:szCs w:val="1"/>
                <w:color w:val="auto"/>
              </w:rPr>
            </w:pPr>
          </w:p>
        </w:tc>
      </w:tr>
      <w:tr>
        <w:trPr>
          <w:trHeight w:val="216"/>
        </w:trPr>
        <w:tc>
          <w:tcPr>
            <w:tcW w:w="4860" w:type="dxa"/>
            <w:vAlign w:val="bottom"/>
            <w:shd w:val="clear" w:color="auto" w:fill="CEFFE7"/>
          </w:tcPr>
          <w:p>
            <w:pPr>
              <w:ind w:left="240"/>
              <w:spacing w:after="0"/>
              <w:rPr>
                <w:sz w:val="20"/>
                <w:szCs w:val="20"/>
                <w:color w:val="auto"/>
              </w:rPr>
            </w:pPr>
            <w:r>
              <w:rPr>
                <w:rFonts w:ascii="Arial" w:cs="Arial" w:eastAsia="Arial" w:hAnsi="Arial"/>
                <w:sz w:val="16"/>
                <w:szCs w:val="16"/>
                <w:color w:val="auto"/>
              </w:rPr>
              <w:t>Wind</w:t>
            </w:r>
          </w:p>
        </w:tc>
        <w:tc>
          <w:tcPr>
            <w:tcW w:w="1800" w:type="dxa"/>
            <w:vAlign w:val="bottom"/>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842,616</w:t>
            </w:r>
          </w:p>
        </w:tc>
        <w:tc>
          <w:tcPr>
            <w:tcW w:w="1800" w:type="dxa"/>
            <w:vAlign w:val="bottom"/>
            <w:tcBorders>
              <w:bottom w:val="single" w:sz="8" w:color="auto"/>
            </w:tcBorders>
            <w:shd w:val="clear" w:color="auto" w:fill="CEFFE7"/>
          </w:tcPr>
          <w:p>
            <w:pPr>
              <w:jc w:val="right"/>
              <w:ind w:right="519"/>
              <w:spacing w:after="0"/>
              <w:rPr>
                <w:sz w:val="20"/>
                <w:szCs w:val="20"/>
                <w:color w:val="auto"/>
              </w:rPr>
            </w:pPr>
            <w:r>
              <w:rPr>
                <w:rFonts w:ascii="Arial" w:cs="Arial" w:eastAsia="Arial" w:hAnsi="Arial"/>
                <w:sz w:val="16"/>
                <w:szCs w:val="16"/>
                <w:color w:val="auto"/>
              </w:rPr>
              <w:t>614,236</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406,295</w:t>
            </w:r>
          </w:p>
        </w:tc>
        <w:tc>
          <w:tcPr>
            <w:tcW w:w="0" w:type="dxa"/>
            <w:vAlign w:val="bottom"/>
          </w:tcPr>
          <w:p>
            <w:pPr>
              <w:spacing w:after="0"/>
              <w:rPr>
                <w:sz w:val="1"/>
                <w:szCs w:val="1"/>
                <w:color w:val="auto"/>
              </w:rPr>
            </w:pPr>
          </w:p>
        </w:tc>
      </w:tr>
      <w:tr>
        <w:trPr>
          <w:trHeight w:val="209"/>
        </w:trPr>
        <w:tc>
          <w:tcPr>
            <w:tcW w:w="4860" w:type="dxa"/>
            <w:vAlign w:val="bottom"/>
          </w:tcPr>
          <w:p>
            <w:pPr>
              <w:ind w:left="440"/>
              <w:spacing w:after="0"/>
              <w:rPr>
                <w:sz w:val="20"/>
                <w:szCs w:val="20"/>
                <w:color w:val="auto"/>
              </w:rPr>
            </w:pPr>
            <w:r>
              <w:rPr>
                <w:rFonts w:ascii="Arial" w:cs="Arial" w:eastAsia="Arial" w:hAnsi="Arial"/>
                <w:sz w:val="16"/>
                <w:szCs w:val="16"/>
                <w:color w:val="auto"/>
              </w:rPr>
              <w:t>Total Generated</w:t>
            </w:r>
          </w:p>
        </w:tc>
        <w:tc>
          <w:tcPr>
            <w:tcW w:w="3580" w:type="dxa"/>
            <w:vAlign w:val="bottom"/>
            <w:gridSpan w:val="2"/>
          </w:tcPr>
          <w:p>
            <w:pPr>
              <w:jc w:val="right"/>
              <w:ind w:right="239"/>
              <w:spacing w:after="0"/>
              <w:rPr>
                <w:sz w:val="20"/>
                <w:szCs w:val="20"/>
                <w:color w:val="auto"/>
              </w:rPr>
            </w:pPr>
            <w:r>
              <w:rPr>
                <w:rFonts w:ascii="Arial" w:cs="Arial" w:eastAsia="Arial" w:hAnsi="Arial"/>
                <w:sz w:val="16"/>
                <w:szCs w:val="16"/>
                <w:color w:val="auto"/>
              </w:rPr>
              <w:t>5,206,675</w:t>
            </w:r>
          </w:p>
        </w:tc>
        <w:tc>
          <w:tcPr>
            <w:tcW w:w="1800" w:type="dxa"/>
            <w:vAlign w:val="bottom"/>
          </w:tcPr>
          <w:p>
            <w:pPr>
              <w:jc w:val="right"/>
              <w:ind w:right="519"/>
              <w:spacing w:after="0"/>
              <w:rPr>
                <w:sz w:val="20"/>
                <w:szCs w:val="20"/>
                <w:color w:val="auto"/>
              </w:rPr>
            </w:pPr>
            <w:r>
              <w:rPr>
                <w:rFonts w:ascii="Arial" w:cs="Arial" w:eastAsia="Arial" w:hAnsi="Arial"/>
                <w:sz w:val="16"/>
                <w:szCs w:val="16"/>
                <w:color w:val="auto"/>
              </w:rPr>
              <w:t>5,185,650</w:t>
            </w:r>
          </w:p>
        </w:tc>
        <w:tc>
          <w:tcPr>
            <w:tcW w:w="1000" w:type="dxa"/>
            <w:vAlign w:val="bottom"/>
          </w:tcPr>
          <w:p>
            <w:pPr>
              <w:jc w:val="right"/>
              <w:spacing w:after="0"/>
              <w:rPr>
                <w:sz w:val="20"/>
                <w:szCs w:val="20"/>
                <w:color w:val="auto"/>
              </w:rPr>
            </w:pPr>
            <w:r>
              <w:rPr>
                <w:rFonts w:ascii="Arial" w:cs="Arial" w:eastAsia="Arial" w:hAnsi="Arial"/>
                <w:sz w:val="16"/>
                <w:szCs w:val="16"/>
                <w:color w:val="auto"/>
              </w:rPr>
              <w:t>4,725,441</w:t>
            </w:r>
          </w:p>
        </w:tc>
        <w:tc>
          <w:tcPr>
            <w:tcW w:w="0" w:type="dxa"/>
            <w:vAlign w:val="bottom"/>
          </w:tcPr>
          <w:p>
            <w:pPr>
              <w:spacing w:after="0"/>
              <w:rPr>
                <w:sz w:val="1"/>
                <w:szCs w:val="1"/>
                <w:color w:val="auto"/>
              </w:rPr>
            </w:pPr>
          </w:p>
        </w:tc>
      </w:tr>
      <w:tr>
        <w:trPr>
          <w:trHeight w:val="199"/>
        </w:trPr>
        <w:tc>
          <w:tcPr>
            <w:tcW w:w="486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Purchased:</w:t>
            </w:r>
          </w:p>
        </w:tc>
        <w:tc>
          <w:tcPr>
            <w:tcW w:w="1800" w:type="dxa"/>
            <w:vAlign w:val="bottom"/>
            <w:tcBorders>
              <w:top w:val="single" w:sz="8" w:color="CEFFE7"/>
            </w:tcBorders>
            <w:shd w:val="clear" w:color="auto" w:fill="CEFFE7"/>
          </w:tcPr>
          <w:p>
            <w:pPr>
              <w:spacing w:after="0"/>
              <w:rPr>
                <w:sz w:val="17"/>
                <w:szCs w:val="17"/>
                <w:color w:val="auto"/>
              </w:rPr>
            </w:pPr>
          </w:p>
        </w:tc>
        <w:tc>
          <w:tcPr>
            <w:tcW w:w="1780" w:type="dxa"/>
            <w:vAlign w:val="bottom"/>
            <w:tcBorders>
              <w:top w:val="single" w:sz="8" w:color="auto"/>
            </w:tcBorders>
            <w:shd w:val="clear" w:color="auto" w:fill="CEFFE7"/>
          </w:tcPr>
          <w:p>
            <w:pPr>
              <w:spacing w:after="0"/>
              <w:rPr>
                <w:sz w:val="17"/>
                <w:szCs w:val="17"/>
                <w:color w:val="auto"/>
              </w:rPr>
            </w:pPr>
          </w:p>
        </w:tc>
        <w:tc>
          <w:tcPr>
            <w:tcW w:w="1800" w:type="dxa"/>
            <w:vAlign w:val="bottom"/>
            <w:tcBorders>
              <w:top w:val="single" w:sz="8" w:color="auto"/>
            </w:tcBorders>
            <w:shd w:val="clear" w:color="auto" w:fill="CEFFE7"/>
          </w:tcPr>
          <w:p>
            <w:pPr>
              <w:spacing w:after="0"/>
              <w:rPr>
                <w:sz w:val="17"/>
                <w:szCs w:val="17"/>
                <w:color w:val="auto"/>
              </w:rPr>
            </w:pPr>
          </w:p>
        </w:tc>
        <w:tc>
          <w:tcPr>
            <w:tcW w:w="1000" w:type="dxa"/>
            <w:vAlign w:val="bottom"/>
            <w:tcBorders>
              <w:top w:val="single" w:sz="8" w:color="auto"/>
            </w:tcBorders>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40"/>
              <w:spacing w:after="0"/>
              <w:rPr>
                <w:sz w:val="20"/>
                <w:szCs w:val="20"/>
                <w:color w:val="auto"/>
              </w:rPr>
            </w:pPr>
            <w:r>
              <w:rPr>
                <w:rFonts w:ascii="Arial" w:cs="Arial" w:eastAsia="Arial" w:hAnsi="Arial"/>
                <w:sz w:val="16"/>
                <w:szCs w:val="16"/>
                <w:color w:val="auto"/>
              </w:rPr>
              <w:t>Coal, Natural Gas, Oil and Other Market Purchases</w:t>
            </w:r>
          </w:p>
        </w:tc>
        <w:tc>
          <w:tcPr>
            <w:tcW w:w="3580" w:type="dxa"/>
            <w:vAlign w:val="bottom"/>
            <w:gridSpan w:val="2"/>
          </w:tcPr>
          <w:p>
            <w:pPr>
              <w:jc w:val="right"/>
              <w:ind w:right="239"/>
              <w:spacing w:after="0"/>
              <w:rPr>
                <w:sz w:val="20"/>
                <w:szCs w:val="20"/>
                <w:color w:val="auto"/>
              </w:rPr>
            </w:pPr>
            <w:r>
              <w:rPr>
                <w:rFonts w:ascii="Arial" w:cs="Arial" w:eastAsia="Arial" w:hAnsi="Arial"/>
                <w:sz w:val="16"/>
                <w:szCs w:val="16"/>
                <w:color w:val="auto"/>
              </w:rPr>
              <w:t>1,866,382</w:t>
            </w:r>
          </w:p>
        </w:tc>
        <w:tc>
          <w:tcPr>
            <w:tcW w:w="1800" w:type="dxa"/>
            <w:vAlign w:val="bottom"/>
          </w:tcPr>
          <w:p>
            <w:pPr>
              <w:jc w:val="right"/>
              <w:ind w:right="519"/>
              <w:spacing w:after="0"/>
              <w:rPr>
                <w:sz w:val="20"/>
                <w:szCs w:val="20"/>
                <w:color w:val="auto"/>
              </w:rPr>
            </w:pPr>
            <w:r>
              <w:rPr>
                <w:rFonts w:ascii="Arial" w:cs="Arial" w:eastAsia="Arial" w:hAnsi="Arial"/>
                <w:sz w:val="16"/>
                <w:szCs w:val="16"/>
                <w:color w:val="auto"/>
              </w:rPr>
              <w:t>1,478,536</w:t>
            </w:r>
          </w:p>
        </w:tc>
        <w:tc>
          <w:tcPr>
            <w:tcW w:w="1000" w:type="dxa"/>
            <w:vAlign w:val="bottom"/>
          </w:tcPr>
          <w:p>
            <w:pPr>
              <w:jc w:val="right"/>
              <w:spacing w:after="0"/>
              <w:rPr>
                <w:sz w:val="20"/>
                <w:szCs w:val="20"/>
                <w:color w:val="auto"/>
              </w:rPr>
            </w:pPr>
            <w:r>
              <w:rPr>
                <w:rFonts w:ascii="Arial" w:cs="Arial" w:eastAsia="Arial" w:hAnsi="Arial"/>
                <w:sz w:val="16"/>
                <w:szCs w:val="16"/>
                <w:color w:val="auto"/>
              </w:rPr>
              <w:t>2,019,359</w:t>
            </w:r>
          </w:p>
        </w:tc>
        <w:tc>
          <w:tcPr>
            <w:tcW w:w="0" w:type="dxa"/>
            <w:vAlign w:val="bottom"/>
          </w:tcPr>
          <w:p>
            <w:pPr>
              <w:spacing w:after="0"/>
              <w:rPr>
                <w:sz w:val="1"/>
                <w:szCs w:val="1"/>
                <w:color w:val="auto"/>
              </w:rPr>
            </w:pPr>
          </w:p>
        </w:tc>
      </w:tr>
      <w:tr>
        <w:trPr>
          <w:trHeight w:val="216"/>
        </w:trPr>
        <w:tc>
          <w:tcPr>
            <w:tcW w:w="4860" w:type="dxa"/>
            <w:vAlign w:val="bottom"/>
            <w:shd w:val="clear" w:color="auto" w:fill="CEFFE7"/>
          </w:tcPr>
          <w:p>
            <w:pPr>
              <w:ind w:left="240"/>
              <w:spacing w:after="0"/>
              <w:rPr>
                <w:sz w:val="20"/>
                <w:szCs w:val="20"/>
                <w:color w:val="auto"/>
              </w:rPr>
            </w:pPr>
            <w:r>
              <w:rPr>
                <w:rFonts w:ascii="Arial" w:cs="Arial" w:eastAsia="Arial" w:hAnsi="Arial"/>
                <w:sz w:val="16"/>
                <w:szCs w:val="16"/>
                <w:color w:val="auto"/>
              </w:rPr>
              <w:t>Wind</w:t>
            </w:r>
          </w:p>
        </w:tc>
        <w:tc>
          <w:tcPr>
            <w:tcW w:w="1800" w:type="dxa"/>
            <w:vAlign w:val="bottom"/>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368,806</w:t>
            </w:r>
          </w:p>
        </w:tc>
        <w:tc>
          <w:tcPr>
            <w:tcW w:w="1800" w:type="dxa"/>
            <w:vAlign w:val="bottom"/>
            <w:tcBorders>
              <w:bottom w:val="single" w:sz="8" w:color="auto"/>
            </w:tcBorders>
            <w:shd w:val="clear" w:color="auto" w:fill="CEFFE7"/>
          </w:tcPr>
          <w:p>
            <w:pPr>
              <w:jc w:val="right"/>
              <w:ind w:right="519"/>
              <w:spacing w:after="0"/>
              <w:rPr>
                <w:sz w:val="20"/>
                <w:szCs w:val="20"/>
                <w:color w:val="auto"/>
              </w:rPr>
            </w:pPr>
            <w:r>
              <w:rPr>
                <w:rFonts w:ascii="Arial" w:cs="Arial" w:eastAsia="Arial" w:hAnsi="Arial"/>
                <w:sz w:val="16"/>
                <w:szCs w:val="16"/>
                <w:color w:val="auto"/>
              </w:rPr>
              <w:t>335,135</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203,104</w:t>
            </w:r>
          </w:p>
        </w:tc>
        <w:tc>
          <w:tcPr>
            <w:tcW w:w="0" w:type="dxa"/>
            <w:vAlign w:val="bottom"/>
          </w:tcPr>
          <w:p>
            <w:pPr>
              <w:spacing w:after="0"/>
              <w:rPr>
                <w:sz w:val="1"/>
                <w:szCs w:val="1"/>
                <w:color w:val="auto"/>
              </w:rPr>
            </w:pPr>
          </w:p>
        </w:tc>
      </w:tr>
      <w:tr>
        <w:trPr>
          <w:trHeight w:val="209"/>
        </w:trPr>
        <w:tc>
          <w:tcPr>
            <w:tcW w:w="4860" w:type="dxa"/>
            <w:vAlign w:val="bottom"/>
            <w:tcBorders>
              <w:bottom w:val="single" w:sz="8" w:color="CEFFE7"/>
            </w:tcBorders>
          </w:tcPr>
          <w:p>
            <w:pPr>
              <w:ind w:left="440"/>
              <w:spacing w:after="0"/>
              <w:rPr>
                <w:sz w:val="20"/>
                <w:szCs w:val="20"/>
                <w:color w:val="auto"/>
              </w:rPr>
            </w:pPr>
            <w:r>
              <w:rPr>
                <w:rFonts w:ascii="Arial" w:cs="Arial" w:eastAsia="Arial" w:hAnsi="Arial"/>
                <w:sz w:val="16"/>
                <w:szCs w:val="16"/>
                <w:color w:val="auto"/>
              </w:rPr>
              <w:t>Total Purchased</w:t>
            </w:r>
          </w:p>
        </w:tc>
        <w:tc>
          <w:tcPr>
            <w:tcW w:w="1800" w:type="dxa"/>
            <w:vAlign w:val="bottom"/>
            <w:tcBorders>
              <w:bottom w:val="single" w:sz="8" w:color="CEFFE7"/>
            </w:tcBorders>
          </w:tcPr>
          <w:p>
            <w:pPr>
              <w:spacing w:after="0"/>
              <w:rPr>
                <w:sz w:val="18"/>
                <w:szCs w:val="18"/>
                <w:color w:val="auto"/>
              </w:rPr>
            </w:pPr>
          </w:p>
        </w:tc>
        <w:tc>
          <w:tcPr>
            <w:tcW w:w="1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2,235,188</w:t>
            </w:r>
          </w:p>
        </w:tc>
        <w:tc>
          <w:tcPr>
            <w:tcW w:w="18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1,813,671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2,222,463</w:t>
            </w:r>
          </w:p>
        </w:tc>
        <w:tc>
          <w:tcPr>
            <w:tcW w:w="0" w:type="dxa"/>
            <w:vAlign w:val="bottom"/>
          </w:tcPr>
          <w:p>
            <w:pPr>
              <w:spacing w:after="0"/>
              <w:rPr>
                <w:sz w:val="1"/>
                <w:szCs w:val="1"/>
                <w:color w:val="auto"/>
              </w:rPr>
            </w:pPr>
          </w:p>
        </w:tc>
      </w:tr>
      <w:tr>
        <w:trPr>
          <w:trHeight w:val="233"/>
        </w:trPr>
        <w:tc>
          <w:tcPr>
            <w:tcW w:w="486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Generated and Purchased</w:t>
            </w:r>
          </w:p>
        </w:tc>
        <w:tc>
          <w:tcPr>
            <w:tcW w:w="358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7,441,863</w:t>
            </w:r>
          </w:p>
        </w:tc>
        <w:tc>
          <w:tcPr>
            <w:tcW w:w="1800" w:type="dxa"/>
            <w:vAlign w:val="bottom"/>
            <w:shd w:val="clear" w:color="auto" w:fill="CEFFE7"/>
          </w:tcPr>
          <w:p>
            <w:pPr>
              <w:jc w:val="right"/>
              <w:ind w:right="519"/>
              <w:spacing w:after="0"/>
              <w:rPr>
                <w:sz w:val="20"/>
                <w:szCs w:val="20"/>
                <w:color w:val="auto"/>
              </w:rPr>
            </w:pPr>
            <w:r>
              <w:rPr>
                <w:rFonts w:ascii="Arial" w:cs="Arial" w:eastAsia="Arial" w:hAnsi="Arial"/>
                <w:sz w:val="16"/>
                <w:szCs w:val="16"/>
                <w:color w:val="auto"/>
              </w:rPr>
              <w:t>6,999,321</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6,947,904</w:t>
            </w:r>
          </w:p>
        </w:tc>
        <w:tc>
          <w:tcPr>
            <w:tcW w:w="0" w:type="dxa"/>
            <w:vAlign w:val="bottom"/>
          </w:tcPr>
          <w:p>
            <w:pPr>
              <w:spacing w:after="0"/>
              <w:rPr>
                <w:sz w:val="1"/>
                <w:szCs w:val="1"/>
                <w:color w:val="auto"/>
              </w:rPr>
            </w:pPr>
          </w:p>
        </w:tc>
      </w:tr>
      <w:tr>
        <w:trPr>
          <w:trHeight w:val="20"/>
        </w:trPr>
        <w:tc>
          <w:tcPr>
            <w:tcW w:w="4860" w:type="dxa"/>
            <w:vAlign w:val="bottom"/>
            <w:tcBorders>
              <w:top w:val="single" w:sz="8" w:color="CEFFE7"/>
            </w:tcBorders>
          </w:tcPr>
          <w:p>
            <w:pPr>
              <w:spacing w:after="0" w:line="20" w:lineRule="exact"/>
              <w:rPr>
                <w:sz w:val="1"/>
                <w:szCs w:val="1"/>
                <w:color w:val="auto"/>
              </w:rPr>
            </w:pPr>
          </w:p>
        </w:tc>
        <w:tc>
          <w:tcPr>
            <w:tcW w:w="1800" w:type="dxa"/>
            <w:vAlign w:val="bottom"/>
            <w:tcBorders>
              <w:top w:val="single" w:sz="8" w:color="CEFFE7"/>
            </w:tcBorders>
          </w:tcPr>
          <w:p>
            <w:pPr>
              <w:spacing w:after="0" w:line="20" w:lineRule="exact"/>
              <w:rPr>
                <w:sz w:val="1"/>
                <w:szCs w:val="1"/>
                <w:color w:val="auto"/>
              </w:rPr>
            </w:pPr>
          </w:p>
        </w:tc>
        <w:tc>
          <w:tcPr>
            <w:tcW w:w="3580" w:type="dxa"/>
            <w:vAlign w:val="bottom"/>
            <w:tcBorders>
              <w:top w:val="single" w:sz="8" w:color="auto"/>
              <w:bottom w:val="single" w:sz="8" w:color="auto"/>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4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580" w:type="dxa"/>
            <w:vAlign w:val="bottom"/>
            <w:gridSpan w:val="2"/>
          </w:tcPr>
          <w:p>
            <w:pPr>
              <w:jc w:val="center"/>
              <w:ind w:left="919"/>
              <w:spacing w:after="0"/>
              <w:rPr>
                <w:sz w:val="20"/>
                <w:szCs w:val="20"/>
                <w:color w:val="auto"/>
              </w:rPr>
            </w:pPr>
            <w:r>
              <w:rPr>
                <w:rFonts w:ascii="Arial" w:cs="Arial" w:eastAsia="Arial" w:hAnsi="Arial"/>
                <w:sz w:val="16"/>
                <w:szCs w:val="16"/>
                <w:color w:val="auto"/>
              </w:rPr>
              <w:t>For the year ended 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Quantities Generated and Purchased (MWh)</w:t>
            </w:r>
          </w:p>
        </w:tc>
        <w:tc>
          <w:tcPr>
            <w:tcW w:w="358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6"/>
                <w:szCs w:val="16"/>
                <w:color w:val="auto"/>
              </w:rPr>
              <w:t>2021</w:t>
            </w:r>
          </w:p>
        </w:tc>
        <w:tc>
          <w:tcPr>
            <w:tcW w:w="1800" w:type="dxa"/>
            <w:vAlign w:val="bottom"/>
            <w:tcBorders>
              <w:bottom w:val="single" w:sz="8" w:color="auto"/>
            </w:tcBorders>
          </w:tcPr>
          <w:p>
            <w:pPr>
              <w:jc w:val="center"/>
              <w:ind w:right="679"/>
              <w:spacing w:after="0"/>
              <w:rPr>
                <w:sz w:val="20"/>
                <w:szCs w:val="20"/>
                <w:color w:val="auto"/>
              </w:rPr>
            </w:pPr>
            <w:r>
              <w:rPr>
                <w:rFonts w:ascii="Arial" w:cs="Arial" w:eastAsia="Arial" w:hAnsi="Arial"/>
                <w:sz w:val="16"/>
                <w:szCs w:val="16"/>
                <w:color w:val="auto"/>
              </w:rPr>
              <w:t>2020</w:t>
            </w: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6"/>
                <w:szCs w:val="16"/>
                <w:color w:val="auto"/>
              </w:rPr>
              <w:t>Generated:</w:t>
            </w:r>
          </w:p>
        </w:tc>
        <w:tc>
          <w:tcPr>
            <w:tcW w:w="18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EFFE7"/>
          </w:tcPr>
          <w:p>
            <w:pPr>
              <w:ind w:left="220"/>
              <w:spacing w:after="0"/>
              <w:rPr>
                <w:sz w:val="20"/>
                <w:szCs w:val="20"/>
                <w:color w:val="auto"/>
              </w:rPr>
            </w:pPr>
            <w:r>
              <w:rPr>
                <w:rFonts w:ascii="Arial" w:cs="Arial" w:eastAsia="Arial" w:hAnsi="Arial"/>
                <w:sz w:val="16"/>
                <w:szCs w:val="16"/>
                <w:color w:val="auto"/>
              </w:rPr>
              <w:t>Colorado Electric</w:t>
            </w:r>
          </w:p>
        </w:tc>
        <w:tc>
          <w:tcPr>
            <w:tcW w:w="358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412,127</w:t>
            </w:r>
          </w:p>
        </w:tc>
        <w:tc>
          <w:tcPr>
            <w:tcW w:w="1800" w:type="dxa"/>
            <w:vAlign w:val="bottom"/>
            <w:shd w:val="clear" w:color="auto" w:fill="CEFFE7"/>
          </w:tcPr>
          <w:p>
            <w:pPr>
              <w:jc w:val="right"/>
              <w:ind w:right="519"/>
              <w:spacing w:after="0"/>
              <w:rPr>
                <w:sz w:val="20"/>
                <w:szCs w:val="20"/>
                <w:color w:val="auto"/>
              </w:rPr>
            </w:pPr>
            <w:r>
              <w:rPr>
                <w:rFonts w:ascii="Arial" w:cs="Arial" w:eastAsia="Arial" w:hAnsi="Arial"/>
                <w:sz w:val="16"/>
                <w:szCs w:val="16"/>
                <w:color w:val="auto"/>
              </w:rPr>
              <w:t>265,552</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443,770</w:t>
            </w:r>
          </w:p>
        </w:tc>
        <w:tc>
          <w:tcPr>
            <w:tcW w:w="0" w:type="dxa"/>
            <w:vAlign w:val="bottom"/>
          </w:tcPr>
          <w:p>
            <w:pPr>
              <w:spacing w:after="0"/>
              <w:rPr>
                <w:sz w:val="1"/>
                <w:szCs w:val="1"/>
                <w:color w:val="auto"/>
              </w:rPr>
            </w:pPr>
          </w:p>
        </w:tc>
      </w:tr>
      <w:tr>
        <w:trPr>
          <w:trHeight w:val="213"/>
        </w:trPr>
        <w:tc>
          <w:tcPr>
            <w:tcW w:w="4860" w:type="dxa"/>
            <w:vAlign w:val="bottom"/>
          </w:tcPr>
          <w:p>
            <w:pPr>
              <w:ind w:left="220"/>
              <w:spacing w:after="0"/>
              <w:rPr>
                <w:sz w:val="20"/>
                <w:szCs w:val="20"/>
                <w:color w:val="auto"/>
              </w:rPr>
            </w:pPr>
            <w:r>
              <w:rPr>
                <w:rFonts w:ascii="Arial" w:cs="Arial" w:eastAsia="Arial" w:hAnsi="Arial"/>
                <w:sz w:val="16"/>
                <w:szCs w:val="16"/>
                <w:color w:val="auto"/>
              </w:rPr>
              <w:t>South Dakota Electric</w:t>
            </w:r>
          </w:p>
        </w:tc>
        <w:tc>
          <w:tcPr>
            <w:tcW w:w="3580" w:type="dxa"/>
            <w:vAlign w:val="bottom"/>
            <w:gridSpan w:val="2"/>
          </w:tcPr>
          <w:p>
            <w:pPr>
              <w:jc w:val="right"/>
              <w:ind w:right="239"/>
              <w:spacing w:after="0"/>
              <w:rPr>
                <w:sz w:val="20"/>
                <w:szCs w:val="20"/>
                <w:color w:val="auto"/>
              </w:rPr>
            </w:pPr>
            <w:r>
              <w:rPr>
                <w:rFonts w:ascii="Arial" w:cs="Arial" w:eastAsia="Arial" w:hAnsi="Arial"/>
                <w:sz w:val="16"/>
                <w:szCs w:val="16"/>
                <w:color w:val="auto"/>
              </w:rPr>
              <w:t>1,980,660</w:t>
            </w:r>
          </w:p>
        </w:tc>
        <w:tc>
          <w:tcPr>
            <w:tcW w:w="1800" w:type="dxa"/>
            <w:vAlign w:val="bottom"/>
          </w:tcPr>
          <w:p>
            <w:pPr>
              <w:jc w:val="right"/>
              <w:ind w:right="519"/>
              <w:spacing w:after="0"/>
              <w:rPr>
                <w:sz w:val="20"/>
                <w:szCs w:val="20"/>
                <w:color w:val="auto"/>
              </w:rPr>
            </w:pPr>
            <w:r>
              <w:rPr>
                <w:rFonts w:ascii="Arial" w:cs="Arial" w:eastAsia="Arial" w:hAnsi="Arial"/>
                <w:sz w:val="16"/>
                <w:szCs w:val="16"/>
                <w:color w:val="auto"/>
              </w:rPr>
              <w:t>1,901,009</w:t>
            </w:r>
          </w:p>
        </w:tc>
        <w:tc>
          <w:tcPr>
            <w:tcW w:w="1000" w:type="dxa"/>
            <w:vAlign w:val="bottom"/>
          </w:tcPr>
          <w:p>
            <w:pPr>
              <w:jc w:val="right"/>
              <w:spacing w:after="0"/>
              <w:rPr>
                <w:sz w:val="20"/>
                <w:szCs w:val="20"/>
                <w:color w:val="auto"/>
              </w:rPr>
            </w:pPr>
            <w:r>
              <w:rPr>
                <w:rFonts w:ascii="Arial" w:cs="Arial" w:eastAsia="Arial" w:hAnsi="Arial"/>
                <w:sz w:val="16"/>
                <w:szCs w:val="16"/>
                <w:color w:val="auto"/>
              </w:rPr>
              <w:t>1,768,456</w:t>
            </w:r>
          </w:p>
        </w:tc>
        <w:tc>
          <w:tcPr>
            <w:tcW w:w="0" w:type="dxa"/>
            <w:vAlign w:val="bottom"/>
          </w:tcPr>
          <w:p>
            <w:pPr>
              <w:spacing w:after="0"/>
              <w:rPr>
                <w:sz w:val="1"/>
                <w:szCs w:val="1"/>
                <w:color w:val="auto"/>
              </w:rPr>
            </w:pPr>
          </w:p>
        </w:tc>
      </w:tr>
      <w:tr>
        <w:trPr>
          <w:trHeight w:val="219"/>
        </w:trPr>
        <w:tc>
          <w:tcPr>
            <w:tcW w:w="4860" w:type="dxa"/>
            <w:vAlign w:val="bottom"/>
            <w:shd w:val="clear" w:color="auto" w:fill="CEFFE7"/>
          </w:tcPr>
          <w:p>
            <w:pPr>
              <w:ind w:left="220"/>
              <w:spacing w:after="0"/>
              <w:rPr>
                <w:sz w:val="20"/>
                <w:szCs w:val="20"/>
                <w:color w:val="auto"/>
              </w:rPr>
            </w:pPr>
            <w:r>
              <w:rPr>
                <w:rFonts w:ascii="Arial" w:cs="Arial" w:eastAsia="Arial" w:hAnsi="Arial"/>
                <w:sz w:val="16"/>
                <w:szCs w:val="16"/>
                <w:color w:val="auto"/>
              </w:rPr>
              <w:t>Wyoming Electric</w:t>
            </w:r>
          </w:p>
        </w:tc>
        <w:tc>
          <w:tcPr>
            <w:tcW w:w="358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883,596</w:t>
            </w:r>
          </w:p>
        </w:tc>
        <w:tc>
          <w:tcPr>
            <w:tcW w:w="1800" w:type="dxa"/>
            <w:vAlign w:val="bottom"/>
            <w:shd w:val="clear" w:color="auto" w:fill="CEFFE7"/>
          </w:tcPr>
          <w:p>
            <w:pPr>
              <w:jc w:val="right"/>
              <w:ind w:right="519"/>
              <w:spacing w:after="0"/>
              <w:rPr>
                <w:sz w:val="20"/>
                <w:szCs w:val="20"/>
                <w:color w:val="auto"/>
              </w:rPr>
            </w:pPr>
            <w:r>
              <w:rPr>
                <w:rFonts w:ascii="Arial" w:cs="Arial" w:eastAsia="Arial" w:hAnsi="Arial"/>
                <w:sz w:val="16"/>
                <w:szCs w:val="16"/>
                <w:color w:val="auto"/>
              </w:rPr>
              <w:t>851,522</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852,803</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EFFE7"/>
            </w:tcBorders>
          </w:tcPr>
          <w:p>
            <w:pPr>
              <w:ind w:left="220"/>
              <w:spacing w:after="0"/>
              <w:rPr>
                <w:sz w:val="20"/>
                <w:szCs w:val="20"/>
                <w:color w:val="auto"/>
              </w:rPr>
            </w:pPr>
            <w:r>
              <w:rPr>
                <w:rFonts w:ascii="Arial" w:cs="Arial" w:eastAsia="Arial" w:hAnsi="Arial"/>
                <w:sz w:val="16"/>
                <w:szCs w:val="16"/>
                <w:color w:val="auto"/>
              </w:rPr>
              <w:t>Integrated Generation</w:t>
            </w:r>
          </w:p>
        </w:tc>
        <w:tc>
          <w:tcPr>
            <w:tcW w:w="1800" w:type="dxa"/>
            <w:vAlign w:val="bottom"/>
            <w:tcBorders>
              <w:bottom w:val="single" w:sz="8" w:color="CEFFE7"/>
            </w:tcBorders>
          </w:tcPr>
          <w:p>
            <w:pPr>
              <w:spacing w:after="0"/>
              <w:rPr>
                <w:sz w:val="18"/>
                <w:szCs w:val="18"/>
                <w:color w:val="auto"/>
              </w:rPr>
            </w:pPr>
          </w:p>
        </w:tc>
        <w:tc>
          <w:tcPr>
            <w:tcW w:w="1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1,842,377</w:t>
            </w:r>
          </w:p>
        </w:tc>
        <w:tc>
          <w:tcPr>
            <w:tcW w:w="18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2,085,042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1,660,412</w:t>
            </w:r>
          </w:p>
        </w:tc>
        <w:tc>
          <w:tcPr>
            <w:tcW w:w="0" w:type="dxa"/>
            <w:vAlign w:val="bottom"/>
          </w:tcPr>
          <w:p>
            <w:pPr>
              <w:spacing w:after="0"/>
              <w:rPr>
                <w:sz w:val="1"/>
                <w:szCs w:val="1"/>
                <w:color w:val="auto"/>
              </w:rPr>
            </w:pPr>
          </w:p>
        </w:tc>
      </w:tr>
      <w:tr>
        <w:trPr>
          <w:trHeight w:val="213"/>
        </w:trPr>
        <w:tc>
          <w:tcPr>
            <w:tcW w:w="4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Generated</w:t>
            </w:r>
          </w:p>
        </w:tc>
        <w:tc>
          <w:tcPr>
            <w:tcW w:w="358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5,118,760</w:t>
            </w:r>
          </w:p>
        </w:tc>
        <w:tc>
          <w:tcPr>
            <w:tcW w:w="1800" w:type="dxa"/>
            <w:vAlign w:val="bottom"/>
            <w:shd w:val="clear" w:color="auto" w:fill="CEFFE7"/>
          </w:tcPr>
          <w:p>
            <w:pPr>
              <w:jc w:val="right"/>
              <w:ind w:right="519"/>
              <w:spacing w:after="0"/>
              <w:rPr>
                <w:sz w:val="20"/>
                <w:szCs w:val="20"/>
                <w:color w:val="auto"/>
              </w:rPr>
            </w:pPr>
            <w:r>
              <w:rPr>
                <w:rFonts w:ascii="Arial" w:cs="Arial" w:eastAsia="Arial" w:hAnsi="Arial"/>
                <w:sz w:val="16"/>
                <w:szCs w:val="16"/>
                <w:color w:val="auto"/>
              </w:rPr>
              <w:t>5,103,125</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4,725,441</w:t>
            </w:r>
          </w:p>
        </w:tc>
        <w:tc>
          <w:tcPr>
            <w:tcW w:w="0" w:type="dxa"/>
            <w:vAlign w:val="bottom"/>
          </w:tcPr>
          <w:p>
            <w:pPr>
              <w:spacing w:after="0"/>
              <w:rPr>
                <w:sz w:val="1"/>
                <w:szCs w:val="1"/>
                <w:color w:val="auto"/>
              </w:rPr>
            </w:pPr>
          </w:p>
        </w:tc>
      </w:tr>
      <w:tr>
        <w:trPr>
          <w:trHeight w:val="193"/>
        </w:trPr>
        <w:tc>
          <w:tcPr>
            <w:tcW w:w="4860" w:type="dxa"/>
            <w:vAlign w:val="bottom"/>
          </w:tcPr>
          <w:p>
            <w:pPr>
              <w:ind w:left="20"/>
              <w:spacing w:after="0"/>
              <w:rPr>
                <w:sz w:val="20"/>
                <w:szCs w:val="20"/>
                <w:color w:val="auto"/>
              </w:rPr>
            </w:pPr>
            <w:r>
              <w:rPr>
                <w:rFonts w:ascii="Arial" w:cs="Arial" w:eastAsia="Arial" w:hAnsi="Arial"/>
                <w:sz w:val="16"/>
                <w:szCs w:val="16"/>
                <w:color w:val="auto"/>
              </w:rPr>
              <w:t>Purchased:</w:t>
            </w:r>
          </w:p>
        </w:tc>
        <w:tc>
          <w:tcPr>
            <w:tcW w:w="180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EFFE7"/>
          </w:tcPr>
          <w:p>
            <w:pPr>
              <w:ind w:left="220"/>
              <w:spacing w:after="0"/>
              <w:rPr>
                <w:sz w:val="20"/>
                <w:szCs w:val="20"/>
                <w:color w:val="auto"/>
              </w:rPr>
            </w:pPr>
            <w:r>
              <w:rPr>
                <w:rFonts w:ascii="Arial" w:cs="Arial" w:eastAsia="Arial" w:hAnsi="Arial"/>
                <w:sz w:val="16"/>
                <w:szCs w:val="16"/>
                <w:color w:val="auto"/>
              </w:rPr>
              <w:t>Colorado Electric</w:t>
            </w:r>
          </w:p>
        </w:tc>
        <w:tc>
          <w:tcPr>
            <w:tcW w:w="358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1,027,728</w:t>
            </w:r>
          </w:p>
        </w:tc>
        <w:tc>
          <w:tcPr>
            <w:tcW w:w="1800" w:type="dxa"/>
            <w:vAlign w:val="bottom"/>
            <w:shd w:val="clear" w:color="auto" w:fill="CEFFE7"/>
          </w:tcPr>
          <w:p>
            <w:pPr>
              <w:jc w:val="right"/>
              <w:ind w:right="519"/>
              <w:spacing w:after="0"/>
              <w:rPr>
                <w:sz w:val="20"/>
                <w:szCs w:val="20"/>
                <w:color w:val="auto"/>
              </w:rPr>
            </w:pPr>
            <w:r>
              <w:rPr>
                <w:rFonts w:ascii="Arial" w:cs="Arial" w:eastAsia="Arial" w:hAnsi="Arial"/>
                <w:sz w:val="16"/>
                <w:szCs w:val="16"/>
                <w:color w:val="auto"/>
              </w:rPr>
              <w:t>714,139</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741,666</w:t>
            </w:r>
          </w:p>
        </w:tc>
        <w:tc>
          <w:tcPr>
            <w:tcW w:w="0" w:type="dxa"/>
            <w:vAlign w:val="bottom"/>
          </w:tcPr>
          <w:p>
            <w:pPr>
              <w:spacing w:after="0"/>
              <w:rPr>
                <w:sz w:val="1"/>
                <w:szCs w:val="1"/>
                <w:color w:val="auto"/>
              </w:rPr>
            </w:pPr>
          </w:p>
        </w:tc>
      </w:tr>
      <w:tr>
        <w:trPr>
          <w:trHeight w:val="213"/>
        </w:trPr>
        <w:tc>
          <w:tcPr>
            <w:tcW w:w="4860" w:type="dxa"/>
            <w:vAlign w:val="bottom"/>
          </w:tcPr>
          <w:p>
            <w:pPr>
              <w:ind w:left="220"/>
              <w:spacing w:after="0"/>
              <w:rPr>
                <w:sz w:val="20"/>
                <w:szCs w:val="20"/>
                <w:color w:val="auto"/>
              </w:rPr>
            </w:pPr>
            <w:r>
              <w:rPr>
                <w:rFonts w:ascii="Arial" w:cs="Arial" w:eastAsia="Arial" w:hAnsi="Arial"/>
                <w:sz w:val="16"/>
                <w:szCs w:val="16"/>
                <w:color w:val="auto"/>
              </w:rPr>
              <w:t>South Dakota Electric</w:t>
            </w:r>
          </w:p>
        </w:tc>
        <w:tc>
          <w:tcPr>
            <w:tcW w:w="3580" w:type="dxa"/>
            <w:vAlign w:val="bottom"/>
            <w:gridSpan w:val="2"/>
          </w:tcPr>
          <w:p>
            <w:pPr>
              <w:jc w:val="right"/>
              <w:ind w:right="239"/>
              <w:spacing w:after="0"/>
              <w:rPr>
                <w:sz w:val="20"/>
                <w:szCs w:val="20"/>
                <w:color w:val="auto"/>
              </w:rPr>
            </w:pPr>
            <w:r>
              <w:rPr>
                <w:rFonts w:ascii="Arial" w:cs="Arial" w:eastAsia="Arial" w:hAnsi="Arial"/>
                <w:sz w:val="16"/>
                <w:szCs w:val="16"/>
                <w:color w:val="auto"/>
              </w:rPr>
              <w:t>563,603</w:t>
            </w:r>
          </w:p>
        </w:tc>
        <w:tc>
          <w:tcPr>
            <w:tcW w:w="1800" w:type="dxa"/>
            <w:vAlign w:val="bottom"/>
          </w:tcPr>
          <w:p>
            <w:pPr>
              <w:jc w:val="right"/>
              <w:ind w:right="519"/>
              <w:spacing w:after="0"/>
              <w:rPr>
                <w:sz w:val="20"/>
                <w:szCs w:val="20"/>
                <w:color w:val="auto"/>
              </w:rPr>
            </w:pPr>
            <w:r>
              <w:rPr>
                <w:rFonts w:ascii="Arial" w:cs="Arial" w:eastAsia="Arial" w:hAnsi="Arial"/>
                <w:sz w:val="16"/>
                <w:szCs w:val="16"/>
                <w:color w:val="auto"/>
              </w:rPr>
              <w:t>489,457</w:t>
            </w:r>
          </w:p>
        </w:tc>
        <w:tc>
          <w:tcPr>
            <w:tcW w:w="1000" w:type="dxa"/>
            <w:vAlign w:val="bottom"/>
          </w:tcPr>
          <w:p>
            <w:pPr>
              <w:jc w:val="right"/>
              <w:spacing w:after="0"/>
              <w:rPr>
                <w:sz w:val="20"/>
                <w:szCs w:val="20"/>
                <w:color w:val="auto"/>
              </w:rPr>
            </w:pPr>
            <w:r>
              <w:rPr>
                <w:rFonts w:ascii="Arial" w:cs="Arial" w:eastAsia="Arial" w:hAnsi="Arial"/>
                <w:sz w:val="16"/>
                <w:szCs w:val="16"/>
                <w:color w:val="auto"/>
              </w:rPr>
              <w:t>896,901</w:t>
            </w:r>
          </w:p>
        </w:tc>
        <w:tc>
          <w:tcPr>
            <w:tcW w:w="0" w:type="dxa"/>
            <w:vAlign w:val="bottom"/>
          </w:tcPr>
          <w:p>
            <w:pPr>
              <w:spacing w:after="0"/>
              <w:rPr>
                <w:sz w:val="1"/>
                <w:szCs w:val="1"/>
                <w:color w:val="auto"/>
              </w:rPr>
            </w:pPr>
          </w:p>
        </w:tc>
      </w:tr>
      <w:tr>
        <w:trPr>
          <w:trHeight w:val="219"/>
        </w:trPr>
        <w:tc>
          <w:tcPr>
            <w:tcW w:w="4860" w:type="dxa"/>
            <w:vAlign w:val="bottom"/>
            <w:shd w:val="clear" w:color="auto" w:fill="CEFFE7"/>
          </w:tcPr>
          <w:p>
            <w:pPr>
              <w:ind w:left="220"/>
              <w:spacing w:after="0"/>
              <w:rPr>
                <w:sz w:val="20"/>
                <w:szCs w:val="20"/>
                <w:color w:val="auto"/>
              </w:rPr>
            </w:pPr>
            <w:r>
              <w:rPr>
                <w:rFonts w:ascii="Arial" w:cs="Arial" w:eastAsia="Arial" w:hAnsi="Arial"/>
                <w:sz w:val="16"/>
                <w:szCs w:val="16"/>
                <w:color w:val="auto"/>
              </w:rPr>
              <w:t>Wyoming Electric</w:t>
            </w:r>
          </w:p>
        </w:tc>
        <w:tc>
          <w:tcPr>
            <w:tcW w:w="358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643,857</w:t>
            </w:r>
          </w:p>
        </w:tc>
        <w:tc>
          <w:tcPr>
            <w:tcW w:w="1800" w:type="dxa"/>
            <w:vAlign w:val="bottom"/>
            <w:shd w:val="clear" w:color="auto" w:fill="CEFFE7"/>
          </w:tcPr>
          <w:p>
            <w:pPr>
              <w:jc w:val="right"/>
              <w:ind w:right="519"/>
              <w:spacing w:after="0"/>
              <w:rPr>
                <w:sz w:val="20"/>
                <w:szCs w:val="20"/>
                <w:color w:val="auto"/>
              </w:rPr>
            </w:pPr>
            <w:r>
              <w:rPr>
                <w:rFonts w:ascii="Arial" w:cs="Arial" w:eastAsia="Arial" w:hAnsi="Arial"/>
                <w:sz w:val="16"/>
                <w:szCs w:val="16"/>
                <w:color w:val="auto"/>
              </w:rPr>
              <w:t>610,075</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509,697</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EFFE7"/>
            </w:tcBorders>
          </w:tcPr>
          <w:p>
            <w:pPr>
              <w:ind w:left="220"/>
              <w:spacing w:after="0"/>
              <w:rPr>
                <w:sz w:val="20"/>
                <w:szCs w:val="20"/>
                <w:color w:val="auto"/>
              </w:rPr>
            </w:pPr>
            <w:r>
              <w:rPr>
                <w:rFonts w:ascii="Arial" w:cs="Arial" w:eastAsia="Arial" w:hAnsi="Arial"/>
                <w:sz w:val="16"/>
                <w:szCs w:val="16"/>
                <w:color w:val="auto"/>
              </w:rPr>
              <w:t>Integrated Generation</w:t>
            </w:r>
          </w:p>
        </w:tc>
        <w:tc>
          <w:tcPr>
            <w:tcW w:w="1800" w:type="dxa"/>
            <w:vAlign w:val="bottom"/>
            <w:tcBorders>
              <w:bottom w:val="single" w:sz="8" w:color="CEFFE7"/>
            </w:tcBorders>
          </w:tcPr>
          <w:p>
            <w:pPr>
              <w:spacing w:after="0"/>
              <w:rPr>
                <w:sz w:val="18"/>
                <w:szCs w:val="18"/>
                <w:color w:val="auto"/>
              </w:rPr>
            </w:pPr>
          </w:p>
        </w:tc>
        <w:tc>
          <w:tcPr>
            <w:tcW w:w="1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87,915</w:t>
            </w:r>
          </w:p>
        </w:tc>
        <w:tc>
          <w:tcPr>
            <w:tcW w:w="18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82,525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74,199</w:t>
            </w:r>
          </w:p>
        </w:tc>
        <w:tc>
          <w:tcPr>
            <w:tcW w:w="0" w:type="dxa"/>
            <w:vAlign w:val="bottom"/>
          </w:tcPr>
          <w:p>
            <w:pPr>
              <w:spacing w:after="0"/>
              <w:rPr>
                <w:sz w:val="1"/>
                <w:szCs w:val="1"/>
                <w:color w:val="auto"/>
              </w:rPr>
            </w:pPr>
          </w:p>
        </w:tc>
      </w:tr>
      <w:tr>
        <w:trPr>
          <w:trHeight w:val="210"/>
        </w:trPr>
        <w:tc>
          <w:tcPr>
            <w:tcW w:w="4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Purchased</w:t>
            </w:r>
          </w:p>
        </w:tc>
        <w:tc>
          <w:tcPr>
            <w:tcW w:w="358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2,323,103</w:t>
            </w:r>
          </w:p>
        </w:tc>
        <w:tc>
          <w:tcPr>
            <w:tcW w:w="1800" w:type="dxa"/>
            <w:vAlign w:val="bottom"/>
            <w:shd w:val="clear" w:color="auto" w:fill="CEFFE7"/>
          </w:tcPr>
          <w:p>
            <w:pPr>
              <w:jc w:val="right"/>
              <w:ind w:right="519"/>
              <w:spacing w:after="0"/>
              <w:rPr>
                <w:sz w:val="20"/>
                <w:szCs w:val="20"/>
                <w:color w:val="auto"/>
              </w:rPr>
            </w:pPr>
            <w:r>
              <w:rPr>
                <w:rFonts w:ascii="Arial" w:cs="Arial" w:eastAsia="Arial" w:hAnsi="Arial"/>
                <w:sz w:val="16"/>
                <w:szCs w:val="16"/>
                <w:color w:val="auto"/>
              </w:rPr>
              <w:t>1,896,196</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2,222,463</w:t>
            </w:r>
          </w:p>
        </w:tc>
        <w:tc>
          <w:tcPr>
            <w:tcW w:w="0" w:type="dxa"/>
            <w:vAlign w:val="bottom"/>
          </w:tcPr>
          <w:p>
            <w:pPr>
              <w:spacing w:after="0"/>
              <w:rPr>
                <w:sz w:val="1"/>
                <w:szCs w:val="1"/>
                <w:color w:val="auto"/>
              </w:rPr>
            </w:pPr>
          </w:p>
        </w:tc>
      </w:tr>
      <w:tr>
        <w:trPr>
          <w:trHeight w:val="145"/>
        </w:trPr>
        <w:tc>
          <w:tcPr>
            <w:tcW w:w="4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486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Generated and Purchased</w:t>
            </w:r>
          </w:p>
        </w:tc>
        <w:tc>
          <w:tcPr>
            <w:tcW w:w="358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7,441,863</w:t>
            </w:r>
          </w:p>
        </w:tc>
        <w:tc>
          <w:tcPr>
            <w:tcW w:w="1800" w:type="dxa"/>
            <w:vAlign w:val="bottom"/>
            <w:shd w:val="clear" w:color="auto" w:fill="CEFFE7"/>
          </w:tcPr>
          <w:p>
            <w:pPr>
              <w:jc w:val="right"/>
              <w:ind w:right="519"/>
              <w:spacing w:after="0"/>
              <w:rPr>
                <w:sz w:val="20"/>
                <w:szCs w:val="20"/>
                <w:color w:val="auto"/>
              </w:rPr>
            </w:pPr>
            <w:r>
              <w:rPr>
                <w:rFonts w:ascii="Arial" w:cs="Arial" w:eastAsia="Arial" w:hAnsi="Arial"/>
                <w:sz w:val="16"/>
                <w:szCs w:val="16"/>
                <w:color w:val="auto"/>
              </w:rPr>
              <w:t>6,999,321</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6,947,904</w:t>
            </w:r>
          </w:p>
        </w:tc>
        <w:tc>
          <w:tcPr>
            <w:tcW w:w="0" w:type="dxa"/>
            <w:vAlign w:val="bottom"/>
          </w:tcPr>
          <w:p>
            <w:pPr>
              <w:spacing w:after="0"/>
              <w:rPr>
                <w:sz w:val="1"/>
                <w:szCs w:val="1"/>
                <w:color w:val="auto"/>
              </w:rPr>
            </w:pPr>
          </w:p>
        </w:tc>
      </w:tr>
      <w:tr>
        <w:trPr>
          <w:trHeight w:val="20"/>
        </w:trPr>
        <w:tc>
          <w:tcPr>
            <w:tcW w:w="4860" w:type="dxa"/>
            <w:vAlign w:val="bottom"/>
            <w:tcBorders>
              <w:top w:val="single" w:sz="8" w:color="CEFFE7"/>
            </w:tcBorders>
          </w:tcPr>
          <w:p>
            <w:pPr>
              <w:spacing w:after="0" w:line="20" w:lineRule="exact"/>
              <w:rPr>
                <w:sz w:val="1"/>
                <w:szCs w:val="1"/>
                <w:color w:val="auto"/>
              </w:rPr>
            </w:pPr>
          </w:p>
        </w:tc>
        <w:tc>
          <w:tcPr>
            <w:tcW w:w="1800" w:type="dxa"/>
            <w:vAlign w:val="bottom"/>
            <w:tcBorders>
              <w:top w:val="single" w:sz="8" w:color="CEFFE7"/>
              <w:bottom w:val="single" w:sz="8" w:color="CEFFE7"/>
            </w:tcBorders>
            <w:vMerge w:val="restart"/>
          </w:tcPr>
          <w:p>
            <w:pPr>
              <w:jc w:val="right"/>
              <w:ind w:right="859"/>
              <w:spacing w:after="0"/>
              <w:rPr>
                <w:sz w:val="20"/>
                <w:szCs w:val="20"/>
                <w:color w:val="auto"/>
              </w:rPr>
            </w:pPr>
            <w:r>
              <w:rPr>
                <w:rFonts w:ascii="Arial" w:cs="Arial" w:eastAsia="Arial" w:hAnsi="Arial"/>
                <w:sz w:val="16"/>
                <w:szCs w:val="16"/>
                <w:color w:val="auto"/>
              </w:rPr>
              <w:t>40</w:t>
            </w: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8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500" w:type="dxa"/>
            <w:vAlign w:val="bottom"/>
            <w:gridSpan w:val="4"/>
          </w:tcPr>
          <w:p>
            <w:pPr>
              <w:ind w:left="960"/>
              <w:spacing w:after="0"/>
              <w:rPr>
                <w:sz w:val="20"/>
                <w:szCs w:val="20"/>
                <w:color w:val="auto"/>
              </w:rPr>
            </w:pPr>
            <w:r>
              <w:rPr>
                <w:rFonts w:ascii="Arial" w:cs="Arial" w:eastAsia="Arial" w:hAnsi="Arial"/>
                <w:sz w:val="16"/>
                <w:szCs w:val="16"/>
                <w:color w:val="auto"/>
              </w:rPr>
              <w:t>For the year ended December 31,</w:t>
            </w: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Degree Days</w:t>
            </w:r>
          </w:p>
        </w:tc>
        <w:tc>
          <w:tcPr>
            <w:tcW w:w="206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2"/>
          </w:tcPr>
          <w:p>
            <w:pPr>
              <w:ind w:left="820"/>
              <w:spacing w:after="0"/>
              <w:rPr>
                <w:sz w:val="20"/>
                <w:szCs w:val="20"/>
                <w:color w:val="auto"/>
              </w:rPr>
            </w:pPr>
            <w:r>
              <w:rPr>
                <w:rFonts w:ascii="Arial" w:cs="Arial" w:eastAsia="Arial" w:hAnsi="Arial"/>
                <w:sz w:val="16"/>
                <w:szCs w:val="16"/>
                <w:color w:val="auto"/>
              </w:rPr>
              <w:t>2020</w:t>
            </w:r>
          </w:p>
        </w:tc>
        <w:tc>
          <w:tcPr>
            <w:tcW w:w="196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color w:val="auto"/>
              </w:rPr>
              <w:t>2019</w:t>
            </w:r>
          </w:p>
        </w:tc>
      </w:tr>
      <w:tr>
        <w:trPr>
          <w:trHeight w:val="174"/>
        </w:trPr>
        <w:tc>
          <w:tcPr>
            <w:tcW w:w="4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gridSpan w:val="2"/>
          </w:tcPr>
          <w:p>
            <w:pPr>
              <w:jc w:val="center"/>
              <w:ind w:right="180"/>
              <w:spacing w:after="0" w:line="174" w:lineRule="exact"/>
              <w:rPr>
                <w:sz w:val="20"/>
                <w:szCs w:val="20"/>
                <w:color w:val="auto"/>
              </w:rPr>
            </w:pPr>
            <w:r>
              <w:rPr>
                <w:rFonts w:ascii="Arial" w:cs="Arial" w:eastAsia="Arial" w:hAnsi="Arial"/>
                <w:sz w:val="16"/>
                <w:szCs w:val="16"/>
                <w:color w:val="auto"/>
              </w:rPr>
              <w:t>Variance from</w:t>
            </w:r>
          </w:p>
        </w:tc>
        <w:tc>
          <w:tcPr>
            <w:tcW w:w="920" w:type="dxa"/>
            <w:vAlign w:val="bottom"/>
          </w:tcPr>
          <w:p>
            <w:pPr>
              <w:spacing w:after="0"/>
              <w:rPr>
                <w:sz w:val="15"/>
                <w:szCs w:val="15"/>
                <w:color w:val="auto"/>
              </w:rPr>
            </w:pPr>
          </w:p>
        </w:tc>
        <w:tc>
          <w:tcPr>
            <w:tcW w:w="1400" w:type="dxa"/>
            <w:vAlign w:val="bottom"/>
          </w:tcPr>
          <w:p>
            <w:pPr>
              <w:jc w:val="center"/>
              <w:ind w:right="159"/>
              <w:spacing w:after="0" w:line="174" w:lineRule="exact"/>
              <w:rPr>
                <w:sz w:val="20"/>
                <w:szCs w:val="20"/>
                <w:color w:val="auto"/>
              </w:rPr>
            </w:pPr>
            <w:r>
              <w:rPr>
                <w:rFonts w:ascii="Arial" w:cs="Arial" w:eastAsia="Arial" w:hAnsi="Arial"/>
                <w:sz w:val="16"/>
                <w:szCs w:val="16"/>
                <w:color w:val="auto"/>
              </w:rPr>
              <w:t>Variance from</w:t>
            </w:r>
          </w:p>
        </w:tc>
        <w:tc>
          <w:tcPr>
            <w:tcW w:w="800" w:type="dxa"/>
            <w:vAlign w:val="bottom"/>
          </w:tcPr>
          <w:p>
            <w:pPr>
              <w:spacing w:after="0"/>
              <w:rPr>
                <w:sz w:val="15"/>
                <w:szCs w:val="15"/>
                <w:color w:val="auto"/>
              </w:rPr>
            </w:pPr>
          </w:p>
        </w:tc>
        <w:tc>
          <w:tcPr>
            <w:tcW w:w="1160" w:type="dxa"/>
            <w:vAlign w:val="bottom"/>
          </w:tcPr>
          <w:p>
            <w:pPr>
              <w:jc w:val="center"/>
              <w:spacing w:after="0" w:line="174" w:lineRule="exact"/>
              <w:rPr>
                <w:sz w:val="20"/>
                <w:szCs w:val="20"/>
                <w:color w:val="auto"/>
              </w:rPr>
            </w:pPr>
            <w:r>
              <w:rPr>
                <w:rFonts w:ascii="Arial" w:cs="Arial" w:eastAsia="Arial" w:hAnsi="Arial"/>
                <w:sz w:val="16"/>
                <w:szCs w:val="16"/>
                <w:color w:val="auto"/>
              </w:rPr>
              <w:t>Variance from</w:t>
            </w:r>
          </w:p>
        </w:tc>
      </w:tr>
      <w:tr>
        <w:trPr>
          <w:trHeight w:val="195"/>
        </w:trPr>
        <w:tc>
          <w:tcPr>
            <w:tcW w:w="4680" w:type="dxa"/>
            <w:vAlign w:val="bottom"/>
          </w:tcPr>
          <w:p>
            <w:pPr>
              <w:spacing w:after="0"/>
              <w:rPr>
                <w:sz w:val="16"/>
                <w:szCs w:val="16"/>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Actual</w:t>
            </w: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color w:val="auto"/>
              </w:rPr>
              <w:t>Normal</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Actual</w:t>
            </w:r>
          </w:p>
        </w:tc>
        <w:tc>
          <w:tcPr>
            <w:tcW w:w="14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Normal</w:t>
            </w: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Actual</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Normal</w:t>
            </w:r>
          </w:p>
        </w:tc>
      </w:tr>
      <w:tr>
        <w:trPr>
          <w:trHeight w:val="199"/>
        </w:trPr>
        <w:tc>
          <w:tcPr>
            <w:tcW w:w="4680" w:type="dxa"/>
            <w:vAlign w:val="bottom"/>
          </w:tcPr>
          <w:p>
            <w:pPr>
              <w:ind w:left="20"/>
              <w:spacing w:after="0"/>
              <w:rPr>
                <w:sz w:val="20"/>
                <w:szCs w:val="20"/>
                <w:color w:val="auto"/>
              </w:rPr>
            </w:pPr>
            <w:r>
              <w:rPr>
                <w:rFonts w:ascii="Arial" w:cs="Arial" w:eastAsia="Arial" w:hAnsi="Arial"/>
                <w:sz w:val="16"/>
                <w:szCs w:val="16"/>
                <w:color w:val="auto"/>
              </w:rPr>
              <w:t>Heating Degree Days:</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9"/>
        </w:trPr>
        <w:tc>
          <w:tcPr>
            <w:tcW w:w="46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Colorado Electric</w:t>
            </w:r>
          </w:p>
        </w:tc>
        <w:tc>
          <w:tcPr>
            <w:tcW w:w="11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5,023</w:t>
            </w:r>
          </w:p>
        </w:tc>
        <w:tc>
          <w:tcPr>
            <w:tcW w:w="9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5,103</w:t>
            </w:r>
          </w:p>
        </w:tc>
        <w:tc>
          <w:tcPr>
            <w:tcW w:w="1400" w:type="dxa"/>
            <w:vAlign w:val="bottom"/>
            <w:shd w:val="clear" w:color="auto" w:fill="CEFFE7"/>
          </w:tcPr>
          <w:p>
            <w:pPr>
              <w:jc w:val="center"/>
              <w:ind w:right="139"/>
              <w:spacing w:after="0"/>
              <w:rPr>
                <w:sz w:val="20"/>
                <w:szCs w:val="20"/>
                <w:color w:val="auto"/>
              </w:rPr>
            </w:pPr>
            <w:r>
              <w:rPr>
                <w:rFonts w:ascii="Arial" w:cs="Arial" w:eastAsia="Arial" w:hAnsi="Arial"/>
                <w:sz w:val="16"/>
                <w:szCs w:val="16"/>
                <w:color w:val="auto"/>
              </w:rPr>
              <w:t>(9)%</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5,453</w:t>
            </w:r>
          </w:p>
        </w:tc>
        <w:tc>
          <w:tcPr>
            <w:tcW w:w="11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(3)%</w:t>
            </w: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South Dakota Electric</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6,819</w:t>
            </w:r>
          </w:p>
        </w:tc>
        <w:tc>
          <w:tcPr>
            <w:tcW w:w="960" w:type="dxa"/>
            <w:vAlign w:val="bottom"/>
          </w:tcPr>
          <w:p>
            <w:pPr>
              <w:jc w:val="center"/>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6,910</w:t>
            </w:r>
          </w:p>
        </w:tc>
        <w:tc>
          <w:tcPr>
            <w:tcW w:w="1400" w:type="dxa"/>
            <w:vAlign w:val="bottom"/>
          </w:tcPr>
          <w:p>
            <w:pPr>
              <w:jc w:val="center"/>
              <w:ind w:right="139"/>
              <w:spacing w:after="0"/>
              <w:rPr>
                <w:sz w:val="20"/>
                <w:szCs w:val="20"/>
                <w:color w:val="auto"/>
              </w:rPr>
            </w:pPr>
            <w:r>
              <w:rPr>
                <w:rFonts w:ascii="Arial" w:cs="Arial" w:eastAsia="Arial" w:hAnsi="Arial"/>
                <w:sz w:val="16"/>
                <w:szCs w:val="16"/>
                <w:color w:val="auto"/>
              </w:rPr>
              <w:t>(3)%</w:t>
            </w:r>
          </w:p>
        </w:tc>
        <w:tc>
          <w:tcPr>
            <w:tcW w:w="800" w:type="dxa"/>
            <w:vAlign w:val="bottom"/>
          </w:tcPr>
          <w:p>
            <w:pPr>
              <w:jc w:val="right"/>
              <w:spacing w:after="0"/>
              <w:rPr>
                <w:sz w:val="20"/>
                <w:szCs w:val="20"/>
                <w:color w:val="auto"/>
              </w:rPr>
            </w:pPr>
            <w:r>
              <w:rPr>
                <w:rFonts w:ascii="Arial" w:cs="Arial" w:eastAsia="Arial" w:hAnsi="Arial"/>
                <w:sz w:val="16"/>
                <w:szCs w:val="16"/>
                <w:color w:val="auto"/>
              </w:rPr>
              <w:t>8,284</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16%</w:t>
            </w:r>
          </w:p>
        </w:tc>
      </w:tr>
      <w:tr>
        <w:trPr>
          <w:trHeight w:val="219"/>
        </w:trPr>
        <w:tc>
          <w:tcPr>
            <w:tcW w:w="46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Wyoming Electric</w:t>
            </w:r>
          </w:p>
        </w:tc>
        <w:tc>
          <w:tcPr>
            <w:tcW w:w="11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6,702</w:t>
            </w:r>
          </w:p>
        </w:tc>
        <w:tc>
          <w:tcPr>
            <w:tcW w:w="9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(6)%</w:t>
            </w:r>
          </w:p>
        </w:tc>
        <w:tc>
          <w:tcPr>
            <w:tcW w:w="22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6,771</w:t>
            </w:r>
          </w:p>
        </w:tc>
        <w:tc>
          <w:tcPr>
            <w:tcW w:w="1400" w:type="dxa"/>
            <w:vAlign w:val="bottom"/>
            <w:shd w:val="clear" w:color="auto" w:fill="CEFFE7"/>
          </w:tcPr>
          <w:p>
            <w:pPr>
              <w:jc w:val="center"/>
              <w:ind w:right="139"/>
              <w:spacing w:after="0"/>
              <w:rPr>
                <w:sz w:val="20"/>
                <w:szCs w:val="20"/>
                <w:color w:val="auto"/>
              </w:rPr>
            </w:pPr>
            <w:r>
              <w:rPr>
                <w:rFonts w:ascii="Arial" w:cs="Arial" w:eastAsia="Arial" w:hAnsi="Arial"/>
                <w:sz w:val="16"/>
                <w:szCs w:val="16"/>
                <w:color w:val="auto"/>
              </w:rPr>
              <w:t>(5)%</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7,406</w:t>
            </w:r>
          </w:p>
        </w:tc>
        <w:tc>
          <w:tcPr>
            <w:tcW w:w="11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4"/>
              </w:rPr>
              <w:t>1%</w:t>
            </w:r>
          </w:p>
        </w:tc>
      </w:tr>
      <w:tr>
        <w:trPr>
          <w:trHeight w:val="216"/>
        </w:trPr>
        <w:tc>
          <w:tcPr>
            <w:tcW w:w="468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5,974</w:t>
            </w:r>
          </w:p>
        </w:tc>
        <w:tc>
          <w:tcPr>
            <w:tcW w:w="960" w:type="dxa"/>
            <w:vAlign w:val="bottom"/>
          </w:tcPr>
          <w:p>
            <w:pPr>
              <w:jc w:val="center"/>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6,056</w:t>
            </w:r>
          </w:p>
        </w:tc>
        <w:tc>
          <w:tcPr>
            <w:tcW w:w="1400" w:type="dxa"/>
            <w:vAlign w:val="bottom"/>
          </w:tcPr>
          <w:p>
            <w:pPr>
              <w:jc w:val="center"/>
              <w:ind w:right="139"/>
              <w:spacing w:after="0"/>
              <w:rPr>
                <w:sz w:val="20"/>
                <w:szCs w:val="20"/>
                <w:color w:val="auto"/>
              </w:rPr>
            </w:pPr>
            <w:r>
              <w:rPr>
                <w:rFonts w:ascii="Arial" w:cs="Arial" w:eastAsia="Arial" w:hAnsi="Arial"/>
                <w:sz w:val="16"/>
                <w:szCs w:val="16"/>
                <w:color w:val="auto"/>
              </w:rPr>
              <w:t>(6)%</w:t>
            </w:r>
          </w:p>
        </w:tc>
        <w:tc>
          <w:tcPr>
            <w:tcW w:w="800" w:type="dxa"/>
            <w:vAlign w:val="bottom"/>
          </w:tcPr>
          <w:p>
            <w:pPr>
              <w:jc w:val="right"/>
              <w:spacing w:after="0"/>
              <w:rPr>
                <w:sz w:val="20"/>
                <w:szCs w:val="20"/>
                <w:color w:val="auto"/>
              </w:rPr>
            </w:pPr>
            <w:r>
              <w:rPr>
                <w:rFonts w:ascii="Arial" w:cs="Arial" w:eastAsia="Arial" w:hAnsi="Arial"/>
                <w:sz w:val="16"/>
                <w:szCs w:val="16"/>
                <w:color w:val="auto"/>
              </w:rPr>
              <w:t>6,813</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5%</w:t>
            </w:r>
          </w:p>
        </w:tc>
      </w:tr>
      <w:tr>
        <w:trPr>
          <w:trHeight w:val="257"/>
        </w:trPr>
        <w:tc>
          <w:tcPr>
            <w:tcW w:w="4680" w:type="dxa"/>
            <w:vAlign w:val="bottom"/>
            <w:shd w:val="clear" w:color="auto" w:fill="CEFFE7"/>
          </w:tcPr>
          <w:p>
            <w:pPr>
              <w:spacing w:after="0"/>
              <w:rPr>
                <w:sz w:val="22"/>
                <w:szCs w:val="22"/>
                <w:color w:val="auto"/>
              </w:rPr>
            </w:pPr>
          </w:p>
        </w:tc>
        <w:tc>
          <w:tcPr>
            <w:tcW w:w="1100" w:type="dxa"/>
            <w:vAlign w:val="bottom"/>
            <w:shd w:val="clear" w:color="auto" w:fill="CEFFE7"/>
          </w:tcPr>
          <w:p>
            <w:pPr>
              <w:spacing w:after="0"/>
              <w:rPr>
                <w:sz w:val="22"/>
                <w:szCs w:val="22"/>
                <w:color w:val="auto"/>
              </w:rPr>
            </w:pPr>
          </w:p>
        </w:tc>
        <w:tc>
          <w:tcPr>
            <w:tcW w:w="960" w:type="dxa"/>
            <w:vAlign w:val="bottom"/>
            <w:shd w:val="clear" w:color="auto" w:fill="CEFFE7"/>
          </w:tcPr>
          <w:p>
            <w:pPr>
              <w:spacing w:after="0"/>
              <w:rPr>
                <w:sz w:val="22"/>
                <w:szCs w:val="22"/>
                <w:color w:val="auto"/>
              </w:rPr>
            </w:pPr>
          </w:p>
        </w:tc>
        <w:tc>
          <w:tcPr>
            <w:tcW w:w="220" w:type="dxa"/>
            <w:vAlign w:val="bottom"/>
            <w:shd w:val="clear" w:color="auto" w:fill="CEFFE7"/>
          </w:tcPr>
          <w:p>
            <w:pPr>
              <w:spacing w:after="0"/>
              <w:rPr>
                <w:sz w:val="22"/>
                <w:szCs w:val="22"/>
                <w:color w:val="auto"/>
              </w:rPr>
            </w:pPr>
          </w:p>
        </w:tc>
        <w:tc>
          <w:tcPr>
            <w:tcW w:w="920" w:type="dxa"/>
            <w:vAlign w:val="bottom"/>
            <w:shd w:val="clear" w:color="auto" w:fill="CEFFE7"/>
          </w:tcPr>
          <w:p>
            <w:pPr>
              <w:spacing w:after="0"/>
              <w:rPr>
                <w:sz w:val="22"/>
                <w:szCs w:val="22"/>
                <w:color w:val="auto"/>
              </w:rPr>
            </w:pPr>
          </w:p>
        </w:tc>
        <w:tc>
          <w:tcPr>
            <w:tcW w:w="1400" w:type="dxa"/>
            <w:vAlign w:val="bottom"/>
            <w:shd w:val="clear" w:color="auto" w:fill="CEFFE7"/>
          </w:tcPr>
          <w:p>
            <w:pPr>
              <w:spacing w:after="0"/>
              <w:rPr>
                <w:sz w:val="22"/>
                <w:szCs w:val="22"/>
                <w:color w:val="auto"/>
              </w:rPr>
            </w:pPr>
          </w:p>
        </w:tc>
        <w:tc>
          <w:tcPr>
            <w:tcW w:w="800" w:type="dxa"/>
            <w:vAlign w:val="bottom"/>
            <w:shd w:val="clear" w:color="auto" w:fill="CEFFE7"/>
          </w:tcPr>
          <w:p>
            <w:pPr>
              <w:spacing w:after="0"/>
              <w:rPr>
                <w:sz w:val="22"/>
                <w:szCs w:val="22"/>
                <w:color w:val="auto"/>
              </w:rPr>
            </w:pPr>
          </w:p>
        </w:tc>
        <w:tc>
          <w:tcPr>
            <w:tcW w:w="1160" w:type="dxa"/>
            <w:vAlign w:val="bottom"/>
            <w:shd w:val="clear" w:color="auto" w:fill="CEFFE7"/>
          </w:tcPr>
          <w:p>
            <w:pPr>
              <w:spacing w:after="0"/>
              <w:rPr>
                <w:sz w:val="22"/>
                <w:szCs w:val="22"/>
                <w:color w:val="auto"/>
              </w:rPr>
            </w:pP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Cooling Degree Days: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46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Colorado Electric</w:t>
            </w:r>
          </w:p>
        </w:tc>
        <w:tc>
          <w:tcPr>
            <w:tcW w:w="11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1,245</w:t>
            </w:r>
          </w:p>
        </w:tc>
        <w:tc>
          <w:tcPr>
            <w:tcW w:w="9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39%</w:t>
            </w:r>
          </w:p>
        </w:tc>
        <w:tc>
          <w:tcPr>
            <w:tcW w:w="22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1,384</w:t>
            </w:r>
          </w:p>
        </w:tc>
        <w:tc>
          <w:tcPr>
            <w:tcW w:w="1400" w:type="dxa"/>
            <w:vAlign w:val="bottom"/>
            <w:shd w:val="clear" w:color="auto" w:fill="CEFFE7"/>
          </w:tcPr>
          <w:p>
            <w:pPr>
              <w:jc w:val="center"/>
              <w:ind w:right="159"/>
              <w:spacing w:after="0"/>
              <w:rPr>
                <w:sz w:val="20"/>
                <w:szCs w:val="20"/>
                <w:color w:val="auto"/>
              </w:rPr>
            </w:pPr>
            <w:r>
              <w:rPr>
                <w:rFonts w:ascii="Arial" w:cs="Arial" w:eastAsia="Arial" w:hAnsi="Arial"/>
                <w:sz w:val="16"/>
                <w:szCs w:val="16"/>
                <w:color w:val="auto"/>
                <w:w w:val="99"/>
              </w:rPr>
              <w:t>54%</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1,226</w:t>
            </w:r>
          </w:p>
        </w:tc>
        <w:tc>
          <w:tcPr>
            <w:tcW w:w="11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37%</w:t>
            </w: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South Dakota Electric</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827</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30%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682</w:t>
            </w:r>
          </w:p>
        </w:tc>
        <w:tc>
          <w:tcPr>
            <w:tcW w:w="1400" w:type="dxa"/>
            <w:vAlign w:val="bottom"/>
          </w:tcPr>
          <w:p>
            <w:pPr>
              <w:jc w:val="center"/>
              <w:ind w:right="159"/>
              <w:spacing w:after="0"/>
              <w:rPr>
                <w:sz w:val="20"/>
                <w:szCs w:val="20"/>
                <w:color w:val="auto"/>
              </w:rPr>
            </w:pPr>
            <w:r>
              <w:rPr>
                <w:rFonts w:ascii="Arial" w:cs="Arial" w:eastAsia="Arial" w:hAnsi="Arial"/>
                <w:sz w:val="16"/>
                <w:szCs w:val="16"/>
                <w:color w:val="auto"/>
              </w:rPr>
              <w:t>7%</w:t>
            </w:r>
          </w:p>
        </w:tc>
        <w:tc>
          <w:tcPr>
            <w:tcW w:w="800" w:type="dxa"/>
            <w:vAlign w:val="bottom"/>
          </w:tcPr>
          <w:p>
            <w:pPr>
              <w:jc w:val="right"/>
              <w:spacing w:after="0"/>
              <w:rPr>
                <w:sz w:val="20"/>
                <w:szCs w:val="20"/>
                <w:color w:val="auto"/>
              </w:rPr>
            </w:pPr>
            <w:r>
              <w:rPr>
                <w:rFonts w:ascii="Arial" w:cs="Arial" w:eastAsia="Arial" w:hAnsi="Arial"/>
                <w:sz w:val="16"/>
                <w:szCs w:val="16"/>
                <w:color w:val="auto"/>
              </w:rPr>
              <w:t>404</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(36)%</w:t>
            </w:r>
          </w:p>
        </w:tc>
      </w:tr>
      <w:tr>
        <w:trPr>
          <w:trHeight w:val="219"/>
        </w:trPr>
        <w:tc>
          <w:tcPr>
            <w:tcW w:w="46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Wyoming Electric</w:t>
            </w:r>
          </w:p>
        </w:tc>
        <w:tc>
          <w:tcPr>
            <w:tcW w:w="11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604</w:t>
            </w:r>
          </w:p>
        </w:tc>
        <w:tc>
          <w:tcPr>
            <w:tcW w:w="9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74%</w:t>
            </w:r>
          </w:p>
        </w:tc>
        <w:tc>
          <w:tcPr>
            <w:tcW w:w="22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594</w:t>
            </w:r>
          </w:p>
        </w:tc>
        <w:tc>
          <w:tcPr>
            <w:tcW w:w="1400" w:type="dxa"/>
            <w:vAlign w:val="bottom"/>
            <w:shd w:val="clear" w:color="auto" w:fill="CEFFE7"/>
          </w:tcPr>
          <w:p>
            <w:pPr>
              <w:jc w:val="center"/>
              <w:ind w:right="159"/>
              <w:spacing w:after="0"/>
              <w:rPr>
                <w:sz w:val="20"/>
                <w:szCs w:val="20"/>
                <w:color w:val="auto"/>
              </w:rPr>
            </w:pPr>
            <w:r>
              <w:rPr>
                <w:rFonts w:ascii="Arial" w:cs="Arial" w:eastAsia="Arial" w:hAnsi="Arial"/>
                <w:sz w:val="16"/>
                <w:szCs w:val="16"/>
                <w:color w:val="auto"/>
                <w:w w:val="99"/>
              </w:rPr>
              <w:t>71%</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462</w:t>
            </w:r>
          </w:p>
        </w:tc>
        <w:tc>
          <w:tcPr>
            <w:tcW w:w="11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33%</w:t>
            </w:r>
          </w:p>
        </w:tc>
      </w:tr>
      <w:tr>
        <w:trPr>
          <w:trHeight w:val="268"/>
        </w:trPr>
        <w:tc>
          <w:tcPr>
            <w:tcW w:w="4680" w:type="dxa"/>
            <w:vAlign w:val="bottom"/>
          </w:tcPr>
          <w:p>
            <w:pPr>
              <w:ind w:left="24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973</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40%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985</w:t>
            </w:r>
          </w:p>
        </w:tc>
        <w:tc>
          <w:tcPr>
            <w:tcW w:w="1400" w:type="dxa"/>
            <w:vAlign w:val="bottom"/>
          </w:tcPr>
          <w:p>
            <w:pPr>
              <w:jc w:val="center"/>
              <w:ind w:right="159"/>
              <w:spacing w:after="0"/>
              <w:rPr>
                <w:sz w:val="20"/>
                <w:szCs w:val="20"/>
                <w:color w:val="auto"/>
              </w:rPr>
            </w:pPr>
            <w:r>
              <w:rPr>
                <w:rFonts w:ascii="Arial" w:cs="Arial" w:eastAsia="Arial" w:hAnsi="Arial"/>
                <w:sz w:val="16"/>
                <w:szCs w:val="16"/>
                <w:color w:val="auto"/>
                <w:w w:val="99"/>
              </w:rPr>
              <w:t>41%</w:t>
            </w:r>
          </w:p>
        </w:tc>
        <w:tc>
          <w:tcPr>
            <w:tcW w:w="800" w:type="dxa"/>
            <w:vAlign w:val="bottom"/>
          </w:tcPr>
          <w:p>
            <w:pPr>
              <w:jc w:val="right"/>
              <w:spacing w:after="0"/>
              <w:rPr>
                <w:sz w:val="20"/>
                <w:szCs w:val="20"/>
                <w:color w:val="auto"/>
              </w:rPr>
            </w:pPr>
            <w:r>
              <w:rPr>
                <w:rFonts w:ascii="Arial" w:cs="Arial" w:eastAsia="Arial" w:hAnsi="Arial"/>
                <w:sz w:val="16"/>
                <w:szCs w:val="16"/>
                <w:color w:val="auto"/>
              </w:rPr>
              <w:t>791</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14%</w:t>
            </w:r>
          </w:p>
        </w:tc>
      </w:tr>
      <w:tr>
        <w:trPr>
          <w:trHeight w:val="196"/>
        </w:trPr>
        <w:tc>
          <w:tcPr>
            <w:tcW w:w="4680" w:type="dxa"/>
            <w:vAlign w:val="bottom"/>
          </w:tcPr>
          <w:p>
            <w:pPr>
              <w:spacing w:after="0"/>
              <w:rPr>
                <w:sz w:val="20"/>
                <w:szCs w:val="20"/>
                <w:color w:val="auto"/>
              </w:rPr>
            </w:pPr>
            <w:r>
              <w:rPr>
                <w:rFonts w:ascii="Arial" w:cs="Arial" w:eastAsia="Arial" w:hAnsi="Arial"/>
                <w:sz w:val="14"/>
                <w:szCs w:val="14"/>
                <w:color w:val="auto"/>
              </w:rPr>
              <w:t>____________________</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72"/>
        </w:trPr>
        <w:tc>
          <w:tcPr>
            <w:tcW w:w="5780" w:type="dxa"/>
            <w:vAlign w:val="bottom"/>
            <w:gridSpan w:val="2"/>
          </w:tcPr>
          <w:p>
            <w:pPr>
              <w:spacing w:after="0"/>
              <w:rPr>
                <w:sz w:val="20"/>
                <w:szCs w:val="20"/>
                <w:color w:val="auto"/>
              </w:rPr>
            </w:pPr>
            <w:r>
              <w:rPr>
                <w:rFonts w:ascii="Arial" w:cs="Arial" w:eastAsia="Arial" w:hAnsi="Arial"/>
                <w:sz w:val="14"/>
                <w:szCs w:val="14"/>
                <w:color w:val="auto"/>
              </w:rPr>
              <w:t>(a)  Degree days are calculated based on a weighted average of total customers by state.</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465"/>
        </w:trPr>
        <w:tc>
          <w:tcPr>
            <w:tcW w:w="4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4"/>
          </w:tcPr>
          <w:p>
            <w:pPr>
              <w:ind w:left="820"/>
              <w:spacing w:after="0"/>
              <w:rPr>
                <w:sz w:val="20"/>
                <w:szCs w:val="20"/>
                <w:color w:val="auto"/>
              </w:rPr>
            </w:pPr>
            <w:r>
              <w:rPr>
                <w:rFonts w:ascii="Arial" w:cs="Arial" w:eastAsia="Arial" w:hAnsi="Arial"/>
                <w:sz w:val="16"/>
                <w:szCs w:val="16"/>
                <w:color w:val="auto"/>
              </w:rPr>
              <w:t>For the year ended December 31,</w:t>
            </w:r>
          </w:p>
        </w:tc>
      </w:tr>
      <w:tr>
        <w:trPr>
          <w:trHeight w:val="215"/>
        </w:trPr>
        <w:tc>
          <w:tcPr>
            <w:tcW w:w="468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Contracted generating facilities Availability by fuel type</w:t>
            </w:r>
            <w:r>
              <w:rPr>
                <w:rFonts w:ascii="Arial" w:cs="Arial" w:eastAsia="Arial" w:hAnsi="Arial"/>
                <w:sz w:val="21"/>
                <w:szCs w:val="21"/>
                <w:color w:val="auto"/>
                <w:vertAlign w:val="superscript"/>
              </w:rPr>
              <w:t>(a)</w:t>
            </w:r>
          </w:p>
        </w:tc>
        <w:tc>
          <w:tcPr>
            <w:tcW w:w="1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2021</w:t>
            </w:r>
          </w:p>
        </w:tc>
        <w:tc>
          <w:tcPr>
            <w:tcW w:w="140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color w:val="auto"/>
              </w:rPr>
              <w:t>2020</w:t>
            </w:r>
          </w:p>
        </w:tc>
        <w:tc>
          <w:tcPr>
            <w:tcW w:w="8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color w:val="auto"/>
              </w:rPr>
              <w:t>2019</w:t>
            </w:r>
          </w:p>
        </w:tc>
      </w:tr>
      <w:tr>
        <w:trPr>
          <w:trHeight w:val="210"/>
        </w:trPr>
        <w:tc>
          <w:tcPr>
            <w:tcW w:w="4680" w:type="dxa"/>
            <w:vAlign w:val="bottom"/>
            <w:shd w:val="clear" w:color="auto" w:fill="CEFFE7"/>
          </w:tcPr>
          <w:p>
            <w:pPr>
              <w:ind w:left="20"/>
              <w:spacing w:after="0" w:line="210"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(b)</w:t>
            </w:r>
          </w:p>
        </w:tc>
        <w:tc>
          <w:tcPr>
            <w:tcW w:w="1100" w:type="dxa"/>
            <w:vAlign w:val="bottom"/>
            <w:shd w:val="clear" w:color="auto" w:fill="CEFFE7"/>
          </w:tcPr>
          <w:p>
            <w:pPr>
              <w:spacing w:after="0"/>
              <w:rPr>
                <w:sz w:val="18"/>
                <w:szCs w:val="18"/>
                <w:color w:val="auto"/>
              </w:rPr>
            </w:pPr>
          </w:p>
        </w:tc>
        <w:tc>
          <w:tcPr>
            <w:tcW w:w="96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920" w:type="dxa"/>
            <w:vAlign w:val="bottom"/>
            <w:shd w:val="clear" w:color="auto" w:fill="CEFFE7"/>
          </w:tcPr>
          <w:p>
            <w:pPr>
              <w:jc w:val="center"/>
              <w:ind w:left="59"/>
              <w:spacing w:after="0"/>
              <w:rPr>
                <w:sz w:val="20"/>
                <w:szCs w:val="20"/>
                <w:color w:val="auto"/>
              </w:rPr>
            </w:pPr>
            <w:r>
              <w:rPr>
                <w:rFonts w:ascii="Arial" w:cs="Arial" w:eastAsia="Arial" w:hAnsi="Arial"/>
                <w:sz w:val="16"/>
                <w:szCs w:val="16"/>
                <w:color w:val="auto"/>
              </w:rPr>
              <w:t>86.7%</w:t>
            </w:r>
          </w:p>
        </w:tc>
        <w:tc>
          <w:tcPr>
            <w:tcW w:w="1400" w:type="dxa"/>
            <w:vAlign w:val="bottom"/>
            <w:shd w:val="clear" w:color="auto" w:fill="CEFFE7"/>
          </w:tcPr>
          <w:p>
            <w:pPr>
              <w:jc w:val="center"/>
              <w:ind w:left="739"/>
              <w:spacing w:after="0"/>
              <w:rPr>
                <w:sz w:val="20"/>
                <w:szCs w:val="20"/>
                <w:color w:val="auto"/>
              </w:rPr>
            </w:pPr>
            <w:r>
              <w:rPr>
                <w:rFonts w:ascii="Arial" w:cs="Arial" w:eastAsia="Arial" w:hAnsi="Arial"/>
                <w:sz w:val="16"/>
                <w:szCs w:val="16"/>
                <w:color w:val="auto"/>
              </w:rPr>
              <w:t>94.3%</w:t>
            </w:r>
          </w:p>
        </w:tc>
        <w:tc>
          <w:tcPr>
            <w:tcW w:w="800" w:type="dxa"/>
            <w:vAlign w:val="bottom"/>
            <w:shd w:val="clear" w:color="auto" w:fill="CEFFE7"/>
          </w:tcPr>
          <w:p>
            <w:pPr>
              <w:spacing w:after="0"/>
              <w:rPr>
                <w:sz w:val="18"/>
                <w:szCs w:val="18"/>
                <w:color w:val="auto"/>
              </w:rPr>
            </w:pPr>
          </w:p>
        </w:tc>
        <w:tc>
          <w:tcPr>
            <w:tcW w:w="1160" w:type="dxa"/>
            <w:vAlign w:val="bottom"/>
            <w:shd w:val="clear" w:color="auto" w:fill="CEFFE7"/>
          </w:tcPr>
          <w:p>
            <w:pPr>
              <w:jc w:val="center"/>
              <w:ind w:right="259"/>
              <w:spacing w:after="0"/>
              <w:rPr>
                <w:sz w:val="20"/>
                <w:szCs w:val="20"/>
                <w:color w:val="auto"/>
              </w:rPr>
            </w:pPr>
            <w:r>
              <w:rPr>
                <w:rFonts w:ascii="Arial" w:cs="Arial" w:eastAsia="Arial" w:hAnsi="Arial"/>
                <w:sz w:val="16"/>
                <w:szCs w:val="16"/>
                <w:color w:val="auto"/>
              </w:rPr>
              <w:t>92.4%</w:t>
            </w:r>
          </w:p>
        </w:tc>
      </w:tr>
      <w:tr>
        <w:trPr>
          <w:trHeight w:val="216"/>
        </w:trPr>
        <w:tc>
          <w:tcPr>
            <w:tcW w:w="46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and diesel oil </w:t>
            </w:r>
            <w:r>
              <w:rPr>
                <w:rFonts w:ascii="Arial" w:cs="Arial" w:eastAsia="Arial" w:hAnsi="Arial"/>
                <w:sz w:val="21"/>
                <w:szCs w:val="21"/>
                <w:color w:val="auto"/>
                <w:vertAlign w:val="superscript"/>
              </w:rPr>
              <w:t>(c)</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left="59"/>
              <w:spacing w:after="0"/>
              <w:rPr>
                <w:sz w:val="20"/>
                <w:szCs w:val="20"/>
                <w:color w:val="auto"/>
              </w:rPr>
            </w:pPr>
            <w:r>
              <w:rPr>
                <w:rFonts w:ascii="Arial" w:cs="Arial" w:eastAsia="Arial" w:hAnsi="Arial"/>
                <w:sz w:val="16"/>
                <w:szCs w:val="16"/>
                <w:color w:val="auto"/>
              </w:rPr>
              <w:t>95.5%</w:t>
            </w:r>
          </w:p>
        </w:tc>
        <w:tc>
          <w:tcPr>
            <w:tcW w:w="1400" w:type="dxa"/>
            <w:vAlign w:val="bottom"/>
          </w:tcPr>
          <w:p>
            <w:pPr>
              <w:jc w:val="center"/>
              <w:ind w:left="739"/>
              <w:spacing w:after="0"/>
              <w:rPr>
                <w:sz w:val="20"/>
                <w:szCs w:val="20"/>
                <w:color w:val="auto"/>
              </w:rPr>
            </w:pPr>
            <w:r>
              <w:rPr>
                <w:rFonts w:ascii="Arial" w:cs="Arial" w:eastAsia="Arial" w:hAnsi="Arial"/>
                <w:sz w:val="16"/>
                <w:szCs w:val="16"/>
                <w:color w:val="auto"/>
              </w:rPr>
              <w:t>84.6%</w:t>
            </w:r>
          </w:p>
        </w:tc>
        <w:tc>
          <w:tcPr>
            <w:tcW w:w="800" w:type="dxa"/>
            <w:vAlign w:val="bottom"/>
          </w:tcPr>
          <w:p>
            <w:pPr>
              <w:spacing w:after="0"/>
              <w:rPr>
                <w:sz w:val="18"/>
                <w:szCs w:val="18"/>
                <w:color w:val="auto"/>
              </w:rPr>
            </w:pPr>
          </w:p>
        </w:tc>
        <w:tc>
          <w:tcPr>
            <w:tcW w:w="1160" w:type="dxa"/>
            <w:vAlign w:val="bottom"/>
          </w:tcPr>
          <w:p>
            <w:pPr>
              <w:jc w:val="center"/>
              <w:ind w:right="259"/>
              <w:spacing w:after="0"/>
              <w:rPr>
                <w:sz w:val="20"/>
                <w:szCs w:val="20"/>
                <w:color w:val="auto"/>
              </w:rPr>
            </w:pPr>
            <w:r>
              <w:rPr>
                <w:rFonts w:ascii="Arial" w:cs="Arial" w:eastAsia="Arial" w:hAnsi="Arial"/>
                <w:sz w:val="16"/>
                <w:szCs w:val="16"/>
                <w:color w:val="auto"/>
              </w:rPr>
              <w:t>90.5%</w:t>
            </w:r>
          </w:p>
        </w:tc>
      </w:tr>
      <w:tr>
        <w:trPr>
          <w:trHeight w:val="216"/>
        </w:trPr>
        <w:tc>
          <w:tcPr>
            <w:tcW w:w="4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1100" w:type="dxa"/>
            <w:vAlign w:val="bottom"/>
            <w:shd w:val="clear" w:color="auto" w:fill="CEFFE7"/>
          </w:tcPr>
          <w:p>
            <w:pPr>
              <w:spacing w:after="0"/>
              <w:rPr>
                <w:sz w:val="18"/>
                <w:szCs w:val="18"/>
                <w:color w:val="auto"/>
              </w:rPr>
            </w:pPr>
          </w:p>
        </w:tc>
        <w:tc>
          <w:tcPr>
            <w:tcW w:w="96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920" w:type="dxa"/>
            <w:vAlign w:val="bottom"/>
            <w:shd w:val="clear" w:color="auto" w:fill="CEFFE7"/>
          </w:tcPr>
          <w:p>
            <w:pPr>
              <w:jc w:val="center"/>
              <w:ind w:left="59"/>
              <w:spacing w:after="0"/>
              <w:rPr>
                <w:sz w:val="20"/>
                <w:szCs w:val="20"/>
                <w:color w:val="auto"/>
              </w:rPr>
            </w:pPr>
            <w:r>
              <w:rPr>
                <w:rFonts w:ascii="Arial" w:cs="Arial" w:eastAsia="Arial" w:hAnsi="Arial"/>
                <w:sz w:val="16"/>
                <w:szCs w:val="16"/>
                <w:color w:val="auto"/>
              </w:rPr>
              <w:t>95.8%</w:t>
            </w:r>
          </w:p>
        </w:tc>
        <w:tc>
          <w:tcPr>
            <w:tcW w:w="1400" w:type="dxa"/>
            <w:vAlign w:val="bottom"/>
            <w:shd w:val="clear" w:color="auto" w:fill="CEFFE7"/>
          </w:tcPr>
          <w:p>
            <w:pPr>
              <w:jc w:val="center"/>
              <w:ind w:left="739"/>
              <w:spacing w:after="0"/>
              <w:rPr>
                <w:sz w:val="20"/>
                <w:szCs w:val="20"/>
                <w:color w:val="auto"/>
              </w:rPr>
            </w:pPr>
            <w:r>
              <w:rPr>
                <w:rFonts w:ascii="Arial" w:cs="Arial" w:eastAsia="Arial" w:hAnsi="Arial"/>
                <w:sz w:val="16"/>
                <w:szCs w:val="16"/>
                <w:color w:val="auto"/>
              </w:rPr>
              <w:t>95.1%</w:t>
            </w:r>
          </w:p>
        </w:tc>
        <w:tc>
          <w:tcPr>
            <w:tcW w:w="800" w:type="dxa"/>
            <w:vAlign w:val="bottom"/>
            <w:shd w:val="clear" w:color="auto" w:fill="CEFFE7"/>
          </w:tcPr>
          <w:p>
            <w:pPr>
              <w:spacing w:after="0"/>
              <w:rPr>
                <w:sz w:val="18"/>
                <w:szCs w:val="18"/>
                <w:color w:val="auto"/>
              </w:rPr>
            </w:pPr>
          </w:p>
        </w:tc>
        <w:tc>
          <w:tcPr>
            <w:tcW w:w="1160" w:type="dxa"/>
            <w:vAlign w:val="bottom"/>
            <w:shd w:val="clear" w:color="auto" w:fill="CEFFE7"/>
          </w:tcPr>
          <w:p>
            <w:pPr>
              <w:jc w:val="center"/>
              <w:ind w:right="259"/>
              <w:spacing w:after="0"/>
              <w:rPr>
                <w:sz w:val="20"/>
                <w:szCs w:val="20"/>
                <w:color w:val="auto"/>
              </w:rPr>
            </w:pPr>
            <w:r>
              <w:rPr>
                <w:rFonts w:ascii="Arial" w:cs="Arial" w:eastAsia="Arial" w:hAnsi="Arial"/>
                <w:sz w:val="16"/>
                <w:szCs w:val="16"/>
                <w:color w:val="auto"/>
              </w:rPr>
              <w:t>89.5%</w:t>
            </w: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left="59"/>
              <w:spacing w:after="0"/>
              <w:rPr>
                <w:sz w:val="20"/>
                <w:szCs w:val="20"/>
                <w:color w:val="auto"/>
              </w:rPr>
            </w:pPr>
            <w:r>
              <w:rPr>
                <w:rFonts w:ascii="Arial" w:cs="Arial" w:eastAsia="Arial" w:hAnsi="Arial"/>
                <w:sz w:val="16"/>
                <w:szCs w:val="16"/>
                <w:color w:val="auto"/>
              </w:rPr>
              <w:t>93.2%</w:t>
            </w:r>
          </w:p>
        </w:tc>
        <w:tc>
          <w:tcPr>
            <w:tcW w:w="1400" w:type="dxa"/>
            <w:vAlign w:val="bottom"/>
          </w:tcPr>
          <w:p>
            <w:pPr>
              <w:jc w:val="center"/>
              <w:ind w:left="739"/>
              <w:spacing w:after="0"/>
              <w:rPr>
                <w:sz w:val="20"/>
                <w:szCs w:val="20"/>
                <w:color w:val="auto"/>
              </w:rPr>
            </w:pPr>
            <w:r>
              <w:rPr>
                <w:rFonts w:ascii="Arial" w:cs="Arial" w:eastAsia="Arial" w:hAnsi="Arial"/>
                <w:sz w:val="16"/>
                <w:szCs w:val="16"/>
                <w:color w:val="auto"/>
              </w:rPr>
              <w:t>89.2%</w:t>
            </w:r>
          </w:p>
        </w:tc>
        <w:tc>
          <w:tcPr>
            <w:tcW w:w="800" w:type="dxa"/>
            <w:vAlign w:val="bottom"/>
          </w:tcPr>
          <w:p>
            <w:pPr>
              <w:spacing w:after="0"/>
              <w:rPr>
                <w:sz w:val="18"/>
                <w:szCs w:val="18"/>
                <w:color w:val="auto"/>
              </w:rPr>
            </w:pPr>
          </w:p>
        </w:tc>
        <w:tc>
          <w:tcPr>
            <w:tcW w:w="1160" w:type="dxa"/>
            <w:vAlign w:val="bottom"/>
          </w:tcPr>
          <w:p>
            <w:pPr>
              <w:jc w:val="center"/>
              <w:ind w:right="259"/>
              <w:spacing w:after="0"/>
              <w:rPr>
                <w:sz w:val="20"/>
                <w:szCs w:val="20"/>
                <w:color w:val="auto"/>
              </w:rPr>
            </w:pPr>
            <w:r>
              <w:rPr>
                <w:rFonts w:ascii="Arial" w:cs="Arial" w:eastAsia="Arial" w:hAnsi="Arial"/>
                <w:sz w:val="16"/>
                <w:szCs w:val="16"/>
                <w:color w:val="auto"/>
              </w:rPr>
              <w:t>90.9%</w:t>
            </w:r>
          </w:p>
        </w:tc>
      </w:tr>
      <w:tr>
        <w:trPr>
          <w:trHeight w:val="273"/>
        </w:trPr>
        <w:tc>
          <w:tcPr>
            <w:tcW w:w="4680" w:type="dxa"/>
            <w:vAlign w:val="bottom"/>
            <w:shd w:val="clear" w:color="auto" w:fill="CEFFE7"/>
          </w:tcPr>
          <w:p>
            <w:pPr>
              <w:spacing w:after="0"/>
              <w:rPr>
                <w:sz w:val="23"/>
                <w:szCs w:val="23"/>
                <w:color w:val="auto"/>
              </w:rPr>
            </w:pPr>
          </w:p>
        </w:tc>
        <w:tc>
          <w:tcPr>
            <w:tcW w:w="110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920" w:type="dxa"/>
            <w:vAlign w:val="bottom"/>
            <w:shd w:val="clear" w:color="auto" w:fill="CEFFE7"/>
          </w:tcPr>
          <w:p>
            <w:pPr>
              <w:spacing w:after="0"/>
              <w:rPr>
                <w:sz w:val="23"/>
                <w:szCs w:val="23"/>
                <w:color w:val="auto"/>
              </w:rPr>
            </w:pPr>
          </w:p>
        </w:tc>
        <w:tc>
          <w:tcPr>
            <w:tcW w:w="1400" w:type="dxa"/>
            <w:vAlign w:val="bottom"/>
            <w:shd w:val="clear" w:color="auto" w:fill="CEFFE7"/>
          </w:tcPr>
          <w:p>
            <w:pPr>
              <w:spacing w:after="0"/>
              <w:rPr>
                <w:sz w:val="23"/>
                <w:szCs w:val="23"/>
                <w:color w:val="auto"/>
              </w:rPr>
            </w:pPr>
          </w:p>
        </w:tc>
        <w:tc>
          <w:tcPr>
            <w:tcW w:w="800" w:type="dxa"/>
            <w:vAlign w:val="bottom"/>
            <w:shd w:val="clear" w:color="auto" w:fill="CEFFE7"/>
          </w:tcPr>
          <w:p>
            <w:pPr>
              <w:spacing w:after="0"/>
              <w:rPr>
                <w:sz w:val="23"/>
                <w:szCs w:val="23"/>
                <w:color w:val="auto"/>
              </w:rPr>
            </w:pPr>
          </w:p>
        </w:tc>
        <w:tc>
          <w:tcPr>
            <w:tcW w:w="1160" w:type="dxa"/>
            <w:vAlign w:val="bottom"/>
            <w:shd w:val="clear" w:color="auto" w:fill="CEFFE7"/>
          </w:tcPr>
          <w:p>
            <w:pPr>
              <w:spacing w:after="0"/>
              <w:rPr>
                <w:sz w:val="23"/>
                <w:szCs w:val="23"/>
                <w:color w:val="auto"/>
              </w:rPr>
            </w:pPr>
          </w:p>
        </w:tc>
      </w:tr>
      <w:tr>
        <w:trPr>
          <w:trHeight w:val="210"/>
        </w:trPr>
        <w:tc>
          <w:tcPr>
            <w:tcW w:w="4680" w:type="dxa"/>
            <w:vAlign w:val="bottom"/>
          </w:tcPr>
          <w:p>
            <w:pPr>
              <w:ind w:left="20"/>
              <w:spacing w:after="0"/>
              <w:rPr>
                <w:sz w:val="20"/>
                <w:szCs w:val="20"/>
                <w:color w:val="auto"/>
              </w:rPr>
            </w:pPr>
            <w:r>
              <w:rPr>
                <w:rFonts w:ascii="Arial" w:cs="Arial" w:eastAsia="Arial" w:hAnsi="Arial"/>
                <w:sz w:val="16"/>
                <w:szCs w:val="16"/>
                <w:color w:val="auto"/>
              </w:rPr>
              <w:t>Wind Capacity Factor</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left="59"/>
              <w:spacing w:after="0"/>
              <w:rPr>
                <w:sz w:val="20"/>
                <w:szCs w:val="20"/>
                <w:color w:val="auto"/>
              </w:rPr>
            </w:pPr>
            <w:r>
              <w:rPr>
                <w:rFonts w:ascii="Arial" w:cs="Arial" w:eastAsia="Arial" w:hAnsi="Arial"/>
                <w:sz w:val="16"/>
                <w:szCs w:val="16"/>
                <w:color w:val="auto"/>
              </w:rPr>
              <w:t>34.0%</w:t>
            </w:r>
          </w:p>
        </w:tc>
        <w:tc>
          <w:tcPr>
            <w:tcW w:w="1400" w:type="dxa"/>
            <w:vAlign w:val="bottom"/>
          </w:tcPr>
          <w:p>
            <w:pPr>
              <w:jc w:val="center"/>
              <w:ind w:left="739"/>
              <w:spacing w:after="0"/>
              <w:rPr>
                <w:sz w:val="20"/>
                <w:szCs w:val="20"/>
                <w:color w:val="auto"/>
              </w:rPr>
            </w:pPr>
            <w:r>
              <w:rPr>
                <w:rFonts w:ascii="Arial" w:cs="Arial" w:eastAsia="Arial" w:hAnsi="Arial"/>
                <w:sz w:val="16"/>
                <w:szCs w:val="16"/>
                <w:color w:val="auto"/>
              </w:rPr>
              <w:t>31.8%</w:t>
            </w:r>
          </w:p>
        </w:tc>
        <w:tc>
          <w:tcPr>
            <w:tcW w:w="800" w:type="dxa"/>
            <w:vAlign w:val="bottom"/>
          </w:tcPr>
          <w:p>
            <w:pPr>
              <w:spacing w:after="0"/>
              <w:rPr>
                <w:sz w:val="18"/>
                <w:szCs w:val="18"/>
                <w:color w:val="auto"/>
              </w:rPr>
            </w:pPr>
          </w:p>
        </w:tc>
        <w:tc>
          <w:tcPr>
            <w:tcW w:w="1160" w:type="dxa"/>
            <w:vAlign w:val="bottom"/>
          </w:tcPr>
          <w:p>
            <w:pPr>
              <w:jc w:val="center"/>
              <w:ind w:right="259"/>
              <w:spacing w:after="0"/>
              <w:rPr>
                <w:sz w:val="20"/>
                <w:szCs w:val="20"/>
                <w:color w:val="auto"/>
              </w:rPr>
            </w:pPr>
            <w:r>
              <w:rPr>
                <w:rFonts w:ascii="Arial" w:cs="Arial" w:eastAsia="Arial" w:hAnsi="Arial"/>
                <w:sz w:val="16"/>
                <w:szCs w:val="16"/>
                <w:color w:val="auto"/>
              </w:rPr>
              <w:t>30.9%</w:t>
            </w:r>
          </w:p>
        </w:tc>
      </w:tr>
      <w:tr>
        <w:trPr>
          <w:trHeight w:val="267"/>
        </w:trPr>
        <w:tc>
          <w:tcPr>
            <w:tcW w:w="4680" w:type="dxa"/>
            <w:vAlign w:val="bottom"/>
          </w:tcPr>
          <w:p>
            <w:pPr>
              <w:spacing w:after="0"/>
              <w:rPr>
                <w:sz w:val="20"/>
                <w:szCs w:val="20"/>
                <w:color w:val="auto"/>
              </w:rPr>
            </w:pPr>
            <w:r>
              <w:rPr>
                <w:rFonts w:ascii="Arial" w:cs="Arial" w:eastAsia="Arial" w:hAnsi="Arial"/>
                <w:sz w:val="14"/>
                <w:szCs w:val="14"/>
                <w:color w:val="auto"/>
              </w:rPr>
              <w:t>____________________</w:t>
            </w:r>
          </w:p>
        </w:tc>
        <w:tc>
          <w:tcPr>
            <w:tcW w:w="1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2021 included planned outages at Neil Simpson II, Wygen II, and Wygen III and unplanned outages at Wygen I, Neil Simpson II and Wyodak Plant.</w:t>
      </w:r>
    </w:p>
    <w:p>
      <w:pPr>
        <w:spacing w:after="0" w:line="1" w:lineRule="exact"/>
        <w:rPr>
          <w:rFonts w:ascii="Arial" w:cs="Arial" w:eastAsia="Arial" w:hAnsi="Arial"/>
          <w:sz w:val="14"/>
          <w:szCs w:val="14"/>
          <w:color w:val="auto"/>
        </w:rPr>
      </w:pPr>
    </w:p>
    <w:p>
      <w:pPr>
        <w:ind w:left="340" w:right="80" w:hanging="332"/>
        <w:spacing w:after="0" w:line="258" w:lineRule="auto"/>
        <w:tabs>
          <w:tab w:leader="none" w:pos="344" w:val="left"/>
        </w:tabs>
        <w:numPr>
          <w:ilvl w:val="0"/>
          <w:numId w:val="31"/>
        </w:numPr>
        <w:rPr>
          <w:rFonts w:ascii="Arial" w:cs="Arial" w:eastAsia="Arial" w:hAnsi="Arial"/>
          <w:sz w:val="14"/>
          <w:szCs w:val="14"/>
          <w:color w:val="auto"/>
        </w:rPr>
      </w:pPr>
      <w:r>
        <w:rPr>
          <w:rFonts w:ascii="Arial" w:cs="Arial" w:eastAsia="Arial" w:hAnsi="Arial"/>
          <w:sz w:val="14"/>
          <w:szCs w:val="14"/>
          <w:color w:val="auto"/>
        </w:rPr>
        <w:t>2020 included a planned outage at Cheyenne Prairie and unplanned outages at Pueblo Airport Generation and Lange CT. 2019 included planned outages at Neil Simpson CT and Lange 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4"/>
        </w:trPr>
        <w:tc>
          <w:tcPr>
            <w:tcW w:w="3700" w:type="dxa"/>
            <w:vAlign w:val="bottom"/>
            <w:gridSpan w:val="4"/>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4"/>
        </w:trPr>
        <w:tc>
          <w:tcPr>
            <w:tcW w:w="1360" w:type="dxa"/>
            <w:vAlign w:val="bottom"/>
            <w:tcBorders>
              <w:top w:val="single" w:sz="8" w:color="0000FF"/>
            </w:tcBorders>
            <w:gridSpan w:val="2"/>
          </w:tcPr>
          <w:p>
            <w:pPr>
              <w:spacing w:after="0"/>
              <w:rPr>
                <w:sz w:val="20"/>
                <w:szCs w:val="20"/>
                <w:color w:val="auto"/>
              </w:rPr>
            </w:pPr>
            <w:r>
              <w:rPr>
                <w:rFonts w:ascii="Arial" w:cs="Arial" w:eastAsia="Arial" w:hAnsi="Arial"/>
                <w:sz w:val="16"/>
                <w:szCs w:val="16"/>
                <w:b w:val="1"/>
                <w:bCs w:val="1"/>
                <w:color w:val="auto"/>
              </w:rPr>
              <w:t>Gas Utilities</w:t>
            </w:r>
          </w:p>
        </w:tc>
        <w:tc>
          <w:tcPr>
            <w:tcW w:w="234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20" w:type="dxa"/>
            <w:vAlign w:val="bottom"/>
            <w:gridSpan w:val="10"/>
          </w:tcPr>
          <w:p>
            <w:pPr>
              <w:spacing w:after="0"/>
              <w:rPr>
                <w:sz w:val="20"/>
                <w:szCs w:val="20"/>
                <w:color w:val="auto"/>
              </w:rPr>
            </w:pPr>
            <w:r>
              <w:rPr>
                <w:rFonts w:ascii="Arial" w:cs="Arial" w:eastAsia="Arial" w:hAnsi="Arial"/>
                <w:sz w:val="16"/>
                <w:szCs w:val="16"/>
                <w:color w:val="auto"/>
              </w:rPr>
              <w:t>Operating results for the years ended December 31 for the Gas Utilities were as follows (in thousands):</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2021 vs 2020</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2020 vs 2019</w:t>
            </w:r>
          </w:p>
        </w:tc>
        <w:tc>
          <w:tcPr>
            <w:tcW w:w="0" w:type="dxa"/>
            <w:vAlign w:val="bottom"/>
          </w:tcPr>
          <w:p>
            <w:pPr>
              <w:spacing w:after="0"/>
              <w:rPr>
                <w:sz w:val="1"/>
                <w:szCs w:val="1"/>
                <w:color w:val="auto"/>
              </w:rPr>
            </w:pPr>
          </w:p>
        </w:tc>
      </w:tr>
      <w:tr>
        <w:trPr>
          <w:trHeight w:val="198"/>
        </w:trPr>
        <w:tc>
          <w:tcPr>
            <w:tcW w:w="1280" w:type="dxa"/>
            <w:vAlign w:val="bottom"/>
            <w:tcBorders>
              <w:bottom w:val="single" w:sz="8" w:color="CEFFE7"/>
            </w:tcBorders>
          </w:tcPr>
          <w:p>
            <w:pPr>
              <w:spacing w:after="0"/>
              <w:rPr>
                <w:sz w:val="17"/>
                <w:szCs w:val="17"/>
                <w:color w:val="auto"/>
              </w:rPr>
            </w:pPr>
          </w:p>
        </w:tc>
        <w:tc>
          <w:tcPr>
            <w:tcW w:w="80" w:type="dxa"/>
            <w:vAlign w:val="bottom"/>
            <w:tcBorders>
              <w:bottom w:val="single" w:sz="8" w:color="CEFFE7"/>
            </w:tcBorders>
          </w:tcPr>
          <w:p>
            <w:pPr>
              <w:spacing w:after="0"/>
              <w:rPr>
                <w:sz w:val="17"/>
                <w:szCs w:val="17"/>
                <w:color w:val="auto"/>
              </w:rPr>
            </w:pPr>
          </w:p>
        </w:tc>
        <w:tc>
          <w:tcPr>
            <w:tcW w:w="400" w:type="dxa"/>
            <w:vAlign w:val="bottom"/>
            <w:tcBorders>
              <w:bottom w:val="single" w:sz="8" w:color="CEFFE7"/>
            </w:tcBorders>
          </w:tcPr>
          <w:p>
            <w:pPr>
              <w:spacing w:after="0"/>
              <w:rPr>
                <w:sz w:val="17"/>
                <w:szCs w:val="17"/>
                <w:color w:val="auto"/>
              </w:rPr>
            </w:pPr>
          </w:p>
        </w:tc>
        <w:tc>
          <w:tcPr>
            <w:tcW w:w="1940" w:type="dxa"/>
            <w:vAlign w:val="bottom"/>
            <w:tcBorders>
              <w:bottom w:val="single" w:sz="8" w:color="CEFFE7"/>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Variance</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color w:val="auto"/>
              </w:rPr>
              <w:t>2019</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Variance</w:t>
            </w:r>
          </w:p>
        </w:tc>
        <w:tc>
          <w:tcPr>
            <w:tcW w:w="0" w:type="dxa"/>
            <w:vAlign w:val="bottom"/>
          </w:tcPr>
          <w:p>
            <w:pPr>
              <w:spacing w:after="0"/>
              <w:rPr>
                <w:sz w:val="1"/>
                <w:szCs w:val="1"/>
                <w:color w:val="auto"/>
              </w:rPr>
            </w:pPr>
          </w:p>
        </w:tc>
      </w:tr>
      <w:tr>
        <w:trPr>
          <w:trHeight w:val="199"/>
        </w:trPr>
        <w:tc>
          <w:tcPr>
            <w:tcW w:w="370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CEFFE7"/>
          </w:tcPr>
          <w:p>
            <w:pPr>
              <w:spacing w:after="0"/>
              <w:rPr>
                <w:sz w:val="17"/>
                <w:szCs w:val="17"/>
                <w:color w:val="auto"/>
              </w:rPr>
            </w:pPr>
          </w:p>
        </w:tc>
        <w:tc>
          <w:tcPr>
            <w:tcW w:w="1100" w:type="dxa"/>
            <w:vAlign w:val="bottom"/>
            <w:shd w:val="clear" w:color="auto" w:fill="CEFFE7"/>
          </w:tcPr>
          <w:p>
            <w:pPr>
              <w:spacing w:after="0"/>
              <w:rPr>
                <w:sz w:val="17"/>
                <w:szCs w:val="17"/>
                <w:color w:val="auto"/>
              </w:rPr>
            </w:pPr>
          </w:p>
        </w:tc>
        <w:tc>
          <w:tcPr>
            <w:tcW w:w="36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132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480" w:type="dxa"/>
            <w:vAlign w:val="bottom"/>
            <w:shd w:val="clear" w:color="auto" w:fill="CEFFE7"/>
          </w:tcPr>
          <w:p>
            <w:pPr>
              <w:spacing w:after="0"/>
              <w:rPr>
                <w:sz w:val="17"/>
                <w:szCs w:val="17"/>
                <w:color w:val="auto"/>
              </w:rPr>
            </w:pPr>
          </w:p>
        </w:tc>
        <w:tc>
          <w:tcPr>
            <w:tcW w:w="66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132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00" w:type="dxa"/>
            <w:vAlign w:val="bottom"/>
            <w:gridSpan w:val="4"/>
          </w:tcPr>
          <w:p>
            <w:pPr>
              <w:ind w:left="140"/>
              <w:spacing w:after="0"/>
              <w:rPr>
                <w:sz w:val="20"/>
                <w:szCs w:val="20"/>
                <w:color w:val="auto"/>
              </w:rPr>
            </w:pPr>
            <w:r>
              <w:rPr>
                <w:rFonts w:ascii="Arial" w:cs="Arial" w:eastAsia="Arial" w:hAnsi="Arial"/>
                <w:sz w:val="16"/>
                <w:szCs w:val="16"/>
                <w:color w:val="auto"/>
              </w:rPr>
              <w:t>Natural gas - regulated</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1,051,610</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900,637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150,973</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932,111</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(31,474)</w:t>
            </w:r>
          </w:p>
        </w:tc>
        <w:tc>
          <w:tcPr>
            <w:tcW w:w="0" w:type="dxa"/>
            <w:vAlign w:val="bottom"/>
          </w:tcPr>
          <w:p>
            <w:pPr>
              <w:spacing w:after="0"/>
              <w:rPr>
                <w:sz w:val="1"/>
                <w:szCs w:val="1"/>
                <w:color w:val="auto"/>
              </w:rPr>
            </w:pPr>
          </w:p>
        </w:tc>
      </w:tr>
      <w:tr>
        <w:trPr>
          <w:trHeight w:val="216"/>
        </w:trPr>
        <w:tc>
          <w:tcPr>
            <w:tcW w:w="3700" w:type="dxa"/>
            <w:vAlign w:val="bottom"/>
            <w:gridSpan w:val="4"/>
            <w:shd w:val="clear" w:color="auto" w:fill="CEFFE7"/>
          </w:tcPr>
          <w:p>
            <w:pPr>
              <w:ind w:left="140"/>
              <w:spacing w:after="0"/>
              <w:rPr>
                <w:sz w:val="20"/>
                <w:szCs w:val="20"/>
                <w:color w:val="auto"/>
              </w:rPr>
            </w:pPr>
            <w:r>
              <w:rPr>
                <w:rFonts w:ascii="Arial" w:cs="Arial" w:eastAsia="Arial" w:hAnsi="Arial"/>
                <w:sz w:val="16"/>
                <w:szCs w:val="16"/>
                <w:color w:val="auto"/>
              </w:rPr>
              <w:t>Other - non-regulated services</w:t>
            </w:r>
          </w:p>
        </w:tc>
        <w:tc>
          <w:tcPr>
            <w:tcW w:w="40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73,255</w:t>
            </w:r>
          </w:p>
        </w:tc>
        <w:tc>
          <w:tcPr>
            <w:tcW w:w="36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74,033</w:t>
            </w:r>
          </w:p>
        </w:tc>
        <w:tc>
          <w:tcPr>
            <w:tcW w:w="20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(778)</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77,919</w:t>
            </w:r>
          </w:p>
        </w:tc>
        <w:tc>
          <w:tcPr>
            <w:tcW w:w="22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(3,886)</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CEFFE7"/>
            </w:tcBorders>
            <w:gridSpan w:val="4"/>
          </w:tcPr>
          <w:p>
            <w:pPr>
              <w:ind w:left="48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1,124,865</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974,670</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150,195</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1,010,030</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(35,360)</w:t>
            </w:r>
          </w:p>
        </w:tc>
        <w:tc>
          <w:tcPr>
            <w:tcW w:w="0" w:type="dxa"/>
            <w:vAlign w:val="bottom"/>
          </w:tcPr>
          <w:p>
            <w:pPr>
              <w:spacing w:after="0"/>
              <w:rPr>
                <w:sz w:val="1"/>
                <w:szCs w:val="1"/>
                <w:color w:val="auto"/>
              </w:rPr>
            </w:pPr>
          </w:p>
        </w:tc>
      </w:tr>
      <w:tr>
        <w:trPr>
          <w:trHeight w:val="253"/>
        </w:trPr>
        <w:tc>
          <w:tcPr>
            <w:tcW w:w="1280" w:type="dxa"/>
            <w:vAlign w:val="bottom"/>
            <w:shd w:val="clear" w:color="auto" w:fill="CEFFE7"/>
          </w:tcPr>
          <w:p>
            <w:pPr>
              <w:spacing w:after="0"/>
              <w:rPr>
                <w:sz w:val="22"/>
                <w:szCs w:val="22"/>
                <w:color w:val="auto"/>
              </w:rPr>
            </w:pPr>
          </w:p>
        </w:tc>
        <w:tc>
          <w:tcPr>
            <w:tcW w:w="80" w:type="dxa"/>
            <w:vAlign w:val="bottom"/>
            <w:shd w:val="clear" w:color="auto" w:fill="CEFFE7"/>
          </w:tcPr>
          <w:p>
            <w:pPr>
              <w:spacing w:after="0"/>
              <w:rPr>
                <w:sz w:val="22"/>
                <w:szCs w:val="22"/>
                <w:color w:val="auto"/>
              </w:rPr>
            </w:pPr>
          </w:p>
        </w:tc>
        <w:tc>
          <w:tcPr>
            <w:tcW w:w="400" w:type="dxa"/>
            <w:vAlign w:val="bottom"/>
            <w:shd w:val="clear" w:color="auto" w:fill="CEFFE7"/>
          </w:tcPr>
          <w:p>
            <w:pPr>
              <w:spacing w:after="0"/>
              <w:rPr>
                <w:sz w:val="22"/>
                <w:szCs w:val="22"/>
                <w:color w:val="auto"/>
              </w:rPr>
            </w:pPr>
          </w:p>
        </w:tc>
        <w:tc>
          <w:tcPr>
            <w:tcW w:w="1940" w:type="dxa"/>
            <w:vAlign w:val="bottom"/>
            <w:shd w:val="clear" w:color="auto" w:fill="CEFFE7"/>
          </w:tcPr>
          <w:p>
            <w:pPr>
              <w:spacing w:after="0"/>
              <w:rPr>
                <w:sz w:val="22"/>
                <w:szCs w:val="22"/>
                <w:color w:val="auto"/>
              </w:rPr>
            </w:pPr>
          </w:p>
        </w:tc>
        <w:tc>
          <w:tcPr>
            <w:tcW w:w="400" w:type="dxa"/>
            <w:vAlign w:val="bottom"/>
            <w:shd w:val="clear" w:color="auto" w:fill="CEFFE7"/>
          </w:tcPr>
          <w:p>
            <w:pPr>
              <w:spacing w:after="0"/>
              <w:rPr>
                <w:sz w:val="22"/>
                <w:szCs w:val="22"/>
                <w:color w:val="auto"/>
              </w:rPr>
            </w:pPr>
          </w:p>
        </w:tc>
        <w:tc>
          <w:tcPr>
            <w:tcW w:w="1100" w:type="dxa"/>
            <w:vAlign w:val="bottom"/>
            <w:shd w:val="clear" w:color="auto" w:fill="CEFFE7"/>
          </w:tcPr>
          <w:p>
            <w:pPr>
              <w:spacing w:after="0"/>
              <w:rPr>
                <w:sz w:val="22"/>
                <w:szCs w:val="22"/>
                <w:color w:val="auto"/>
              </w:rPr>
            </w:pPr>
          </w:p>
        </w:tc>
        <w:tc>
          <w:tcPr>
            <w:tcW w:w="360" w:type="dxa"/>
            <w:vAlign w:val="bottom"/>
            <w:shd w:val="clear" w:color="auto" w:fill="CEFFE7"/>
          </w:tcPr>
          <w:p>
            <w:pPr>
              <w:spacing w:after="0"/>
              <w:rPr>
                <w:sz w:val="22"/>
                <w:szCs w:val="22"/>
                <w:color w:val="auto"/>
              </w:rPr>
            </w:pPr>
          </w:p>
        </w:tc>
        <w:tc>
          <w:tcPr>
            <w:tcW w:w="1140" w:type="dxa"/>
            <w:vAlign w:val="bottom"/>
            <w:shd w:val="clear" w:color="auto" w:fill="CEFFE7"/>
          </w:tcPr>
          <w:p>
            <w:pPr>
              <w:spacing w:after="0"/>
              <w:rPr>
                <w:sz w:val="22"/>
                <w:szCs w:val="22"/>
                <w:color w:val="auto"/>
              </w:rPr>
            </w:pPr>
          </w:p>
        </w:tc>
        <w:tc>
          <w:tcPr>
            <w:tcW w:w="200" w:type="dxa"/>
            <w:vAlign w:val="bottom"/>
            <w:shd w:val="clear" w:color="auto" w:fill="CEFFE7"/>
          </w:tcPr>
          <w:p>
            <w:pPr>
              <w:spacing w:after="0"/>
              <w:rPr>
                <w:sz w:val="22"/>
                <w:szCs w:val="22"/>
                <w:color w:val="auto"/>
              </w:rPr>
            </w:pPr>
          </w:p>
        </w:tc>
        <w:tc>
          <w:tcPr>
            <w:tcW w:w="1320" w:type="dxa"/>
            <w:vAlign w:val="bottom"/>
            <w:shd w:val="clear" w:color="auto" w:fill="CEFFE7"/>
          </w:tcPr>
          <w:p>
            <w:pPr>
              <w:spacing w:after="0"/>
              <w:rPr>
                <w:sz w:val="22"/>
                <w:szCs w:val="22"/>
                <w:color w:val="auto"/>
              </w:rPr>
            </w:pPr>
          </w:p>
        </w:tc>
        <w:tc>
          <w:tcPr>
            <w:tcW w:w="340" w:type="dxa"/>
            <w:vAlign w:val="bottom"/>
            <w:shd w:val="clear" w:color="auto" w:fill="CEFFE7"/>
          </w:tcPr>
          <w:p>
            <w:pPr>
              <w:spacing w:after="0"/>
              <w:rPr>
                <w:sz w:val="22"/>
                <w:szCs w:val="22"/>
                <w:color w:val="auto"/>
              </w:rPr>
            </w:pPr>
          </w:p>
        </w:tc>
        <w:tc>
          <w:tcPr>
            <w:tcW w:w="480" w:type="dxa"/>
            <w:vAlign w:val="bottom"/>
            <w:shd w:val="clear" w:color="auto" w:fill="CEFFE7"/>
          </w:tcPr>
          <w:p>
            <w:pPr>
              <w:spacing w:after="0"/>
              <w:rPr>
                <w:sz w:val="22"/>
                <w:szCs w:val="22"/>
                <w:color w:val="auto"/>
              </w:rPr>
            </w:pPr>
          </w:p>
        </w:tc>
        <w:tc>
          <w:tcPr>
            <w:tcW w:w="660" w:type="dxa"/>
            <w:vAlign w:val="bottom"/>
            <w:shd w:val="clear" w:color="auto" w:fill="CEFFE7"/>
          </w:tcPr>
          <w:p>
            <w:pPr>
              <w:spacing w:after="0"/>
              <w:rPr>
                <w:sz w:val="22"/>
                <w:szCs w:val="22"/>
                <w:color w:val="auto"/>
              </w:rPr>
            </w:pPr>
          </w:p>
        </w:tc>
        <w:tc>
          <w:tcPr>
            <w:tcW w:w="220" w:type="dxa"/>
            <w:vAlign w:val="bottom"/>
            <w:shd w:val="clear" w:color="auto" w:fill="CEFFE7"/>
          </w:tcPr>
          <w:p>
            <w:pPr>
              <w:spacing w:after="0"/>
              <w:rPr>
                <w:sz w:val="22"/>
                <w:szCs w:val="22"/>
                <w:color w:val="auto"/>
              </w:rPr>
            </w:pPr>
          </w:p>
        </w:tc>
        <w:tc>
          <w:tcPr>
            <w:tcW w:w="1320" w:type="dxa"/>
            <w:vAlign w:val="bottom"/>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700" w:type="dxa"/>
            <w:vAlign w:val="bottom"/>
            <w:gridSpan w:val="4"/>
          </w:tcPr>
          <w:p>
            <w:pPr>
              <w:ind w:left="20"/>
              <w:spacing w:after="0"/>
              <w:rPr>
                <w:sz w:val="20"/>
                <w:szCs w:val="20"/>
                <w:color w:val="auto"/>
              </w:rPr>
            </w:pPr>
            <w:r>
              <w:rPr>
                <w:rFonts w:ascii="Arial" w:cs="Arial" w:eastAsia="Arial" w:hAnsi="Arial"/>
                <w:sz w:val="16"/>
                <w:szCs w:val="16"/>
                <w:color w:val="auto"/>
              </w:rPr>
              <w:t>Cost of natural gas sold:</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gridSpan w:val="4"/>
            <w:shd w:val="clear" w:color="auto" w:fill="CEFFE7"/>
          </w:tcPr>
          <w:p>
            <w:pPr>
              <w:ind w:left="140"/>
              <w:spacing w:after="0"/>
              <w:rPr>
                <w:sz w:val="20"/>
                <w:szCs w:val="20"/>
                <w:color w:val="auto"/>
              </w:rPr>
            </w:pPr>
            <w:r>
              <w:rPr>
                <w:rFonts w:ascii="Arial" w:cs="Arial" w:eastAsia="Arial" w:hAnsi="Arial"/>
                <w:sz w:val="16"/>
                <w:szCs w:val="16"/>
                <w:color w:val="auto"/>
              </w:rPr>
              <w:t>Natural gas - regulated</w:t>
            </w:r>
          </w:p>
        </w:tc>
        <w:tc>
          <w:tcPr>
            <w:tcW w:w="400" w:type="dxa"/>
            <w:vAlign w:val="bottom"/>
            <w:shd w:val="clear" w:color="auto" w:fill="CEFFE7"/>
          </w:tcPr>
          <w:p>
            <w:pPr>
              <w:spacing w:after="0"/>
              <w:rPr>
                <w:sz w:val="19"/>
                <w:szCs w:val="19"/>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480,293</w:t>
            </w:r>
          </w:p>
        </w:tc>
        <w:tc>
          <w:tcPr>
            <w:tcW w:w="36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347,611</w:t>
            </w:r>
          </w:p>
        </w:tc>
        <w:tc>
          <w:tcPr>
            <w:tcW w:w="200" w:type="dxa"/>
            <w:vAlign w:val="bottom"/>
            <w:shd w:val="clear" w:color="auto" w:fill="CEFFE7"/>
          </w:tcPr>
          <w:p>
            <w:pPr>
              <w:spacing w:after="0"/>
              <w:rPr>
                <w:sz w:val="19"/>
                <w:szCs w:val="19"/>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132,682</w:t>
            </w:r>
          </w:p>
        </w:tc>
        <w:tc>
          <w:tcPr>
            <w:tcW w:w="340" w:type="dxa"/>
            <w:vAlign w:val="bottom"/>
            <w:shd w:val="clear" w:color="auto" w:fill="CEFFE7"/>
          </w:tcPr>
          <w:p>
            <w:pPr>
              <w:spacing w:after="0"/>
              <w:rPr>
                <w:sz w:val="19"/>
                <w:szCs w:val="19"/>
                <w:color w:val="auto"/>
              </w:rPr>
            </w:pPr>
          </w:p>
        </w:tc>
        <w:tc>
          <w:tcPr>
            <w:tcW w:w="1140" w:type="dxa"/>
            <w:vAlign w:val="bottom"/>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406,643</w:t>
            </w:r>
          </w:p>
        </w:tc>
        <w:tc>
          <w:tcPr>
            <w:tcW w:w="220" w:type="dxa"/>
            <w:vAlign w:val="bottom"/>
            <w:shd w:val="clear" w:color="auto" w:fill="CEFFE7"/>
          </w:tcPr>
          <w:p>
            <w:pPr>
              <w:spacing w:after="0"/>
              <w:rPr>
                <w:sz w:val="19"/>
                <w:szCs w:val="19"/>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(59,032)</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EFFE7"/>
            </w:tcBorders>
            <w:gridSpan w:val="4"/>
          </w:tcPr>
          <w:p>
            <w:pPr>
              <w:ind w:left="140"/>
              <w:spacing w:after="0"/>
              <w:rPr>
                <w:sz w:val="20"/>
                <w:szCs w:val="20"/>
                <w:color w:val="auto"/>
              </w:rPr>
            </w:pPr>
            <w:r>
              <w:rPr>
                <w:rFonts w:ascii="Arial" w:cs="Arial" w:eastAsia="Arial" w:hAnsi="Arial"/>
                <w:sz w:val="16"/>
                <w:szCs w:val="16"/>
                <w:color w:val="auto"/>
              </w:rPr>
              <w:t>Other - non-regulated services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14,445</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7,034</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19,255</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(12,221)</w:t>
            </w:r>
          </w:p>
        </w:tc>
        <w:tc>
          <w:tcPr>
            <w:tcW w:w="0" w:type="dxa"/>
            <w:vAlign w:val="bottom"/>
          </w:tcPr>
          <w:p>
            <w:pPr>
              <w:spacing w:after="0"/>
              <w:rPr>
                <w:sz w:val="1"/>
                <w:szCs w:val="1"/>
                <w:color w:val="auto"/>
              </w:rPr>
            </w:pPr>
          </w:p>
        </w:tc>
      </w:tr>
      <w:tr>
        <w:trPr>
          <w:trHeight w:val="209"/>
        </w:trPr>
        <w:tc>
          <w:tcPr>
            <w:tcW w:w="3700" w:type="dxa"/>
            <w:vAlign w:val="bottom"/>
            <w:gridSpan w:val="4"/>
            <w:shd w:val="clear" w:color="auto" w:fill="CEFFE7"/>
          </w:tcPr>
          <w:p>
            <w:pPr>
              <w:ind w:left="480"/>
              <w:spacing w:after="0"/>
              <w:rPr>
                <w:sz w:val="20"/>
                <w:szCs w:val="20"/>
                <w:color w:val="auto"/>
              </w:rPr>
            </w:pPr>
            <w:r>
              <w:rPr>
                <w:rFonts w:ascii="Arial" w:cs="Arial" w:eastAsia="Arial" w:hAnsi="Arial"/>
                <w:sz w:val="16"/>
                <w:szCs w:val="16"/>
                <w:color w:val="auto"/>
              </w:rPr>
              <w:t>Total cost of natural gas sold</w:t>
            </w:r>
          </w:p>
        </w:tc>
        <w:tc>
          <w:tcPr>
            <w:tcW w:w="40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494,738</w:t>
            </w:r>
          </w:p>
        </w:tc>
        <w:tc>
          <w:tcPr>
            <w:tcW w:w="36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354,645</w:t>
            </w:r>
          </w:p>
        </w:tc>
        <w:tc>
          <w:tcPr>
            <w:tcW w:w="20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140,093</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425,898</w:t>
            </w:r>
          </w:p>
        </w:tc>
        <w:tc>
          <w:tcPr>
            <w:tcW w:w="22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(71,253)</w:t>
            </w:r>
          </w:p>
        </w:tc>
        <w:tc>
          <w:tcPr>
            <w:tcW w:w="0" w:type="dxa"/>
            <w:vAlign w:val="bottom"/>
          </w:tcPr>
          <w:p>
            <w:pPr>
              <w:spacing w:after="0"/>
              <w:rPr>
                <w:sz w:val="1"/>
                <w:szCs w:val="1"/>
                <w:color w:val="auto"/>
              </w:rPr>
            </w:pPr>
          </w:p>
        </w:tc>
      </w:tr>
      <w:tr>
        <w:trPr>
          <w:trHeight w:val="253"/>
        </w:trPr>
        <w:tc>
          <w:tcPr>
            <w:tcW w:w="1280" w:type="dxa"/>
            <w:vAlign w:val="bottom"/>
            <w:tcBorders>
              <w:bottom w:val="single" w:sz="8" w:color="CEFFE7"/>
            </w:tcBorders>
          </w:tcPr>
          <w:p>
            <w:pPr>
              <w:spacing w:after="0"/>
              <w:rPr>
                <w:sz w:val="22"/>
                <w:szCs w:val="22"/>
                <w:color w:val="auto"/>
              </w:rPr>
            </w:pPr>
          </w:p>
        </w:tc>
        <w:tc>
          <w:tcPr>
            <w:tcW w:w="80" w:type="dxa"/>
            <w:vAlign w:val="bottom"/>
            <w:tcBorders>
              <w:bottom w:val="single" w:sz="8" w:color="CEFFE7"/>
            </w:tcBorders>
          </w:tcPr>
          <w:p>
            <w:pPr>
              <w:spacing w:after="0"/>
              <w:rPr>
                <w:sz w:val="22"/>
                <w:szCs w:val="22"/>
                <w:color w:val="auto"/>
              </w:rPr>
            </w:pPr>
          </w:p>
        </w:tc>
        <w:tc>
          <w:tcPr>
            <w:tcW w:w="400" w:type="dxa"/>
            <w:vAlign w:val="bottom"/>
            <w:tcBorders>
              <w:bottom w:val="single" w:sz="8" w:color="CEFFE7"/>
            </w:tcBorders>
          </w:tcPr>
          <w:p>
            <w:pPr>
              <w:spacing w:after="0"/>
              <w:rPr>
                <w:sz w:val="22"/>
                <w:szCs w:val="22"/>
                <w:color w:val="auto"/>
              </w:rPr>
            </w:pPr>
          </w:p>
        </w:tc>
        <w:tc>
          <w:tcPr>
            <w:tcW w:w="1940" w:type="dxa"/>
            <w:vAlign w:val="bottom"/>
            <w:tcBorders>
              <w:bottom w:val="single" w:sz="8" w:color="CEFFE7"/>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70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Gas Utility margin (non-GAAP)</w:t>
            </w:r>
          </w:p>
        </w:tc>
        <w:tc>
          <w:tcPr>
            <w:tcW w:w="400" w:type="dxa"/>
            <w:vAlign w:val="bottom"/>
            <w:tcBorders>
              <w:bottom w:val="single" w:sz="8" w:color="auto"/>
            </w:tcBorders>
            <w:shd w:val="clear" w:color="auto" w:fill="CEFFE7"/>
          </w:tcPr>
          <w:p>
            <w:pPr>
              <w:spacing w:after="0"/>
              <w:rPr>
                <w:sz w:val="17"/>
                <w:szCs w:val="17"/>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630,127</w:t>
            </w:r>
          </w:p>
        </w:tc>
        <w:tc>
          <w:tcPr>
            <w:tcW w:w="360" w:type="dxa"/>
            <w:vAlign w:val="bottom"/>
            <w:tcBorders>
              <w:bottom w:val="single" w:sz="8" w:color="auto"/>
            </w:tcBorders>
            <w:shd w:val="clear" w:color="auto" w:fill="CEFFE7"/>
          </w:tcPr>
          <w:p>
            <w:pPr>
              <w:spacing w:after="0"/>
              <w:rPr>
                <w:sz w:val="17"/>
                <w:szCs w:val="17"/>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620,025</w:t>
            </w:r>
          </w:p>
        </w:tc>
        <w:tc>
          <w:tcPr>
            <w:tcW w:w="200" w:type="dxa"/>
            <w:vAlign w:val="bottom"/>
            <w:tcBorders>
              <w:bottom w:val="single" w:sz="8" w:color="auto"/>
            </w:tcBorders>
            <w:shd w:val="clear" w:color="auto" w:fill="CEFFE7"/>
          </w:tcPr>
          <w:p>
            <w:pPr>
              <w:spacing w:after="0"/>
              <w:rPr>
                <w:sz w:val="17"/>
                <w:szCs w:val="17"/>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10,102</w:t>
            </w:r>
          </w:p>
        </w:tc>
        <w:tc>
          <w:tcPr>
            <w:tcW w:w="340" w:type="dxa"/>
            <w:vAlign w:val="bottom"/>
            <w:tcBorders>
              <w:bottom w:val="single" w:sz="8" w:color="auto"/>
            </w:tcBorders>
            <w:shd w:val="clear" w:color="auto" w:fill="CEFFE7"/>
          </w:tcPr>
          <w:p>
            <w:pPr>
              <w:spacing w:after="0"/>
              <w:rPr>
                <w:sz w:val="17"/>
                <w:szCs w:val="17"/>
                <w:color w:val="auto"/>
              </w:rPr>
            </w:pPr>
          </w:p>
        </w:tc>
        <w:tc>
          <w:tcPr>
            <w:tcW w:w="1140" w:type="dxa"/>
            <w:vAlign w:val="bottom"/>
            <w:tcBorders>
              <w:bottom w:val="single" w:sz="8" w:color="auto"/>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584,132</w:t>
            </w:r>
          </w:p>
        </w:tc>
        <w:tc>
          <w:tcPr>
            <w:tcW w:w="220" w:type="dxa"/>
            <w:vAlign w:val="bottom"/>
            <w:tcBorders>
              <w:bottom w:val="single" w:sz="8" w:color="auto"/>
            </w:tcBorders>
            <w:shd w:val="clear" w:color="auto" w:fill="CEFFE7"/>
          </w:tcPr>
          <w:p>
            <w:pPr>
              <w:spacing w:after="0"/>
              <w:rPr>
                <w:sz w:val="17"/>
                <w:szCs w:val="17"/>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35,893</w:t>
            </w:r>
          </w:p>
        </w:tc>
        <w:tc>
          <w:tcPr>
            <w:tcW w:w="0" w:type="dxa"/>
            <w:vAlign w:val="bottom"/>
          </w:tcPr>
          <w:p>
            <w:pPr>
              <w:spacing w:after="0"/>
              <w:rPr>
                <w:sz w:val="1"/>
                <w:szCs w:val="1"/>
                <w:color w:val="auto"/>
              </w:rPr>
            </w:pPr>
          </w:p>
        </w:tc>
      </w:tr>
      <w:tr>
        <w:trPr>
          <w:trHeight w:val="253"/>
        </w:trPr>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0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400" w:type="dxa"/>
            <w:vAlign w:val="bottom"/>
            <w:shd w:val="clear" w:color="auto" w:fill="CEFFE7"/>
          </w:tcPr>
          <w:p>
            <w:pPr>
              <w:spacing w:after="0"/>
              <w:rPr>
                <w:sz w:val="18"/>
                <w:szCs w:val="18"/>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314,810</w:t>
            </w:r>
          </w:p>
        </w:tc>
        <w:tc>
          <w:tcPr>
            <w:tcW w:w="36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303,577</w:t>
            </w:r>
          </w:p>
        </w:tc>
        <w:tc>
          <w:tcPr>
            <w:tcW w:w="20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11,233</w:t>
            </w:r>
          </w:p>
        </w:tc>
        <w:tc>
          <w:tcPr>
            <w:tcW w:w="340" w:type="dxa"/>
            <w:vAlign w:val="bottom"/>
            <w:shd w:val="clear" w:color="auto" w:fill="CEFFE7"/>
          </w:tcPr>
          <w:p>
            <w:pPr>
              <w:spacing w:after="0"/>
              <w:rPr>
                <w:sz w:val="18"/>
                <w:szCs w:val="18"/>
                <w:color w:val="auto"/>
              </w:rPr>
            </w:pPr>
          </w:p>
        </w:tc>
        <w:tc>
          <w:tcPr>
            <w:tcW w:w="1140" w:type="dxa"/>
            <w:vAlign w:val="bottom"/>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301,844</w:t>
            </w:r>
          </w:p>
        </w:tc>
        <w:tc>
          <w:tcPr>
            <w:tcW w:w="22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EFFE7"/>
            </w:tcBorders>
            <w:gridSpan w:val="4"/>
          </w:tcPr>
          <w:p>
            <w:pPr>
              <w:ind w:left="2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104,160</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100,559</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92,317</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8,242</w:t>
            </w:r>
          </w:p>
        </w:tc>
        <w:tc>
          <w:tcPr>
            <w:tcW w:w="0" w:type="dxa"/>
            <w:vAlign w:val="bottom"/>
          </w:tcPr>
          <w:p>
            <w:pPr>
              <w:spacing w:after="0"/>
              <w:rPr>
                <w:sz w:val="1"/>
                <w:szCs w:val="1"/>
                <w:color w:val="auto"/>
              </w:rPr>
            </w:pPr>
          </w:p>
        </w:tc>
      </w:tr>
      <w:tr>
        <w:trPr>
          <w:trHeight w:val="209"/>
        </w:trPr>
        <w:tc>
          <w:tcPr>
            <w:tcW w:w="3700" w:type="dxa"/>
            <w:vAlign w:val="bottom"/>
            <w:gridSpan w:val="4"/>
            <w:shd w:val="clear" w:color="auto" w:fill="CEFFE7"/>
          </w:tcPr>
          <w:p>
            <w:pPr>
              <w:ind w:left="48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418,970</w:t>
            </w:r>
          </w:p>
        </w:tc>
        <w:tc>
          <w:tcPr>
            <w:tcW w:w="36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404,136</w:t>
            </w:r>
          </w:p>
        </w:tc>
        <w:tc>
          <w:tcPr>
            <w:tcW w:w="20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14,834</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394,161</w:t>
            </w:r>
          </w:p>
        </w:tc>
        <w:tc>
          <w:tcPr>
            <w:tcW w:w="22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9,975</w:t>
            </w:r>
          </w:p>
        </w:tc>
        <w:tc>
          <w:tcPr>
            <w:tcW w:w="0" w:type="dxa"/>
            <w:vAlign w:val="bottom"/>
          </w:tcPr>
          <w:p>
            <w:pPr>
              <w:spacing w:after="0"/>
              <w:rPr>
                <w:sz w:val="1"/>
                <w:szCs w:val="1"/>
                <w:color w:val="auto"/>
              </w:rPr>
            </w:pPr>
          </w:p>
        </w:tc>
      </w:tr>
      <w:tr>
        <w:trPr>
          <w:trHeight w:val="253"/>
        </w:trPr>
        <w:tc>
          <w:tcPr>
            <w:tcW w:w="1280" w:type="dxa"/>
            <w:vAlign w:val="bottom"/>
            <w:tcBorders>
              <w:bottom w:val="single" w:sz="8" w:color="CEFFE7"/>
            </w:tcBorders>
          </w:tcPr>
          <w:p>
            <w:pPr>
              <w:spacing w:after="0"/>
              <w:rPr>
                <w:sz w:val="22"/>
                <w:szCs w:val="22"/>
                <w:color w:val="auto"/>
              </w:rPr>
            </w:pPr>
          </w:p>
        </w:tc>
        <w:tc>
          <w:tcPr>
            <w:tcW w:w="80" w:type="dxa"/>
            <w:vAlign w:val="bottom"/>
            <w:tcBorders>
              <w:bottom w:val="single" w:sz="8" w:color="CEFFE7"/>
            </w:tcBorders>
          </w:tcPr>
          <w:p>
            <w:pPr>
              <w:spacing w:after="0"/>
              <w:rPr>
                <w:sz w:val="22"/>
                <w:szCs w:val="22"/>
                <w:color w:val="auto"/>
              </w:rPr>
            </w:pPr>
          </w:p>
        </w:tc>
        <w:tc>
          <w:tcPr>
            <w:tcW w:w="400" w:type="dxa"/>
            <w:vAlign w:val="bottom"/>
            <w:tcBorders>
              <w:bottom w:val="single" w:sz="8" w:color="CEFFE7"/>
            </w:tcBorders>
          </w:tcPr>
          <w:p>
            <w:pPr>
              <w:spacing w:after="0"/>
              <w:rPr>
                <w:sz w:val="22"/>
                <w:szCs w:val="22"/>
                <w:color w:val="auto"/>
              </w:rPr>
            </w:pPr>
          </w:p>
        </w:tc>
        <w:tc>
          <w:tcPr>
            <w:tcW w:w="1940" w:type="dxa"/>
            <w:vAlign w:val="bottom"/>
            <w:tcBorders>
              <w:bottom w:val="single" w:sz="8" w:color="CEFFE7"/>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700" w:type="dxa"/>
            <w:vAlign w:val="bottom"/>
            <w:tcBorders>
              <w:bottom w:val="single" w:sz="8" w:color="CEFFE7"/>
            </w:tcBorders>
            <w:gridSpan w:val="4"/>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40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211,157</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215,889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(4,732)</w:t>
            </w:r>
          </w:p>
        </w:tc>
        <w:tc>
          <w:tcPr>
            <w:tcW w:w="34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189,971</w:t>
            </w:r>
          </w:p>
        </w:tc>
        <w:tc>
          <w:tcPr>
            <w:tcW w:w="22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25,918</w:t>
            </w:r>
          </w:p>
        </w:tc>
        <w:tc>
          <w:tcPr>
            <w:tcW w:w="0" w:type="dxa"/>
            <w:vAlign w:val="bottom"/>
          </w:tcPr>
          <w:p>
            <w:pPr>
              <w:spacing w:after="0"/>
              <w:rPr>
                <w:sz w:val="1"/>
                <w:szCs w:val="1"/>
                <w:color w:val="auto"/>
              </w:rPr>
            </w:pPr>
          </w:p>
        </w:tc>
      </w:tr>
      <w:tr>
        <w:trPr>
          <w:trHeight w:val="20"/>
        </w:trPr>
        <w:tc>
          <w:tcPr>
            <w:tcW w:w="1760" w:type="dxa"/>
            <w:vAlign w:val="bottom"/>
            <w:tcBorders>
              <w:top w:val="single" w:sz="8" w:color="CEFFE7"/>
              <w:bottom w:val="single" w:sz="8" w:color="CEFFE7"/>
            </w:tcBorders>
            <w:gridSpan w:val="3"/>
            <w:vMerge w:val="restart"/>
          </w:tcPr>
          <w:p>
            <w:pPr>
              <w:spacing w:after="0"/>
              <w:rPr>
                <w:sz w:val="20"/>
                <w:szCs w:val="20"/>
                <w:color w:val="auto"/>
              </w:rPr>
            </w:pPr>
            <w:r>
              <w:rPr>
                <w:rFonts w:ascii="Arial" w:cs="Arial" w:eastAsia="Arial" w:hAnsi="Arial"/>
                <w:sz w:val="16"/>
                <w:szCs w:val="16"/>
                <w:color w:val="auto"/>
              </w:rPr>
              <w:t>2021 Compared to 2020</w:t>
            </w:r>
          </w:p>
        </w:tc>
        <w:tc>
          <w:tcPr>
            <w:tcW w:w="1940" w:type="dxa"/>
            <w:vAlign w:val="bottom"/>
            <w:tcBorders>
              <w:top w:val="single" w:sz="8" w:color="CEFFE7"/>
              <w:bottom w:val="single" w:sz="8" w:color="CEFFE7"/>
            </w:tcBorders>
            <w:vMerge w:val="restart"/>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48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760" w:type="dxa"/>
            <w:vAlign w:val="bottom"/>
            <w:tcBorders>
              <w:bottom w:val="single" w:sz="8" w:color="auto"/>
            </w:tcBorders>
            <w:gridSpan w:val="3"/>
            <w:vMerge w:val="continue"/>
          </w:tcPr>
          <w:p>
            <w:pPr>
              <w:spacing w:after="0"/>
              <w:rPr>
                <w:sz w:val="24"/>
                <w:szCs w:val="24"/>
                <w:color w:val="auto"/>
              </w:rPr>
            </w:pPr>
          </w:p>
        </w:tc>
        <w:tc>
          <w:tcPr>
            <w:tcW w:w="19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0" w:type="dxa"/>
            <w:vAlign w:val="bottom"/>
            <w:gridSpan w:val="6"/>
          </w:tcPr>
          <w:p>
            <w:pPr>
              <w:spacing w:after="0"/>
              <w:rPr>
                <w:sz w:val="20"/>
                <w:szCs w:val="20"/>
                <w:color w:val="auto"/>
              </w:rPr>
            </w:pPr>
            <w:r>
              <w:rPr>
                <w:rFonts w:ascii="Arial" w:cs="Arial" w:eastAsia="Arial" w:hAnsi="Arial"/>
                <w:sz w:val="16"/>
                <w:szCs w:val="16"/>
                <w:color w:val="auto"/>
              </w:rPr>
              <w:t>Gas Utility margin increased over the prior year as a result of:</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28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13"/>
        </w:trPr>
        <w:tc>
          <w:tcPr>
            <w:tcW w:w="3700" w:type="dxa"/>
            <w:vAlign w:val="bottom"/>
            <w:gridSpan w:val="4"/>
            <w:shd w:val="clear" w:color="auto" w:fill="CEFEE7"/>
          </w:tcPr>
          <w:p>
            <w:pPr>
              <w:ind w:left="20"/>
              <w:spacing w:after="0"/>
              <w:rPr>
                <w:sz w:val="20"/>
                <w:szCs w:val="20"/>
                <w:color w:val="auto"/>
              </w:rPr>
            </w:pPr>
            <w:r>
              <w:rPr>
                <w:rFonts w:ascii="Arial" w:cs="Arial" w:eastAsia="Arial" w:hAnsi="Arial"/>
                <w:sz w:val="16"/>
                <w:szCs w:val="16"/>
                <w:color w:val="auto"/>
              </w:rPr>
              <w:t>New rates</w:t>
            </w:r>
          </w:p>
        </w:tc>
        <w:tc>
          <w:tcPr>
            <w:tcW w:w="400" w:type="dxa"/>
            <w:vAlign w:val="bottom"/>
            <w:shd w:val="clear" w:color="auto" w:fill="CEFEE7"/>
          </w:tcPr>
          <w:p>
            <w:pPr>
              <w:spacing w:after="0"/>
              <w:rPr>
                <w:sz w:val="18"/>
                <w:szCs w:val="18"/>
                <w:color w:val="auto"/>
              </w:rPr>
            </w:pPr>
          </w:p>
        </w:tc>
        <w:tc>
          <w:tcPr>
            <w:tcW w:w="1100" w:type="dxa"/>
            <w:vAlign w:val="bottom"/>
            <w:shd w:val="clear" w:color="auto" w:fill="CEFEE7"/>
          </w:tcPr>
          <w:p>
            <w:pPr>
              <w:spacing w:after="0"/>
              <w:rPr>
                <w:sz w:val="18"/>
                <w:szCs w:val="18"/>
                <w:color w:val="auto"/>
              </w:rPr>
            </w:pPr>
          </w:p>
        </w:tc>
        <w:tc>
          <w:tcPr>
            <w:tcW w:w="360" w:type="dxa"/>
            <w:vAlign w:val="bottom"/>
            <w:shd w:val="clear" w:color="auto" w:fill="CEFEE7"/>
          </w:tcPr>
          <w:p>
            <w:pPr>
              <w:spacing w:after="0"/>
              <w:rPr>
                <w:sz w:val="18"/>
                <w:szCs w:val="18"/>
                <w:color w:val="auto"/>
              </w:rPr>
            </w:pPr>
          </w:p>
        </w:tc>
        <w:tc>
          <w:tcPr>
            <w:tcW w:w="1140" w:type="dxa"/>
            <w:vAlign w:val="bottom"/>
            <w:shd w:val="clear" w:color="auto" w:fill="CEFEE7"/>
          </w:tcPr>
          <w:p>
            <w:pPr>
              <w:spacing w:after="0"/>
              <w:rPr>
                <w:sz w:val="18"/>
                <w:szCs w:val="18"/>
                <w:color w:val="auto"/>
              </w:rPr>
            </w:pPr>
          </w:p>
        </w:tc>
        <w:tc>
          <w:tcPr>
            <w:tcW w:w="200" w:type="dxa"/>
            <w:vAlign w:val="bottom"/>
            <w:shd w:val="clear" w:color="auto" w:fill="CEFEE7"/>
          </w:tcPr>
          <w:p>
            <w:pPr>
              <w:spacing w:after="0"/>
              <w:rPr>
                <w:sz w:val="18"/>
                <w:szCs w:val="18"/>
                <w:color w:val="auto"/>
              </w:rPr>
            </w:pPr>
          </w:p>
        </w:tc>
        <w:tc>
          <w:tcPr>
            <w:tcW w:w="1320" w:type="dxa"/>
            <w:vAlign w:val="bottom"/>
            <w:shd w:val="clear" w:color="auto" w:fill="CEFEE7"/>
          </w:tcPr>
          <w:p>
            <w:pPr>
              <w:spacing w:after="0"/>
              <w:rPr>
                <w:sz w:val="18"/>
                <w:szCs w:val="18"/>
                <w:color w:val="auto"/>
              </w:rPr>
            </w:pPr>
          </w:p>
        </w:tc>
        <w:tc>
          <w:tcPr>
            <w:tcW w:w="340" w:type="dxa"/>
            <w:vAlign w:val="bottom"/>
            <w:shd w:val="clear" w:color="auto" w:fill="CEFEE7"/>
          </w:tcPr>
          <w:p>
            <w:pPr>
              <w:spacing w:after="0"/>
              <w:rPr>
                <w:sz w:val="18"/>
                <w:szCs w:val="18"/>
                <w:color w:val="auto"/>
              </w:rPr>
            </w:pPr>
          </w:p>
        </w:tc>
        <w:tc>
          <w:tcPr>
            <w:tcW w:w="1140" w:type="dxa"/>
            <w:vAlign w:val="bottom"/>
            <w:gridSpan w:val="2"/>
            <w:shd w:val="clear" w:color="auto" w:fill="CEFEE7"/>
          </w:tcPr>
          <w:p>
            <w:pPr>
              <w:jc w:val="right"/>
              <w:ind w:right="5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EFEE7"/>
          </w:tcPr>
          <w:p>
            <w:pPr>
              <w:spacing w:after="0"/>
              <w:rPr>
                <w:sz w:val="18"/>
                <w:szCs w:val="18"/>
                <w:color w:val="auto"/>
              </w:rPr>
            </w:pPr>
          </w:p>
        </w:tc>
        <w:tc>
          <w:tcPr>
            <w:tcW w:w="13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6"/>
        </w:trPr>
        <w:tc>
          <w:tcPr>
            <w:tcW w:w="41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Carrying costs on Winter Storm Uri regulatory asset </w:t>
            </w:r>
            <w:r>
              <w:rPr>
                <w:rFonts w:ascii="Arial" w:cs="Arial" w:eastAsia="Arial" w:hAnsi="Arial"/>
                <w:sz w:val="21"/>
                <w:szCs w:val="21"/>
                <w:color w:val="auto"/>
                <w:vertAlign w:val="superscript"/>
              </w:rPr>
              <w:t>(a)</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3700" w:type="dxa"/>
            <w:vAlign w:val="bottom"/>
            <w:gridSpan w:val="4"/>
            <w:shd w:val="clear" w:color="auto" w:fill="CEFEE7"/>
          </w:tcPr>
          <w:p>
            <w:pPr>
              <w:ind w:left="20"/>
              <w:spacing w:after="0"/>
              <w:rPr>
                <w:sz w:val="20"/>
                <w:szCs w:val="20"/>
                <w:color w:val="auto"/>
              </w:rPr>
            </w:pPr>
            <w:r>
              <w:rPr>
                <w:rFonts w:ascii="Arial" w:cs="Arial" w:eastAsia="Arial" w:hAnsi="Arial"/>
                <w:sz w:val="16"/>
                <w:szCs w:val="16"/>
                <w:color w:val="auto"/>
              </w:rPr>
              <w:t>Increased transport and transmission</w:t>
            </w:r>
          </w:p>
        </w:tc>
        <w:tc>
          <w:tcPr>
            <w:tcW w:w="400" w:type="dxa"/>
            <w:vAlign w:val="bottom"/>
            <w:shd w:val="clear" w:color="auto" w:fill="CEFEE7"/>
          </w:tcPr>
          <w:p>
            <w:pPr>
              <w:spacing w:after="0"/>
              <w:rPr>
                <w:sz w:val="18"/>
                <w:szCs w:val="18"/>
                <w:color w:val="auto"/>
              </w:rPr>
            </w:pPr>
          </w:p>
        </w:tc>
        <w:tc>
          <w:tcPr>
            <w:tcW w:w="1100" w:type="dxa"/>
            <w:vAlign w:val="bottom"/>
            <w:shd w:val="clear" w:color="auto" w:fill="CEFEE7"/>
          </w:tcPr>
          <w:p>
            <w:pPr>
              <w:spacing w:after="0"/>
              <w:rPr>
                <w:sz w:val="18"/>
                <w:szCs w:val="18"/>
                <w:color w:val="auto"/>
              </w:rPr>
            </w:pPr>
          </w:p>
        </w:tc>
        <w:tc>
          <w:tcPr>
            <w:tcW w:w="360" w:type="dxa"/>
            <w:vAlign w:val="bottom"/>
            <w:shd w:val="clear" w:color="auto" w:fill="CEFEE7"/>
          </w:tcPr>
          <w:p>
            <w:pPr>
              <w:spacing w:after="0"/>
              <w:rPr>
                <w:sz w:val="18"/>
                <w:szCs w:val="18"/>
                <w:color w:val="auto"/>
              </w:rPr>
            </w:pPr>
          </w:p>
        </w:tc>
        <w:tc>
          <w:tcPr>
            <w:tcW w:w="1140" w:type="dxa"/>
            <w:vAlign w:val="bottom"/>
            <w:shd w:val="clear" w:color="auto" w:fill="CEFEE7"/>
          </w:tcPr>
          <w:p>
            <w:pPr>
              <w:spacing w:after="0"/>
              <w:rPr>
                <w:sz w:val="18"/>
                <w:szCs w:val="18"/>
                <w:color w:val="auto"/>
              </w:rPr>
            </w:pPr>
          </w:p>
        </w:tc>
        <w:tc>
          <w:tcPr>
            <w:tcW w:w="200" w:type="dxa"/>
            <w:vAlign w:val="bottom"/>
            <w:shd w:val="clear" w:color="auto" w:fill="CEFEE7"/>
          </w:tcPr>
          <w:p>
            <w:pPr>
              <w:spacing w:after="0"/>
              <w:rPr>
                <w:sz w:val="18"/>
                <w:szCs w:val="18"/>
                <w:color w:val="auto"/>
              </w:rPr>
            </w:pPr>
          </w:p>
        </w:tc>
        <w:tc>
          <w:tcPr>
            <w:tcW w:w="1320" w:type="dxa"/>
            <w:vAlign w:val="bottom"/>
            <w:shd w:val="clear" w:color="auto" w:fill="CEFEE7"/>
          </w:tcPr>
          <w:p>
            <w:pPr>
              <w:spacing w:after="0"/>
              <w:rPr>
                <w:sz w:val="18"/>
                <w:szCs w:val="18"/>
                <w:color w:val="auto"/>
              </w:rPr>
            </w:pPr>
          </w:p>
        </w:tc>
        <w:tc>
          <w:tcPr>
            <w:tcW w:w="340" w:type="dxa"/>
            <w:vAlign w:val="bottom"/>
            <w:shd w:val="clear" w:color="auto" w:fill="CEFEE7"/>
          </w:tcPr>
          <w:p>
            <w:pPr>
              <w:spacing w:after="0"/>
              <w:rPr>
                <w:sz w:val="18"/>
                <w:szCs w:val="18"/>
                <w:color w:val="auto"/>
              </w:rPr>
            </w:pPr>
          </w:p>
        </w:tc>
        <w:tc>
          <w:tcPr>
            <w:tcW w:w="480" w:type="dxa"/>
            <w:vAlign w:val="bottom"/>
            <w:shd w:val="clear" w:color="auto" w:fill="CEFEE7"/>
          </w:tcPr>
          <w:p>
            <w:pPr>
              <w:spacing w:after="0"/>
              <w:rPr>
                <w:sz w:val="18"/>
                <w:szCs w:val="18"/>
                <w:color w:val="auto"/>
              </w:rPr>
            </w:pPr>
          </w:p>
        </w:tc>
        <w:tc>
          <w:tcPr>
            <w:tcW w:w="660" w:type="dxa"/>
            <w:vAlign w:val="bottom"/>
            <w:shd w:val="clear" w:color="auto" w:fill="CEFEE7"/>
          </w:tcPr>
          <w:p>
            <w:pPr>
              <w:spacing w:after="0"/>
              <w:rPr>
                <w:sz w:val="18"/>
                <w:szCs w:val="18"/>
                <w:color w:val="auto"/>
              </w:rPr>
            </w:pPr>
          </w:p>
        </w:tc>
        <w:tc>
          <w:tcPr>
            <w:tcW w:w="220" w:type="dxa"/>
            <w:vAlign w:val="bottom"/>
            <w:shd w:val="clear" w:color="auto" w:fill="CEFEE7"/>
          </w:tcPr>
          <w:p>
            <w:pPr>
              <w:spacing w:after="0"/>
              <w:rPr>
                <w:sz w:val="18"/>
                <w:szCs w:val="18"/>
                <w:color w:val="auto"/>
              </w:rPr>
            </w:pPr>
          </w:p>
        </w:tc>
        <w:tc>
          <w:tcPr>
            <w:tcW w:w="13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3700" w:type="dxa"/>
            <w:vAlign w:val="bottom"/>
            <w:gridSpan w:val="4"/>
          </w:tcPr>
          <w:p>
            <w:pPr>
              <w:ind w:left="20"/>
              <w:spacing w:after="0"/>
              <w:rPr>
                <w:sz w:val="20"/>
                <w:szCs w:val="20"/>
                <w:color w:val="auto"/>
              </w:rPr>
            </w:pPr>
            <w:r>
              <w:rPr>
                <w:rFonts w:ascii="Arial" w:cs="Arial" w:eastAsia="Arial" w:hAnsi="Arial"/>
                <w:sz w:val="16"/>
                <w:szCs w:val="16"/>
                <w:color w:val="auto"/>
              </w:rPr>
              <w:t>Prior year COVID-19 impacts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5200" w:type="dxa"/>
            <w:vAlign w:val="bottom"/>
            <w:gridSpan w:val="6"/>
            <w:shd w:val="clear" w:color="auto" w:fill="CEFEE7"/>
          </w:tcPr>
          <w:p>
            <w:pPr>
              <w:ind w:left="20"/>
              <w:spacing w:after="0"/>
              <w:rPr>
                <w:sz w:val="20"/>
                <w:szCs w:val="20"/>
                <w:color w:val="auto"/>
              </w:rPr>
            </w:pPr>
            <w:r>
              <w:rPr>
                <w:rFonts w:ascii="Arial" w:cs="Arial" w:eastAsia="Arial" w:hAnsi="Arial"/>
                <w:sz w:val="16"/>
                <w:szCs w:val="16"/>
                <w:color w:val="auto"/>
              </w:rPr>
              <w:t>Mark-to-market on non-utility natural gas commodity contracts</w:t>
            </w:r>
          </w:p>
        </w:tc>
        <w:tc>
          <w:tcPr>
            <w:tcW w:w="360" w:type="dxa"/>
            <w:vAlign w:val="bottom"/>
            <w:shd w:val="clear" w:color="auto" w:fill="CEFEE7"/>
          </w:tcPr>
          <w:p>
            <w:pPr>
              <w:spacing w:after="0"/>
              <w:rPr>
                <w:sz w:val="19"/>
                <w:szCs w:val="19"/>
                <w:color w:val="auto"/>
              </w:rPr>
            </w:pPr>
          </w:p>
        </w:tc>
        <w:tc>
          <w:tcPr>
            <w:tcW w:w="1140" w:type="dxa"/>
            <w:vAlign w:val="bottom"/>
            <w:shd w:val="clear" w:color="auto" w:fill="CEFEE7"/>
          </w:tcPr>
          <w:p>
            <w:pPr>
              <w:spacing w:after="0"/>
              <w:rPr>
                <w:sz w:val="19"/>
                <w:szCs w:val="19"/>
                <w:color w:val="auto"/>
              </w:rPr>
            </w:pPr>
          </w:p>
        </w:tc>
        <w:tc>
          <w:tcPr>
            <w:tcW w:w="200" w:type="dxa"/>
            <w:vAlign w:val="bottom"/>
            <w:shd w:val="clear" w:color="auto" w:fill="CEFEE7"/>
          </w:tcPr>
          <w:p>
            <w:pPr>
              <w:spacing w:after="0"/>
              <w:rPr>
                <w:sz w:val="19"/>
                <w:szCs w:val="19"/>
                <w:color w:val="auto"/>
              </w:rPr>
            </w:pPr>
          </w:p>
        </w:tc>
        <w:tc>
          <w:tcPr>
            <w:tcW w:w="1320" w:type="dxa"/>
            <w:vAlign w:val="bottom"/>
            <w:shd w:val="clear" w:color="auto" w:fill="CEFEE7"/>
          </w:tcPr>
          <w:p>
            <w:pPr>
              <w:spacing w:after="0"/>
              <w:rPr>
                <w:sz w:val="19"/>
                <w:szCs w:val="19"/>
                <w:color w:val="auto"/>
              </w:rPr>
            </w:pPr>
          </w:p>
        </w:tc>
        <w:tc>
          <w:tcPr>
            <w:tcW w:w="340" w:type="dxa"/>
            <w:vAlign w:val="bottom"/>
            <w:shd w:val="clear" w:color="auto" w:fill="CEFEE7"/>
          </w:tcPr>
          <w:p>
            <w:pPr>
              <w:spacing w:after="0"/>
              <w:rPr>
                <w:sz w:val="19"/>
                <w:szCs w:val="19"/>
                <w:color w:val="auto"/>
              </w:rPr>
            </w:pPr>
          </w:p>
        </w:tc>
        <w:tc>
          <w:tcPr>
            <w:tcW w:w="480" w:type="dxa"/>
            <w:vAlign w:val="bottom"/>
            <w:shd w:val="clear" w:color="auto" w:fill="CEFEE7"/>
          </w:tcPr>
          <w:p>
            <w:pPr>
              <w:spacing w:after="0"/>
              <w:rPr>
                <w:sz w:val="19"/>
                <w:szCs w:val="19"/>
                <w:color w:val="auto"/>
              </w:rPr>
            </w:pPr>
          </w:p>
        </w:tc>
        <w:tc>
          <w:tcPr>
            <w:tcW w:w="660" w:type="dxa"/>
            <w:vAlign w:val="bottom"/>
            <w:shd w:val="clear" w:color="auto" w:fill="CEFEE7"/>
          </w:tcPr>
          <w:p>
            <w:pPr>
              <w:spacing w:after="0"/>
              <w:rPr>
                <w:sz w:val="19"/>
                <w:szCs w:val="19"/>
                <w:color w:val="auto"/>
              </w:rPr>
            </w:pPr>
          </w:p>
        </w:tc>
        <w:tc>
          <w:tcPr>
            <w:tcW w:w="220" w:type="dxa"/>
            <w:vAlign w:val="bottom"/>
            <w:shd w:val="clear" w:color="auto" w:fill="CEFEE7"/>
          </w:tcPr>
          <w:p>
            <w:pPr>
              <w:spacing w:after="0"/>
              <w:rPr>
                <w:sz w:val="19"/>
                <w:szCs w:val="19"/>
                <w:color w:val="auto"/>
              </w:rPr>
            </w:pPr>
          </w:p>
        </w:tc>
        <w:tc>
          <w:tcPr>
            <w:tcW w:w="13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6"/>
        </w:trPr>
        <w:tc>
          <w:tcPr>
            <w:tcW w:w="41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Black Hills Energy Services Winter Storm Uri costs </w:t>
            </w:r>
            <w:r>
              <w:rPr>
                <w:rFonts w:ascii="Arial" w:cs="Arial" w:eastAsia="Arial" w:hAnsi="Arial"/>
                <w:sz w:val="21"/>
                <w:szCs w:val="21"/>
                <w:color w:val="auto"/>
                <w:vertAlign w:val="superscript"/>
              </w:rPr>
              <w:t>(b)</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6"/>
        </w:trPr>
        <w:tc>
          <w:tcPr>
            <w:tcW w:w="3700" w:type="dxa"/>
            <w:vAlign w:val="bottom"/>
            <w:gridSpan w:val="4"/>
            <w:shd w:val="clear" w:color="auto" w:fill="CEFEE7"/>
          </w:tcPr>
          <w:p>
            <w:pPr>
              <w:ind w:left="20"/>
              <w:spacing w:after="0"/>
              <w:rPr>
                <w:sz w:val="20"/>
                <w:szCs w:val="20"/>
                <w:color w:val="auto"/>
              </w:rPr>
            </w:pPr>
            <w:r>
              <w:rPr>
                <w:rFonts w:ascii="Arial" w:cs="Arial" w:eastAsia="Arial" w:hAnsi="Arial"/>
                <w:sz w:val="16"/>
                <w:szCs w:val="16"/>
                <w:color w:val="auto"/>
              </w:rPr>
              <w:t>Weather</w:t>
            </w:r>
          </w:p>
        </w:tc>
        <w:tc>
          <w:tcPr>
            <w:tcW w:w="400" w:type="dxa"/>
            <w:vAlign w:val="bottom"/>
            <w:shd w:val="clear" w:color="auto" w:fill="CEFEE7"/>
          </w:tcPr>
          <w:p>
            <w:pPr>
              <w:spacing w:after="0"/>
              <w:rPr>
                <w:sz w:val="18"/>
                <w:szCs w:val="18"/>
                <w:color w:val="auto"/>
              </w:rPr>
            </w:pPr>
          </w:p>
        </w:tc>
        <w:tc>
          <w:tcPr>
            <w:tcW w:w="1100" w:type="dxa"/>
            <w:vAlign w:val="bottom"/>
            <w:shd w:val="clear" w:color="auto" w:fill="CEFEE7"/>
          </w:tcPr>
          <w:p>
            <w:pPr>
              <w:spacing w:after="0"/>
              <w:rPr>
                <w:sz w:val="18"/>
                <w:szCs w:val="18"/>
                <w:color w:val="auto"/>
              </w:rPr>
            </w:pPr>
          </w:p>
        </w:tc>
        <w:tc>
          <w:tcPr>
            <w:tcW w:w="360" w:type="dxa"/>
            <w:vAlign w:val="bottom"/>
            <w:shd w:val="clear" w:color="auto" w:fill="CEFEE7"/>
          </w:tcPr>
          <w:p>
            <w:pPr>
              <w:spacing w:after="0"/>
              <w:rPr>
                <w:sz w:val="18"/>
                <w:szCs w:val="18"/>
                <w:color w:val="auto"/>
              </w:rPr>
            </w:pPr>
          </w:p>
        </w:tc>
        <w:tc>
          <w:tcPr>
            <w:tcW w:w="1140" w:type="dxa"/>
            <w:vAlign w:val="bottom"/>
            <w:shd w:val="clear" w:color="auto" w:fill="CEFEE7"/>
          </w:tcPr>
          <w:p>
            <w:pPr>
              <w:spacing w:after="0"/>
              <w:rPr>
                <w:sz w:val="18"/>
                <w:szCs w:val="18"/>
                <w:color w:val="auto"/>
              </w:rPr>
            </w:pPr>
          </w:p>
        </w:tc>
        <w:tc>
          <w:tcPr>
            <w:tcW w:w="200" w:type="dxa"/>
            <w:vAlign w:val="bottom"/>
            <w:shd w:val="clear" w:color="auto" w:fill="CEFEE7"/>
          </w:tcPr>
          <w:p>
            <w:pPr>
              <w:spacing w:after="0"/>
              <w:rPr>
                <w:sz w:val="18"/>
                <w:szCs w:val="18"/>
                <w:color w:val="auto"/>
              </w:rPr>
            </w:pPr>
          </w:p>
        </w:tc>
        <w:tc>
          <w:tcPr>
            <w:tcW w:w="1320" w:type="dxa"/>
            <w:vAlign w:val="bottom"/>
            <w:shd w:val="clear" w:color="auto" w:fill="CEFEE7"/>
          </w:tcPr>
          <w:p>
            <w:pPr>
              <w:spacing w:after="0"/>
              <w:rPr>
                <w:sz w:val="18"/>
                <w:szCs w:val="18"/>
                <w:color w:val="auto"/>
              </w:rPr>
            </w:pPr>
          </w:p>
        </w:tc>
        <w:tc>
          <w:tcPr>
            <w:tcW w:w="340" w:type="dxa"/>
            <w:vAlign w:val="bottom"/>
            <w:shd w:val="clear" w:color="auto" w:fill="CEFEE7"/>
          </w:tcPr>
          <w:p>
            <w:pPr>
              <w:spacing w:after="0"/>
              <w:rPr>
                <w:sz w:val="18"/>
                <w:szCs w:val="18"/>
                <w:color w:val="auto"/>
              </w:rPr>
            </w:pPr>
          </w:p>
        </w:tc>
        <w:tc>
          <w:tcPr>
            <w:tcW w:w="480" w:type="dxa"/>
            <w:vAlign w:val="bottom"/>
            <w:shd w:val="clear" w:color="auto" w:fill="CEFEE7"/>
          </w:tcPr>
          <w:p>
            <w:pPr>
              <w:spacing w:after="0"/>
              <w:rPr>
                <w:sz w:val="18"/>
                <w:szCs w:val="18"/>
                <w:color w:val="auto"/>
              </w:rPr>
            </w:pPr>
          </w:p>
        </w:tc>
        <w:tc>
          <w:tcPr>
            <w:tcW w:w="660" w:type="dxa"/>
            <w:vAlign w:val="bottom"/>
            <w:shd w:val="clear" w:color="auto" w:fill="CEFEE7"/>
          </w:tcPr>
          <w:p>
            <w:pPr>
              <w:spacing w:after="0"/>
              <w:rPr>
                <w:sz w:val="18"/>
                <w:szCs w:val="18"/>
                <w:color w:val="auto"/>
              </w:rPr>
            </w:pPr>
          </w:p>
        </w:tc>
        <w:tc>
          <w:tcPr>
            <w:tcW w:w="220" w:type="dxa"/>
            <w:vAlign w:val="bottom"/>
            <w:shd w:val="clear" w:color="auto" w:fill="CEFEE7"/>
          </w:tcPr>
          <w:p>
            <w:pPr>
              <w:spacing w:after="0"/>
              <w:rPr>
                <w:sz w:val="18"/>
                <w:szCs w:val="18"/>
                <w:color w:val="auto"/>
              </w:rPr>
            </w:pPr>
          </w:p>
        </w:tc>
        <w:tc>
          <w:tcPr>
            <w:tcW w:w="13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6"/>
        </w:trPr>
        <w:tc>
          <w:tcPr>
            <w:tcW w:w="3700" w:type="dxa"/>
            <w:vAlign w:val="bottom"/>
            <w:gridSpan w:val="4"/>
          </w:tcPr>
          <w:p>
            <w:pPr>
              <w:ind w:left="20"/>
              <w:spacing w:after="0" w:line="216" w:lineRule="exact"/>
              <w:rPr>
                <w:sz w:val="20"/>
                <w:szCs w:val="20"/>
                <w:color w:val="auto"/>
              </w:rPr>
            </w:pPr>
            <w:r>
              <w:rPr>
                <w:rFonts w:ascii="Arial" w:cs="Arial" w:eastAsia="Arial" w:hAnsi="Arial"/>
                <w:sz w:val="16"/>
                <w:szCs w:val="16"/>
                <w:color w:val="auto"/>
              </w:rPr>
              <w:t xml:space="preserve">TCJA-related bill credits </w:t>
            </w:r>
            <w:r>
              <w:rPr>
                <w:rFonts w:ascii="Arial" w:cs="Arial" w:eastAsia="Arial" w:hAnsi="Arial"/>
                <w:sz w:val="21"/>
                <w:szCs w:val="21"/>
                <w:color w:val="auto"/>
                <w:vertAlign w:val="superscript"/>
              </w:rPr>
              <w:t>(c)</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3700" w:type="dxa"/>
            <w:vAlign w:val="bottom"/>
            <w:gridSpan w:val="4"/>
            <w:shd w:val="clear" w:color="auto" w:fill="CEFEE7"/>
          </w:tcPr>
          <w:p>
            <w:pPr>
              <w:ind w:left="20"/>
              <w:spacing w:after="0"/>
              <w:rPr>
                <w:sz w:val="20"/>
                <w:szCs w:val="20"/>
                <w:color w:val="auto"/>
              </w:rPr>
            </w:pPr>
            <w:r>
              <w:rPr>
                <w:rFonts w:ascii="Arial" w:cs="Arial" w:eastAsia="Arial" w:hAnsi="Arial"/>
                <w:sz w:val="16"/>
                <w:szCs w:val="16"/>
                <w:color w:val="auto"/>
              </w:rPr>
              <w:t>Other</w:t>
            </w:r>
          </w:p>
        </w:tc>
        <w:tc>
          <w:tcPr>
            <w:tcW w:w="400" w:type="dxa"/>
            <w:vAlign w:val="bottom"/>
            <w:shd w:val="clear" w:color="auto" w:fill="CEFEE7"/>
          </w:tcPr>
          <w:p>
            <w:pPr>
              <w:spacing w:after="0"/>
              <w:rPr>
                <w:sz w:val="18"/>
                <w:szCs w:val="18"/>
                <w:color w:val="auto"/>
              </w:rPr>
            </w:pPr>
          </w:p>
        </w:tc>
        <w:tc>
          <w:tcPr>
            <w:tcW w:w="1100" w:type="dxa"/>
            <w:vAlign w:val="bottom"/>
            <w:shd w:val="clear" w:color="auto" w:fill="CEFEE7"/>
          </w:tcPr>
          <w:p>
            <w:pPr>
              <w:spacing w:after="0"/>
              <w:rPr>
                <w:sz w:val="18"/>
                <w:szCs w:val="18"/>
                <w:color w:val="auto"/>
              </w:rPr>
            </w:pPr>
          </w:p>
        </w:tc>
        <w:tc>
          <w:tcPr>
            <w:tcW w:w="360" w:type="dxa"/>
            <w:vAlign w:val="bottom"/>
            <w:shd w:val="clear" w:color="auto" w:fill="CEFEE7"/>
          </w:tcPr>
          <w:p>
            <w:pPr>
              <w:spacing w:after="0"/>
              <w:rPr>
                <w:sz w:val="18"/>
                <w:szCs w:val="18"/>
                <w:color w:val="auto"/>
              </w:rPr>
            </w:pPr>
          </w:p>
        </w:tc>
        <w:tc>
          <w:tcPr>
            <w:tcW w:w="1140" w:type="dxa"/>
            <w:vAlign w:val="bottom"/>
            <w:shd w:val="clear" w:color="auto" w:fill="CEFEE7"/>
          </w:tcPr>
          <w:p>
            <w:pPr>
              <w:spacing w:after="0"/>
              <w:rPr>
                <w:sz w:val="18"/>
                <w:szCs w:val="18"/>
                <w:color w:val="auto"/>
              </w:rPr>
            </w:pPr>
          </w:p>
        </w:tc>
        <w:tc>
          <w:tcPr>
            <w:tcW w:w="200" w:type="dxa"/>
            <w:vAlign w:val="bottom"/>
            <w:shd w:val="clear" w:color="auto" w:fill="CEFEE7"/>
          </w:tcPr>
          <w:p>
            <w:pPr>
              <w:spacing w:after="0"/>
              <w:rPr>
                <w:sz w:val="18"/>
                <w:szCs w:val="18"/>
                <w:color w:val="auto"/>
              </w:rPr>
            </w:pPr>
          </w:p>
        </w:tc>
        <w:tc>
          <w:tcPr>
            <w:tcW w:w="1320" w:type="dxa"/>
            <w:vAlign w:val="bottom"/>
            <w:shd w:val="clear" w:color="auto" w:fill="CEFEE7"/>
          </w:tcPr>
          <w:p>
            <w:pPr>
              <w:spacing w:after="0"/>
              <w:rPr>
                <w:sz w:val="18"/>
                <w:szCs w:val="18"/>
                <w:color w:val="auto"/>
              </w:rPr>
            </w:pPr>
          </w:p>
        </w:tc>
        <w:tc>
          <w:tcPr>
            <w:tcW w:w="340" w:type="dxa"/>
            <w:vAlign w:val="bottom"/>
            <w:shd w:val="clear" w:color="auto" w:fill="CEFEE7"/>
          </w:tcPr>
          <w:p>
            <w:pPr>
              <w:spacing w:after="0"/>
              <w:rPr>
                <w:sz w:val="18"/>
                <w:szCs w:val="18"/>
                <w:color w:val="auto"/>
              </w:rPr>
            </w:pPr>
          </w:p>
        </w:tc>
        <w:tc>
          <w:tcPr>
            <w:tcW w:w="480" w:type="dxa"/>
            <w:vAlign w:val="bottom"/>
            <w:shd w:val="clear" w:color="auto" w:fill="CEFEE7"/>
          </w:tcPr>
          <w:p>
            <w:pPr>
              <w:spacing w:after="0"/>
              <w:rPr>
                <w:sz w:val="18"/>
                <w:szCs w:val="18"/>
                <w:color w:val="auto"/>
              </w:rPr>
            </w:pPr>
          </w:p>
        </w:tc>
        <w:tc>
          <w:tcPr>
            <w:tcW w:w="660" w:type="dxa"/>
            <w:vAlign w:val="bottom"/>
            <w:tcBorders>
              <w:bottom w:val="single" w:sz="8" w:color="auto"/>
            </w:tcBorders>
            <w:shd w:val="clear" w:color="auto" w:fill="CEFEE7"/>
          </w:tcPr>
          <w:p>
            <w:pPr>
              <w:spacing w:after="0"/>
              <w:rPr>
                <w:sz w:val="18"/>
                <w:szCs w:val="18"/>
                <w:color w:val="auto"/>
              </w:rPr>
            </w:pPr>
          </w:p>
        </w:tc>
        <w:tc>
          <w:tcPr>
            <w:tcW w:w="220" w:type="dxa"/>
            <w:vAlign w:val="bottom"/>
            <w:tcBorders>
              <w:bottom w:val="single" w:sz="8" w:color="auto"/>
            </w:tcBorders>
            <w:shd w:val="clear" w:color="auto" w:fill="CEFEE7"/>
          </w:tcPr>
          <w:p>
            <w:pPr>
              <w:spacing w:after="0"/>
              <w:rPr>
                <w:sz w:val="18"/>
                <w:szCs w:val="18"/>
                <w:color w:val="auto"/>
              </w:rPr>
            </w:pPr>
          </w:p>
        </w:tc>
        <w:tc>
          <w:tcPr>
            <w:tcW w:w="13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3700" w:type="dxa"/>
            <w:vAlign w:val="bottom"/>
            <w:gridSpan w:val="4"/>
          </w:tcPr>
          <w:p>
            <w:pPr>
              <w:ind w:left="20"/>
              <w:spacing w:after="0"/>
              <w:rPr>
                <w:sz w:val="20"/>
                <w:szCs w:val="20"/>
                <w:color w:val="auto"/>
              </w:rPr>
            </w:pPr>
            <w:r>
              <w:rPr>
                <w:rFonts w:ascii="Arial" w:cs="Arial" w:eastAsia="Arial" w:hAnsi="Arial"/>
                <w:sz w:val="16"/>
                <w:szCs w:val="16"/>
                <w:color w:val="auto"/>
              </w:rPr>
              <w:t>Total increase in Gas Utility margin</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certain jurisdictions, we have Commission approval to recover carrying costs on Winter Storm Uri regulatory assets which offset increased interest expense.</w:t>
      </w:r>
    </w:p>
    <w:p>
      <w:pPr>
        <w:spacing w:after="0" w:line="1" w:lineRule="exact"/>
        <w:rPr>
          <w:rFonts w:ascii="Arial" w:cs="Arial" w:eastAsia="Arial" w:hAnsi="Arial"/>
          <w:sz w:val="14"/>
          <w:szCs w:val="14"/>
          <w:color w:val="auto"/>
        </w:rPr>
      </w:pPr>
    </w:p>
    <w:p>
      <w:pPr>
        <w:ind w:left="340" w:right="240" w:hanging="332"/>
        <w:spacing w:after="0" w:line="241" w:lineRule="auto"/>
        <w:tabs>
          <w:tab w:leader="none" w:pos="352" w:val="left"/>
        </w:tabs>
        <w:numPr>
          <w:ilvl w:val="0"/>
          <w:numId w:val="32"/>
        </w:numPr>
        <w:rPr>
          <w:rFonts w:ascii="Arial" w:cs="Arial" w:eastAsia="Arial" w:hAnsi="Arial"/>
          <w:sz w:val="14"/>
          <w:szCs w:val="14"/>
          <w:color w:val="auto"/>
        </w:rPr>
      </w:pPr>
      <w:r>
        <w:rPr>
          <w:rFonts w:ascii="Arial" w:cs="Arial" w:eastAsia="Arial" w:hAnsi="Arial"/>
          <w:sz w:val="14"/>
          <w:szCs w:val="14"/>
          <w:color w:val="auto"/>
        </w:rPr>
        <w:t>Black Hills Energy Services offers fixed contract pricing for non-regulated gas supply services to our regulated natural gas customers. The increased cost of natural gas sold during Winter Storm Uri is not recoverable through a regulatory mechanism.</w:t>
      </w:r>
    </w:p>
    <w:p>
      <w:pPr>
        <w:ind w:left="340" w:right="420" w:hanging="332"/>
        <w:spacing w:after="0" w:line="258" w:lineRule="auto"/>
        <w:tabs>
          <w:tab w:leader="none" w:pos="344"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June 2021, Nebraska Gas delivered TCJA-related bill credits to its customers. These bill credits were offset by a reduction in income tax expense and resulted in a minimal impact to Net income.</w:t>
      </w:r>
    </w:p>
    <w:p>
      <w:pPr>
        <w:spacing w:after="0" w:line="218"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$9.6 million of higher employee costs, $3.3 million of higher property taxes due to a higher asset base driven by prior and current year capital expenditures and $2.0 million of higher outside services expenses. The increase in expense was partially offset by $4.4 million of decreased bad debt expense associated with lower expected credit losses.</w:t>
      </w:r>
    </w:p>
    <w:p>
      <w:pPr>
        <w:spacing w:after="0" w:line="22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and current year capital expenditures partially offset by lower depreciation rates approved in the Nebraska Gas and Colorado Gas rate reviews.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2020 Compared to 2019</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Utility margin</w:t>
      </w:r>
      <w:r>
        <w:rPr>
          <w:rFonts w:ascii="Arial" w:cs="Arial" w:eastAsia="Arial" w:hAnsi="Arial"/>
          <w:sz w:val="16"/>
          <w:szCs w:val="16"/>
          <w:color w:val="auto"/>
        </w:rPr>
        <w:t xml:space="preserve"> increased in 2020 over 2019 as a result of:</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0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(in millions)</w:t>
            </w:r>
          </w:p>
        </w:tc>
      </w:tr>
      <w:tr>
        <w:trPr>
          <w:trHeight w:val="213"/>
        </w:trPr>
        <w:tc>
          <w:tcPr>
            <w:tcW w:w="9040" w:type="dxa"/>
            <w:vAlign w:val="bottom"/>
            <w:shd w:val="clear" w:color="auto" w:fill="CEFEE7"/>
          </w:tcPr>
          <w:p>
            <w:pPr>
              <w:ind w:left="20"/>
              <w:spacing w:after="0"/>
              <w:rPr>
                <w:sz w:val="20"/>
                <w:szCs w:val="20"/>
                <w:color w:val="auto"/>
              </w:rPr>
            </w:pPr>
            <w:r>
              <w:rPr>
                <w:rFonts w:ascii="Arial" w:cs="Arial" w:eastAsia="Arial" w:hAnsi="Arial"/>
                <w:sz w:val="16"/>
                <w:szCs w:val="16"/>
                <w:color w:val="auto"/>
              </w:rPr>
              <w:t>New rates</w:t>
            </w:r>
          </w:p>
        </w:tc>
        <w:tc>
          <w:tcPr>
            <w:tcW w:w="400" w:type="dxa"/>
            <w:vAlign w:val="bottom"/>
            <w:shd w:val="clear" w:color="auto" w:fill="CEFEE7"/>
          </w:tcPr>
          <w:p>
            <w:pPr>
              <w:jc w:val="right"/>
              <w:ind w:right="2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25.4</w:t>
            </w:r>
          </w:p>
        </w:tc>
      </w:tr>
      <w:tr>
        <w:trPr>
          <w:trHeight w:val="213"/>
        </w:trPr>
        <w:tc>
          <w:tcPr>
            <w:tcW w:w="9040" w:type="dxa"/>
            <w:vAlign w:val="bottom"/>
          </w:tcPr>
          <w:p>
            <w:pPr>
              <w:ind w:left="20"/>
              <w:spacing w:after="0"/>
              <w:rPr>
                <w:sz w:val="20"/>
                <w:szCs w:val="20"/>
                <w:color w:val="auto"/>
              </w:rPr>
            </w:pPr>
            <w:r>
              <w:rPr>
                <w:rFonts w:ascii="Arial" w:cs="Arial" w:eastAsia="Arial" w:hAnsi="Arial"/>
                <w:sz w:val="16"/>
                <w:szCs w:val="16"/>
                <w:color w:val="auto"/>
              </w:rPr>
              <w:t>Customer growth - distribution</w:t>
            </w: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9040" w:type="dxa"/>
            <w:vAlign w:val="bottom"/>
            <w:shd w:val="clear" w:color="auto" w:fill="CEFEE7"/>
          </w:tcPr>
          <w:p>
            <w:pPr>
              <w:ind w:left="20"/>
              <w:spacing w:after="0"/>
              <w:rPr>
                <w:sz w:val="20"/>
                <w:szCs w:val="20"/>
                <w:color w:val="auto"/>
              </w:rPr>
            </w:pPr>
            <w:r>
              <w:rPr>
                <w:rFonts w:ascii="Arial" w:cs="Arial" w:eastAsia="Arial" w:hAnsi="Arial"/>
                <w:sz w:val="16"/>
                <w:szCs w:val="16"/>
                <w:color w:val="auto"/>
              </w:rPr>
              <w:t>Mark-to-market on non-utility natural gas commodity contracts</w:t>
            </w:r>
          </w:p>
        </w:tc>
        <w:tc>
          <w:tcPr>
            <w:tcW w:w="400" w:type="dxa"/>
            <w:vAlign w:val="bottom"/>
            <w:shd w:val="clear" w:color="auto" w:fill="CEFEE7"/>
          </w:tcPr>
          <w:p>
            <w:pPr>
              <w:spacing w:after="0"/>
              <w:rPr>
                <w:sz w:val="19"/>
                <w:szCs w:val="19"/>
                <w:color w:val="auto"/>
              </w:rPr>
            </w:pPr>
          </w:p>
        </w:tc>
        <w:tc>
          <w:tcPr>
            <w:tcW w:w="18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3.3</w:t>
            </w:r>
          </w:p>
        </w:tc>
      </w:tr>
      <w:tr>
        <w:trPr>
          <w:trHeight w:val="213"/>
        </w:trPr>
        <w:tc>
          <w:tcPr>
            <w:tcW w:w="9040" w:type="dxa"/>
            <w:vAlign w:val="bottom"/>
          </w:tcPr>
          <w:p>
            <w:pPr>
              <w:ind w:left="20"/>
              <w:spacing w:after="0"/>
              <w:rPr>
                <w:sz w:val="20"/>
                <w:szCs w:val="20"/>
                <w:color w:val="auto"/>
              </w:rPr>
            </w:pPr>
            <w:r>
              <w:rPr>
                <w:rFonts w:ascii="Arial" w:cs="Arial" w:eastAsia="Arial" w:hAnsi="Arial"/>
                <w:sz w:val="16"/>
                <w:szCs w:val="16"/>
                <w:color w:val="auto"/>
              </w:rPr>
              <w:t>Amortization of excess deferred income taxes in 2019</w:t>
            </w: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9040" w:type="dxa"/>
            <w:vAlign w:val="bottom"/>
            <w:shd w:val="clear" w:color="auto" w:fill="CEFEE7"/>
          </w:tcPr>
          <w:p>
            <w:pPr>
              <w:ind w:left="20"/>
              <w:spacing w:after="0"/>
              <w:rPr>
                <w:sz w:val="20"/>
                <w:szCs w:val="20"/>
                <w:color w:val="auto"/>
              </w:rPr>
            </w:pPr>
            <w:r>
              <w:rPr>
                <w:rFonts w:ascii="Arial" w:cs="Arial" w:eastAsia="Arial" w:hAnsi="Arial"/>
                <w:sz w:val="16"/>
                <w:szCs w:val="16"/>
                <w:color w:val="auto"/>
              </w:rPr>
              <w:t>Weather</w:t>
            </w:r>
          </w:p>
        </w:tc>
        <w:tc>
          <w:tcPr>
            <w:tcW w:w="400" w:type="dxa"/>
            <w:vAlign w:val="bottom"/>
            <w:shd w:val="clear" w:color="auto" w:fill="CEFEE7"/>
          </w:tcPr>
          <w:p>
            <w:pPr>
              <w:spacing w:after="0"/>
              <w:rPr>
                <w:sz w:val="19"/>
                <w:szCs w:val="19"/>
                <w:color w:val="auto"/>
              </w:rPr>
            </w:pPr>
          </w:p>
        </w:tc>
        <w:tc>
          <w:tcPr>
            <w:tcW w:w="18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9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COVID-19 impacts </w:t>
            </w:r>
            <w:r>
              <w:rPr>
                <w:rFonts w:ascii="Arial" w:cs="Arial" w:eastAsia="Arial" w:hAnsi="Arial"/>
                <w:sz w:val="21"/>
                <w:szCs w:val="21"/>
                <w:color w:val="auto"/>
                <w:vertAlign w:val="superscript"/>
              </w:rPr>
              <w:t>(a)</w:t>
            </w: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9040" w:type="dxa"/>
            <w:vAlign w:val="bottom"/>
            <w:shd w:val="clear" w:color="auto" w:fill="CEFEE7"/>
          </w:tcPr>
          <w:p>
            <w:pPr>
              <w:ind w:left="2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EFEE7"/>
          </w:tcPr>
          <w:p>
            <w:pPr>
              <w:spacing w:after="0"/>
              <w:rPr>
                <w:sz w:val="18"/>
                <w:szCs w:val="18"/>
                <w:color w:val="auto"/>
              </w:rPr>
            </w:pPr>
          </w:p>
        </w:tc>
        <w:tc>
          <w:tcPr>
            <w:tcW w:w="18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9040" w:type="dxa"/>
            <w:vAlign w:val="bottom"/>
          </w:tcPr>
          <w:p>
            <w:pPr>
              <w:ind w:left="20"/>
              <w:spacing w:after="0"/>
              <w:rPr>
                <w:sz w:val="20"/>
                <w:szCs w:val="20"/>
                <w:color w:val="auto"/>
              </w:rPr>
            </w:pPr>
            <w:r>
              <w:rPr>
                <w:rFonts w:ascii="Arial" w:cs="Arial" w:eastAsia="Arial" w:hAnsi="Arial"/>
                <w:sz w:val="16"/>
                <w:szCs w:val="16"/>
                <w:color w:val="auto"/>
              </w:rPr>
              <w:t>Total increase in Gas Utility margin</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r>
      <w:tr>
        <w:trPr>
          <w:trHeight w:val="21"/>
        </w:trPr>
        <w:tc>
          <w:tcPr>
            <w:tcW w:w="9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impacts to Gas Utility margin from COVID-19 were primarily driven by reduced volumes from certain transport customers and waived customer late payment fees.</w:t>
      </w:r>
    </w:p>
    <w:p>
      <w:pPr>
        <w:spacing w:after="0" w:line="241" w:lineRule="exact"/>
        <w:rPr>
          <w:sz w:val="20"/>
          <w:szCs w:val="20"/>
          <w:color w:val="auto"/>
        </w:rPr>
      </w:pPr>
    </w:p>
    <w:p>
      <w:pPr>
        <w:jc w:val="both"/>
        <w:ind w:right="360"/>
        <w:spacing w:after="0" w:line="253"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higher property taxes due to a higher asset base driven by capital expenditures. Lower employee costs were mostly offset by various other 2020 expenses. COVID-19 impacts to operations and maintenance expense included $2.5 million of additional bad debt expense which was partially offset by $2.4 million of lower travel, training, and outside services related expenses.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capital expenditures.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2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center"/>
              <w:ind w:left="579"/>
              <w:spacing w:after="0"/>
              <w:rPr>
                <w:sz w:val="20"/>
                <w:szCs w:val="20"/>
                <w:color w:val="auto"/>
              </w:rPr>
            </w:pPr>
            <w:r>
              <w:rPr>
                <w:rFonts w:ascii="Arial" w:cs="Arial" w:eastAsia="Arial" w:hAnsi="Arial"/>
                <w:sz w:val="16"/>
                <w:szCs w:val="16"/>
                <w:color w:val="auto"/>
              </w:rPr>
              <w:t>Revenue (in thousands)</w:t>
            </w: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Quantities Sold and Transported (Dth)</w:t>
            </w:r>
          </w:p>
        </w:tc>
        <w:tc>
          <w:tcPr>
            <w:tcW w:w="0" w:type="dxa"/>
            <w:vAlign w:val="bottom"/>
          </w:tcPr>
          <w:p>
            <w:pPr>
              <w:spacing w:after="0"/>
              <w:rPr>
                <w:sz w:val="1"/>
                <w:szCs w:val="1"/>
                <w:color w:val="auto"/>
              </w:rPr>
            </w:pPr>
          </w:p>
        </w:tc>
      </w:tr>
      <w:tr>
        <w:trPr>
          <w:trHeight w:val="207"/>
        </w:trPr>
        <w:tc>
          <w:tcPr>
            <w:tcW w:w="3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40" w:type="dxa"/>
            <w:vAlign w:val="bottom"/>
            <w:gridSpan w:val="6"/>
          </w:tcPr>
          <w:p>
            <w:pPr>
              <w:jc w:val="center"/>
              <w:ind w:right="400"/>
              <w:spacing w:after="0"/>
              <w:rPr>
                <w:sz w:val="20"/>
                <w:szCs w:val="20"/>
                <w:color w:val="auto"/>
              </w:rPr>
            </w:pPr>
            <w:r>
              <w:rPr>
                <w:rFonts w:ascii="Arial" w:cs="Arial" w:eastAsia="Arial" w:hAnsi="Arial"/>
                <w:sz w:val="16"/>
                <w:szCs w:val="16"/>
                <w:color w:val="auto"/>
              </w:rPr>
              <w:t>For the year ended December 31,</w:t>
            </w:r>
          </w:p>
        </w:tc>
        <w:tc>
          <w:tcPr>
            <w:tcW w:w="3880" w:type="dxa"/>
            <w:vAlign w:val="bottom"/>
            <w:gridSpan w:val="3"/>
          </w:tcPr>
          <w:p>
            <w:pPr>
              <w:jc w:val="center"/>
              <w:spacing w:after="0"/>
              <w:rPr>
                <w:sz w:val="20"/>
                <w:szCs w:val="20"/>
                <w:color w:val="auto"/>
              </w:rPr>
            </w:pPr>
            <w:r>
              <w:rPr>
                <w:rFonts w:ascii="Arial" w:cs="Arial" w:eastAsia="Arial" w:hAnsi="Arial"/>
                <w:sz w:val="16"/>
                <w:szCs w:val="16"/>
                <w:color w:val="auto"/>
              </w:rPr>
              <w:t>For the year ended December 31,</w:t>
            </w:r>
          </w:p>
        </w:tc>
        <w:tc>
          <w:tcPr>
            <w:tcW w:w="0" w:type="dxa"/>
            <w:vAlign w:val="bottom"/>
          </w:tcPr>
          <w:p>
            <w:pPr>
              <w:spacing w:after="0"/>
              <w:rPr>
                <w:sz w:val="1"/>
                <w:szCs w:val="1"/>
                <w:color w:val="auto"/>
              </w:rPr>
            </w:pPr>
          </w:p>
        </w:tc>
      </w:tr>
      <w:tr>
        <w:trPr>
          <w:trHeight w:val="219"/>
        </w:trPr>
        <w:tc>
          <w:tcPr>
            <w:tcW w:w="3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rPr>
              <w:t>2020</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2021</w:t>
            </w:r>
          </w:p>
        </w:tc>
        <w:tc>
          <w:tcPr>
            <w:tcW w:w="12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2020</w:t>
            </w: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45"/>
        </w:trPr>
        <w:tc>
          <w:tcPr>
            <w:tcW w:w="3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613,475</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527,518</w:t>
            </w:r>
          </w:p>
        </w:tc>
        <w:tc>
          <w:tcPr>
            <w:tcW w:w="38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551,701</w:t>
            </w:r>
          </w:p>
        </w:tc>
        <w:tc>
          <w:tcPr>
            <w:tcW w:w="12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60,080,805</w:t>
            </w:r>
          </w:p>
        </w:tc>
        <w:tc>
          <w:tcPr>
            <w:tcW w:w="1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61,962,171</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66,956,080</w:t>
            </w: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242,115</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193,017</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212,229</w:t>
            </w:r>
          </w:p>
        </w:tc>
        <w:tc>
          <w:tcPr>
            <w:tcW w:w="1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29,091,657</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28,784,319</w:t>
            </w:r>
          </w:p>
        </w:tc>
        <w:tc>
          <w:tcPr>
            <w:tcW w:w="1180" w:type="dxa"/>
            <w:vAlign w:val="bottom"/>
          </w:tcPr>
          <w:p>
            <w:pPr>
              <w:jc w:val="right"/>
              <w:spacing w:after="0"/>
              <w:rPr>
                <w:sz w:val="20"/>
                <w:szCs w:val="20"/>
                <w:color w:val="auto"/>
              </w:rPr>
            </w:pPr>
            <w:r>
              <w:rPr>
                <w:rFonts w:ascii="Arial" w:cs="Arial" w:eastAsia="Arial" w:hAnsi="Arial"/>
                <w:sz w:val="16"/>
                <w:szCs w:val="16"/>
                <w:color w:val="auto"/>
              </w:rPr>
              <w:t>32,241,441</w:t>
            </w:r>
          </w:p>
        </w:tc>
        <w:tc>
          <w:tcPr>
            <w:tcW w:w="0" w:type="dxa"/>
            <w:vAlign w:val="bottom"/>
          </w:tcPr>
          <w:p>
            <w:pPr>
              <w:spacing w:after="0"/>
              <w:rPr>
                <w:sz w:val="1"/>
                <w:szCs w:val="1"/>
                <w:color w:val="auto"/>
              </w:rPr>
            </w:pPr>
          </w:p>
        </w:tc>
      </w:tr>
      <w:tr>
        <w:trPr>
          <w:trHeight w:val="219"/>
        </w:trPr>
        <w:tc>
          <w:tcPr>
            <w:tcW w:w="3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30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33,368</w:t>
            </w:r>
          </w:p>
        </w:tc>
        <w:tc>
          <w:tcPr>
            <w:tcW w:w="30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24,014</w:t>
            </w:r>
          </w:p>
        </w:tc>
        <w:tc>
          <w:tcPr>
            <w:tcW w:w="38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24,832</w:t>
            </w:r>
          </w:p>
        </w:tc>
        <w:tc>
          <w:tcPr>
            <w:tcW w:w="12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6,260,235</w:t>
            </w:r>
          </w:p>
        </w:tc>
        <w:tc>
          <w:tcPr>
            <w:tcW w:w="1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6,881,354</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6,548,023</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3,816</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w:t>
            </w:r>
          </w:p>
        </w:tc>
        <w:tc>
          <w:tcPr>
            <w:tcW w:w="120" w:type="dxa"/>
            <w:vAlign w:val="bottom"/>
            <w:tcBorders>
              <w:bottom w:val="single" w:sz="8" w:color="CEFFE7"/>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Distribution</w:t>
            </w:r>
          </w:p>
        </w:tc>
        <w:tc>
          <w:tcPr>
            <w:tcW w:w="30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892,774</w:t>
            </w:r>
          </w:p>
        </w:tc>
        <w:tc>
          <w:tcPr>
            <w:tcW w:w="30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745,131</w:t>
            </w:r>
          </w:p>
        </w:tc>
        <w:tc>
          <w:tcPr>
            <w:tcW w:w="38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787,401</w:t>
            </w:r>
          </w:p>
        </w:tc>
        <w:tc>
          <w:tcPr>
            <w:tcW w:w="12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95,432,697</w:t>
            </w:r>
          </w:p>
        </w:tc>
        <w:tc>
          <w:tcPr>
            <w:tcW w:w="1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97,627,844</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105,745,544</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Transportation and Transmission</w:t>
            </w:r>
          </w:p>
        </w:tc>
        <w:tc>
          <w:tcPr>
            <w:tcW w:w="30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158,836</w:t>
            </w:r>
          </w:p>
        </w:tc>
        <w:tc>
          <w:tcPr>
            <w:tcW w:w="30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155,506</w:t>
            </w:r>
          </w:p>
        </w:tc>
        <w:tc>
          <w:tcPr>
            <w:tcW w:w="38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144,710</w:t>
            </w:r>
          </w:p>
        </w:tc>
        <w:tc>
          <w:tcPr>
            <w:tcW w:w="12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154,570,280</w:t>
            </w:r>
          </w:p>
        </w:tc>
        <w:tc>
          <w:tcPr>
            <w:tcW w:w="1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149,062,476</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153,101,264</w:t>
            </w:r>
          </w:p>
        </w:tc>
        <w:tc>
          <w:tcPr>
            <w:tcW w:w="0" w:type="dxa"/>
            <w:vAlign w:val="bottom"/>
          </w:tcPr>
          <w:p>
            <w:pPr>
              <w:spacing w:after="0"/>
              <w:rPr>
                <w:sz w:val="1"/>
                <w:szCs w:val="1"/>
                <w:color w:val="auto"/>
              </w:rPr>
            </w:pPr>
          </w:p>
        </w:tc>
      </w:tr>
      <w:tr>
        <w:trPr>
          <w:trHeight w:val="162"/>
        </w:trPr>
        <w:tc>
          <w:tcPr>
            <w:tcW w:w="3320" w:type="dxa"/>
            <w:vAlign w:val="bottom"/>
            <w:tcBorders>
              <w:bottom w:val="single" w:sz="8" w:color="CEFFE7"/>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Regulated</w:t>
            </w:r>
          </w:p>
        </w:tc>
        <w:tc>
          <w:tcPr>
            <w:tcW w:w="30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1,051,610</w:t>
            </w:r>
          </w:p>
        </w:tc>
        <w:tc>
          <w:tcPr>
            <w:tcW w:w="30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900,637</w:t>
            </w:r>
          </w:p>
        </w:tc>
        <w:tc>
          <w:tcPr>
            <w:tcW w:w="38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932,111</w:t>
            </w:r>
          </w:p>
        </w:tc>
        <w:tc>
          <w:tcPr>
            <w:tcW w:w="12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250,002,977</w:t>
            </w:r>
          </w:p>
        </w:tc>
        <w:tc>
          <w:tcPr>
            <w:tcW w:w="1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246,690,320</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258,846,808</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Non-regulated Services </w:t>
            </w:r>
            <w:r>
              <w:rPr>
                <w:rFonts w:ascii="Arial" w:cs="Arial" w:eastAsia="Arial" w:hAnsi="Arial"/>
                <w:sz w:val="21"/>
                <w:szCs w:val="21"/>
                <w:color w:val="auto"/>
                <w:vertAlign w:val="superscript"/>
              </w:rPr>
              <w:t>(a)</w:t>
            </w:r>
          </w:p>
        </w:tc>
        <w:tc>
          <w:tcPr>
            <w:tcW w:w="30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73,255</w:t>
            </w:r>
          </w:p>
        </w:tc>
        <w:tc>
          <w:tcPr>
            <w:tcW w:w="30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74,033</w:t>
            </w:r>
          </w:p>
        </w:tc>
        <w:tc>
          <w:tcPr>
            <w:tcW w:w="38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77,919</w:t>
            </w:r>
          </w:p>
        </w:tc>
        <w:tc>
          <w:tcPr>
            <w:tcW w:w="12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3320" w:type="dxa"/>
            <w:vAlign w:val="bottom"/>
            <w:tcBorders>
              <w:bottom w:val="single" w:sz="8" w:color="CEFFE7"/>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Revenue and Quantities Sold</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1,124,865</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974,670</w:t>
            </w:r>
          </w:p>
        </w:tc>
        <w:tc>
          <w:tcPr>
            <w:tcW w:w="38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1,010,030</w:t>
            </w:r>
          </w:p>
        </w:tc>
        <w:tc>
          <w:tcPr>
            <w:tcW w:w="120" w:type="dxa"/>
            <w:vAlign w:val="bottom"/>
            <w:tcBorders>
              <w:bottom w:val="single" w:sz="8" w:color="CEFFE7"/>
            </w:tcBorders>
            <w:shd w:val="clear" w:color="auto" w:fill="CEFFE7"/>
          </w:tcPr>
          <w:p>
            <w:pPr>
              <w:spacing w:after="0"/>
              <w:rPr>
                <w:sz w:val="19"/>
                <w:szCs w:val="19"/>
                <w:color w:val="auto"/>
              </w:rPr>
            </w:pPr>
          </w:p>
        </w:tc>
        <w:tc>
          <w:tcPr>
            <w:tcW w:w="142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250,002,977</w:t>
            </w:r>
          </w:p>
        </w:tc>
        <w:tc>
          <w:tcPr>
            <w:tcW w:w="128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246,690,320</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258,846,808</w:t>
            </w:r>
          </w:p>
        </w:tc>
        <w:tc>
          <w:tcPr>
            <w:tcW w:w="0" w:type="dxa"/>
            <w:vAlign w:val="bottom"/>
          </w:tcPr>
          <w:p>
            <w:pPr>
              <w:spacing w:after="0"/>
              <w:rPr>
                <w:sz w:val="1"/>
                <w:szCs w:val="1"/>
                <w:color w:val="auto"/>
              </w:rPr>
            </w:pPr>
          </w:p>
        </w:tc>
      </w:tr>
      <w:tr>
        <w:trPr>
          <w:trHeight w:val="20"/>
        </w:trPr>
        <w:tc>
          <w:tcPr>
            <w:tcW w:w="332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4"/>
                <w:szCs w:val="14"/>
                <w:color w:val="auto"/>
              </w:rPr>
              <w:t>____________________</w:t>
            </w: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42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3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Black Hills Energy Services and non-regulated services under the Service Guard Comfort Plan, Tech Services and HomeServe.</w:t>
      </w:r>
    </w:p>
    <w:p>
      <w:pPr>
        <w:spacing w:after="0" w:line="200" w:lineRule="exact"/>
        <w:rPr>
          <w:rFonts w:ascii="Arial" w:cs="Arial" w:eastAsia="Arial" w:hAnsi="Arial"/>
          <w:sz w:val="14"/>
          <w:szCs w:val="14"/>
          <w:color w:val="auto"/>
        </w:rPr>
      </w:pPr>
    </w:p>
    <w:p>
      <w:pPr>
        <w:spacing w:after="0" w:line="378"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center"/>
              <w:ind w:left="579"/>
              <w:spacing w:after="0"/>
              <w:rPr>
                <w:sz w:val="20"/>
                <w:szCs w:val="20"/>
                <w:color w:val="auto"/>
              </w:rPr>
            </w:pPr>
            <w:r>
              <w:rPr>
                <w:rFonts w:ascii="Arial" w:cs="Arial" w:eastAsia="Arial" w:hAnsi="Arial"/>
                <w:sz w:val="16"/>
                <w:szCs w:val="16"/>
                <w:color w:val="auto"/>
              </w:rPr>
              <w:t>Revenue (in thousands)</w:t>
            </w: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Quantities Sold and Transported (Dth)</w:t>
            </w:r>
          </w:p>
        </w:tc>
      </w:tr>
      <w:tr>
        <w:trPr>
          <w:trHeight w:val="207"/>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gridSpan w:val="6"/>
          </w:tcPr>
          <w:p>
            <w:pPr>
              <w:jc w:val="center"/>
              <w:ind w:right="400"/>
              <w:spacing w:after="0"/>
              <w:rPr>
                <w:sz w:val="20"/>
                <w:szCs w:val="20"/>
                <w:color w:val="auto"/>
              </w:rPr>
            </w:pPr>
            <w:r>
              <w:rPr>
                <w:rFonts w:ascii="Arial" w:cs="Arial" w:eastAsia="Arial" w:hAnsi="Arial"/>
                <w:sz w:val="16"/>
                <w:szCs w:val="16"/>
                <w:color w:val="auto"/>
              </w:rPr>
              <w:t>For the year ended December 31,</w:t>
            </w:r>
          </w:p>
        </w:tc>
        <w:tc>
          <w:tcPr>
            <w:tcW w:w="3880" w:type="dxa"/>
            <w:vAlign w:val="bottom"/>
            <w:gridSpan w:val="3"/>
          </w:tcPr>
          <w:p>
            <w:pPr>
              <w:jc w:val="center"/>
              <w:spacing w:after="0"/>
              <w:rPr>
                <w:sz w:val="20"/>
                <w:szCs w:val="20"/>
                <w:color w:val="auto"/>
              </w:rPr>
            </w:pPr>
            <w:r>
              <w:rPr>
                <w:rFonts w:ascii="Arial" w:cs="Arial" w:eastAsia="Arial" w:hAnsi="Arial"/>
                <w:sz w:val="16"/>
                <w:szCs w:val="16"/>
                <w:color w:val="auto"/>
              </w:rPr>
              <w:t>For the year ended December 31,</w:t>
            </w:r>
          </w:p>
        </w:tc>
      </w:tr>
      <w:tr>
        <w:trPr>
          <w:trHeight w:val="219"/>
        </w:trPr>
        <w:tc>
          <w:tcPr>
            <w:tcW w:w="3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2020</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2021</w:t>
            </w: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2020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2019</w:t>
            </w:r>
          </w:p>
        </w:tc>
      </w:tr>
      <w:tr>
        <w:trPr>
          <w:trHeight w:val="145"/>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16"/>
        </w:trPr>
        <w:tc>
          <w:tcPr>
            <w:tcW w:w="3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Arkansas</w:t>
            </w:r>
          </w:p>
        </w:tc>
        <w:tc>
          <w:tcPr>
            <w:tcW w:w="300" w:type="dxa"/>
            <w:vAlign w:val="bottom"/>
            <w:gridSpan w:val="2"/>
            <w:shd w:val="clear" w:color="auto" w:fill="CEFFE7"/>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218,497</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184,849</w:t>
            </w:r>
          </w:p>
        </w:tc>
        <w:tc>
          <w:tcPr>
            <w:tcW w:w="38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185,201</w:t>
            </w:r>
          </w:p>
        </w:tc>
        <w:tc>
          <w:tcPr>
            <w:tcW w:w="12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31,478,303</w:t>
            </w:r>
          </w:p>
        </w:tc>
        <w:tc>
          <w:tcPr>
            <w:tcW w:w="12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28,572,621</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30,496,243</w:t>
            </w:r>
          </w:p>
        </w:tc>
      </w:tr>
      <w:tr>
        <w:trPr>
          <w:trHeight w:val="213"/>
        </w:trPr>
        <w:tc>
          <w:tcPr>
            <w:tcW w:w="3320" w:type="dxa"/>
            <w:vAlign w:val="bottom"/>
          </w:tcPr>
          <w:p>
            <w:pPr>
              <w:ind w:left="20"/>
              <w:spacing w:after="0"/>
              <w:rPr>
                <w:sz w:val="20"/>
                <w:szCs w:val="20"/>
                <w:color w:val="auto"/>
              </w:rPr>
            </w:pPr>
            <w:r>
              <w:rPr>
                <w:rFonts w:ascii="Arial" w:cs="Arial" w:eastAsia="Arial" w:hAnsi="Arial"/>
                <w:sz w:val="16"/>
                <w:szCs w:val="16"/>
                <w:color w:val="auto"/>
              </w:rPr>
              <w:t>Colorado</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208,019</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186,085</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199,369</w:t>
            </w:r>
          </w:p>
        </w:tc>
        <w:tc>
          <w:tcPr>
            <w:tcW w:w="1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32,247,042</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32,077,083</w:t>
            </w:r>
          </w:p>
        </w:tc>
        <w:tc>
          <w:tcPr>
            <w:tcW w:w="1260" w:type="dxa"/>
            <w:vAlign w:val="bottom"/>
          </w:tcPr>
          <w:p>
            <w:pPr>
              <w:jc w:val="right"/>
              <w:spacing w:after="0"/>
              <w:rPr>
                <w:sz w:val="20"/>
                <w:szCs w:val="20"/>
                <w:color w:val="auto"/>
              </w:rPr>
            </w:pPr>
            <w:r>
              <w:rPr>
                <w:rFonts w:ascii="Arial" w:cs="Arial" w:eastAsia="Arial" w:hAnsi="Arial"/>
                <w:sz w:val="16"/>
                <w:szCs w:val="16"/>
                <w:color w:val="auto"/>
              </w:rPr>
              <w:t>33,908,529</w:t>
            </w:r>
          </w:p>
        </w:tc>
      </w:tr>
      <w:tr>
        <w:trPr>
          <w:trHeight w:val="219"/>
        </w:trPr>
        <w:tc>
          <w:tcPr>
            <w:tcW w:w="3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Iowa</w:t>
            </w:r>
          </w:p>
        </w:tc>
        <w:tc>
          <w:tcPr>
            <w:tcW w:w="8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171,673</w:t>
            </w:r>
          </w:p>
        </w:tc>
        <w:tc>
          <w:tcPr>
            <w:tcW w:w="14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137,982</w:t>
            </w:r>
          </w:p>
        </w:tc>
        <w:tc>
          <w:tcPr>
            <w:tcW w:w="38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151,619</w:t>
            </w:r>
          </w:p>
        </w:tc>
        <w:tc>
          <w:tcPr>
            <w:tcW w:w="12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38,022,801</w:t>
            </w:r>
          </w:p>
        </w:tc>
        <w:tc>
          <w:tcPr>
            <w:tcW w:w="12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36,824,548</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41,795,729</w:t>
            </w:r>
          </w:p>
        </w:tc>
      </w:tr>
      <w:tr>
        <w:trPr>
          <w:trHeight w:val="213"/>
        </w:trPr>
        <w:tc>
          <w:tcPr>
            <w:tcW w:w="3320" w:type="dxa"/>
            <w:vAlign w:val="bottom"/>
          </w:tcPr>
          <w:p>
            <w:pPr>
              <w:ind w:left="20"/>
              <w:spacing w:after="0"/>
              <w:rPr>
                <w:sz w:val="20"/>
                <w:szCs w:val="20"/>
                <w:color w:val="auto"/>
              </w:rPr>
            </w:pPr>
            <w:r>
              <w:rPr>
                <w:rFonts w:ascii="Arial" w:cs="Arial" w:eastAsia="Arial" w:hAnsi="Arial"/>
                <w:sz w:val="16"/>
                <w:szCs w:val="16"/>
                <w:color w:val="auto"/>
              </w:rPr>
              <w:t>Kansas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121,603</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101,118</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105,906</w:t>
            </w:r>
          </w:p>
        </w:tc>
        <w:tc>
          <w:tcPr>
            <w:tcW w:w="1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34,475,799</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33,732,897</w:t>
            </w:r>
          </w:p>
        </w:tc>
        <w:tc>
          <w:tcPr>
            <w:tcW w:w="1260" w:type="dxa"/>
            <w:vAlign w:val="bottom"/>
          </w:tcPr>
          <w:p>
            <w:pPr>
              <w:jc w:val="right"/>
              <w:spacing w:after="0"/>
              <w:rPr>
                <w:sz w:val="20"/>
                <w:szCs w:val="20"/>
                <w:color w:val="auto"/>
              </w:rPr>
            </w:pPr>
            <w:r>
              <w:rPr>
                <w:rFonts w:ascii="Arial" w:cs="Arial" w:eastAsia="Arial" w:hAnsi="Arial"/>
                <w:sz w:val="16"/>
                <w:szCs w:val="16"/>
                <w:color w:val="auto"/>
              </w:rPr>
              <w:t>32,650,854</w:t>
            </w:r>
          </w:p>
        </w:tc>
      </w:tr>
      <w:tr>
        <w:trPr>
          <w:trHeight w:val="219"/>
        </w:trPr>
        <w:tc>
          <w:tcPr>
            <w:tcW w:w="3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Nebraska</w:t>
            </w:r>
          </w:p>
        </w:tc>
        <w:tc>
          <w:tcPr>
            <w:tcW w:w="8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273,361</w:t>
            </w:r>
          </w:p>
        </w:tc>
        <w:tc>
          <w:tcPr>
            <w:tcW w:w="14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246,381</w:t>
            </w:r>
          </w:p>
        </w:tc>
        <w:tc>
          <w:tcPr>
            <w:tcW w:w="38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255,622</w:t>
            </w:r>
          </w:p>
        </w:tc>
        <w:tc>
          <w:tcPr>
            <w:tcW w:w="12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81,035,572</w:t>
            </w:r>
          </w:p>
        </w:tc>
        <w:tc>
          <w:tcPr>
            <w:tcW w:w="12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80,202,783</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81,481,192</w:t>
            </w:r>
          </w:p>
        </w:tc>
      </w:tr>
      <w:tr>
        <w:trPr>
          <w:trHeight w:val="213"/>
        </w:trPr>
        <w:tc>
          <w:tcPr>
            <w:tcW w:w="33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Wyoming</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131,712</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118,255</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112,313</w:t>
            </w:r>
          </w:p>
        </w:tc>
        <w:tc>
          <w:tcPr>
            <w:tcW w:w="120" w:type="dxa"/>
            <w:vAlign w:val="bottom"/>
            <w:tcBorders>
              <w:bottom w:val="single" w:sz="8" w:color="CEFFE7"/>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32,743,460</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35,280,388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38,514,261</w:t>
            </w:r>
          </w:p>
        </w:tc>
      </w:tr>
      <w:tr>
        <w:trPr>
          <w:trHeight w:val="238"/>
        </w:trPr>
        <w:tc>
          <w:tcPr>
            <w:tcW w:w="3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Revenue and Quantities Sold</w:t>
            </w:r>
          </w:p>
        </w:tc>
        <w:tc>
          <w:tcPr>
            <w:tcW w:w="300" w:type="dxa"/>
            <w:vAlign w:val="bottom"/>
            <w:tcBorders>
              <w:bottom w:val="single" w:sz="8" w:color="auto"/>
            </w:tcBorders>
            <w:gridSpan w:val="2"/>
            <w:shd w:val="clear" w:color="auto" w:fill="CEFFE7"/>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1,124,865</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974,670</w:t>
            </w:r>
          </w:p>
        </w:tc>
        <w:tc>
          <w:tcPr>
            <w:tcW w:w="38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1,010,030</w:t>
            </w:r>
          </w:p>
        </w:tc>
        <w:tc>
          <w:tcPr>
            <w:tcW w:w="120" w:type="dxa"/>
            <w:vAlign w:val="bottom"/>
            <w:tcBorders>
              <w:bottom w:val="single" w:sz="8" w:color="CEFFE7"/>
            </w:tcBorders>
            <w:shd w:val="clear" w:color="auto" w:fill="CEFFE7"/>
          </w:tcPr>
          <w:p>
            <w:pPr>
              <w:spacing w:after="0"/>
              <w:rPr>
                <w:sz w:val="20"/>
                <w:szCs w:val="20"/>
                <w:color w:val="auto"/>
              </w:rPr>
            </w:pPr>
          </w:p>
        </w:tc>
        <w:tc>
          <w:tcPr>
            <w:tcW w:w="142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250,002,977</w:t>
            </w:r>
          </w:p>
        </w:tc>
        <w:tc>
          <w:tcPr>
            <w:tcW w:w="12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246,690,320</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258,846,808</w:t>
            </w:r>
          </w:p>
        </w:tc>
      </w:tr>
      <w:tr>
        <w:trPr>
          <w:trHeight w:val="20"/>
        </w:trPr>
        <w:tc>
          <w:tcPr>
            <w:tcW w:w="3320" w:type="dxa"/>
            <w:vAlign w:val="bottom"/>
            <w:tcBorders>
              <w:top w:val="single" w:sz="8" w:color="CEFFE7"/>
            </w:tcBorders>
          </w:tcPr>
          <w:p>
            <w:pPr>
              <w:spacing w:after="0" w:line="20" w:lineRule="exact"/>
              <w:rPr>
                <w:sz w:val="1"/>
                <w:szCs w:val="1"/>
                <w:color w:val="auto"/>
              </w:rPr>
            </w:pPr>
          </w:p>
        </w:tc>
        <w:tc>
          <w:tcPr>
            <w:tcW w:w="8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1340" w:type="dxa"/>
            <w:vAlign w:val="bottom"/>
            <w:tcBorders>
              <w:top w:val="single" w:sz="8" w:color="CEFFE7"/>
              <w:bottom w:val="single" w:sz="8" w:color="auto"/>
            </w:tcBorders>
            <w:gridSpan w:val="2"/>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42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1260" w:type="dxa"/>
            <w:vAlign w:val="bottom"/>
            <w:tcBorders>
              <w:top w:val="single" w:sz="8" w:color="CEFFE7"/>
              <w:bottom w:val="single" w:sz="8" w:color="auto"/>
            </w:tcBorders>
          </w:tcPr>
          <w:p>
            <w:pPr>
              <w:spacing w:after="0" w:line="20" w:lineRule="exact"/>
              <w:rPr>
                <w:sz w:val="1"/>
                <w:szCs w:val="1"/>
                <w:color w:val="auto"/>
              </w:rPr>
            </w:pPr>
          </w:p>
        </w:tc>
      </w:tr>
      <w:tr>
        <w:trPr>
          <w:trHeight w:val="630"/>
        </w:trPr>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80" w:type="dxa"/>
            <w:vAlign w:val="bottom"/>
            <w:gridSpan w:val="4"/>
          </w:tcPr>
          <w:p>
            <w:pPr>
              <w:jc w:val="right"/>
              <w:ind w:right="159"/>
              <w:spacing w:after="0"/>
              <w:rPr>
                <w:sz w:val="20"/>
                <w:szCs w:val="20"/>
                <w:color w:val="auto"/>
              </w:rPr>
            </w:pPr>
            <w:r>
              <w:rPr>
                <w:rFonts w:ascii="Arial" w:cs="Arial" w:eastAsia="Arial" w:hAnsi="Arial"/>
                <w:sz w:val="16"/>
                <w:szCs w:val="16"/>
                <w:color w:val="auto"/>
              </w:rPr>
              <w:t>For the year ended December 31,</w:t>
            </w: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9"/>
        </w:trPr>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jc w:val="right"/>
              <w:ind w:right="1199"/>
              <w:spacing w:after="0"/>
              <w:rPr>
                <w:sz w:val="20"/>
                <w:szCs w:val="20"/>
                <w:color w:val="auto"/>
              </w:rPr>
            </w:pPr>
            <w:r>
              <w:rPr>
                <w:rFonts w:ascii="Arial" w:cs="Arial" w:eastAsia="Arial" w:hAnsi="Arial"/>
                <w:sz w:val="16"/>
                <w:szCs w:val="16"/>
                <w:color w:val="auto"/>
              </w:rPr>
              <w:t>2020</w:t>
            </w:r>
          </w:p>
        </w:tc>
        <w:tc>
          <w:tcPr>
            <w:tcW w:w="2460" w:type="dxa"/>
            <w:vAlign w:val="bottom"/>
            <w:tcBorders>
              <w:bottom w:val="single" w:sz="8" w:color="auto"/>
            </w:tcBorders>
            <w:gridSpan w:val="2"/>
          </w:tcPr>
          <w:p>
            <w:pPr>
              <w:jc w:val="right"/>
              <w:ind w:right="999"/>
              <w:spacing w:after="0"/>
              <w:rPr>
                <w:sz w:val="20"/>
                <w:szCs w:val="20"/>
                <w:color w:val="auto"/>
              </w:rPr>
            </w:pPr>
            <w:r>
              <w:rPr>
                <w:rFonts w:ascii="Arial" w:cs="Arial" w:eastAsia="Arial" w:hAnsi="Arial"/>
                <w:sz w:val="16"/>
                <w:szCs w:val="16"/>
                <w:color w:val="auto"/>
              </w:rPr>
              <w:t>2019</w:t>
            </w:r>
          </w:p>
        </w:tc>
      </w:tr>
      <w:tr>
        <w:trPr>
          <w:trHeight w:val="174"/>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spacing w:after="0" w:line="174" w:lineRule="exact"/>
              <w:rPr>
                <w:sz w:val="20"/>
                <w:szCs w:val="20"/>
                <w:color w:val="auto"/>
              </w:rPr>
            </w:pPr>
            <w:r>
              <w:rPr>
                <w:rFonts w:ascii="Arial" w:cs="Arial" w:eastAsia="Arial" w:hAnsi="Arial"/>
                <w:sz w:val="16"/>
                <w:szCs w:val="16"/>
                <w:color w:val="auto"/>
              </w:rPr>
              <w:t>Variance From</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219"/>
              <w:spacing w:after="0" w:line="174" w:lineRule="exact"/>
              <w:rPr>
                <w:sz w:val="20"/>
                <w:szCs w:val="20"/>
                <w:color w:val="auto"/>
              </w:rPr>
            </w:pPr>
            <w:r>
              <w:rPr>
                <w:rFonts w:ascii="Arial" w:cs="Arial" w:eastAsia="Arial" w:hAnsi="Arial"/>
                <w:sz w:val="16"/>
                <w:szCs w:val="16"/>
                <w:color w:val="auto"/>
              </w:rPr>
              <w:t>Variance From</w:t>
            </w:r>
          </w:p>
        </w:tc>
        <w:tc>
          <w:tcPr>
            <w:tcW w:w="1200" w:type="dxa"/>
            <w:vAlign w:val="bottom"/>
          </w:tcPr>
          <w:p>
            <w:pPr>
              <w:spacing w:after="0"/>
              <w:rPr>
                <w:sz w:val="15"/>
                <w:szCs w:val="15"/>
                <w:color w:val="auto"/>
              </w:rPr>
            </w:pPr>
          </w:p>
        </w:tc>
        <w:tc>
          <w:tcPr>
            <w:tcW w:w="1260" w:type="dxa"/>
            <w:vAlign w:val="bottom"/>
          </w:tcPr>
          <w:p>
            <w:pPr>
              <w:jc w:val="center"/>
              <w:spacing w:after="0" w:line="174" w:lineRule="exact"/>
              <w:rPr>
                <w:sz w:val="20"/>
                <w:szCs w:val="20"/>
                <w:color w:val="auto"/>
              </w:rPr>
            </w:pPr>
            <w:r>
              <w:rPr>
                <w:rFonts w:ascii="Arial" w:cs="Arial" w:eastAsia="Arial" w:hAnsi="Arial"/>
                <w:sz w:val="16"/>
                <w:szCs w:val="16"/>
                <w:color w:val="auto"/>
              </w:rPr>
              <w:t>Variance From</w:t>
            </w:r>
          </w:p>
        </w:tc>
      </w:tr>
      <w:tr>
        <w:trPr>
          <w:trHeight w:val="198"/>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Heating Degree Days</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Actual</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Normal</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color w:val="auto"/>
              </w:rPr>
              <w:t>Actual</w:t>
            </w: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Normal</w:t>
            </w: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Actual</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Normal</w:t>
            </w:r>
          </w:p>
        </w:tc>
      </w:tr>
      <w:tr>
        <w:trPr>
          <w:trHeight w:val="213"/>
        </w:trPr>
        <w:tc>
          <w:tcPr>
            <w:tcW w:w="3320" w:type="dxa"/>
            <w:vAlign w:val="bottom"/>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Arkansas </w:t>
            </w:r>
            <w:r>
              <w:rPr>
                <w:rFonts w:ascii="Arial" w:cs="Arial" w:eastAsia="Arial" w:hAnsi="Arial"/>
                <w:sz w:val="21"/>
                <w:szCs w:val="21"/>
                <w:color w:val="auto"/>
                <w:vertAlign w:val="superscript"/>
              </w:rPr>
              <w:t>(a)</w:t>
            </w:r>
          </w:p>
        </w:tc>
        <w:tc>
          <w:tcPr>
            <w:tcW w:w="8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3,565</w:t>
            </w:r>
          </w:p>
        </w:tc>
        <w:tc>
          <w:tcPr>
            <w:tcW w:w="140" w:type="dxa"/>
            <w:vAlign w:val="bottom"/>
            <w:shd w:val="clear" w:color="auto" w:fill="CEFFE7"/>
          </w:tcPr>
          <w:p>
            <w:pPr>
              <w:spacing w:after="0"/>
              <w:rPr>
                <w:sz w:val="18"/>
                <w:szCs w:val="18"/>
                <w:color w:val="auto"/>
              </w:rPr>
            </w:pP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8"/>
              </w:rPr>
              <w:t>(12)%</w:t>
            </w:r>
          </w:p>
        </w:tc>
        <w:tc>
          <w:tcPr>
            <w:tcW w:w="380" w:type="dxa"/>
            <w:vAlign w:val="bottom"/>
            <w:shd w:val="clear" w:color="auto" w:fill="CEFFE7"/>
          </w:tcPr>
          <w:p>
            <w:pPr>
              <w:spacing w:after="0"/>
              <w:rPr>
                <w:sz w:val="18"/>
                <w:szCs w:val="18"/>
                <w:color w:val="auto"/>
              </w:rPr>
            </w:pPr>
          </w:p>
        </w:tc>
        <w:tc>
          <w:tcPr>
            <w:tcW w:w="1080" w:type="dxa"/>
            <w:vAlign w:val="bottom"/>
            <w:gridSpan w:val="2"/>
            <w:shd w:val="clear" w:color="auto" w:fill="CEFFE7"/>
          </w:tcPr>
          <w:p>
            <w:pPr>
              <w:jc w:val="right"/>
              <w:ind w:right="100"/>
              <w:spacing w:after="0"/>
              <w:rPr>
                <w:sz w:val="20"/>
                <w:szCs w:val="20"/>
                <w:color w:val="auto"/>
              </w:rPr>
            </w:pPr>
            <w:r>
              <w:rPr>
                <w:rFonts w:ascii="Arial" w:cs="Arial" w:eastAsia="Arial" w:hAnsi="Arial"/>
                <w:sz w:val="16"/>
                <w:szCs w:val="16"/>
                <w:color w:val="auto"/>
              </w:rPr>
              <w:t>3,442</w:t>
            </w:r>
          </w:p>
        </w:tc>
        <w:tc>
          <w:tcPr>
            <w:tcW w:w="1420" w:type="dxa"/>
            <w:vAlign w:val="bottom"/>
            <w:shd w:val="clear" w:color="auto" w:fill="CEFFE7"/>
          </w:tcPr>
          <w:p>
            <w:pPr>
              <w:jc w:val="center"/>
              <w:ind w:right="139"/>
              <w:spacing w:after="0"/>
              <w:rPr>
                <w:sz w:val="20"/>
                <w:szCs w:val="20"/>
                <w:color w:val="auto"/>
              </w:rPr>
            </w:pPr>
            <w:r>
              <w:rPr>
                <w:rFonts w:ascii="Arial" w:cs="Arial" w:eastAsia="Arial" w:hAnsi="Arial"/>
                <w:sz w:val="16"/>
                <w:szCs w:val="16"/>
                <w:color w:val="auto"/>
              </w:rPr>
              <w:t>(15)%</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3,897</w:t>
            </w:r>
          </w:p>
        </w:tc>
        <w:tc>
          <w:tcPr>
            <w:tcW w:w="126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(4)%</w:t>
            </w:r>
          </w:p>
        </w:tc>
      </w:tr>
      <w:tr>
        <w:trPr>
          <w:trHeight w:val="213"/>
        </w:trPr>
        <w:tc>
          <w:tcPr>
            <w:tcW w:w="3320" w:type="dxa"/>
            <w:vAlign w:val="bottom"/>
          </w:tcPr>
          <w:p>
            <w:pPr>
              <w:ind w:left="20"/>
              <w:spacing w:after="0"/>
              <w:rPr>
                <w:sz w:val="20"/>
                <w:szCs w:val="20"/>
                <w:color w:val="auto"/>
              </w:rPr>
            </w:pPr>
            <w:r>
              <w:rPr>
                <w:rFonts w:ascii="Arial" w:cs="Arial" w:eastAsia="Arial" w:hAnsi="Arial"/>
                <w:sz w:val="16"/>
                <w:szCs w:val="16"/>
                <w:color w:val="auto"/>
              </w:rPr>
              <w:t>Colorado</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5,866</w:t>
            </w:r>
          </w:p>
        </w:tc>
        <w:tc>
          <w:tcPr>
            <w:tcW w:w="1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(11)%</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6,068</w:t>
            </w:r>
          </w:p>
        </w:tc>
        <w:tc>
          <w:tcPr>
            <w:tcW w:w="1420" w:type="dxa"/>
            <w:vAlign w:val="bottom"/>
          </w:tcPr>
          <w:p>
            <w:pPr>
              <w:jc w:val="center"/>
              <w:ind w:right="139"/>
              <w:spacing w:after="0"/>
              <w:rPr>
                <w:sz w:val="20"/>
                <w:szCs w:val="20"/>
                <w:color w:val="auto"/>
              </w:rPr>
            </w:pPr>
            <w:r>
              <w:rPr>
                <w:rFonts w:ascii="Arial" w:cs="Arial" w:eastAsia="Arial" w:hAnsi="Arial"/>
                <w:sz w:val="16"/>
                <w:szCs w:val="16"/>
                <w:color w:val="auto"/>
              </w:rPr>
              <w:t>(8)%</w:t>
            </w:r>
          </w:p>
        </w:tc>
        <w:tc>
          <w:tcPr>
            <w:tcW w:w="1200" w:type="dxa"/>
            <w:vAlign w:val="bottom"/>
          </w:tcPr>
          <w:p>
            <w:pPr>
              <w:jc w:val="right"/>
              <w:spacing w:after="0"/>
              <w:rPr>
                <w:sz w:val="20"/>
                <w:szCs w:val="20"/>
                <w:color w:val="auto"/>
              </w:rPr>
            </w:pPr>
            <w:r>
              <w:rPr>
                <w:rFonts w:ascii="Arial" w:cs="Arial" w:eastAsia="Arial" w:hAnsi="Arial"/>
                <w:sz w:val="16"/>
                <w:szCs w:val="16"/>
                <w:color w:val="auto"/>
              </w:rPr>
              <w:t>6,672</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1%</w:t>
            </w:r>
          </w:p>
        </w:tc>
      </w:tr>
      <w:tr>
        <w:trPr>
          <w:trHeight w:val="219"/>
        </w:trPr>
        <w:tc>
          <w:tcPr>
            <w:tcW w:w="3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Iowa</w:t>
            </w:r>
          </w:p>
        </w:tc>
        <w:tc>
          <w:tcPr>
            <w:tcW w:w="8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6,239</w:t>
            </w:r>
          </w:p>
        </w:tc>
        <w:tc>
          <w:tcPr>
            <w:tcW w:w="140" w:type="dxa"/>
            <w:vAlign w:val="bottom"/>
            <w:shd w:val="clear" w:color="auto" w:fill="CEFFE7"/>
          </w:tcPr>
          <w:p>
            <w:pPr>
              <w:spacing w:after="0"/>
              <w:rPr>
                <w:sz w:val="19"/>
                <w:szCs w:val="19"/>
                <w:color w:val="auto"/>
              </w:rPr>
            </w:pP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(8)%</w:t>
            </w:r>
          </w:p>
        </w:tc>
        <w:tc>
          <w:tcPr>
            <w:tcW w:w="380" w:type="dxa"/>
            <w:vAlign w:val="bottom"/>
            <w:shd w:val="clear" w:color="auto" w:fill="CEFFE7"/>
          </w:tcPr>
          <w:p>
            <w:pPr>
              <w:spacing w:after="0"/>
              <w:rPr>
                <w:sz w:val="19"/>
                <w:szCs w:val="19"/>
                <w:color w:val="auto"/>
              </w:rPr>
            </w:pPr>
          </w:p>
        </w:tc>
        <w:tc>
          <w:tcPr>
            <w:tcW w:w="1080" w:type="dxa"/>
            <w:vAlign w:val="bottom"/>
            <w:gridSpan w:val="2"/>
            <w:shd w:val="clear" w:color="auto" w:fill="CEFFE7"/>
          </w:tcPr>
          <w:p>
            <w:pPr>
              <w:jc w:val="right"/>
              <w:ind w:right="100"/>
              <w:spacing w:after="0"/>
              <w:rPr>
                <w:sz w:val="20"/>
                <w:szCs w:val="20"/>
                <w:color w:val="auto"/>
              </w:rPr>
            </w:pPr>
            <w:r>
              <w:rPr>
                <w:rFonts w:ascii="Arial" w:cs="Arial" w:eastAsia="Arial" w:hAnsi="Arial"/>
                <w:sz w:val="16"/>
                <w:szCs w:val="16"/>
                <w:color w:val="auto"/>
              </w:rPr>
              <w:t>6,504</w:t>
            </w:r>
          </w:p>
        </w:tc>
        <w:tc>
          <w:tcPr>
            <w:tcW w:w="1420" w:type="dxa"/>
            <w:vAlign w:val="bottom"/>
            <w:shd w:val="clear" w:color="auto" w:fill="CEFFE7"/>
          </w:tcPr>
          <w:p>
            <w:pPr>
              <w:jc w:val="center"/>
              <w:ind w:right="139"/>
              <w:spacing w:after="0"/>
              <w:rPr>
                <w:sz w:val="20"/>
                <w:szCs w:val="20"/>
                <w:color w:val="auto"/>
              </w:rPr>
            </w:pPr>
            <w:r>
              <w:rPr>
                <w:rFonts w:ascii="Arial" w:cs="Arial" w:eastAsia="Arial" w:hAnsi="Arial"/>
                <w:sz w:val="16"/>
                <w:szCs w:val="16"/>
                <w:color w:val="auto"/>
              </w:rPr>
              <w:t>(4)%</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7,200</w:t>
            </w:r>
          </w:p>
        </w:tc>
        <w:tc>
          <w:tcPr>
            <w:tcW w:w="1260" w:type="dxa"/>
            <w:vAlign w:val="bottom"/>
            <w:shd w:val="clear" w:color="auto" w:fill="CEFFE7"/>
          </w:tcPr>
          <w:p>
            <w:pPr>
              <w:jc w:val="right"/>
              <w:ind w:right="439"/>
              <w:spacing w:after="0"/>
              <w:rPr>
                <w:sz w:val="20"/>
                <w:szCs w:val="20"/>
                <w:color w:val="auto"/>
              </w:rPr>
            </w:pPr>
            <w:r>
              <w:rPr>
                <w:rFonts w:ascii="Arial" w:cs="Arial" w:eastAsia="Arial" w:hAnsi="Arial"/>
                <w:sz w:val="16"/>
                <w:szCs w:val="16"/>
                <w:color w:val="auto"/>
              </w:rPr>
              <w:t>6%</w:t>
            </w:r>
          </w:p>
        </w:tc>
      </w:tr>
      <w:tr>
        <w:trPr>
          <w:trHeight w:val="216"/>
        </w:trPr>
        <w:tc>
          <w:tcPr>
            <w:tcW w:w="33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Kansas </w:t>
            </w:r>
            <w:r>
              <w:rPr>
                <w:rFonts w:ascii="Arial" w:cs="Arial" w:eastAsia="Arial" w:hAnsi="Arial"/>
                <w:sz w:val="21"/>
                <w:szCs w:val="21"/>
                <w:color w:val="auto"/>
                <w:vertAlign w:val="superscript"/>
              </w:rPr>
              <w:t>(a)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4,508</w:t>
            </w:r>
          </w:p>
        </w:tc>
        <w:tc>
          <w:tcPr>
            <w:tcW w:w="1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(8)%</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4,648</w:t>
            </w:r>
          </w:p>
        </w:tc>
        <w:tc>
          <w:tcPr>
            <w:tcW w:w="1420" w:type="dxa"/>
            <w:vAlign w:val="bottom"/>
          </w:tcPr>
          <w:p>
            <w:pPr>
              <w:jc w:val="center"/>
              <w:ind w:right="139"/>
              <w:spacing w:after="0"/>
              <w:rPr>
                <w:sz w:val="20"/>
                <w:szCs w:val="20"/>
                <w:color w:val="auto"/>
              </w:rPr>
            </w:pPr>
            <w:r>
              <w:rPr>
                <w:rFonts w:ascii="Arial" w:cs="Arial" w:eastAsia="Arial" w:hAnsi="Arial"/>
                <w:sz w:val="16"/>
                <w:szCs w:val="16"/>
                <w:color w:val="auto"/>
              </w:rPr>
              <w:t>(5)%</w:t>
            </w:r>
          </w:p>
        </w:tc>
        <w:tc>
          <w:tcPr>
            <w:tcW w:w="1200" w:type="dxa"/>
            <w:vAlign w:val="bottom"/>
          </w:tcPr>
          <w:p>
            <w:pPr>
              <w:jc w:val="right"/>
              <w:spacing w:after="0"/>
              <w:rPr>
                <w:sz w:val="20"/>
                <w:szCs w:val="20"/>
                <w:color w:val="auto"/>
              </w:rPr>
            </w:pPr>
            <w:r>
              <w:rPr>
                <w:rFonts w:ascii="Arial" w:cs="Arial" w:eastAsia="Arial" w:hAnsi="Arial"/>
                <w:sz w:val="16"/>
                <w:szCs w:val="16"/>
                <w:color w:val="auto"/>
              </w:rPr>
              <w:t>5,190</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6%</w:t>
            </w:r>
          </w:p>
        </w:tc>
      </w:tr>
      <w:tr>
        <w:trPr>
          <w:trHeight w:val="216"/>
        </w:trPr>
        <w:tc>
          <w:tcPr>
            <w:tcW w:w="3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Nebraska</w:t>
            </w:r>
          </w:p>
        </w:tc>
        <w:tc>
          <w:tcPr>
            <w:tcW w:w="8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5,599</w:t>
            </w:r>
          </w:p>
        </w:tc>
        <w:tc>
          <w:tcPr>
            <w:tcW w:w="140" w:type="dxa"/>
            <w:vAlign w:val="bottom"/>
            <w:shd w:val="clear" w:color="auto" w:fill="CEFFE7"/>
          </w:tcPr>
          <w:p>
            <w:pPr>
              <w:spacing w:after="0"/>
              <w:rPr>
                <w:sz w:val="18"/>
                <w:szCs w:val="18"/>
                <w:color w:val="auto"/>
              </w:rPr>
            </w:pP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(9)%</w:t>
            </w:r>
          </w:p>
        </w:tc>
        <w:tc>
          <w:tcPr>
            <w:tcW w:w="380" w:type="dxa"/>
            <w:vAlign w:val="bottom"/>
            <w:shd w:val="clear" w:color="auto" w:fill="CEFFE7"/>
          </w:tcPr>
          <w:p>
            <w:pPr>
              <w:spacing w:after="0"/>
              <w:rPr>
                <w:sz w:val="18"/>
                <w:szCs w:val="18"/>
                <w:color w:val="auto"/>
              </w:rPr>
            </w:pPr>
          </w:p>
        </w:tc>
        <w:tc>
          <w:tcPr>
            <w:tcW w:w="1080" w:type="dxa"/>
            <w:vAlign w:val="bottom"/>
            <w:gridSpan w:val="2"/>
            <w:shd w:val="clear" w:color="auto" w:fill="CEFFE7"/>
          </w:tcPr>
          <w:p>
            <w:pPr>
              <w:jc w:val="right"/>
              <w:ind w:right="100"/>
              <w:spacing w:after="0"/>
              <w:rPr>
                <w:sz w:val="20"/>
                <w:szCs w:val="20"/>
                <w:color w:val="auto"/>
              </w:rPr>
            </w:pPr>
            <w:r>
              <w:rPr>
                <w:rFonts w:ascii="Arial" w:cs="Arial" w:eastAsia="Arial" w:hAnsi="Arial"/>
                <w:sz w:val="16"/>
                <w:szCs w:val="16"/>
                <w:color w:val="auto"/>
              </w:rPr>
              <w:t>5,853</w:t>
            </w:r>
          </w:p>
        </w:tc>
        <w:tc>
          <w:tcPr>
            <w:tcW w:w="1420" w:type="dxa"/>
            <w:vAlign w:val="bottom"/>
            <w:shd w:val="clear" w:color="auto" w:fill="CEFFE7"/>
          </w:tcPr>
          <w:p>
            <w:pPr>
              <w:jc w:val="center"/>
              <w:ind w:right="139"/>
              <w:spacing w:after="0"/>
              <w:rPr>
                <w:sz w:val="20"/>
                <w:szCs w:val="20"/>
                <w:color w:val="auto"/>
              </w:rPr>
            </w:pPr>
            <w:r>
              <w:rPr>
                <w:rFonts w:ascii="Arial" w:cs="Arial" w:eastAsia="Arial" w:hAnsi="Arial"/>
                <w:sz w:val="16"/>
                <w:szCs w:val="16"/>
                <w:color w:val="auto"/>
              </w:rPr>
              <w:t>(5)%</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6,578</w:t>
            </w:r>
          </w:p>
        </w:tc>
        <w:tc>
          <w:tcPr>
            <w:tcW w:w="1260" w:type="dxa"/>
            <w:vAlign w:val="bottom"/>
            <w:shd w:val="clear" w:color="auto" w:fill="CEFFE7"/>
          </w:tcPr>
          <w:p>
            <w:pPr>
              <w:jc w:val="right"/>
              <w:ind w:right="439"/>
              <w:spacing w:after="0"/>
              <w:rPr>
                <w:sz w:val="20"/>
                <w:szCs w:val="20"/>
                <w:color w:val="auto"/>
              </w:rPr>
            </w:pPr>
            <w:r>
              <w:rPr>
                <w:rFonts w:ascii="Arial" w:cs="Arial" w:eastAsia="Arial" w:hAnsi="Arial"/>
                <w:sz w:val="16"/>
                <w:szCs w:val="16"/>
                <w:color w:val="auto"/>
              </w:rPr>
              <w:t>7%</w:t>
            </w:r>
          </w:p>
        </w:tc>
      </w:tr>
      <w:tr>
        <w:trPr>
          <w:trHeight w:val="213"/>
        </w:trPr>
        <w:tc>
          <w:tcPr>
            <w:tcW w:w="3320" w:type="dxa"/>
            <w:vAlign w:val="bottom"/>
          </w:tcPr>
          <w:p>
            <w:pPr>
              <w:ind w:left="20"/>
              <w:spacing w:after="0"/>
              <w:rPr>
                <w:sz w:val="20"/>
                <w:szCs w:val="20"/>
                <w:color w:val="auto"/>
              </w:rPr>
            </w:pPr>
            <w:r>
              <w:rPr>
                <w:rFonts w:ascii="Arial" w:cs="Arial" w:eastAsia="Arial" w:hAnsi="Arial"/>
                <w:sz w:val="16"/>
                <w:szCs w:val="16"/>
                <w:color w:val="auto"/>
              </w:rPr>
              <w:t>Wyoming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7,074</w:t>
            </w:r>
          </w:p>
        </w:tc>
        <w:tc>
          <w:tcPr>
            <w:tcW w:w="1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(7)%</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7,289</w:t>
            </w:r>
          </w:p>
        </w:tc>
        <w:tc>
          <w:tcPr>
            <w:tcW w:w="1420" w:type="dxa"/>
            <w:vAlign w:val="bottom"/>
          </w:tcPr>
          <w:p>
            <w:pPr>
              <w:jc w:val="center"/>
              <w:ind w:right="139"/>
              <w:spacing w:after="0"/>
              <w:rPr>
                <w:sz w:val="20"/>
                <w:szCs w:val="20"/>
                <w:color w:val="auto"/>
              </w:rPr>
            </w:pPr>
            <w:r>
              <w:rPr>
                <w:rFonts w:ascii="Arial" w:cs="Arial" w:eastAsia="Arial" w:hAnsi="Arial"/>
                <w:sz w:val="16"/>
                <w:szCs w:val="16"/>
                <w:color w:val="auto"/>
              </w:rPr>
              <w:t>(4)%</w:t>
            </w:r>
          </w:p>
        </w:tc>
        <w:tc>
          <w:tcPr>
            <w:tcW w:w="1200" w:type="dxa"/>
            <w:vAlign w:val="bottom"/>
          </w:tcPr>
          <w:p>
            <w:pPr>
              <w:jc w:val="right"/>
              <w:spacing w:after="0"/>
              <w:rPr>
                <w:sz w:val="20"/>
                <w:szCs w:val="20"/>
                <w:color w:val="auto"/>
              </w:rPr>
            </w:pPr>
            <w:r>
              <w:rPr>
                <w:rFonts w:ascii="Arial" w:cs="Arial" w:eastAsia="Arial" w:hAnsi="Arial"/>
                <w:sz w:val="16"/>
                <w:szCs w:val="16"/>
                <w:color w:val="auto"/>
              </w:rPr>
              <w:t>8,010</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7%</w:t>
            </w:r>
          </w:p>
        </w:tc>
      </w:tr>
      <w:tr>
        <w:trPr>
          <w:trHeight w:val="219"/>
        </w:trPr>
        <w:tc>
          <w:tcPr>
            <w:tcW w:w="3320" w:type="dxa"/>
            <w:vAlign w:val="bottom"/>
            <w:shd w:val="clear" w:color="auto" w:fill="CEFFE7"/>
          </w:tcPr>
          <w:p>
            <w:pPr>
              <w:ind w:left="140"/>
              <w:spacing w:after="0" w:line="21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8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5,948</w:t>
            </w:r>
          </w:p>
        </w:tc>
        <w:tc>
          <w:tcPr>
            <w:tcW w:w="140" w:type="dxa"/>
            <w:vAlign w:val="bottom"/>
            <w:shd w:val="clear" w:color="auto" w:fill="CEFFE7"/>
          </w:tcPr>
          <w:p>
            <w:pPr>
              <w:spacing w:after="0"/>
              <w:rPr>
                <w:sz w:val="19"/>
                <w:szCs w:val="19"/>
                <w:color w:val="auto"/>
              </w:rPr>
            </w:pP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(8)%</w:t>
            </w:r>
          </w:p>
        </w:tc>
        <w:tc>
          <w:tcPr>
            <w:tcW w:w="380" w:type="dxa"/>
            <w:vAlign w:val="bottom"/>
            <w:shd w:val="clear" w:color="auto" w:fill="CEFFE7"/>
          </w:tcPr>
          <w:p>
            <w:pPr>
              <w:spacing w:after="0"/>
              <w:rPr>
                <w:sz w:val="19"/>
                <w:szCs w:val="19"/>
                <w:color w:val="auto"/>
              </w:rPr>
            </w:pPr>
          </w:p>
        </w:tc>
        <w:tc>
          <w:tcPr>
            <w:tcW w:w="1080" w:type="dxa"/>
            <w:vAlign w:val="bottom"/>
            <w:gridSpan w:val="2"/>
            <w:shd w:val="clear" w:color="auto" w:fill="CEFFE7"/>
          </w:tcPr>
          <w:p>
            <w:pPr>
              <w:jc w:val="right"/>
              <w:ind w:right="100"/>
              <w:spacing w:after="0"/>
              <w:rPr>
                <w:sz w:val="20"/>
                <w:szCs w:val="20"/>
                <w:color w:val="auto"/>
              </w:rPr>
            </w:pPr>
            <w:r>
              <w:rPr>
                <w:rFonts w:ascii="Arial" w:cs="Arial" w:eastAsia="Arial" w:hAnsi="Arial"/>
                <w:sz w:val="16"/>
                <w:szCs w:val="16"/>
                <w:color w:val="auto"/>
              </w:rPr>
              <w:t>6,038</w:t>
            </w:r>
          </w:p>
        </w:tc>
        <w:tc>
          <w:tcPr>
            <w:tcW w:w="1420" w:type="dxa"/>
            <w:vAlign w:val="bottom"/>
            <w:shd w:val="clear" w:color="auto" w:fill="CEFFE7"/>
          </w:tcPr>
          <w:p>
            <w:pPr>
              <w:jc w:val="center"/>
              <w:ind w:right="139"/>
              <w:spacing w:after="0"/>
              <w:rPr>
                <w:sz w:val="20"/>
                <w:szCs w:val="20"/>
                <w:color w:val="auto"/>
              </w:rPr>
            </w:pPr>
            <w:r>
              <w:rPr>
                <w:rFonts w:ascii="Arial" w:cs="Arial" w:eastAsia="Arial" w:hAnsi="Arial"/>
                <w:sz w:val="16"/>
                <w:szCs w:val="16"/>
                <w:color w:val="auto"/>
              </w:rPr>
              <w:t>(6)%</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6,840</w:t>
            </w:r>
          </w:p>
        </w:tc>
        <w:tc>
          <w:tcPr>
            <w:tcW w:w="1260" w:type="dxa"/>
            <w:vAlign w:val="bottom"/>
            <w:shd w:val="clear" w:color="auto" w:fill="CEFFE7"/>
          </w:tcPr>
          <w:p>
            <w:pPr>
              <w:jc w:val="right"/>
              <w:ind w:right="439"/>
              <w:spacing w:after="0"/>
              <w:rPr>
                <w:sz w:val="20"/>
                <w:szCs w:val="20"/>
                <w:color w:val="auto"/>
              </w:rPr>
            </w:pPr>
            <w:r>
              <w:rPr>
                <w:rFonts w:ascii="Arial" w:cs="Arial" w:eastAsia="Arial" w:hAnsi="Arial"/>
                <w:sz w:val="16"/>
                <w:szCs w:val="16"/>
                <w:color w:val="auto"/>
              </w:rPr>
              <w:t>5%</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Arkansas and Kansas have weather normalization mechanisms that mitigate the weather impact on Gas Utility margins.</w:t>
      </w:r>
    </w:p>
    <w:p>
      <w:pPr>
        <w:spacing w:after="0" w:line="1" w:lineRule="exact"/>
        <w:rPr>
          <w:rFonts w:ascii="Arial" w:cs="Arial" w:eastAsia="Arial" w:hAnsi="Arial"/>
          <w:sz w:val="14"/>
          <w:szCs w:val="14"/>
          <w:color w:val="auto"/>
        </w:rPr>
      </w:pPr>
    </w:p>
    <w:p>
      <w:pPr>
        <w:ind w:left="340" w:right="300" w:hanging="332"/>
        <w:spacing w:after="0" w:line="258" w:lineRule="auto"/>
        <w:tabs>
          <w:tab w:leader="none" w:pos="352" w:val="left"/>
        </w:tabs>
        <w:numPr>
          <w:ilvl w:val="0"/>
          <w:numId w:val="35"/>
        </w:numPr>
        <w:rPr>
          <w:rFonts w:ascii="Arial" w:cs="Arial" w:eastAsia="Arial" w:hAnsi="Arial"/>
          <w:sz w:val="14"/>
          <w:szCs w:val="14"/>
          <w:color w:val="auto"/>
        </w:rPr>
      </w:pPr>
      <w:r>
        <w:rPr>
          <w:rFonts w:ascii="Arial" w:cs="Arial" w:eastAsia="Arial" w:hAnsi="Arial"/>
          <w:sz w:val="14"/>
          <w:szCs w:val="14"/>
          <w:color w:val="auto"/>
        </w:rPr>
        <w:t>Heating degree days are calculated based on a weighted average of total customers by state excluding Kansas due to its weather normalization mechanism. Arkansas Gas is partially excluded based on the weather normalization mechanism in effect from November through April.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operating results for the years ended December 31 were as follows (in thousands):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color w:val="auto"/>
              </w:rPr>
              <w:t>2021 vs 2020</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color w:val="auto"/>
                <w:w w:val="99"/>
              </w:rPr>
              <w:t>2020 vs 2019</w:t>
            </w:r>
          </w:p>
        </w:tc>
      </w:tr>
      <w:tr>
        <w:trPr>
          <w:trHeight w:val="198"/>
        </w:trPr>
        <w:tc>
          <w:tcPr>
            <w:tcW w:w="3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8"/>
              </w:rPr>
              <w:t>Variance</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Variance</w:t>
            </w:r>
          </w:p>
        </w:tc>
      </w:tr>
      <w:tr>
        <w:trPr>
          <w:trHeight w:val="186"/>
        </w:trPr>
        <w:tc>
          <w:tcPr>
            <w:tcW w:w="3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3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income (loss)</w:t>
            </w: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(4,404)</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1,440</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(5,844)</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(1,606)</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3,046</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2021 Compared to 2020</w:t>
      </w:r>
    </w:p>
    <w:p>
      <w:pPr>
        <w:spacing w:after="0" w:line="248"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The variance in Operating income (loss) was primarily due to a prior year favorable true-up of employee costs which was allocated to our subsidiaries in the current year. This allocation was offset in our business segments and had no impact to consolidated results.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2020 Compared to 2019</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variance in Operating income (loss) was primarily due to a 2020 unallocated favorable true-up of employee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Interest Expense, Impairment of Investment, Other Income (Expense) and Income Tax Benefit (Expense)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2021 vs 2020</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2020 vs 2019</w:t>
            </w:r>
          </w:p>
        </w:tc>
      </w:tr>
      <w:tr>
        <w:trPr>
          <w:trHeight w:val="198"/>
        </w:trPr>
        <w:tc>
          <w:tcPr>
            <w:tcW w:w="37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Variance</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Variance</w:t>
            </w:r>
          </w:p>
        </w:tc>
      </w:tr>
      <w:tr>
        <w:trPr>
          <w:trHeight w:val="185"/>
        </w:trPr>
        <w:tc>
          <w:tcPr>
            <w:tcW w:w="3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3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(152,404)</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(143,470)</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(8,934)</w:t>
            </w: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(137,659)</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(5,811)</w:t>
            </w: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Impairment of investment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(6,859)</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6,859</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(19,741)</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12,882</w:t>
            </w:r>
          </w:p>
        </w:tc>
      </w:tr>
      <w:tr>
        <w:trPr>
          <w:trHeight w:val="219"/>
        </w:trPr>
        <w:tc>
          <w:tcPr>
            <w:tcW w:w="3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1,404</w:t>
            </w:r>
          </w:p>
        </w:tc>
        <w:tc>
          <w:tcPr>
            <w:tcW w:w="36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(2,293)</w:t>
            </w:r>
          </w:p>
        </w:tc>
        <w:tc>
          <w:tcPr>
            <w:tcW w:w="20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3,697</w:t>
            </w:r>
          </w:p>
        </w:tc>
        <w:tc>
          <w:tcPr>
            <w:tcW w:w="340" w:type="dxa"/>
            <w:vAlign w:val="bottom"/>
            <w:shd w:val="clear" w:color="auto" w:fill="CEFFE7"/>
          </w:tcPr>
          <w:p>
            <w:pPr>
              <w:spacing w:after="0"/>
              <w:rPr>
                <w:sz w:val="19"/>
                <w:szCs w:val="19"/>
                <w:color w:val="auto"/>
              </w:rPr>
            </w:pP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(5,740)</w:t>
            </w:r>
          </w:p>
        </w:tc>
        <w:tc>
          <w:tcPr>
            <w:tcW w:w="18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3,447</w:t>
            </w: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(7,169)</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(32,918)</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25,749</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(29,580)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(3,338)</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2021 Compared to 2020</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p>
    <w:p>
      <w:pPr>
        <w:spacing w:after="0" w:line="26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The increase in Interest expense, net was due to higher debt balances driven by the August 2021 senior unsecured notes and February 2021 term loan, partially offset by lower interest rates.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investment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In the prior year, we recorded a pre-tax non-cash write-down of $6.9 million in our investment in equity securities of a privately held oil and gas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impairment was triggered by continued adverse changes in future natural gas prices and liquidity concerns at the privately held oil and gas company.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26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variance in Other income (expense), net was primarily due to lower non-service pension costs driven by a lower discount rate, lower costs for our non-qualified benefit plans which were driven by market performance and recognition of death benefits from Company-owned life insurance.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benefit (expense)</w:t>
      </w:r>
    </w:p>
    <w:p>
      <w:pPr>
        <w:spacing w:after="0" w:line="264" w:lineRule="exact"/>
        <w:rPr>
          <w:sz w:val="20"/>
          <w:szCs w:val="20"/>
          <w:color w:val="auto"/>
        </w:rPr>
      </w:pPr>
    </w:p>
    <w:p>
      <w:pPr>
        <w:ind w:right="20"/>
        <w:spacing w:after="0" w:line="248" w:lineRule="auto"/>
        <w:rPr>
          <w:rFonts w:ascii="Arial" w:cs="Arial" w:eastAsia="Arial" w:hAnsi="Arial"/>
          <w:sz w:val="16"/>
          <w:szCs w:val="16"/>
          <w:color w:val="0000FF"/>
        </w:rPr>
      </w:pPr>
      <w:r>
        <w:rPr>
          <w:rFonts w:ascii="Arial" w:cs="Arial" w:eastAsia="Arial" w:hAnsi="Arial"/>
          <w:sz w:val="16"/>
          <w:szCs w:val="16"/>
          <w:color w:val="auto"/>
        </w:rPr>
        <w:t xml:space="preserve">For the year ended December 31, 2021, the effective tax rate was 2.8% compared to 11.9% in 2020. The lower effective tax rate is primarily due to $10 million of increased tax benefits from Colorado Electric and Nebraska Gas TCJA-related bill credits to customers (which is offset by reduced revenue), $6.6 million of increased flow-through tax benefits related to repairs and gain deferral, $4.6 million of increased tax benefits from federal production tax credits associated with new wind assets, $2.9 million of increased tax benefits from amortization of excess deferred income taxes and $2.6 million from various statutory rate changes. These current year tax benefits were greater than prior year tax benefits from one-time research and development tax credits and the </w:t>
      </w:r>
      <w:hyperlink w:anchor="page107">
        <w:r>
          <w:rPr>
            <w:rFonts w:ascii="Arial" w:cs="Arial" w:eastAsia="Arial" w:hAnsi="Arial"/>
            <w:sz w:val="16"/>
            <w:szCs w:val="16"/>
            <w:color w:val="auto"/>
          </w:rPr>
          <w:t xml:space="preserve">reversal of accrued excess deferred income taxes as part of resolving the last of the Company’s open dockets seeking approval of its TCJA plans. See </w:t>
        </w:r>
        <w:r>
          <w:rPr>
            <w:rFonts w:ascii="Arial" w:cs="Arial" w:eastAsia="Arial" w:hAnsi="Arial"/>
            <w:sz w:val="16"/>
            <w:szCs w:val="16"/>
            <w:u w:val="single" w:color="auto"/>
            <w:color w:val="0000FF"/>
          </w:rPr>
          <w:t>Note</w:t>
        </w:r>
      </w:hyperlink>
      <w:r>
        <w:rPr>
          <w:rFonts w:ascii="Arial" w:cs="Arial" w:eastAsia="Arial" w:hAnsi="Arial"/>
          <w:sz w:val="16"/>
          <w:szCs w:val="16"/>
          <w:color w:val="auto"/>
        </w:rPr>
        <w:t xml:space="preserve"> </w:t>
      </w:r>
      <w:hyperlink w:anchor="page107">
        <w:r>
          <w:rPr>
            <w:rFonts w:ascii="Arial" w:cs="Arial" w:eastAsia="Arial" w:hAnsi="Arial"/>
            <w:sz w:val="16"/>
            <w:szCs w:val="16"/>
            <w:u w:val="single" w:color="auto"/>
            <w:color w:val="0000FF"/>
          </w:rPr>
          <w:t>15</w:t>
        </w:r>
        <w:r>
          <w:rPr>
            <w:rFonts w:ascii="Arial" w:cs="Arial" w:eastAsia="Arial" w:hAnsi="Arial"/>
            <w:sz w:val="16"/>
            <w:szCs w:val="16"/>
            <w:color w:val="0000FF"/>
          </w:rPr>
          <w:t xml:space="preserve"> </w:t>
        </w:r>
        <w:r>
          <w:rPr>
            <w:rFonts w:ascii="Arial" w:cs="Arial" w:eastAsia="Arial" w:hAnsi="Arial"/>
            <w:sz w:val="16"/>
            <w:szCs w:val="16"/>
            <w:color w:val="000000"/>
          </w:rPr>
          <w:t>of the Notes to Consolidated Financial Statements in this Annual Report on Form 10-K for additional details.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2020 Compared to 2019</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Interest expense, net was driven by higher debt balances partially offset by lower interest rates.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investment</w:t>
      </w:r>
    </w:p>
    <w:p>
      <w:pPr>
        <w:spacing w:after="0" w:line="26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2020, we recorded a pre-tax non-cash write-down of $6.9 million in our investment in equity securities of a privately held oil and gas company, compared to a $20 million write-down in 2019. The impairments in both years were triggered by continued adverse natural gas prices and liquidity concerns at the privately held oil and gas company.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26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variance in Other income (expense), net was primarily due to the 2019 expensing of $5.4 million of development costs related to projects we no longer intend to construct which was partially offset by higher 2020 non-service defined benefit plan costs primarily driven by lower discount rates.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benefit (expense)</w:t>
      </w:r>
    </w:p>
    <w:p>
      <w:pPr>
        <w:spacing w:after="0" w:line="264" w:lineRule="exact"/>
        <w:rPr>
          <w:sz w:val="20"/>
          <w:szCs w:val="20"/>
          <w:color w:val="auto"/>
        </w:rPr>
      </w:pPr>
    </w:p>
    <w:p>
      <w:pPr>
        <w:ind w:right="6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For the year ended December 31, 2020, the effective tax rate was 11.9% compared to 12.2% in 2019. The lower effective tax rate is primarily due to increased tax benefits from federal production tax credits associated with new wind assets and one-time research and development tax credits partially offset by a 2019 tax benefit from a federal tax loss carry-back claim including interest. See </w:t>
      </w:r>
      <w:hyperlink w:anchor="page107">
        <w:r>
          <w:rPr>
            <w:rFonts w:ascii="Arial" w:cs="Arial" w:eastAsia="Arial" w:hAnsi="Arial"/>
            <w:sz w:val="16"/>
            <w:szCs w:val="16"/>
            <w:u w:val="single" w:color="auto"/>
            <w:color w:val="0000FF"/>
          </w:rPr>
          <w:t>Note 15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 for additional details.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company requires significant cash to support and grow our businesses. Our primary sources of cash are generated from our operating activities, five-year Revolving Credit Facility, CP Program, ATM and ability to access the public and private capital markets through debt and equity securities offerings when necessary. This cash is used for, among other things, working capital, capital expenditures, dividends, pension funding, investments in or acquisitions of assets and businesses, payment of debt obligations and redemption of outstanding debt and equity securities when required or financially appropriate.</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experience significant cash requirements during peak months of the winter heating season due to higher natural gas consumption, during periods of high natural gas prices, and during the construction season which typically peaks in spring and summer.</w:t>
      </w:r>
    </w:p>
    <w:p>
      <w:pPr>
        <w:spacing w:after="0" w:line="222"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We believe that our cash on hand, operating cash flows, existing borrowing capacity and ability to complete new debt and equity financings, taken in their entirety, provide sufficient capital resources to fund our ongoing operating requirements, regulatory liabilities, debt maturities, anticipated dividends, and anticipated capital expenditures discussed in this section.</w:t>
      </w:r>
    </w:p>
    <w:p>
      <w:pPr>
        <w:spacing w:after="0" w:line="228" w:lineRule="exact"/>
        <w:rPr>
          <w:sz w:val="20"/>
          <w:szCs w:val="20"/>
          <w:color w:val="auto"/>
        </w:rPr>
      </w:pPr>
    </w:p>
    <w:p>
      <w:pPr>
        <w:ind w:right="68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In response to Winter Storm Uri, we took steps to maintain adequate liquidity to operate our businesses and fund our capital investment program as discussed in the </w:t>
      </w:r>
      <w:hyperlink w:anchor="page33">
        <w:r>
          <w:rPr>
            <w:rFonts w:ascii="Arial" w:cs="Arial" w:eastAsia="Arial" w:hAnsi="Arial"/>
            <w:sz w:val="16"/>
            <w:szCs w:val="16"/>
            <w:u w:val="single" w:color="auto"/>
            <w:color w:val="0000FF"/>
          </w:rPr>
          <w:t>Recent Developments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section above.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informational summary of our financial position as of December 31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Financial Position Summary</w:t>
            </w:r>
          </w:p>
        </w:tc>
        <w:tc>
          <w:tcPr>
            <w:tcW w:w="3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2021</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2020</w:t>
            </w:r>
          </w:p>
        </w:tc>
      </w:tr>
      <w:tr>
        <w:trPr>
          <w:trHeight w:val="213"/>
        </w:trPr>
        <w:tc>
          <w:tcPr>
            <w:tcW w:w="52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Cash and cash equivalents</w:t>
            </w:r>
          </w:p>
        </w:tc>
        <w:tc>
          <w:tcPr>
            <w:tcW w:w="304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8,921</w:t>
            </w:r>
          </w:p>
        </w:tc>
        <w:tc>
          <w:tcPr>
            <w:tcW w:w="44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6,356</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Restricted cash and equivalents</w:t>
            </w:r>
          </w:p>
        </w:tc>
        <w:tc>
          <w:tcPr>
            <w:tcW w:w="3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4,889</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4,383</w:t>
            </w:r>
          </w:p>
        </w:tc>
      </w:tr>
      <w:tr>
        <w:trPr>
          <w:trHeight w:val="219"/>
        </w:trPr>
        <w:tc>
          <w:tcPr>
            <w:tcW w:w="5260" w:type="dxa"/>
            <w:vAlign w:val="bottom"/>
            <w:shd w:val="clear" w:color="auto" w:fill="CEFFE7"/>
          </w:tcPr>
          <w:p>
            <w:pPr>
              <w:ind w:left="20"/>
              <w:spacing w:after="0"/>
              <w:rPr>
                <w:sz w:val="20"/>
                <w:szCs w:val="20"/>
                <w:color w:val="auto"/>
              </w:rPr>
            </w:pPr>
            <w:r>
              <w:rPr>
                <w:rFonts w:ascii="Arial" w:cs="Arial" w:eastAsia="Arial" w:hAnsi="Arial"/>
                <w:sz w:val="16"/>
                <w:szCs w:val="16"/>
                <w:color w:val="auto"/>
              </w:rPr>
              <w:t>Notes payable</w:t>
            </w:r>
          </w:p>
        </w:tc>
        <w:tc>
          <w:tcPr>
            <w:tcW w:w="304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420,180</w:t>
            </w:r>
          </w:p>
        </w:tc>
        <w:tc>
          <w:tcPr>
            <w:tcW w:w="44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234,040</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Current maturities of long-term debt</w:t>
            </w:r>
          </w:p>
        </w:tc>
        <w:tc>
          <w:tcPr>
            <w:tcW w:w="3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8,436</w:t>
            </w:r>
          </w:p>
        </w:tc>
      </w:tr>
      <w:tr>
        <w:trPr>
          <w:trHeight w:val="219"/>
        </w:trPr>
        <w:tc>
          <w:tcPr>
            <w:tcW w:w="5260" w:type="dxa"/>
            <w:vAlign w:val="bottom"/>
            <w:shd w:val="clear" w:color="auto" w:fill="CEFFE7"/>
          </w:tcPr>
          <w:p>
            <w:pPr>
              <w:ind w:left="20"/>
              <w:spacing w:after="0" w:line="219" w:lineRule="exact"/>
              <w:rPr>
                <w:sz w:val="20"/>
                <w:szCs w:val="20"/>
                <w:color w:val="auto"/>
              </w:rPr>
            </w:pPr>
            <w:r>
              <w:rPr>
                <w:rFonts w:ascii="Arial" w:cs="Arial" w:eastAsia="Arial" w:hAnsi="Arial"/>
                <w:sz w:val="16"/>
                <w:szCs w:val="16"/>
                <w:color w:val="auto"/>
              </w:rPr>
              <w:t xml:space="preserve">Long-term debt </w:t>
            </w:r>
            <w:r>
              <w:rPr>
                <w:rFonts w:ascii="Arial" w:cs="Arial" w:eastAsia="Arial" w:hAnsi="Arial"/>
                <w:sz w:val="21"/>
                <w:szCs w:val="21"/>
                <w:color w:val="auto"/>
                <w:vertAlign w:val="superscript"/>
              </w:rPr>
              <w:t>(a)</w:t>
            </w:r>
          </w:p>
        </w:tc>
        <w:tc>
          <w:tcPr>
            <w:tcW w:w="304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4,126,923</w:t>
            </w:r>
          </w:p>
        </w:tc>
        <w:tc>
          <w:tcPr>
            <w:tcW w:w="44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3,528,100</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2,787,094</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2,561,385</w:t>
            </w:r>
          </w:p>
        </w:tc>
      </w:tr>
      <w:tr>
        <w:trPr>
          <w:trHeight w:val="273"/>
        </w:trPr>
        <w:tc>
          <w:tcPr>
            <w:tcW w:w="5260" w:type="dxa"/>
            <w:vAlign w:val="bottom"/>
            <w:shd w:val="clear" w:color="auto" w:fill="CEFFE7"/>
          </w:tcPr>
          <w:p>
            <w:pPr>
              <w:spacing w:after="0"/>
              <w:rPr>
                <w:sz w:val="23"/>
                <w:szCs w:val="23"/>
                <w:color w:val="auto"/>
              </w:rPr>
            </w:pPr>
          </w:p>
        </w:tc>
        <w:tc>
          <w:tcPr>
            <w:tcW w:w="304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440" w:type="dxa"/>
            <w:vAlign w:val="bottom"/>
            <w:shd w:val="clear" w:color="auto" w:fill="CEFFE7"/>
          </w:tcPr>
          <w:p>
            <w:pPr>
              <w:spacing w:after="0"/>
              <w:rPr>
                <w:sz w:val="23"/>
                <w:szCs w:val="23"/>
                <w:color w:val="auto"/>
              </w:rPr>
            </w:pPr>
          </w:p>
        </w:tc>
        <w:tc>
          <w:tcPr>
            <w:tcW w:w="1280" w:type="dxa"/>
            <w:vAlign w:val="bottom"/>
            <w:shd w:val="clear" w:color="auto" w:fill="CEFFE7"/>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320" w:type="dxa"/>
            <w:vAlign w:val="bottom"/>
            <w:gridSpan w:val="2"/>
          </w:tcPr>
          <w:p>
            <w:pPr>
              <w:spacing w:after="0" w:line="175" w:lineRule="exact"/>
              <w:rPr>
                <w:sz w:val="20"/>
                <w:szCs w:val="20"/>
                <w:color w:val="auto"/>
              </w:rPr>
            </w:pPr>
            <w:r>
              <w:rPr>
                <w:rFonts w:ascii="Arial" w:cs="Arial" w:eastAsia="Arial" w:hAnsi="Arial"/>
                <w:sz w:val="16"/>
                <w:szCs w:val="16"/>
                <w:color w:val="auto"/>
              </w:rPr>
              <w:t>Ratios</w:t>
            </w:r>
          </w:p>
        </w:tc>
        <w:tc>
          <w:tcPr>
            <w:tcW w:w="48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532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Long-term debt ratio</w:t>
            </w:r>
          </w:p>
        </w:tc>
        <w:tc>
          <w:tcPr>
            <w:tcW w:w="4860" w:type="dxa"/>
            <w:vAlign w:val="bottom"/>
            <w:shd w:val="clear" w:color="auto" w:fill="CEFFE7"/>
          </w:tcPr>
          <w:p>
            <w:pPr>
              <w:jc w:val="right"/>
              <w:ind w:right="559"/>
              <w:spacing w:after="0"/>
              <w:rPr>
                <w:sz w:val="20"/>
                <w:szCs w:val="20"/>
                <w:color w:val="auto"/>
              </w:rPr>
            </w:pPr>
            <w:r>
              <w:rPr>
                <w:rFonts w:ascii="Arial" w:cs="Arial" w:eastAsia="Arial" w:hAnsi="Arial"/>
                <w:sz w:val="16"/>
                <w:szCs w:val="16"/>
                <w:color w:val="auto"/>
              </w:rPr>
              <w:t>60 %</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58 %</w:t>
            </w:r>
          </w:p>
        </w:tc>
      </w:tr>
      <w:tr>
        <w:trPr>
          <w:trHeight w:val="210"/>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Total debt ratio</w:t>
            </w:r>
          </w:p>
        </w:tc>
        <w:tc>
          <w:tcPr>
            <w:tcW w:w="4860" w:type="dxa"/>
            <w:vAlign w:val="bottom"/>
          </w:tcPr>
          <w:p>
            <w:pPr>
              <w:jc w:val="right"/>
              <w:ind w:right="559"/>
              <w:spacing w:after="0"/>
              <w:rPr>
                <w:sz w:val="20"/>
                <w:szCs w:val="20"/>
                <w:color w:val="auto"/>
              </w:rPr>
            </w:pPr>
            <w:r>
              <w:rPr>
                <w:rFonts w:ascii="Arial" w:cs="Arial" w:eastAsia="Arial" w:hAnsi="Arial"/>
                <w:sz w:val="16"/>
                <w:szCs w:val="16"/>
                <w:color w:val="auto"/>
              </w:rPr>
              <w:t>62 %</w:t>
            </w:r>
          </w:p>
        </w:tc>
        <w:tc>
          <w:tcPr>
            <w:tcW w:w="1040" w:type="dxa"/>
            <w:vAlign w:val="bottom"/>
          </w:tcPr>
          <w:p>
            <w:pPr>
              <w:jc w:val="right"/>
              <w:spacing w:after="0"/>
              <w:rPr>
                <w:sz w:val="20"/>
                <w:szCs w:val="20"/>
                <w:color w:val="auto"/>
              </w:rPr>
            </w:pPr>
            <w:r>
              <w:rPr>
                <w:rFonts w:ascii="Arial" w:cs="Arial" w:eastAsia="Arial" w:hAnsi="Arial"/>
                <w:sz w:val="16"/>
                <w:szCs w:val="16"/>
                <w:color w:val="auto"/>
              </w:rPr>
              <w:t>60 %</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Carrying value of long-term debt is net of deferred financing costs.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years ended December 31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2020</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2019</w:t>
            </w:r>
          </w:p>
        </w:tc>
      </w:tr>
      <w:tr>
        <w:trPr>
          <w:trHeight w:val="199"/>
        </w:trPr>
        <w:tc>
          <w:tcPr>
            <w:tcW w:w="6100" w:type="dxa"/>
            <w:vAlign w:val="bottom"/>
          </w:tcPr>
          <w:p>
            <w:pPr>
              <w:ind w:left="20"/>
              <w:spacing w:after="0"/>
              <w:rPr>
                <w:sz w:val="20"/>
                <w:szCs w:val="20"/>
                <w:color w:val="auto"/>
              </w:rPr>
            </w:pPr>
            <w:r>
              <w:rPr>
                <w:rFonts w:ascii="Arial" w:cs="Arial" w:eastAsia="Arial" w:hAnsi="Arial"/>
                <w:sz w:val="16"/>
                <w:szCs w:val="16"/>
                <w:color w:val="auto"/>
              </w:rPr>
              <w:t>Cash provided by (used in)</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61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Operating activities</w:t>
            </w:r>
          </w:p>
        </w:tc>
        <w:tc>
          <w:tcPr>
            <w:tcW w:w="38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(64,565)</w:t>
            </w:r>
          </w:p>
        </w:tc>
        <w:tc>
          <w:tcPr>
            <w:tcW w:w="40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center"/>
              <w:ind w:left="519"/>
              <w:spacing w:after="0"/>
              <w:rPr>
                <w:sz w:val="20"/>
                <w:szCs w:val="20"/>
                <w:color w:val="auto"/>
              </w:rPr>
            </w:pPr>
            <w:r>
              <w:rPr>
                <w:rFonts w:ascii="Arial" w:cs="Arial" w:eastAsia="Arial" w:hAnsi="Arial"/>
                <w:sz w:val="16"/>
                <w:szCs w:val="16"/>
                <w:color w:val="auto"/>
              </w:rPr>
              <w:t>541,863</w:t>
            </w:r>
          </w:p>
        </w:tc>
        <w:tc>
          <w:tcPr>
            <w:tcW w:w="40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center"/>
              <w:ind w:left="499"/>
              <w:spacing w:after="0"/>
              <w:rPr>
                <w:sz w:val="20"/>
                <w:szCs w:val="20"/>
                <w:color w:val="auto"/>
              </w:rPr>
            </w:pPr>
            <w:r>
              <w:rPr>
                <w:rFonts w:ascii="Arial" w:cs="Arial" w:eastAsia="Arial" w:hAnsi="Arial"/>
                <w:sz w:val="16"/>
                <w:szCs w:val="16"/>
                <w:color w:val="auto"/>
              </w:rPr>
              <w:t>505,513</w:t>
            </w: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Investing activities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(664,230)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499"/>
              <w:spacing w:after="0"/>
              <w:rPr>
                <w:sz w:val="20"/>
                <w:szCs w:val="20"/>
                <w:color w:val="auto"/>
              </w:rPr>
            </w:pPr>
            <w:r>
              <w:rPr>
                <w:rFonts w:ascii="Arial" w:cs="Arial" w:eastAsia="Arial" w:hAnsi="Arial"/>
                <w:sz w:val="16"/>
                <w:szCs w:val="16"/>
                <w:color w:val="auto"/>
              </w:rPr>
              <w:t>(761,664)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499"/>
              <w:spacing w:after="0"/>
              <w:rPr>
                <w:sz w:val="20"/>
                <w:szCs w:val="20"/>
                <w:color w:val="auto"/>
              </w:rPr>
            </w:pPr>
            <w:r>
              <w:rPr>
                <w:rFonts w:ascii="Arial" w:cs="Arial" w:eastAsia="Arial" w:hAnsi="Arial"/>
                <w:sz w:val="16"/>
                <w:szCs w:val="16"/>
                <w:color w:val="auto"/>
              </w:rPr>
              <w:t>(816,210)</w:t>
            </w:r>
          </w:p>
        </w:tc>
      </w:tr>
      <w:tr>
        <w:trPr>
          <w:trHeight w:val="219"/>
        </w:trPr>
        <w:tc>
          <w:tcPr>
            <w:tcW w:w="61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Financing activities</w:t>
            </w:r>
          </w:p>
        </w:tc>
        <w:tc>
          <w:tcPr>
            <w:tcW w:w="38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731,866</w:t>
            </w:r>
          </w:p>
        </w:tc>
        <w:tc>
          <w:tcPr>
            <w:tcW w:w="40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center"/>
              <w:ind w:left="519"/>
              <w:spacing w:after="0"/>
              <w:rPr>
                <w:sz w:val="20"/>
                <w:szCs w:val="20"/>
                <w:color w:val="auto"/>
              </w:rPr>
            </w:pPr>
            <w:r>
              <w:rPr>
                <w:rFonts w:ascii="Arial" w:cs="Arial" w:eastAsia="Arial" w:hAnsi="Arial"/>
                <w:sz w:val="16"/>
                <w:szCs w:val="16"/>
                <w:color w:val="auto"/>
              </w:rPr>
              <w:t>216,882</w:t>
            </w:r>
          </w:p>
        </w:tc>
        <w:tc>
          <w:tcPr>
            <w:tcW w:w="40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center"/>
              <w:ind w:left="499"/>
              <w:spacing w:after="0"/>
              <w:rPr>
                <w:sz w:val="20"/>
                <w:szCs w:val="20"/>
                <w:color w:val="auto"/>
              </w:rPr>
            </w:pPr>
            <w:r>
              <w:rPr>
                <w:rFonts w:ascii="Arial" w:cs="Arial" w:eastAsia="Arial" w:hAnsi="Arial"/>
                <w:sz w:val="16"/>
                <w:szCs w:val="16"/>
                <w:color w:val="auto"/>
              </w:rPr>
              <w:t>300,210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2021 Compared to 2020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operating activities was $606 million higher than in 2020. The variance to the prior year was primarily attributable to:</w:t>
      </w:r>
    </w:p>
    <w:p>
      <w:pPr>
        <w:spacing w:after="0" w:line="248" w:lineRule="exact"/>
        <w:rPr>
          <w:sz w:val="20"/>
          <w:szCs w:val="20"/>
          <w:color w:val="auto"/>
        </w:rPr>
      </w:pPr>
    </w:p>
    <w:p>
      <w:pPr>
        <w:ind w:left="500" w:hanging="330"/>
        <w:spacing w:after="0" w:line="253" w:lineRule="auto"/>
        <w:tabs>
          <w:tab w:leader="none" w:pos="489"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earnings (income from continuing operations plus non-cash adjustments) were $21 million lower than prior year driven primarily by negative impacts from the unplanned outage at Wygen I, lower Electric and Gas Utility margin from Winter Storm Uri and unfavorable weather, higher operating expenses and higher interest expenses;</w:t>
      </w:r>
    </w:p>
    <w:p>
      <w:pPr>
        <w:spacing w:after="0" w:line="228" w:lineRule="exact"/>
        <w:rPr>
          <w:rFonts w:ascii="Arial" w:cs="Arial" w:eastAsia="Arial" w:hAnsi="Arial"/>
          <w:sz w:val="16"/>
          <w:szCs w:val="16"/>
          <w:color w:val="auto"/>
        </w:rPr>
      </w:pPr>
    </w:p>
    <w:p>
      <w:pPr>
        <w:ind w:left="480" w:hanging="310"/>
        <w:spacing w:after="0"/>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Net outflows from changes in certain operating assets and liabilities were $593 million higher than prior year, primarily attributable to:</w:t>
      </w:r>
    </w:p>
    <w:p>
      <w:pPr>
        <w:spacing w:after="0" w:line="248" w:lineRule="exact"/>
        <w:rPr>
          <w:rFonts w:ascii="Arial" w:cs="Arial" w:eastAsia="Arial" w:hAnsi="Arial"/>
          <w:sz w:val="16"/>
          <w:szCs w:val="16"/>
          <w:color w:val="auto"/>
        </w:rPr>
      </w:pPr>
    </w:p>
    <w:p>
      <w:pPr>
        <w:ind w:left="900" w:right="60" w:hanging="244"/>
        <w:spacing w:after="0" w:line="260" w:lineRule="auto"/>
        <w:tabs>
          <w:tab w:leader="none" w:pos="889" w:val="left"/>
        </w:tabs>
        <w:numPr>
          <w:ilvl w:val="1"/>
          <w:numId w:val="37"/>
        </w:numPr>
        <w:rPr>
          <w:rFonts w:ascii="Arial" w:cs="Arial" w:eastAsia="Arial" w:hAnsi="Arial"/>
          <w:sz w:val="16"/>
          <w:szCs w:val="16"/>
          <w:b w:val="1"/>
          <w:bCs w:val="1"/>
          <w:color w:val="auto"/>
        </w:rPr>
      </w:pPr>
      <w:r>
        <w:rPr>
          <w:rFonts w:ascii="Arial" w:cs="Arial" w:eastAsia="Arial" w:hAnsi="Arial"/>
          <w:sz w:val="16"/>
          <w:szCs w:val="16"/>
          <w:color w:val="auto"/>
        </w:rPr>
        <w:t>Cash outflows increased by approximately $508 million primarily as a result of changes in our regulatory assets and liabilities primarily driven by incremental fuel, purchased power and natural gas costs due to Winter Storm Uri;</w:t>
      </w:r>
    </w:p>
    <w:p>
      <w:pPr>
        <w:spacing w:after="0" w:line="222" w:lineRule="exact"/>
        <w:rPr>
          <w:rFonts w:ascii="Arial" w:cs="Arial" w:eastAsia="Arial" w:hAnsi="Arial"/>
          <w:sz w:val="16"/>
          <w:szCs w:val="16"/>
          <w:b w:val="1"/>
          <w:bCs w:val="1"/>
          <w:color w:val="auto"/>
        </w:rPr>
      </w:pPr>
    </w:p>
    <w:p>
      <w:pPr>
        <w:ind w:left="900" w:right="120" w:hanging="244"/>
        <w:spacing w:after="0" w:line="260" w:lineRule="auto"/>
        <w:tabs>
          <w:tab w:leader="none" w:pos="889" w:val="left"/>
        </w:tabs>
        <w:numPr>
          <w:ilvl w:val="1"/>
          <w:numId w:val="37"/>
        </w:numPr>
        <w:rPr>
          <w:rFonts w:ascii="Arial" w:cs="Arial" w:eastAsia="Arial" w:hAnsi="Arial"/>
          <w:sz w:val="16"/>
          <w:szCs w:val="16"/>
          <w:color w:val="auto"/>
        </w:rPr>
      </w:pPr>
      <w:r>
        <w:rPr>
          <w:rFonts w:ascii="Arial" w:cs="Arial" w:eastAsia="Arial" w:hAnsi="Arial"/>
          <w:sz w:val="16"/>
          <w:szCs w:val="16"/>
          <w:color w:val="auto"/>
        </w:rPr>
        <w:t>Cash inflows decreased by approximately $71 million primarily as a result of changes in accounts receivable and other current assets driven by decreased collections of accounts receivable and increased purchases of natural gas in storage;</w:t>
      </w:r>
    </w:p>
    <w:p>
      <w:pPr>
        <w:spacing w:after="0" w:line="222" w:lineRule="exact"/>
        <w:rPr>
          <w:rFonts w:ascii="Arial" w:cs="Arial" w:eastAsia="Arial" w:hAnsi="Arial"/>
          <w:sz w:val="16"/>
          <w:szCs w:val="16"/>
          <w:color w:val="auto"/>
        </w:rPr>
      </w:pPr>
    </w:p>
    <w:p>
      <w:pPr>
        <w:ind w:left="900" w:right="140" w:hanging="244"/>
        <w:spacing w:after="0" w:line="260" w:lineRule="auto"/>
        <w:tabs>
          <w:tab w:leader="none" w:pos="889" w:val="left"/>
        </w:tabs>
        <w:numPr>
          <w:ilvl w:val="1"/>
          <w:numId w:val="37"/>
        </w:numPr>
        <w:rPr>
          <w:rFonts w:ascii="Arial" w:cs="Arial" w:eastAsia="Arial" w:hAnsi="Arial"/>
          <w:sz w:val="16"/>
          <w:szCs w:val="16"/>
          <w:color w:val="auto"/>
        </w:rPr>
      </w:pPr>
      <w:r>
        <w:rPr>
          <w:rFonts w:ascii="Arial" w:cs="Arial" w:eastAsia="Arial" w:hAnsi="Arial"/>
          <w:sz w:val="16"/>
          <w:szCs w:val="16"/>
          <w:color w:val="auto"/>
        </w:rPr>
        <w:t>Cash inflows decreased by approximately $14 million as a result of changes in accounts payable and other current liabilities driven by payment timing related to payroll taxes;</w:t>
      </w:r>
    </w:p>
    <w:p>
      <w:pPr>
        <w:spacing w:after="0" w:line="222" w:lineRule="exact"/>
        <w:rPr>
          <w:rFonts w:ascii="Arial" w:cs="Arial" w:eastAsia="Arial" w:hAnsi="Arial"/>
          <w:sz w:val="16"/>
          <w:szCs w:val="16"/>
          <w:color w:val="auto"/>
        </w:rPr>
      </w:pPr>
    </w:p>
    <w:p>
      <w:pPr>
        <w:ind w:left="480" w:hanging="310"/>
        <w:spacing w:after="0"/>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outflows decreased by $13 million due to pension contributions made in the prior year; and</w:t>
      </w:r>
    </w:p>
    <w:p>
      <w:pPr>
        <w:spacing w:after="0" w:line="248" w:lineRule="exact"/>
        <w:rPr>
          <w:rFonts w:ascii="Arial" w:cs="Arial" w:eastAsia="Arial" w:hAnsi="Arial"/>
          <w:sz w:val="16"/>
          <w:szCs w:val="16"/>
          <w:color w:val="auto"/>
        </w:rPr>
      </w:pPr>
    </w:p>
    <w:p>
      <w:pPr>
        <w:ind w:left="480" w:hanging="310"/>
        <w:spacing w:after="0"/>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inflows decreased $4.5 million for other operating activities.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$97 million lower than in 2020. This variance to the prior year was primarily attributable to:</w:t>
      </w:r>
    </w:p>
    <w:p>
      <w:pPr>
        <w:spacing w:after="0" w:line="248" w:lineRule="exact"/>
        <w:rPr>
          <w:sz w:val="20"/>
          <w:szCs w:val="20"/>
          <w:color w:val="auto"/>
        </w:rPr>
      </w:pPr>
    </w:p>
    <w:p>
      <w:pPr>
        <w:ind w:left="500" w:right="200" w:hanging="330"/>
        <w:spacing w:after="0" w:line="253" w:lineRule="auto"/>
        <w:tabs>
          <w:tab w:leader="none" w:pos="489" w:val="left"/>
        </w:tabs>
        <w:numPr>
          <w:ilvl w:val="0"/>
          <w:numId w:val="38"/>
        </w:numPr>
        <w:rPr>
          <w:rFonts w:ascii="Arial" w:cs="Arial" w:eastAsia="Arial" w:hAnsi="Arial"/>
          <w:sz w:val="16"/>
          <w:szCs w:val="16"/>
          <w:color w:val="auto"/>
        </w:rPr>
      </w:pPr>
      <w:r>
        <w:rPr>
          <w:rFonts w:ascii="Arial" w:cs="Arial" w:eastAsia="Arial" w:hAnsi="Arial"/>
          <w:sz w:val="16"/>
          <w:szCs w:val="16"/>
          <w:color w:val="auto"/>
        </w:rPr>
        <w:t>Capital expenditures of approximately $677 million in 2021 compared to $767 million in 2020. Lower current year expenditures are driven by lower programmatic safety, reliability and integrity spending at our Gas Utilities segments and the prior year Corriedale wind project at our Electric Utilities segment; and</w:t>
      </w:r>
    </w:p>
    <w:p>
      <w:pPr>
        <w:spacing w:after="0" w:line="228" w:lineRule="exact"/>
        <w:rPr>
          <w:rFonts w:ascii="Arial" w:cs="Arial" w:eastAsia="Arial" w:hAnsi="Arial"/>
          <w:sz w:val="16"/>
          <w:szCs w:val="16"/>
          <w:color w:val="auto"/>
        </w:rPr>
      </w:pPr>
    </w:p>
    <w:p>
      <w:pPr>
        <w:ind w:left="500" w:right="100" w:hanging="330"/>
        <w:spacing w:after="0" w:line="260" w:lineRule="auto"/>
        <w:tabs>
          <w:tab w:leader="none" w:pos="489" w:val="left"/>
        </w:tabs>
        <w:numPr>
          <w:ilvl w:val="0"/>
          <w:numId w:val="38"/>
        </w:numPr>
        <w:rPr>
          <w:rFonts w:ascii="Arial" w:cs="Arial" w:eastAsia="Arial" w:hAnsi="Arial"/>
          <w:sz w:val="16"/>
          <w:szCs w:val="16"/>
          <w:color w:val="auto"/>
        </w:rPr>
      </w:pPr>
      <w:r>
        <w:rPr>
          <w:rFonts w:ascii="Arial" w:cs="Arial" w:eastAsia="Arial" w:hAnsi="Arial"/>
          <w:sz w:val="16"/>
          <w:szCs w:val="16"/>
          <w:color w:val="auto"/>
        </w:rPr>
        <w:t>Cash inflows increased $7.5 million for other investing activities primarily driven by the sales of transmission assets and facilities, none of which were individually significant.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financing activities was $515 million higher than in 2020. This variance to the prior year was primarily attributable to:</w:t>
      </w:r>
    </w:p>
    <w:p>
      <w:pPr>
        <w:spacing w:after="0" w:line="248" w:lineRule="exact"/>
        <w:rPr>
          <w:sz w:val="20"/>
          <w:szCs w:val="20"/>
          <w:color w:val="auto"/>
        </w:rPr>
      </w:pPr>
    </w:p>
    <w:p>
      <w:pPr>
        <w:ind w:left="480" w:hanging="310"/>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inflows increased $502 million due to long and short-term borrowings in excess of repayments;</w:t>
      </w:r>
    </w:p>
    <w:p>
      <w:pPr>
        <w:spacing w:after="0" w:line="248" w:lineRule="exact"/>
        <w:rPr>
          <w:rFonts w:ascii="Arial" w:cs="Arial" w:eastAsia="Arial" w:hAnsi="Arial"/>
          <w:sz w:val="16"/>
          <w:szCs w:val="16"/>
          <w:color w:val="auto"/>
        </w:rPr>
      </w:pPr>
    </w:p>
    <w:p>
      <w:pPr>
        <w:ind w:left="480" w:hanging="310"/>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inflows increased $20 million due to higher issuances of common stock;</w:t>
      </w:r>
    </w:p>
    <w:p>
      <w:pPr>
        <w:spacing w:after="0" w:line="248" w:lineRule="exact"/>
        <w:rPr>
          <w:rFonts w:ascii="Arial" w:cs="Arial" w:eastAsia="Arial" w:hAnsi="Arial"/>
          <w:sz w:val="16"/>
          <w:szCs w:val="16"/>
          <w:color w:val="auto"/>
        </w:rPr>
      </w:pPr>
    </w:p>
    <w:p>
      <w:pPr>
        <w:ind w:left="480" w:hanging="310"/>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outflows increased $10 million due to increased dividends paid on common stock; and</w:t>
      </w:r>
    </w:p>
    <w:p>
      <w:pPr>
        <w:spacing w:after="0" w:line="248" w:lineRule="exact"/>
        <w:rPr>
          <w:rFonts w:ascii="Arial" w:cs="Arial" w:eastAsia="Arial" w:hAnsi="Arial"/>
          <w:sz w:val="16"/>
          <w:szCs w:val="16"/>
          <w:color w:val="auto"/>
        </w:rPr>
      </w:pPr>
    </w:p>
    <w:p>
      <w:pPr>
        <w:ind w:left="480" w:hanging="310"/>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outflows decreased by $3.0 million for other financing activities.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248"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We have a $750 million Revolving Credit Facility that matures on July 19, 2026 with two one-year extension options (subject to consent from lenders). This facility includes an accordion feature that allows us to increase total commitments up to $1.0 billion with the consent of the administrative agent, the issuing agents and each bank increasing or providing a new commitment. We also have a $750 million, unsecured CP Program that is backstopped by the Revolving Credit Facility. Amounts outstanding under the Revolving Credit Facility and the CP Program, either individually or in the aggregate, cannot exceed $750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The Revolving Credit Facility prohibits us from paying cash dividends if a default or an event of default exists prior to, or would result after, paying a dividend.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Although these contractual restrictions exist, we do not anticipate triggering any default measures or restrictions.</w:t>
      </w:r>
    </w:p>
    <w:p>
      <w:pPr>
        <w:spacing w:after="0" w:line="248"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The Revolving Credit Facility contains cross-default provisions that could result in a default under such agreements if BHC or its material subsidiaries failed to 1) make timely payments of debt obligations; or 2) triggered other default provisions under any debt agreement totaling, in the aggregate principal amount of $50 million or more that permit the acceleration of debt maturities or mandatory debt prepayment.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Our Revolving Credit Facility and CP Program had the following borrowings, outstanding letters of credit, and available capacity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color w:val="auto"/>
              </w:rPr>
              <w:t>Current</w:t>
            </w:r>
          </w:p>
        </w:tc>
        <w:tc>
          <w:tcPr>
            <w:tcW w:w="220" w:type="dxa"/>
            <w:vAlign w:val="bottom"/>
          </w:tcPr>
          <w:p>
            <w:pPr>
              <w:spacing w:after="0"/>
              <w:rPr>
                <w:sz w:val="21"/>
                <w:szCs w:val="21"/>
                <w:color w:val="auto"/>
              </w:rPr>
            </w:pPr>
          </w:p>
        </w:tc>
        <w:tc>
          <w:tcPr>
            <w:tcW w:w="2060" w:type="dxa"/>
            <w:vAlign w:val="bottom"/>
          </w:tcPr>
          <w:p>
            <w:pPr>
              <w:jc w:val="center"/>
              <w:ind w:right="79"/>
              <w:spacing w:after="0"/>
              <w:rPr>
                <w:sz w:val="20"/>
                <w:szCs w:val="20"/>
                <w:color w:val="auto"/>
              </w:rPr>
            </w:pPr>
            <w:r>
              <w:rPr>
                <w:rFonts w:ascii="Arial" w:cs="Arial" w:eastAsia="Arial" w:hAnsi="Arial"/>
                <w:sz w:val="16"/>
                <w:szCs w:val="16"/>
                <w:color w:val="auto"/>
              </w:rPr>
              <w:t>Short-term borrowings at</w:t>
            </w:r>
          </w:p>
        </w:tc>
        <w:tc>
          <w:tcPr>
            <w:tcW w:w="240" w:type="dxa"/>
            <w:vAlign w:val="bottom"/>
          </w:tcPr>
          <w:p>
            <w:pPr>
              <w:spacing w:after="0"/>
              <w:rPr>
                <w:sz w:val="21"/>
                <w:szCs w:val="21"/>
                <w:color w:val="auto"/>
              </w:rPr>
            </w:pPr>
          </w:p>
        </w:tc>
        <w:tc>
          <w:tcPr>
            <w:tcW w:w="1880" w:type="dxa"/>
            <w:vAlign w:val="bottom"/>
          </w:tcPr>
          <w:p>
            <w:pPr>
              <w:jc w:val="center"/>
              <w:ind w:right="99"/>
              <w:spacing w:after="0"/>
              <w:rPr>
                <w:sz w:val="20"/>
                <w:szCs w:val="20"/>
                <w:color w:val="auto"/>
              </w:rPr>
            </w:pPr>
            <w:r>
              <w:rPr>
                <w:rFonts w:ascii="Arial" w:cs="Arial" w:eastAsia="Arial" w:hAnsi="Arial"/>
                <w:sz w:val="16"/>
                <w:szCs w:val="16"/>
                <w:color w:val="auto"/>
                <w:w w:val="97"/>
              </w:rPr>
              <w:t xml:space="preserve">Letters of Credit </w:t>
            </w:r>
            <w:r>
              <w:rPr>
                <w:rFonts w:ascii="Arial" w:cs="Arial" w:eastAsia="Arial" w:hAnsi="Arial"/>
                <w:sz w:val="21"/>
                <w:szCs w:val="21"/>
                <w:color w:val="auto"/>
                <w:w w:val="97"/>
                <w:vertAlign w:val="superscript"/>
              </w:rPr>
              <w:t>(a)</w:t>
            </w:r>
            <w:r>
              <w:rPr>
                <w:rFonts w:ascii="Arial" w:cs="Arial" w:eastAsia="Arial" w:hAnsi="Arial"/>
                <w:sz w:val="16"/>
                <w:szCs w:val="16"/>
                <w:color w:val="auto"/>
                <w:w w:val="97"/>
              </w:rPr>
              <w:t xml:space="preserve"> at</w:t>
            </w:r>
          </w:p>
        </w:tc>
        <w:tc>
          <w:tcPr>
            <w:tcW w:w="220" w:type="dxa"/>
            <w:vAlign w:val="bottom"/>
          </w:tcPr>
          <w:p>
            <w:pPr>
              <w:spacing w:after="0"/>
              <w:rPr>
                <w:sz w:val="21"/>
                <w:szCs w:val="21"/>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color w:val="auto"/>
              </w:rPr>
              <w:t>Available Capacity at</w:t>
            </w:r>
          </w:p>
        </w:tc>
      </w:tr>
      <w:tr>
        <w:trPr>
          <w:trHeight w:val="198"/>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Expiration</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Capacity</w:t>
            </w:r>
          </w:p>
        </w:tc>
        <w:tc>
          <w:tcPr>
            <w:tcW w:w="2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December 31, 2021</w:t>
            </w: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December 31, 2021</w:t>
            </w: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December 31, 2021</w:t>
            </w:r>
          </w:p>
        </w:tc>
      </w:tr>
      <w:tr>
        <w:trPr>
          <w:trHeight w:val="174"/>
        </w:trPr>
        <w:tc>
          <w:tcPr>
            <w:tcW w:w="2440" w:type="dxa"/>
            <w:vAlign w:val="bottom"/>
            <w:shd w:val="clear" w:color="auto" w:fill="CEFFE7"/>
          </w:tcPr>
          <w:p>
            <w:pPr>
              <w:ind w:left="20"/>
              <w:spacing w:after="0" w:line="174" w:lineRule="exact"/>
              <w:rPr>
                <w:sz w:val="20"/>
                <w:szCs w:val="20"/>
                <w:color w:val="auto"/>
              </w:rPr>
            </w:pPr>
            <w:r>
              <w:rPr>
                <w:rFonts w:ascii="Arial" w:cs="Arial" w:eastAsia="Arial" w:hAnsi="Arial"/>
                <w:sz w:val="16"/>
                <w:szCs w:val="16"/>
                <w:color w:val="auto"/>
              </w:rPr>
              <w:t>Revolving Credit Facility and CP</w:t>
            </w:r>
          </w:p>
        </w:tc>
        <w:tc>
          <w:tcPr>
            <w:tcW w:w="1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940" w:type="dxa"/>
            <w:vAlign w:val="bottom"/>
            <w:shd w:val="clear" w:color="auto" w:fill="CEFFE7"/>
          </w:tcPr>
          <w:p>
            <w:pPr>
              <w:spacing w:after="0"/>
              <w:rPr>
                <w:sz w:val="15"/>
                <w:szCs w:val="15"/>
                <w:color w:val="auto"/>
              </w:rPr>
            </w:pPr>
          </w:p>
        </w:tc>
        <w:tc>
          <w:tcPr>
            <w:tcW w:w="220" w:type="dxa"/>
            <w:vAlign w:val="bottom"/>
            <w:shd w:val="clear" w:color="auto" w:fill="CEFFE7"/>
          </w:tcPr>
          <w:p>
            <w:pPr>
              <w:spacing w:after="0"/>
              <w:rPr>
                <w:sz w:val="15"/>
                <w:szCs w:val="15"/>
                <w:color w:val="auto"/>
              </w:rPr>
            </w:pPr>
          </w:p>
        </w:tc>
        <w:tc>
          <w:tcPr>
            <w:tcW w:w="206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1880" w:type="dxa"/>
            <w:vAlign w:val="bottom"/>
            <w:shd w:val="clear" w:color="auto" w:fill="CEFFE7"/>
          </w:tcPr>
          <w:p>
            <w:pPr>
              <w:spacing w:after="0"/>
              <w:rPr>
                <w:sz w:val="15"/>
                <w:szCs w:val="15"/>
                <w:color w:val="auto"/>
              </w:rPr>
            </w:pPr>
          </w:p>
        </w:tc>
        <w:tc>
          <w:tcPr>
            <w:tcW w:w="220" w:type="dxa"/>
            <w:vAlign w:val="bottom"/>
            <w:shd w:val="clear" w:color="auto" w:fill="CEFFE7"/>
          </w:tcPr>
          <w:p>
            <w:pPr>
              <w:spacing w:after="0"/>
              <w:rPr>
                <w:sz w:val="15"/>
                <w:szCs w:val="15"/>
                <w:color w:val="auto"/>
              </w:rPr>
            </w:pPr>
          </w:p>
        </w:tc>
        <w:tc>
          <w:tcPr>
            <w:tcW w:w="1920" w:type="dxa"/>
            <w:vAlign w:val="bottom"/>
            <w:shd w:val="clear" w:color="auto" w:fill="CEFFE7"/>
          </w:tcPr>
          <w:p>
            <w:pPr>
              <w:spacing w:after="0"/>
              <w:rPr>
                <w:sz w:val="15"/>
                <w:szCs w:val="15"/>
                <w:color w:val="auto"/>
              </w:rPr>
            </w:pPr>
          </w:p>
        </w:tc>
      </w:tr>
      <w:tr>
        <w:trPr>
          <w:trHeight w:val="201"/>
        </w:trPr>
        <w:tc>
          <w:tcPr>
            <w:tcW w:w="2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Program</w:t>
            </w:r>
          </w:p>
        </w:tc>
        <w:tc>
          <w:tcPr>
            <w:tcW w:w="11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July 19, 2026</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750</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420</w:t>
            </w:r>
          </w:p>
        </w:tc>
        <w:tc>
          <w:tcPr>
            <w:tcW w:w="2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303</w:t>
            </w:r>
          </w:p>
        </w:tc>
      </w:tr>
      <w:tr>
        <w:trPr>
          <w:trHeight w:val="248"/>
        </w:trPr>
        <w:tc>
          <w:tcPr>
            <w:tcW w:w="2440" w:type="dxa"/>
            <w:vAlign w:val="bottom"/>
          </w:tcPr>
          <w:p>
            <w:pPr>
              <w:spacing w:after="0"/>
              <w:rPr>
                <w:sz w:val="20"/>
                <w:szCs w:val="20"/>
                <w:color w:val="auto"/>
              </w:rPr>
            </w:pPr>
            <w:r>
              <w:rPr>
                <w:rFonts w:ascii="Arial" w:cs="Arial" w:eastAsia="Arial" w:hAnsi="Arial"/>
                <w:sz w:val="14"/>
                <w:szCs w:val="14"/>
                <w:color w:val="auto"/>
              </w:rPr>
              <w:t>____________________</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r>
    </w:tbl>
    <w:p>
      <w:pPr>
        <w:ind w:left="340" w:right="140" w:hanging="332"/>
        <w:spacing w:after="0" w:line="258" w:lineRule="auto"/>
        <w:tabs>
          <w:tab w:leader="none" w:pos="352"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Letters of credit are off-balance sheet commitments that reduce the borrowing capacity available on our corporate Revolving Credit. For more information on these letters of credit, see </w:t>
      </w:r>
      <w:hyperlink w:anchor="page88">
        <w:r>
          <w:rPr>
            <w:rFonts w:ascii="Arial" w:cs="Arial" w:eastAsia="Arial" w:hAnsi="Arial"/>
            <w:sz w:val="14"/>
            <w:szCs w:val="14"/>
            <w:u w:val="single" w:color="auto"/>
            <w:color w:val="0000FF"/>
          </w:rPr>
          <w:t>Note 8</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Consolidated Financial Statements in this Annual Report on Form 10-K.</w:t>
      </w:r>
    </w:p>
    <w:p>
      <w:pPr>
        <w:spacing w:after="0" w:line="21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weighted average interest rate on short-term borrowings at December 31, 2021 was 0.30%. Short-term borrowing activity for the year ended December 31, 2021 was: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(dollars in millions)</w:t>
            </w:r>
          </w:p>
        </w:tc>
      </w:tr>
      <w:tr>
        <w:trPr>
          <w:trHeight w:val="212"/>
        </w:trPr>
        <w:tc>
          <w:tcPr>
            <w:tcW w:w="6860" w:type="dxa"/>
            <w:vAlign w:val="bottom"/>
            <w:shd w:val="clear" w:color="auto" w:fill="CEFFE7"/>
          </w:tcPr>
          <w:p>
            <w:pPr>
              <w:ind w:left="100"/>
              <w:spacing w:after="0"/>
              <w:rPr>
                <w:sz w:val="20"/>
                <w:szCs w:val="20"/>
                <w:color w:val="auto"/>
              </w:rPr>
            </w:pPr>
            <w:r>
              <w:rPr>
                <w:rFonts w:ascii="Arial" w:cs="Arial" w:eastAsia="Arial" w:hAnsi="Arial"/>
                <w:sz w:val="16"/>
                <w:szCs w:val="16"/>
                <w:color w:val="auto"/>
              </w:rPr>
              <w:t>Maximum amount outstanding (based on daily outstanding balances)</w:t>
            </w:r>
          </w:p>
        </w:tc>
        <w:tc>
          <w:tcPr>
            <w:tcW w:w="214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224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440</w:t>
            </w:r>
          </w:p>
        </w:tc>
      </w:tr>
      <w:tr>
        <w:trPr>
          <w:trHeight w:val="213"/>
        </w:trPr>
        <w:tc>
          <w:tcPr>
            <w:tcW w:w="6860" w:type="dxa"/>
            <w:vAlign w:val="bottom"/>
          </w:tcPr>
          <w:p>
            <w:pPr>
              <w:ind w:left="100"/>
              <w:spacing w:after="0"/>
              <w:rPr>
                <w:sz w:val="20"/>
                <w:szCs w:val="20"/>
                <w:color w:val="auto"/>
              </w:rPr>
            </w:pPr>
            <w:r>
              <w:rPr>
                <w:rFonts w:ascii="Arial" w:cs="Arial" w:eastAsia="Arial" w:hAnsi="Arial"/>
                <w:sz w:val="16"/>
                <w:szCs w:val="16"/>
                <w:color w:val="auto"/>
              </w:rPr>
              <w:t>Average amount outstanding (based on daily outstanding balances)</w:t>
            </w:r>
          </w:p>
        </w:tc>
        <w:tc>
          <w:tcPr>
            <w:tcW w:w="21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240" w:type="dxa"/>
            <w:vAlign w:val="bottom"/>
          </w:tcPr>
          <w:p>
            <w:pPr>
              <w:jc w:val="right"/>
              <w:ind w:right="119"/>
              <w:spacing w:after="0"/>
              <w:rPr>
                <w:sz w:val="20"/>
                <w:szCs w:val="20"/>
                <w:color w:val="auto"/>
              </w:rPr>
            </w:pPr>
            <w:r>
              <w:rPr>
                <w:rFonts w:ascii="Arial" w:cs="Arial" w:eastAsia="Arial" w:hAnsi="Arial"/>
                <w:sz w:val="16"/>
                <w:szCs w:val="16"/>
                <w:color w:val="auto"/>
              </w:rPr>
              <w:t>258</w:t>
            </w:r>
          </w:p>
        </w:tc>
      </w:tr>
      <w:tr>
        <w:trPr>
          <w:trHeight w:val="219"/>
        </w:trPr>
        <w:tc>
          <w:tcPr>
            <w:tcW w:w="6860" w:type="dxa"/>
            <w:vAlign w:val="bottom"/>
            <w:shd w:val="clear" w:color="auto" w:fill="CEFFE7"/>
          </w:tcPr>
          <w:p>
            <w:pPr>
              <w:ind w:left="100"/>
              <w:spacing w:after="0"/>
              <w:rPr>
                <w:sz w:val="20"/>
                <w:szCs w:val="20"/>
                <w:color w:val="auto"/>
              </w:rPr>
            </w:pPr>
            <w:r>
              <w:rPr>
                <w:rFonts w:ascii="Arial" w:cs="Arial" w:eastAsia="Arial" w:hAnsi="Arial"/>
                <w:sz w:val="16"/>
                <w:szCs w:val="16"/>
                <w:color w:val="auto"/>
              </w:rPr>
              <w:t>Weighted average interest rate</w:t>
            </w:r>
          </w:p>
        </w:tc>
        <w:tc>
          <w:tcPr>
            <w:tcW w:w="2140" w:type="dxa"/>
            <w:vAlign w:val="bottom"/>
            <w:shd w:val="clear" w:color="auto" w:fill="CEFFE7"/>
          </w:tcPr>
          <w:p>
            <w:pPr>
              <w:spacing w:after="0"/>
              <w:rPr>
                <w:sz w:val="19"/>
                <w:szCs w:val="19"/>
                <w:color w:val="auto"/>
              </w:rPr>
            </w:pPr>
          </w:p>
        </w:tc>
        <w:tc>
          <w:tcPr>
            <w:tcW w:w="2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0.22 %</w:t>
            </w:r>
          </w:p>
        </w:tc>
      </w:tr>
    </w:tbl>
    <w:p>
      <w:pPr>
        <w:spacing w:after="0" w:line="339" w:lineRule="exact"/>
        <w:rPr>
          <w:sz w:val="20"/>
          <w:szCs w:val="20"/>
          <w:color w:val="auto"/>
        </w:rPr>
      </w:pPr>
    </w:p>
    <w:p>
      <w:pPr>
        <w:ind w:right="10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See </w:t>
      </w:r>
      <w:hyperlink w:anchor="page88">
        <w:r>
          <w:rPr>
            <w:rFonts w:ascii="Arial" w:cs="Arial" w:eastAsia="Arial" w:hAnsi="Arial"/>
            <w:sz w:val="16"/>
            <w:szCs w:val="16"/>
            <w:u w:val="single" w:color="auto"/>
            <w:color w:val="0000FF"/>
          </w:rPr>
          <w:t>Note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 for more information on our Revolving Credit Facility and CP Program.</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Term Loan</w:t>
      </w:r>
    </w:p>
    <w:p>
      <w:pPr>
        <w:spacing w:after="0" w:line="24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88">
        <w:r>
          <w:rPr>
            <w:rFonts w:ascii="Arial" w:cs="Arial" w:eastAsia="Arial" w:hAnsi="Arial"/>
            <w:sz w:val="16"/>
            <w:szCs w:val="16"/>
            <w:u w:val="single" w:color="auto"/>
            <w:color w:val="0000FF"/>
          </w:rPr>
          <w:t>Note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 for more information related to our term loan.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Utility Money Pool</w:t>
      </w:r>
    </w:p>
    <w:p>
      <w:pPr>
        <w:spacing w:after="0" w:line="26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As a utility holding company, we are required to establish a cash management program to address lending and borrowing activities between our utilities and the Company. We have established utility money pool agreements which address these requirements. These agreements are on file with the FERC and appropriate state regulators. Under the utility money pool agreements, our utilities may, at their option, borrow and extend short-term loans to our other utilities via a utility money pool at market-based rates. While the utility money pool may borrow funds from the Company (as ultimate parent company), the money pool arrangement does not allow loans from our utility subsidiaries to the Company (as ultimate parent company) or to non-regulated affiliates.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268" w:lineRule="exact"/>
        <w:rPr>
          <w:sz w:val="20"/>
          <w:szCs w:val="20"/>
          <w:color w:val="auto"/>
        </w:rPr>
      </w:pPr>
    </w:p>
    <w:p>
      <w:pPr>
        <w:ind w:right="8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Our Long-term debt and associated interest payments due by year are shown below (in thousands). For more information on our long-term debt, see </w:t>
      </w:r>
      <w:hyperlink w:anchor="page88">
        <w:r>
          <w:rPr>
            <w:rFonts w:ascii="Arial" w:cs="Arial" w:eastAsia="Arial" w:hAnsi="Arial"/>
            <w:sz w:val="16"/>
            <w:szCs w:val="16"/>
            <w:u w:val="single" w:color="auto"/>
            <w:color w:val="0000FF"/>
          </w:rPr>
          <w:t>Note 8</w:t>
        </w:r>
      </w:hyperlink>
      <w:r>
        <w:rPr>
          <w:rFonts w:ascii="Arial" w:cs="Arial" w:eastAsia="Arial" w:hAnsi="Arial"/>
          <w:sz w:val="16"/>
          <w:szCs w:val="16"/>
          <w:color w:val="auto"/>
        </w:rPr>
        <w:t xml:space="preserve"> of the Notes to Consolidated Financial Statements in this Annual Report on Form 10-K.</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Payments Due by Period</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2022</w:t>
            </w: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2023</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2024</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2025</w:t>
            </w: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2026</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Thereafter</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3820" w:type="dxa"/>
            <w:vAlign w:val="bottom"/>
            <w:shd w:val="clear" w:color="auto" w:fill="CEFFE7"/>
          </w:tcPr>
          <w:p>
            <w:pPr>
              <w:ind w:left="20"/>
              <w:spacing w:after="0" w:line="142" w:lineRule="exact"/>
              <w:rPr>
                <w:sz w:val="20"/>
                <w:szCs w:val="20"/>
                <w:color w:val="auto"/>
              </w:rPr>
            </w:pPr>
            <w:r>
              <w:rPr>
                <w:rFonts w:ascii="Arial" w:cs="Arial" w:eastAsia="Arial" w:hAnsi="Arial"/>
                <w:sz w:val="14"/>
                <w:szCs w:val="14"/>
                <w:color w:val="auto"/>
              </w:rPr>
              <w:t>Principal payments on Long-term debt including current</w:t>
            </w:r>
          </w:p>
        </w:tc>
        <w:tc>
          <w:tcPr>
            <w:tcW w:w="220" w:type="dxa"/>
            <w:vAlign w:val="bottom"/>
            <w:vMerge w:val="restart"/>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EFFE7"/>
          </w:tcPr>
          <w:p>
            <w:pPr>
              <w:jc w:val="right"/>
              <w:ind w:right="68"/>
              <w:spacing w:after="0"/>
              <w:rPr>
                <w:sz w:val="20"/>
                <w:szCs w:val="20"/>
                <w:color w:val="auto"/>
              </w:rPr>
            </w:pPr>
            <w:r>
              <w:rPr>
                <w:rFonts w:ascii="Arial" w:cs="Arial" w:eastAsia="Arial" w:hAnsi="Arial"/>
                <w:sz w:val="14"/>
                <w:szCs w:val="14"/>
                <w:color w:val="auto"/>
              </w:rPr>
              <w:t>— $</w:t>
            </w:r>
          </w:p>
        </w:tc>
        <w:tc>
          <w:tcPr>
            <w:tcW w:w="80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525,000</w:t>
            </w:r>
          </w:p>
        </w:tc>
        <w:tc>
          <w:tcPr>
            <w:tcW w:w="260" w:type="dxa"/>
            <w:vAlign w:val="bottom"/>
            <w:vMerge w:val="restart"/>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600,000</w:t>
            </w:r>
          </w:p>
        </w:tc>
        <w:tc>
          <w:tcPr>
            <w:tcW w:w="260" w:type="dxa"/>
            <w:vAlign w:val="bottom"/>
            <w:vMerge w:val="restart"/>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EFFE7"/>
          </w:tcPr>
          <w:p>
            <w:pPr>
              <w:jc w:val="right"/>
              <w:ind w:right="168"/>
              <w:spacing w:after="0"/>
              <w:rPr>
                <w:sz w:val="20"/>
                <w:szCs w:val="20"/>
                <w:color w:val="auto"/>
              </w:rPr>
            </w:pPr>
            <w:r>
              <w:rPr>
                <w:rFonts w:ascii="Arial" w:cs="Arial" w:eastAsia="Arial" w:hAnsi="Arial"/>
                <w:sz w:val="14"/>
                <w:szCs w:val="14"/>
                <w:color w:val="auto"/>
              </w:rPr>
              <w:t>— $</w:t>
            </w:r>
          </w:p>
        </w:tc>
        <w:tc>
          <w:tcPr>
            <w:tcW w:w="70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300,000</w:t>
            </w:r>
          </w:p>
        </w:tc>
        <w:tc>
          <w:tcPr>
            <w:tcW w:w="16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2,735,000</w:t>
            </w:r>
          </w:p>
        </w:tc>
        <w:tc>
          <w:tcPr>
            <w:tcW w:w="280" w:type="dxa"/>
            <w:vAlign w:val="bottom"/>
            <w:vMerge w:val="restart"/>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EFFE7"/>
          </w:tcPr>
          <w:p>
            <w:pPr>
              <w:ind w:left="160"/>
              <w:spacing w:after="0"/>
              <w:rPr>
                <w:sz w:val="20"/>
                <w:szCs w:val="20"/>
                <w:color w:val="auto"/>
              </w:rPr>
            </w:pPr>
            <w:r>
              <w:rPr>
                <w:rFonts w:ascii="Arial" w:cs="Arial" w:eastAsia="Arial" w:hAnsi="Arial"/>
                <w:sz w:val="14"/>
                <w:szCs w:val="14"/>
                <w:color w:val="auto"/>
              </w:rPr>
              <w:t>4,160,000</w:t>
            </w:r>
          </w:p>
        </w:tc>
        <w:tc>
          <w:tcPr>
            <w:tcW w:w="0" w:type="dxa"/>
            <w:vAlign w:val="bottom"/>
          </w:tcPr>
          <w:p>
            <w:pPr>
              <w:spacing w:after="0"/>
              <w:rPr>
                <w:sz w:val="1"/>
                <w:szCs w:val="1"/>
                <w:color w:val="auto"/>
              </w:rPr>
            </w:pPr>
          </w:p>
        </w:tc>
      </w:tr>
      <w:tr>
        <w:trPr>
          <w:trHeight w:val="176"/>
        </w:trPr>
        <w:tc>
          <w:tcPr>
            <w:tcW w:w="3820" w:type="dxa"/>
            <w:vAlign w:val="bottom"/>
            <w:shd w:val="clear" w:color="auto" w:fill="CEFFE7"/>
          </w:tcPr>
          <w:p>
            <w:pPr>
              <w:ind w:left="20"/>
              <w:spacing w:after="0" w:line="176" w:lineRule="exact"/>
              <w:rPr>
                <w:sz w:val="20"/>
                <w:szCs w:val="20"/>
                <w:color w:val="auto"/>
              </w:rPr>
            </w:pPr>
            <w:r>
              <w:rPr>
                <w:rFonts w:ascii="Arial" w:cs="Arial" w:eastAsia="Arial" w:hAnsi="Arial"/>
                <w:sz w:val="14"/>
                <w:szCs w:val="14"/>
                <w:color w:val="auto"/>
              </w:rPr>
              <w:t xml:space="preserve">maturities </w:t>
            </w:r>
            <w:r>
              <w:rPr>
                <w:rFonts w:ascii="Arial" w:cs="Arial" w:eastAsia="Arial" w:hAnsi="Arial"/>
                <w:sz w:val="18"/>
                <w:szCs w:val="18"/>
                <w:color w:val="auto"/>
                <w:vertAlign w:val="superscript"/>
              </w:rPr>
              <w:t>(a)</w:t>
            </w:r>
          </w:p>
        </w:tc>
        <w:tc>
          <w:tcPr>
            <w:tcW w:w="220" w:type="dxa"/>
            <w:vAlign w:val="bottom"/>
            <w:vMerge w:val="continue"/>
            <w:shd w:val="clear" w:color="auto" w:fill="CEFFE7"/>
          </w:tcPr>
          <w:p>
            <w:pPr>
              <w:spacing w:after="0"/>
              <w:rPr>
                <w:sz w:val="15"/>
                <w:szCs w:val="15"/>
                <w:color w:val="auto"/>
              </w:rPr>
            </w:pPr>
          </w:p>
        </w:tc>
        <w:tc>
          <w:tcPr>
            <w:tcW w:w="1060" w:type="dxa"/>
            <w:vAlign w:val="bottom"/>
            <w:vMerge w:val="continue"/>
            <w:shd w:val="clear" w:color="auto" w:fill="CEFFE7"/>
          </w:tcPr>
          <w:p>
            <w:pPr>
              <w:spacing w:after="0"/>
              <w:rPr>
                <w:sz w:val="15"/>
                <w:szCs w:val="15"/>
                <w:color w:val="auto"/>
              </w:rPr>
            </w:pPr>
          </w:p>
        </w:tc>
        <w:tc>
          <w:tcPr>
            <w:tcW w:w="800" w:type="dxa"/>
            <w:vAlign w:val="bottom"/>
            <w:vMerge w:val="continue"/>
            <w:shd w:val="clear" w:color="auto" w:fill="CEFFE7"/>
          </w:tcPr>
          <w:p>
            <w:pPr>
              <w:spacing w:after="0"/>
              <w:rPr>
                <w:sz w:val="15"/>
                <w:szCs w:val="15"/>
                <w:color w:val="auto"/>
              </w:rPr>
            </w:pPr>
          </w:p>
        </w:tc>
        <w:tc>
          <w:tcPr>
            <w:tcW w:w="260" w:type="dxa"/>
            <w:vAlign w:val="bottom"/>
            <w:vMerge w:val="continue"/>
            <w:shd w:val="clear" w:color="auto" w:fill="CEFFE7"/>
          </w:tcPr>
          <w:p>
            <w:pPr>
              <w:spacing w:after="0"/>
              <w:rPr>
                <w:sz w:val="15"/>
                <w:szCs w:val="15"/>
                <w:color w:val="auto"/>
              </w:rPr>
            </w:pPr>
          </w:p>
        </w:tc>
        <w:tc>
          <w:tcPr>
            <w:tcW w:w="780" w:type="dxa"/>
            <w:vAlign w:val="bottom"/>
            <w:vMerge w:val="continue"/>
            <w:shd w:val="clear" w:color="auto" w:fill="CEFFE7"/>
          </w:tcPr>
          <w:p>
            <w:pPr>
              <w:spacing w:after="0"/>
              <w:rPr>
                <w:sz w:val="15"/>
                <w:szCs w:val="15"/>
                <w:color w:val="auto"/>
              </w:rPr>
            </w:pPr>
          </w:p>
        </w:tc>
        <w:tc>
          <w:tcPr>
            <w:tcW w:w="260" w:type="dxa"/>
            <w:vAlign w:val="bottom"/>
            <w:vMerge w:val="continue"/>
            <w:shd w:val="clear" w:color="auto" w:fill="CEFFE7"/>
          </w:tcPr>
          <w:p>
            <w:pPr>
              <w:spacing w:after="0"/>
              <w:rPr>
                <w:sz w:val="15"/>
                <w:szCs w:val="15"/>
                <w:color w:val="auto"/>
              </w:rPr>
            </w:pPr>
          </w:p>
        </w:tc>
        <w:tc>
          <w:tcPr>
            <w:tcW w:w="1160" w:type="dxa"/>
            <w:vAlign w:val="bottom"/>
            <w:vMerge w:val="continue"/>
            <w:shd w:val="clear" w:color="auto" w:fill="CEFFE7"/>
          </w:tcPr>
          <w:p>
            <w:pPr>
              <w:spacing w:after="0"/>
              <w:rPr>
                <w:sz w:val="15"/>
                <w:szCs w:val="15"/>
                <w:color w:val="auto"/>
              </w:rPr>
            </w:pPr>
          </w:p>
        </w:tc>
        <w:tc>
          <w:tcPr>
            <w:tcW w:w="700" w:type="dxa"/>
            <w:vAlign w:val="bottom"/>
            <w:vMerge w:val="continue"/>
            <w:shd w:val="clear" w:color="auto" w:fill="CEFFE7"/>
          </w:tcPr>
          <w:p>
            <w:pPr>
              <w:spacing w:after="0"/>
              <w:rPr>
                <w:sz w:val="15"/>
                <w:szCs w:val="15"/>
                <w:color w:val="auto"/>
              </w:rPr>
            </w:pPr>
          </w:p>
        </w:tc>
        <w:tc>
          <w:tcPr>
            <w:tcW w:w="160" w:type="dxa"/>
            <w:vAlign w:val="bottom"/>
            <w:vMerge w:val="continue"/>
            <w:shd w:val="clear" w:color="auto" w:fill="CEFFE7"/>
          </w:tcPr>
          <w:p>
            <w:pPr>
              <w:spacing w:after="0"/>
              <w:rPr>
                <w:sz w:val="15"/>
                <w:szCs w:val="15"/>
                <w:color w:val="auto"/>
              </w:rPr>
            </w:pPr>
          </w:p>
        </w:tc>
        <w:tc>
          <w:tcPr>
            <w:tcW w:w="880" w:type="dxa"/>
            <w:vAlign w:val="bottom"/>
            <w:vMerge w:val="continue"/>
            <w:shd w:val="clear" w:color="auto" w:fill="CEFFE7"/>
          </w:tcPr>
          <w:p>
            <w:pPr>
              <w:spacing w:after="0"/>
              <w:rPr>
                <w:sz w:val="15"/>
                <w:szCs w:val="15"/>
                <w:color w:val="auto"/>
              </w:rPr>
            </w:pPr>
          </w:p>
        </w:tc>
        <w:tc>
          <w:tcPr>
            <w:tcW w:w="280" w:type="dxa"/>
            <w:vAlign w:val="bottom"/>
            <w:vMerge w:val="continue"/>
            <w:shd w:val="clear" w:color="auto" w:fill="CEFFE7"/>
          </w:tcPr>
          <w:p>
            <w:pPr>
              <w:spacing w:after="0"/>
              <w:rPr>
                <w:sz w:val="15"/>
                <w:szCs w:val="15"/>
                <w:color w:val="auto"/>
              </w:rPr>
            </w:pPr>
          </w:p>
        </w:tc>
        <w:tc>
          <w:tcPr>
            <w:tcW w:w="860" w:type="dxa"/>
            <w:vAlign w:val="bottom"/>
            <w:vMerge w:val="continue"/>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3820" w:type="dxa"/>
            <w:vAlign w:val="bottom"/>
          </w:tcPr>
          <w:p>
            <w:pPr>
              <w:ind w:left="20"/>
              <w:spacing w:after="0"/>
              <w:rPr>
                <w:sz w:val="20"/>
                <w:szCs w:val="20"/>
                <w:color w:val="auto"/>
              </w:rPr>
            </w:pPr>
            <w:r>
              <w:rPr>
                <w:rFonts w:ascii="Arial" w:cs="Arial" w:eastAsia="Arial" w:hAnsi="Arial"/>
                <w:sz w:val="14"/>
                <w:szCs w:val="14"/>
                <w:color w:val="auto"/>
              </w:rPr>
              <w:t xml:space="preserve">Interest payments on Long-term debt </w:t>
            </w:r>
            <w:r>
              <w:rPr>
                <w:rFonts w:ascii="Arial" w:cs="Arial" w:eastAsia="Arial" w:hAnsi="Arial"/>
                <w:sz w:val="18"/>
                <w:szCs w:val="18"/>
                <w:color w:val="auto"/>
                <w:vertAlign w:val="superscript"/>
              </w:rPr>
              <w:t>(a)</w:t>
            </w:r>
          </w:p>
        </w:tc>
        <w:tc>
          <w:tcPr>
            <w:tcW w:w="220" w:type="dxa"/>
            <w:vAlign w:val="bottom"/>
          </w:tcPr>
          <w:p>
            <w:pPr>
              <w:spacing w:after="0"/>
              <w:rPr>
                <w:sz w:val="21"/>
                <w:szCs w:val="21"/>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147,720</w:t>
            </w:r>
          </w:p>
        </w:tc>
        <w:tc>
          <w:tcPr>
            <w:tcW w:w="800" w:type="dxa"/>
            <w:vAlign w:val="bottom"/>
          </w:tcPr>
          <w:p>
            <w:pPr>
              <w:jc w:val="right"/>
              <w:spacing w:after="0"/>
              <w:rPr>
                <w:sz w:val="20"/>
                <w:szCs w:val="20"/>
                <w:color w:val="auto"/>
              </w:rPr>
            </w:pPr>
            <w:r>
              <w:rPr>
                <w:rFonts w:ascii="Arial" w:cs="Arial" w:eastAsia="Arial" w:hAnsi="Arial"/>
                <w:sz w:val="14"/>
                <w:szCs w:val="14"/>
                <w:color w:val="auto"/>
              </w:rPr>
              <w:t>147,772</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125,460</w:t>
            </w:r>
          </w:p>
        </w:tc>
        <w:tc>
          <w:tcPr>
            <w:tcW w:w="260" w:type="dxa"/>
            <w:vAlign w:val="bottom"/>
          </w:tcPr>
          <w:p>
            <w:pPr>
              <w:spacing w:after="0"/>
              <w:rPr>
                <w:sz w:val="21"/>
                <w:szCs w:val="21"/>
                <w:color w:val="auto"/>
              </w:rPr>
            </w:pPr>
          </w:p>
        </w:tc>
        <w:tc>
          <w:tcPr>
            <w:tcW w:w="1160" w:type="dxa"/>
            <w:vAlign w:val="bottom"/>
          </w:tcPr>
          <w:p>
            <w:pPr>
              <w:jc w:val="right"/>
              <w:ind w:right="328"/>
              <w:spacing w:after="0"/>
              <w:rPr>
                <w:sz w:val="20"/>
                <w:szCs w:val="20"/>
                <w:color w:val="auto"/>
              </w:rPr>
            </w:pPr>
            <w:r>
              <w:rPr>
                <w:rFonts w:ascii="Arial" w:cs="Arial" w:eastAsia="Arial" w:hAnsi="Arial"/>
                <w:sz w:val="14"/>
                <w:szCs w:val="14"/>
                <w:color w:val="auto"/>
              </w:rPr>
              <w:t>119,238</w:t>
            </w:r>
          </w:p>
        </w:tc>
        <w:tc>
          <w:tcPr>
            <w:tcW w:w="700" w:type="dxa"/>
            <w:vAlign w:val="bottom"/>
          </w:tcPr>
          <w:p>
            <w:pPr>
              <w:jc w:val="right"/>
              <w:spacing w:after="0"/>
              <w:rPr>
                <w:sz w:val="20"/>
                <w:szCs w:val="20"/>
                <w:color w:val="auto"/>
              </w:rPr>
            </w:pPr>
            <w:r>
              <w:rPr>
                <w:rFonts w:ascii="Arial" w:cs="Arial" w:eastAsia="Arial" w:hAnsi="Arial"/>
                <w:sz w:val="14"/>
                <w:szCs w:val="14"/>
                <w:color w:val="auto"/>
              </w:rPr>
              <w:t>113,313</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1,095,879</w:t>
            </w:r>
          </w:p>
        </w:tc>
        <w:tc>
          <w:tcPr>
            <w:tcW w:w="280" w:type="dxa"/>
            <w:vAlign w:val="bottom"/>
          </w:tcPr>
          <w:p>
            <w:pPr>
              <w:spacing w:after="0"/>
              <w:rPr>
                <w:sz w:val="21"/>
                <w:szCs w:val="21"/>
                <w:color w:val="auto"/>
              </w:rPr>
            </w:pPr>
          </w:p>
        </w:tc>
        <w:tc>
          <w:tcPr>
            <w:tcW w:w="860" w:type="dxa"/>
            <w:vAlign w:val="bottom"/>
          </w:tcPr>
          <w:p>
            <w:pPr>
              <w:ind w:left="160"/>
              <w:spacing w:after="0"/>
              <w:rPr>
                <w:sz w:val="20"/>
                <w:szCs w:val="20"/>
                <w:color w:val="auto"/>
              </w:rPr>
            </w:pPr>
            <w:r>
              <w:rPr>
                <w:rFonts w:ascii="Arial" w:cs="Arial" w:eastAsia="Arial" w:hAnsi="Arial"/>
                <w:sz w:val="14"/>
                <w:szCs w:val="14"/>
                <w:color w:val="auto"/>
              </w:rPr>
              <w:t>1,749,382</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300" w:hanging="332"/>
        <w:spacing w:after="0" w:line="258"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Long-term debt amounts do not include deferred financing costs or discounts or premiums on debt. Estimated interest payments on variable rate debt are calculated by utilizing the applicable rates as of December 31, 2021.</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 Requirements</w:t>
      </w:r>
    </w:p>
    <w:p>
      <w:pPr>
        <w:spacing w:after="0" w:line="268" w:lineRule="exact"/>
        <w:rPr>
          <w:sz w:val="20"/>
          <w:szCs w:val="20"/>
          <w:color w:val="auto"/>
        </w:rPr>
      </w:pPr>
    </w:p>
    <w:p>
      <w:pPr>
        <w:ind w:right="6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The Revolving Credit Facility and Wyoming Electric’s financing agreements contain covenant requirements. We were in compliance with these covenants as of December 31, 2021. See additional information in </w:t>
      </w:r>
      <w:hyperlink w:anchor="page88">
        <w:r>
          <w:rPr>
            <w:rFonts w:ascii="Arial" w:cs="Arial" w:eastAsia="Arial" w:hAnsi="Arial"/>
            <w:sz w:val="16"/>
            <w:szCs w:val="16"/>
            <w:u w:val="single" w:color="auto"/>
            <w:color w:val="0000FF"/>
          </w:rPr>
          <w:t>Note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Shelf Registration</w:t>
      </w:r>
    </w:p>
    <w:p>
      <w:pPr>
        <w:spacing w:after="0" w:line="26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We have a shelf registration statement on file with the SEC under which we may issue, from time to time, senior debt securities, subordinated debt securities, common stock, preferred stock, warrants and other securities. Although the shelf registration statement does not limit our issuance capacity, our ability to issue securities is limited to the authority granted by our Board of Directors, certain covenants in our financing arrangements and restrictions imposed by federal and state regulatory authorities. The shelf registration expires in August 2023. Our articles of incorporation authorize the issuance of 100 million shares of common stock and 25 million shares of preferred stock. As of December 31, 2021, we had approximately 65 million shares of common stock outstanding and no shares of preferred stock outstanding.</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ATM</w:t>
      </w:r>
    </w:p>
    <w:p>
      <w:pPr>
        <w:spacing w:after="0" w:line="26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ATM allows us to sell shares of our common stock with an aggregate value of up to $400 million. The shares may be offered from time to time pursuant to a sales agreement dated August 4, 2020. Shares of common stock are offered pursuant to our shelf registration statement filed with the SEC. During the twelve months ended December 31, 2021, we issued a total of 1,812,197 shares of common stock under the ATM for $119 million, net of $1.1 million in issuance costs.</w:t>
      </w:r>
    </w:p>
    <w:p>
      <w:pPr>
        <w:spacing w:after="0" w:line="22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For additional information regarding equity, see </w:t>
      </w:r>
      <w:hyperlink w:anchor="page88">
        <w:r>
          <w:rPr>
            <w:rFonts w:ascii="Arial" w:cs="Arial" w:eastAsia="Arial" w:hAnsi="Arial"/>
            <w:sz w:val="16"/>
            <w:szCs w:val="16"/>
            <w:u w:val="single" w:color="auto"/>
            <w:color w:val="0000FF"/>
          </w:rPr>
          <w:t>Note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26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will continue to assess debt and equity needs to support our capital investment plans and other key strategic objectives. In 2022, we expect to fund our capital plan and strategic objectives by using cash generated from operating activities, our Revolving Credit Facility and CP Program, and issuing $100 million to $120 million of common stock under the ATM.</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268"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Financing for operational needs and capital expenditure requirements, not satisfied by operating cash flows, depends upon the cost and availability of external funds through both short and long-term financing. In order to operate and grow our business, we need to consistently maintain the ability to raise capital on favorable terms.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credit ratings of the Company, management believes that the Company will have access to the capital markets at prevailing market rates for companies with comparable credit ratings. We note that credit ratings are not recommendations to buy, sell, or hold securities and may be subject to revision or withdrawal at any time by the assigning rating agency. Each rating should be evaluated independently of any other rating.</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outlook and risk profile of BHC at December 31,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580" w:type="dxa"/>
            <w:vAlign w:val="bottom"/>
            <w:tcBorders>
              <w:bottom w:val="single" w:sz="8" w:color="auto"/>
            </w:tcBorders>
          </w:tcPr>
          <w:p>
            <w:pPr>
              <w:ind w:left="1360"/>
              <w:spacing w:after="0"/>
              <w:rPr>
                <w:sz w:val="20"/>
                <w:szCs w:val="20"/>
                <w:color w:val="auto"/>
              </w:rPr>
            </w:pPr>
            <w:r>
              <w:rPr>
                <w:rFonts w:ascii="Arial" w:cs="Arial" w:eastAsia="Arial" w:hAnsi="Arial"/>
                <w:sz w:val="16"/>
                <w:szCs w:val="16"/>
                <w:color w:val="auto"/>
              </w:rPr>
              <w:t>Rating Agency</w:t>
            </w:r>
          </w:p>
        </w:tc>
        <w:tc>
          <w:tcPr>
            <w:tcW w:w="4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Senior Unsecured Rating</w:t>
            </w:r>
          </w:p>
        </w:tc>
        <w:tc>
          <w:tcPr>
            <w:tcW w:w="34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rPr>
              <w:t>Outlook</w:t>
            </w:r>
          </w:p>
        </w:tc>
      </w:tr>
      <w:tr>
        <w:trPr>
          <w:trHeight w:val="213"/>
        </w:trPr>
        <w:tc>
          <w:tcPr>
            <w:tcW w:w="3580" w:type="dxa"/>
            <w:vAlign w:val="bottom"/>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4240" w:type="dxa"/>
            <w:vAlign w:val="bottom"/>
            <w:shd w:val="clear" w:color="auto" w:fill="CEFFE7"/>
          </w:tcPr>
          <w:p>
            <w:pPr>
              <w:jc w:val="center"/>
              <w:ind w:right="59"/>
              <w:spacing w:after="0"/>
              <w:rPr>
                <w:sz w:val="20"/>
                <w:szCs w:val="20"/>
                <w:color w:val="auto"/>
              </w:rPr>
            </w:pPr>
            <w:r>
              <w:rPr>
                <w:rFonts w:ascii="Arial" w:cs="Arial" w:eastAsia="Arial" w:hAnsi="Arial"/>
                <w:sz w:val="16"/>
                <w:szCs w:val="16"/>
                <w:color w:val="auto"/>
              </w:rPr>
              <w:t>BBB+</w:t>
            </w:r>
          </w:p>
        </w:tc>
        <w:tc>
          <w:tcPr>
            <w:tcW w:w="3420" w:type="dxa"/>
            <w:vAlign w:val="bottom"/>
            <w:shd w:val="clear" w:color="auto" w:fill="CEFFE7"/>
          </w:tcPr>
          <w:p>
            <w:pPr>
              <w:jc w:val="center"/>
              <w:ind w:right="239"/>
              <w:spacing w:after="0"/>
              <w:rPr>
                <w:sz w:val="20"/>
                <w:szCs w:val="20"/>
                <w:color w:val="auto"/>
              </w:rPr>
            </w:pPr>
            <w:r>
              <w:rPr>
                <w:rFonts w:ascii="Arial" w:cs="Arial" w:eastAsia="Arial" w:hAnsi="Arial"/>
                <w:sz w:val="16"/>
                <w:szCs w:val="16"/>
                <w:color w:val="auto"/>
              </w:rPr>
              <w:t>Stable</w:t>
            </w: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4240" w:type="dxa"/>
            <w:vAlign w:val="bottom"/>
          </w:tcPr>
          <w:p>
            <w:pPr>
              <w:jc w:val="center"/>
              <w:ind w:right="59"/>
              <w:spacing w:after="0"/>
              <w:rPr>
                <w:sz w:val="20"/>
                <w:szCs w:val="20"/>
                <w:color w:val="auto"/>
              </w:rPr>
            </w:pPr>
            <w:r>
              <w:rPr>
                <w:rFonts w:ascii="Arial" w:cs="Arial" w:eastAsia="Arial" w:hAnsi="Arial"/>
                <w:sz w:val="16"/>
                <w:szCs w:val="16"/>
                <w:color w:val="auto"/>
              </w:rPr>
              <w:t>Baa2</w:t>
            </w:r>
          </w:p>
        </w:tc>
        <w:tc>
          <w:tcPr>
            <w:tcW w:w="3420" w:type="dxa"/>
            <w:vAlign w:val="bottom"/>
          </w:tcPr>
          <w:p>
            <w:pPr>
              <w:jc w:val="center"/>
              <w:ind w:right="239"/>
              <w:spacing w:after="0"/>
              <w:rPr>
                <w:sz w:val="20"/>
                <w:szCs w:val="20"/>
                <w:color w:val="auto"/>
              </w:rPr>
            </w:pPr>
            <w:r>
              <w:rPr>
                <w:rFonts w:ascii="Arial" w:cs="Arial" w:eastAsia="Arial" w:hAnsi="Arial"/>
                <w:sz w:val="16"/>
                <w:szCs w:val="16"/>
                <w:color w:val="auto"/>
              </w:rPr>
              <w:t>Stable</w:t>
            </w:r>
          </w:p>
        </w:tc>
      </w:tr>
      <w:tr>
        <w:trPr>
          <w:trHeight w:val="216"/>
        </w:trPr>
        <w:tc>
          <w:tcPr>
            <w:tcW w:w="358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4240" w:type="dxa"/>
            <w:vAlign w:val="bottom"/>
            <w:shd w:val="clear" w:color="auto" w:fill="CEFFE7"/>
          </w:tcPr>
          <w:p>
            <w:pPr>
              <w:jc w:val="center"/>
              <w:ind w:right="59"/>
              <w:spacing w:after="0"/>
              <w:rPr>
                <w:sz w:val="20"/>
                <w:szCs w:val="20"/>
                <w:color w:val="auto"/>
              </w:rPr>
            </w:pPr>
            <w:r>
              <w:rPr>
                <w:rFonts w:ascii="Arial" w:cs="Arial" w:eastAsia="Arial" w:hAnsi="Arial"/>
                <w:sz w:val="16"/>
                <w:szCs w:val="16"/>
                <w:color w:val="auto"/>
              </w:rPr>
              <w:t>BBB+</w:t>
            </w:r>
          </w:p>
        </w:tc>
        <w:tc>
          <w:tcPr>
            <w:tcW w:w="3420" w:type="dxa"/>
            <w:vAlign w:val="bottom"/>
            <w:shd w:val="clear" w:color="auto" w:fill="CEFFE7"/>
          </w:tcPr>
          <w:p>
            <w:pPr>
              <w:jc w:val="center"/>
              <w:ind w:right="239"/>
              <w:spacing w:after="0"/>
              <w:rPr>
                <w:sz w:val="20"/>
                <w:szCs w:val="20"/>
                <w:color w:val="auto"/>
              </w:rPr>
            </w:pPr>
            <w:r>
              <w:rPr>
                <w:rFonts w:ascii="Arial" w:cs="Arial" w:eastAsia="Arial" w:hAnsi="Arial"/>
                <w:sz w:val="16"/>
                <w:szCs w:val="16"/>
                <w:color w:val="auto"/>
              </w:rPr>
              <w:t>Stable</w:t>
            </w:r>
          </w:p>
        </w:tc>
      </w:tr>
      <w:tr>
        <w:trPr>
          <w:trHeight w:val="248"/>
        </w:trPr>
        <w:tc>
          <w:tcPr>
            <w:tcW w:w="3580" w:type="dxa"/>
            <w:vAlign w:val="bottom"/>
          </w:tcPr>
          <w:p>
            <w:pPr>
              <w:spacing w:after="0"/>
              <w:rPr>
                <w:sz w:val="20"/>
                <w:szCs w:val="20"/>
                <w:color w:val="auto"/>
              </w:rPr>
            </w:pPr>
            <w:r>
              <w:rPr>
                <w:rFonts w:ascii="Arial" w:cs="Arial" w:eastAsia="Arial" w:hAnsi="Arial"/>
                <w:sz w:val="14"/>
                <w:szCs w:val="14"/>
                <w:color w:val="auto"/>
              </w:rPr>
              <w:t>____________________</w:t>
            </w:r>
          </w:p>
        </w:tc>
        <w:tc>
          <w:tcPr>
            <w:tcW w:w="4240" w:type="dxa"/>
            <w:vAlign w:val="bottom"/>
          </w:tcPr>
          <w:p>
            <w:pPr>
              <w:spacing w:after="0"/>
              <w:rPr>
                <w:sz w:val="21"/>
                <w:szCs w:val="21"/>
                <w:color w:val="auto"/>
              </w:rPr>
            </w:pPr>
          </w:p>
        </w:tc>
        <w:tc>
          <w:tcPr>
            <w:tcW w:w="3420" w:type="dxa"/>
            <w:vAlign w:val="bottom"/>
          </w:tcPr>
          <w:p>
            <w:pPr>
              <w:spacing w:after="0"/>
              <w:rPr>
                <w:sz w:val="21"/>
                <w:szCs w:val="21"/>
                <w:color w:val="auto"/>
              </w:rPr>
            </w:pPr>
          </w:p>
        </w:tc>
      </w:tr>
    </w:tbl>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October 20, 2021, S&amp;P reported BBB+ rating and maintained a Stable outlook.</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December 20, 2021, Moody’s reported Baa2 rating and maintained a Stable outlook.</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September 17, 2021, Fitch reported BBB+ rating and maintained a Stable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Certain fees and interest rates under our Revolving Credit Facility are based on our credit ratings at all three rating agencies. If all of our ratings are at the same level, or if two of our ratings are the same level and one differs, these fees and interest rates will be based on the ratings that are at the same level. If all of our ratings are at different levels, these fees and interest rates will be based on the middle level. Currently, our Fitch and S&amp;P ratings are at the same level, and our Moody’s rating is one level below. Therefore, if Fitch or S&amp;P downgrades our senior unsecured debt, we will be required to pay higher fees and interest rates under our Revolving Credit Facility.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gridSpan w:val="2"/>
          </w:tcPr>
          <w:p>
            <w:pPr>
              <w:spacing w:after="0"/>
              <w:rPr>
                <w:sz w:val="20"/>
                <w:szCs w:val="20"/>
                <w:color w:val="auto"/>
              </w:rPr>
            </w:pPr>
            <w:r>
              <w:rPr>
                <w:rFonts w:ascii="Arial" w:cs="Arial" w:eastAsia="Arial" w:hAnsi="Arial"/>
                <w:sz w:val="16"/>
                <w:szCs w:val="16"/>
                <w:color w:val="auto"/>
              </w:rPr>
              <w:t>The following table represents the credit ratings of South Dakota Electric at December 31, 2021:</w:t>
            </w:r>
          </w:p>
        </w:tc>
        <w:tc>
          <w:tcPr>
            <w:tcW w:w="3980" w:type="dxa"/>
            <w:vAlign w:val="bottom"/>
          </w:tcPr>
          <w:p>
            <w:pPr>
              <w:spacing w:after="0"/>
              <w:rPr>
                <w:sz w:val="16"/>
                <w:szCs w:val="16"/>
                <w:color w:val="auto"/>
              </w:rPr>
            </w:pPr>
          </w:p>
        </w:tc>
      </w:tr>
      <w:tr>
        <w:trPr>
          <w:trHeight w:val="327"/>
        </w:trPr>
        <w:tc>
          <w:tcPr>
            <w:tcW w:w="40" w:type="dxa"/>
            <w:vAlign w:val="bottom"/>
          </w:tcPr>
          <w:p>
            <w:pPr>
              <w:spacing w:after="0"/>
              <w:rPr>
                <w:sz w:val="24"/>
                <w:szCs w:val="24"/>
                <w:color w:val="auto"/>
              </w:rPr>
            </w:pPr>
          </w:p>
        </w:tc>
        <w:tc>
          <w:tcPr>
            <w:tcW w:w="7200" w:type="dxa"/>
            <w:vAlign w:val="bottom"/>
            <w:tcBorders>
              <w:bottom w:val="single" w:sz="8" w:color="auto"/>
            </w:tcBorders>
          </w:tcPr>
          <w:p>
            <w:pPr>
              <w:ind w:left="2260"/>
              <w:spacing w:after="0"/>
              <w:rPr>
                <w:sz w:val="20"/>
                <w:szCs w:val="20"/>
                <w:color w:val="auto"/>
              </w:rPr>
            </w:pPr>
            <w:r>
              <w:rPr>
                <w:rFonts w:ascii="Arial" w:cs="Arial" w:eastAsia="Arial" w:hAnsi="Arial"/>
                <w:sz w:val="16"/>
                <w:szCs w:val="16"/>
                <w:color w:val="auto"/>
              </w:rPr>
              <w:t>Rating Agency</w:t>
            </w:r>
          </w:p>
        </w:tc>
        <w:tc>
          <w:tcPr>
            <w:tcW w:w="3980" w:type="dxa"/>
            <w:vAlign w:val="bottom"/>
            <w:tcBorders>
              <w:bottom w:val="single" w:sz="8" w:color="auto"/>
            </w:tcBorders>
          </w:tcPr>
          <w:p>
            <w:pPr>
              <w:jc w:val="center"/>
              <w:ind w:right="1539"/>
              <w:spacing w:after="0"/>
              <w:rPr>
                <w:sz w:val="20"/>
                <w:szCs w:val="20"/>
                <w:color w:val="auto"/>
              </w:rPr>
            </w:pPr>
            <w:r>
              <w:rPr>
                <w:rFonts w:ascii="Arial" w:cs="Arial" w:eastAsia="Arial" w:hAnsi="Arial"/>
                <w:sz w:val="16"/>
                <w:szCs w:val="16"/>
                <w:color w:val="auto"/>
              </w:rPr>
              <w:t>Senior Secured Rating</w:t>
            </w:r>
          </w:p>
        </w:tc>
      </w:tr>
      <w:tr>
        <w:trPr>
          <w:trHeight w:val="213"/>
        </w:trPr>
        <w:tc>
          <w:tcPr>
            <w:tcW w:w="40" w:type="dxa"/>
            <w:vAlign w:val="bottom"/>
          </w:tcPr>
          <w:p>
            <w:pPr>
              <w:spacing w:after="0"/>
              <w:rPr>
                <w:sz w:val="18"/>
                <w:szCs w:val="18"/>
                <w:color w:val="auto"/>
              </w:rPr>
            </w:pPr>
          </w:p>
        </w:tc>
        <w:tc>
          <w:tcPr>
            <w:tcW w:w="7200" w:type="dxa"/>
            <w:vAlign w:val="bottom"/>
            <w:shd w:val="clear" w:color="auto" w:fill="CEFFE7"/>
          </w:tcPr>
          <w:p>
            <w:pPr>
              <w:spacing w:after="0" w:line="213"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3980" w:type="dxa"/>
            <w:vAlign w:val="bottom"/>
            <w:shd w:val="clear" w:color="auto" w:fill="CEFFE7"/>
          </w:tcPr>
          <w:p>
            <w:pPr>
              <w:jc w:val="center"/>
              <w:ind w:right="1539"/>
              <w:spacing w:after="0"/>
              <w:rPr>
                <w:sz w:val="20"/>
                <w:szCs w:val="20"/>
                <w:color w:val="auto"/>
              </w:rPr>
            </w:pPr>
            <w:r>
              <w:rPr>
                <w:rFonts w:ascii="Arial" w:cs="Arial" w:eastAsia="Arial" w:hAnsi="Arial"/>
                <w:sz w:val="16"/>
                <w:szCs w:val="16"/>
                <w:color w:val="auto"/>
              </w:rPr>
              <w:t>A</w:t>
            </w:r>
          </w:p>
        </w:tc>
      </w:tr>
      <w:tr>
        <w:trPr>
          <w:trHeight w:val="268"/>
        </w:trPr>
        <w:tc>
          <w:tcPr>
            <w:tcW w:w="40" w:type="dxa"/>
            <w:vAlign w:val="bottom"/>
          </w:tcPr>
          <w:p>
            <w:pPr>
              <w:spacing w:after="0"/>
              <w:rPr>
                <w:sz w:val="23"/>
                <w:szCs w:val="23"/>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(b)</w:t>
            </w:r>
          </w:p>
        </w:tc>
        <w:tc>
          <w:tcPr>
            <w:tcW w:w="3980" w:type="dxa"/>
            <w:vAlign w:val="bottom"/>
          </w:tcPr>
          <w:p>
            <w:pPr>
              <w:jc w:val="center"/>
              <w:ind w:right="1539"/>
              <w:spacing w:after="0"/>
              <w:rPr>
                <w:sz w:val="20"/>
                <w:szCs w:val="20"/>
                <w:color w:val="auto"/>
              </w:rPr>
            </w:pPr>
            <w:r>
              <w:rPr>
                <w:rFonts w:ascii="Arial" w:cs="Arial" w:eastAsia="Arial" w:hAnsi="Arial"/>
                <w:sz w:val="16"/>
                <w:szCs w:val="16"/>
                <w:color w:val="auto"/>
              </w:rPr>
              <w:t>A</w:t>
            </w:r>
          </w:p>
        </w:tc>
      </w:tr>
      <w:tr>
        <w:trPr>
          <w:trHeight w:val="196"/>
        </w:trPr>
        <w:tc>
          <w:tcPr>
            <w:tcW w:w="7240" w:type="dxa"/>
            <w:vAlign w:val="bottom"/>
            <w:gridSpan w:val="2"/>
          </w:tcPr>
          <w:p>
            <w:pPr>
              <w:spacing w:after="0"/>
              <w:rPr>
                <w:sz w:val="20"/>
                <w:szCs w:val="20"/>
                <w:color w:val="auto"/>
              </w:rPr>
            </w:pPr>
            <w:r>
              <w:rPr>
                <w:rFonts w:ascii="Arial" w:cs="Arial" w:eastAsia="Arial" w:hAnsi="Arial"/>
                <w:sz w:val="14"/>
                <w:szCs w:val="14"/>
                <w:color w:val="auto"/>
              </w:rPr>
              <w:t>____________________</w:t>
            </w:r>
          </w:p>
        </w:tc>
        <w:tc>
          <w:tcPr>
            <w:tcW w:w="3980" w:type="dxa"/>
            <w:vAlign w:val="bottom"/>
          </w:tcPr>
          <w:p>
            <w:pPr>
              <w:spacing w:after="0"/>
              <w:rPr>
                <w:sz w:val="17"/>
                <w:szCs w:val="17"/>
                <w:color w:val="auto"/>
              </w:rPr>
            </w:pPr>
          </w:p>
        </w:tc>
      </w:tr>
      <w:tr>
        <w:trPr>
          <w:trHeight w:val="162"/>
        </w:trPr>
        <w:tc>
          <w:tcPr>
            <w:tcW w:w="7240" w:type="dxa"/>
            <w:vAlign w:val="bottom"/>
            <w:gridSpan w:val="2"/>
          </w:tcPr>
          <w:p>
            <w:pPr>
              <w:spacing w:after="0"/>
              <w:rPr>
                <w:sz w:val="20"/>
                <w:szCs w:val="20"/>
                <w:color w:val="auto"/>
              </w:rPr>
            </w:pPr>
            <w:r>
              <w:rPr>
                <w:rFonts w:ascii="Arial" w:cs="Arial" w:eastAsia="Arial" w:hAnsi="Arial"/>
                <w:sz w:val="14"/>
                <w:szCs w:val="14"/>
                <w:color w:val="auto"/>
              </w:rPr>
              <w:t>(a)  On July 1, 2021, S&amp;P reported A rating.</w:t>
            </w:r>
          </w:p>
        </w:tc>
        <w:tc>
          <w:tcPr>
            <w:tcW w:w="3980" w:type="dxa"/>
            <w:vAlign w:val="bottom"/>
          </w:tcPr>
          <w:p>
            <w:pPr>
              <w:spacing w:after="0"/>
              <w:rPr>
                <w:sz w:val="14"/>
                <w:szCs w:val="14"/>
                <w:color w:val="auto"/>
              </w:rPr>
            </w:pPr>
          </w:p>
        </w:tc>
      </w:tr>
      <w:tr>
        <w:trPr>
          <w:trHeight w:val="172"/>
        </w:trPr>
        <w:tc>
          <w:tcPr>
            <w:tcW w:w="7240" w:type="dxa"/>
            <w:vAlign w:val="bottom"/>
            <w:gridSpan w:val="2"/>
          </w:tcPr>
          <w:p>
            <w:pPr>
              <w:spacing w:after="0"/>
              <w:rPr>
                <w:sz w:val="20"/>
                <w:szCs w:val="20"/>
                <w:color w:val="auto"/>
              </w:rPr>
            </w:pPr>
            <w:r>
              <w:rPr>
                <w:rFonts w:ascii="Arial" w:cs="Arial" w:eastAsia="Arial" w:hAnsi="Arial"/>
                <w:sz w:val="14"/>
                <w:szCs w:val="14"/>
                <w:color w:val="auto"/>
              </w:rPr>
              <w:t>(b)  On September 17, 2021, Fitch reported A rating.</w:t>
            </w:r>
          </w:p>
        </w:tc>
        <w:tc>
          <w:tcPr>
            <w:tcW w:w="3980" w:type="dxa"/>
            <w:vAlign w:val="bottom"/>
          </w:tcPr>
          <w:p>
            <w:pPr>
              <w:spacing w:after="0"/>
              <w:rPr>
                <w:sz w:val="14"/>
                <w:szCs w:val="14"/>
                <w:color w:val="auto"/>
              </w:rPr>
            </w:pPr>
          </w:p>
        </w:tc>
      </w:tr>
    </w:tbl>
    <w:p>
      <w:pPr>
        <w:spacing w:after="0" w:line="23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do not have any trigger events (i.e., an acceleration of repayment of outstanding indebtedness, an increase in interest costs, or the posting of additional cash collateral) tied to our stock price and have not executed any transactions that require us to issue equity based on our credit ratings.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REQUIREMENTS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Expenditures</w:t>
      </w:r>
    </w:p>
    <w:p>
      <w:pPr>
        <w:spacing w:after="0" w:line="268" w:lineRule="exact"/>
        <w:rPr>
          <w:sz w:val="20"/>
          <w:szCs w:val="20"/>
          <w:color w:val="auto"/>
        </w:rPr>
      </w:pPr>
    </w:p>
    <w:p>
      <w:pPr>
        <w:ind w:right="10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Capital expenditures are a substantial portion of our cash requirements each year and we continue to forecast a robust capital expenditure program during the next five years. See above in </w:t>
      </w:r>
      <w:hyperlink w:anchor="page30">
        <w:r>
          <w:rPr>
            <w:rFonts w:ascii="Arial" w:cs="Arial" w:eastAsia="Arial" w:hAnsi="Arial"/>
            <w:sz w:val="16"/>
            <w:szCs w:val="16"/>
            <w:u w:val="single" w:color="auto"/>
            <w:color w:val="0000FF"/>
          </w:rPr>
          <w:t>Key Elements of our Business Strategy</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forecasted capital expenditure requirements. A significant portion of our capital expenditures are for safety, reliability and integrity of our system and is included in utility rate base and eligible for recovery from our utility customers with regulatory approval. Those capital expenditures also earn a rate of return authorized by the commissions in the jurisdictions in which we operate.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capital expenditures for the three years ended December 31 were as follows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2020</w:t>
            </w: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r>
      <w:tr>
        <w:trPr>
          <w:trHeight w:val="202"/>
        </w:trPr>
        <w:tc>
          <w:tcPr>
            <w:tcW w:w="5860" w:type="dxa"/>
            <w:vAlign w:val="bottom"/>
          </w:tcPr>
          <w:p>
            <w:pPr>
              <w:spacing w:after="0" w:line="202" w:lineRule="exact"/>
              <w:rPr>
                <w:sz w:val="20"/>
                <w:szCs w:val="20"/>
                <w:color w:val="auto"/>
              </w:rPr>
            </w:pPr>
            <w:r>
              <w:rPr>
                <w:rFonts w:ascii="Arial" w:cs="Arial" w:eastAsia="Arial" w:hAnsi="Arial"/>
                <w:sz w:val="16"/>
                <w:szCs w:val="16"/>
                <w:color w:val="auto"/>
              </w:rPr>
              <w:t xml:space="preserve">Capital Expenditures By Segment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5860" w:type="dxa"/>
            <w:vAlign w:val="bottom"/>
            <w:shd w:val="clear" w:color="auto" w:fill="CEFFE7"/>
          </w:tcPr>
          <w:p>
            <w:pPr>
              <w:ind w:left="340"/>
              <w:spacing w:after="0"/>
              <w:rPr>
                <w:sz w:val="20"/>
                <w:szCs w:val="20"/>
                <w:color w:val="auto"/>
              </w:rPr>
            </w:pPr>
            <w:r>
              <w:rPr>
                <w:rFonts w:ascii="Arial" w:cs="Arial" w:eastAsia="Arial" w:hAnsi="Arial"/>
                <w:sz w:val="16"/>
                <w:szCs w:val="16"/>
                <w:color w:val="auto"/>
              </w:rPr>
              <w:t>Electric Utilities</w:t>
            </w: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285,770</w:t>
            </w:r>
          </w:p>
        </w:tc>
        <w:tc>
          <w:tcPr>
            <w:tcW w:w="360" w:type="dxa"/>
            <w:vAlign w:val="bottom"/>
            <w:shd w:val="clear" w:color="auto" w:fill="CEFFE7"/>
          </w:tcPr>
          <w:p>
            <w:pPr>
              <w:spacing w:after="0"/>
              <w:rPr>
                <w:sz w:val="18"/>
                <w:szCs w:val="18"/>
                <w:color w:val="auto"/>
              </w:rPr>
            </w:pP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288,683</w:t>
            </w:r>
          </w:p>
        </w:tc>
        <w:tc>
          <w:tcPr>
            <w:tcW w:w="340" w:type="dxa"/>
            <w:vAlign w:val="bottom"/>
            <w:shd w:val="clear" w:color="auto" w:fill="CEFFE7"/>
          </w:tcPr>
          <w:p>
            <w:pPr>
              <w:spacing w:after="0"/>
              <w:rPr>
                <w:sz w:val="18"/>
                <w:szCs w:val="18"/>
                <w:color w:val="auto"/>
              </w:rPr>
            </w:pP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316,687</w:t>
            </w:r>
          </w:p>
        </w:tc>
      </w:tr>
      <w:tr>
        <w:trPr>
          <w:trHeight w:val="213"/>
        </w:trPr>
        <w:tc>
          <w:tcPr>
            <w:tcW w:w="5860" w:type="dxa"/>
            <w:vAlign w:val="bottom"/>
          </w:tcPr>
          <w:p>
            <w:pPr>
              <w:ind w:left="340"/>
              <w:spacing w:after="0"/>
              <w:rPr>
                <w:sz w:val="20"/>
                <w:szCs w:val="20"/>
                <w:color w:val="auto"/>
              </w:rPr>
            </w:pPr>
            <w:r>
              <w:rPr>
                <w:rFonts w:ascii="Arial" w:cs="Arial" w:eastAsia="Arial" w:hAnsi="Arial"/>
                <w:sz w:val="16"/>
                <w:szCs w:val="16"/>
                <w:color w:val="auto"/>
              </w:rPr>
              <w:t>Gas Utilities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383,320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449,209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512,366</w:t>
            </w:r>
          </w:p>
        </w:tc>
      </w:tr>
      <w:tr>
        <w:trPr>
          <w:trHeight w:val="216"/>
        </w:trPr>
        <w:tc>
          <w:tcPr>
            <w:tcW w:w="5860" w:type="dxa"/>
            <w:vAlign w:val="bottom"/>
            <w:shd w:val="clear" w:color="auto" w:fill="CEFFE7"/>
          </w:tcPr>
          <w:p>
            <w:pPr>
              <w:ind w:left="340"/>
              <w:spacing w:after="0"/>
              <w:rPr>
                <w:sz w:val="20"/>
                <w:szCs w:val="20"/>
                <w:color w:val="auto"/>
              </w:rPr>
            </w:pPr>
            <w:r>
              <w:rPr>
                <w:rFonts w:ascii="Arial" w:cs="Arial" w:eastAsia="Arial" w:hAnsi="Arial"/>
                <w:sz w:val="16"/>
                <w:szCs w:val="16"/>
                <w:color w:val="auto"/>
              </w:rPr>
              <w:t>Corporate and Other</w:t>
            </w:r>
          </w:p>
        </w:tc>
        <w:tc>
          <w:tcPr>
            <w:tcW w:w="34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10,500</w:t>
            </w:r>
          </w:p>
        </w:tc>
        <w:tc>
          <w:tcPr>
            <w:tcW w:w="360" w:type="dxa"/>
            <w:vAlign w:val="bottom"/>
            <w:shd w:val="clear" w:color="auto" w:fill="CEFFE7"/>
          </w:tcPr>
          <w:p>
            <w:pPr>
              <w:spacing w:after="0"/>
              <w:rPr>
                <w:sz w:val="18"/>
                <w:szCs w:val="18"/>
                <w:color w:val="auto"/>
              </w:rPr>
            </w:pPr>
          </w:p>
        </w:tc>
        <w:tc>
          <w:tcPr>
            <w:tcW w:w="34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17,500</w:t>
            </w:r>
          </w:p>
        </w:tc>
        <w:tc>
          <w:tcPr>
            <w:tcW w:w="340" w:type="dxa"/>
            <w:vAlign w:val="bottom"/>
            <w:shd w:val="clear" w:color="auto" w:fill="CEFFE7"/>
          </w:tcPr>
          <w:p>
            <w:pPr>
              <w:spacing w:after="0"/>
              <w:rPr>
                <w:sz w:val="18"/>
                <w:szCs w:val="18"/>
                <w:color w:val="auto"/>
              </w:rPr>
            </w:pPr>
          </w:p>
        </w:tc>
        <w:tc>
          <w:tcPr>
            <w:tcW w:w="34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20,702</w:t>
            </w:r>
          </w:p>
        </w:tc>
      </w:tr>
      <w:tr>
        <w:trPr>
          <w:trHeight w:val="213"/>
        </w:trPr>
        <w:tc>
          <w:tcPr>
            <w:tcW w:w="5860" w:type="dxa"/>
            <w:vAlign w:val="bottom"/>
          </w:tcPr>
          <w:p>
            <w:pPr>
              <w:spacing w:after="0"/>
              <w:rPr>
                <w:sz w:val="20"/>
                <w:szCs w:val="20"/>
                <w:color w:val="auto"/>
              </w:rPr>
            </w:pPr>
            <w:r>
              <w:rPr>
                <w:rFonts w:ascii="Arial" w:cs="Arial" w:eastAsia="Arial" w:hAnsi="Arial"/>
                <w:sz w:val="16"/>
                <w:szCs w:val="16"/>
                <w:color w:val="auto"/>
              </w:rPr>
              <w:t>Total capital expenditures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679,590</w:t>
            </w:r>
          </w:p>
        </w:tc>
        <w:tc>
          <w:tcPr>
            <w:tcW w:w="3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755,392</w:t>
            </w:r>
          </w:p>
        </w:tc>
        <w:tc>
          <w:tcPr>
            <w:tcW w:w="3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849,755</w:t>
            </w:r>
          </w:p>
        </w:tc>
      </w:tr>
      <w:tr>
        <w:trPr>
          <w:trHeight w:val="20"/>
        </w:trPr>
        <w:tc>
          <w:tcPr>
            <w:tcW w:w="5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40" w:hanging="332"/>
        <w:spacing w:after="0" w:line="258" w:lineRule="auto"/>
        <w:tabs>
          <w:tab w:leader="none" w:pos="352"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as supplemental cash flow information in the </w:t>
      </w:r>
      <w:hyperlink w:anchor="page63">
        <w:r>
          <w:rPr>
            <w:rFonts w:ascii="Arial" w:cs="Arial" w:eastAsia="Arial" w:hAnsi="Arial"/>
            <w:sz w:val="14"/>
            <w:szCs w:val="14"/>
            <w:u w:val="single" w:color="auto"/>
            <w:color w:val="0000FF"/>
          </w:rPr>
          <w:t>Consolidated Statements of Cash Flows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in the Consolidated Financial Statements in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Repayments of Indebtedness</w:t>
      </w:r>
    </w:p>
    <w:p>
      <w:pPr>
        <w:spacing w:after="0" w:line="268" w:lineRule="exact"/>
        <w:rPr>
          <w:sz w:val="20"/>
          <w:szCs w:val="20"/>
          <w:color w:val="auto"/>
        </w:rPr>
      </w:pPr>
    </w:p>
    <w:p>
      <w:pPr>
        <w:ind w:right="340"/>
        <w:spacing w:after="0" w:line="260" w:lineRule="auto"/>
        <w:rPr>
          <w:rFonts w:ascii="Arial" w:cs="Arial" w:eastAsia="Arial" w:hAnsi="Arial"/>
          <w:sz w:val="16"/>
          <w:szCs w:val="16"/>
          <w:color w:val="0000FF"/>
        </w:rPr>
      </w:pPr>
      <w:r>
        <w:rPr>
          <w:rFonts w:ascii="Arial" w:cs="Arial" w:eastAsia="Arial" w:hAnsi="Arial"/>
          <w:sz w:val="16"/>
          <w:szCs w:val="16"/>
          <w:color w:val="auto"/>
        </w:rPr>
        <w:t xml:space="preserve">For information relating to repayments of our short- and long-term debt and associated interest payments, see the </w:t>
      </w:r>
      <w:hyperlink w:anchor="page47">
        <w:r>
          <w:rPr>
            <w:rFonts w:ascii="Arial" w:cs="Arial" w:eastAsia="Arial" w:hAnsi="Arial"/>
            <w:sz w:val="16"/>
            <w:szCs w:val="16"/>
            <w:u w:val="single" w:color="auto"/>
            <w:color w:val="0000FF"/>
          </w:rPr>
          <w:t>Capital Resources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section above and </w:t>
      </w:r>
      <w:hyperlink w:anchor="page88">
        <w:r>
          <w:rPr>
            <w:rFonts w:ascii="Arial" w:cs="Arial" w:eastAsia="Arial" w:hAnsi="Arial"/>
            <w:sz w:val="16"/>
            <w:szCs w:val="16"/>
            <w:u w:val="single" w:color="auto"/>
            <w:color w:val="0000FF"/>
          </w:rPr>
          <w:t>Note 8</w:t>
        </w:r>
        <w:r>
          <w:rPr>
            <w:rFonts w:ascii="Arial" w:cs="Arial" w:eastAsia="Arial" w:hAnsi="Arial"/>
            <w:sz w:val="16"/>
            <w:szCs w:val="16"/>
            <w:color w:val="0000FF"/>
          </w:rPr>
          <w:t xml:space="preserve"> </w:t>
        </w:r>
      </w:hyperlink>
      <w:r>
        <w:rPr>
          <w:rFonts w:ascii="Arial" w:cs="Arial" w:eastAsia="Arial" w:hAnsi="Arial"/>
          <w:sz w:val="16"/>
          <w:szCs w:val="16"/>
          <w:color w:val="000000"/>
        </w:rPr>
        <w:t>of</w:t>
      </w:r>
      <w:r>
        <w:rPr>
          <w:rFonts w:ascii="Arial" w:cs="Arial" w:eastAsia="Arial" w:hAnsi="Arial"/>
          <w:sz w:val="16"/>
          <w:szCs w:val="16"/>
          <w:color w:val="0000FF"/>
        </w:rPr>
        <w:t xml:space="preserve"> </w:t>
      </w:r>
      <w:r>
        <w:rPr>
          <w:rFonts w:ascii="Arial" w:cs="Arial" w:eastAsia="Arial" w:hAnsi="Arial"/>
          <w:sz w:val="16"/>
          <w:szCs w:val="16"/>
          <w:color w:val="000000"/>
        </w:rPr>
        <w:t>the Notes to Consolidated Financial Statements in this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Unconditional Purchase Obligations</w:t>
      </w:r>
    </w:p>
    <w:p>
      <w:pPr>
        <w:spacing w:after="0" w:line="268" w:lineRule="exact"/>
        <w:rPr>
          <w:sz w:val="20"/>
          <w:szCs w:val="20"/>
          <w:color w:val="auto"/>
        </w:rPr>
      </w:pPr>
    </w:p>
    <w:p>
      <w:pPr>
        <w:ind w:right="8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We have unconditional purchase obligations which include the energy and capacity costs associated with our PPAs, transmission services agreements, and natural gas capacity, transportation and storage agreements. Additionally, our Gas Utilities have commitments to purchase physical quantities of natural gas under contracts indexed to various forward natural gas price curves. For additional information. see </w:t>
      </w:r>
      <w:hyperlink w:anchor="page79">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Pension Plan</w:t>
      </w:r>
    </w:p>
    <w:p>
      <w:pPr>
        <w:spacing w:after="0" w:line="268" w:lineRule="exact"/>
        <w:rPr>
          <w:sz w:val="20"/>
          <w:szCs w:val="20"/>
          <w:color w:val="auto"/>
        </w:rPr>
      </w:pPr>
    </w:p>
    <w:p>
      <w:pPr>
        <w:ind w:right="26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We have one defined benefit pension plan, the Black Hills Retirement Plan (Pension Plan). The unfunded status of the Pension Plan is defined as the amount the projected benefit obligation exceeds the plan assets. The unfunded status of the plan is $20 million as of December 31, 2021, compared to $40 million as of December 31, 2020. While we do not have required contributions, we expect to make $3.9 million in contributions to our Pension Plan in 2022. See further information in </w:t>
      </w:r>
      <w:hyperlink w:anchor="page98">
        <w:r>
          <w:rPr>
            <w:rFonts w:ascii="Arial" w:cs="Arial" w:eastAsia="Arial" w:hAnsi="Arial"/>
            <w:sz w:val="16"/>
            <w:szCs w:val="16"/>
            <w:u w:val="single" w:color="auto"/>
            <w:color w:val="0000FF"/>
          </w:rPr>
          <w:t>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0" w:name="page51"/>
    <w:bookmarkEnd w:id="5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Dividends</w:t>
      </w:r>
    </w:p>
    <w:p>
      <w:pPr>
        <w:spacing w:after="0" w:line="26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Future cash dividends, if any, will be dependent on our results of operations, financial position, cash flows, reinvestment opportunities and other factors, and will be evaluated and approved by our Board of Directors.</w:t>
      </w:r>
    </w:p>
    <w:p>
      <w:pPr>
        <w:spacing w:after="0" w:line="222" w:lineRule="exact"/>
        <w:rPr>
          <w:sz w:val="20"/>
          <w:szCs w:val="20"/>
          <w:color w:val="auto"/>
        </w:rPr>
      </w:pPr>
    </w:p>
    <w:p>
      <w:pPr>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Additionally, there are certain statutory limitations that could affect future cash dividends paid. Federal law places limits on the ability of public utilities within a holding company structure to declare dividends. Specifically, under the Federal Power Act, a public utility may not pay dividends from any funds properly included in a capital account. The utility subsidiaries’ dividends may be limited directly or indirectly by state regulatory commissions or bond indenture covenants. See additional information in </w:t>
      </w:r>
      <w:hyperlink w:anchor="page88">
        <w:r>
          <w:rPr>
            <w:rFonts w:ascii="Arial" w:cs="Arial" w:eastAsia="Arial" w:hAnsi="Arial"/>
            <w:sz w:val="16"/>
            <w:szCs w:val="16"/>
            <w:u w:val="single" w:color="auto"/>
            <w:color w:val="0000FF"/>
          </w:rPr>
          <w:t>Note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January 26, 2022, our Board of Directors declared a quarterly dividend of $0.595 per share, equivalent to an annual dividend rate of $2.38 per share. The table below provides our dividends paid (in thousands), dividend payout ratio and dividends paid per share for the three years ended December 31: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80" w:type="dxa"/>
            <w:vAlign w:val="bottom"/>
            <w:tcBorders>
              <w:bottom w:val="single" w:sz="8" w:color="CEFEE7"/>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2020</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2019</w:t>
            </w:r>
          </w:p>
        </w:tc>
      </w:tr>
      <w:tr>
        <w:trPr>
          <w:trHeight w:val="213"/>
        </w:trPr>
        <w:tc>
          <w:tcPr>
            <w:tcW w:w="5980" w:type="dxa"/>
            <w:vAlign w:val="bottom"/>
            <w:shd w:val="clear" w:color="auto" w:fill="CEFEE7"/>
          </w:tcPr>
          <w:p>
            <w:pPr>
              <w:ind w:left="20"/>
              <w:spacing w:after="0"/>
              <w:rPr>
                <w:sz w:val="20"/>
                <w:szCs w:val="20"/>
                <w:color w:val="auto"/>
              </w:rPr>
            </w:pPr>
            <w:r>
              <w:rPr>
                <w:rFonts w:ascii="Arial" w:cs="Arial" w:eastAsia="Arial" w:hAnsi="Arial"/>
                <w:sz w:val="16"/>
                <w:szCs w:val="16"/>
                <w:color w:val="auto"/>
              </w:rPr>
              <w:t>Common Stock Dividends Paid</w:t>
            </w:r>
          </w:p>
        </w:tc>
        <w:tc>
          <w:tcPr>
            <w:tcW w:w="440" w:type="dxa"/>
            <w:vAlign w:val="bottom"/>
            <w:shd w:val="clear" w:color="auto" w:fill="CEFEE7"/>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EE7"/>
          </w:tcPr>
          <w:p>
            <w:pPr>
              <w:jc w:val="right"/>
              <w:ind w:right="119"/>
              <w:spacing w:after="0"/>
              <w:rPr>
                <w:sz w:val="20"/>
                <w:szCs w:val="20"/>
                <w:color w:val="auto"/>
              </w:rPr>
            </w:pPr>
            <w:r>
              <w:rPr>
                <w:rFonts w:ascii="Arial" w:cs="Arial" w:eastAsia="Arial" w:hAnsi="Arial"/>
                <w:sz w:val="16"/>
                <w:szCs w:val="16"/>
                <w:color w:val="auto"/>
              </w:rPr>
              <w:t>145,023</w:t>
            </w:r>
          </w:p>
        </w:tc>
        <w:tc>
          <w:tcPr>
            <w:tcW w:w="380" w:type="dxa"/>
            <w:vAlign w:val="bottom"/>
            <w:shd w:val="clear" w:color="auto" w:fill="CEFEE7"/>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EFEE7"/>
          </w:tcPr>
          <w:p>
            <w:pPr>
              <w:jc w:val="right"/>
              <w:ind w:right="119"/>
              <w:spacing w:after="0"/>
              <w:rPr>
                <w:sz w:val="20"/>
                <w:szCs w:val="20"/>
                <w:color w:val="auto"/>
              </w:rPr>
            </w:pPr>
            <w:r>
              <w:rPr>
                <w:rFonts w:ascii="Arial" w:cs="Arial" w:eastAsia="Arial" w:hAnsi="Arial"/>
                <w:sz w:val="16"/>
                <w:szCs w:val="16"/>
                <w:color w:val="auto"/>
              </w:rPr>
              <w:t>135,439</w:t>
            </w:r>
          </w:p>
        </w:tc>
        <w:tc>
          <w:tcPr>
            <w:tcW w:w="380" w:type="dxa"/>
            <w:vAlign w:val="bottom"/>
            <w:shd w:val="clear" w:color="auto" w:fill="CEFEE7"/>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EFEE7"/>
          </w:tcPr>
          <w:p>
            <w:pPr>
              <w:jc w:val="right"/>
              <w:ind w:right="119"/>
              <w:spacing w:after="0"/>
              <w:rPr>
                <w:sz w:val="20"/>
                <w:szCs w:val="20"/>
                <w:color w:val="auto"/>
              </w:rPr>
            </w:pPr>
            <w:r>
              <w:rPr>
                <w:rFonts w:ascii="Arial" w:cs="Arial" w:eastAsia="Arial" w:hAnsi="Arial"/>
                <w:sz w:val="16"/>
                <w:szCs w:val="16"/>
                <w:color w:val="auto"/>
              </w:rPr>
              <w:t>124,647</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Dividend Payout Ratio</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63 %</w:t>
            </w:r>
          </w:p>
        </w:tc>
      </w:tr>
      <w:tr>
        <w:trPr>
          <w:trHeight w:val="219"/>
        </w:trPr>
        <w:tc>
          <w:tcPr>
            <w:tcW w:w="5980" w:type="dxa"/>
            <w:vAlign w:val="bottom"/>
            <w:shd w:val="clear" w:color="auto" w:fill="CEFEE7"/>
          </w:tcPr>
          <w:p>
            <w:pPr>
              <w:ind w:left="20"/>
              <w:spacing w:after="0"/>
              <w:rPr>
                <w:sz w:val="20"/>
                <w:szCs w:val="20"/>
                <w:color w:val="auto"/>
              </w:rPr>
            </w:pPr>
            <w:r>
              <w:rPr>
                <w:rFonts w:ascii="Arial" w:cs="Arial" w:eastAsia="Arial" w:hAnsi="Arial"/>
                <w:sz w:val="16"/>
                <w:szCs w:val="16"/>
                <w:color w:val="auto"/>
              </w:rPr>
              <w:t>Dividends Per Share</w:t>
            </w:r>
          </w:p>
        </w:tc>
        <w:tc>
          <w:tcPr>
            <w:tcW w:w="440" w:type="dxa"/>
            <w:vAlign w:val="bottom"/>
            <w:shd w:val="clear" w:color="auto" w:fill="CEFEE7"/>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EE7"/>
          </w:tcPr>
          <w:p>
            <w:pPr>
              <w:jc w:val="right"/>
              <w:ind w:right="119"/>
              <w:spacing w:after="0"/>
              <w:rPr>
                <w:sz w:val="20"/>
                <w:szCs w:val="20"/>
                <w:color w:val="auto"/>
              </w:rPr>
            </w:pPr>
            <w:r>
              <w:rPr>
                <w:rFonts w:ascii="Arial" w:cs="Arial" w:eastAsia="Arial" w:hAnsi="Arial"/>
                <w:sz w:val="16"/>
                <w:szCs w:val="16"/>
                <w:color w:val="auto"/>
              </w:rPr>
              <w:t>2.29</w:t>
            </w:r>
          </w:p>
        </w:tc>
        <w:tc>
          <w:tcPr>
            <w:tcW w:w="380" w:type="dxa"/>
            <w:vAlign w:val="bottom"/>
            <w:shd w:val="clear" w:color="auto" w:fill="CEFEE7"/>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EFEE7"/>
          </w:tcPr>
          <w:p>
            <w:pPr>
              <w:jc w:val="right"/>
              <w:ind w:right="119"/>
              <w:spacing w:after="0"/>
              <w:rPr>
                <w:sz w:val="20"/>
                <w:szCs w:val="20"/>
                <w:color w:val="auto"/>
              </w:rPr>
            </w:pPr>
            <w:r>
              <w:rPr>
                <w:rFonts w:ascii="Arial" w:cs="Arial" w:eastAsia="Arial" w:hAnsi="Arial"/>
                <w:sz w:val="16"/>
                <w:szCs w:val="16"/>
                <w:color w:val="auto"/>
              </w:rPr>
              <w:t>2.17</w:t>
            </w:r>
          </w:p>
        </w:tc>
        <w:tc>
          <w:tcPr>
            <w:tcW w:w="380" w:type="dxa"/>
            <w:vAlign w:val="bottom"/>
            <w:shd w:val="clear" w:color="auto" w:fill="CEFEE7"/>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EFEE7"/>
          </w:tcPr>
          <w:p>
            <w:pPr>
              <w:jc w:val="right"/>
              <w:ind w:right="119"/>
              <w:spacing w:after="0"/>
              <w:rPr>
                <w:sz w:val="20"/>
                <w:szCs w:val="20"/>
                <w:color w:val="auto"/>
              </w:rPr>
            </w:pPr>
            <w:r>
              <w:rPr>
                <w:rFonts w:ascii="Arial" w:cs="Arial" w:eastAsia="Arial" w:hAnsi="Arial"/>
                <w:sz w:val="16"/>
                <w:szCs w:val="16"/>
                <w:color w:val="auto"/>
              </w:rPr>
              <w:t>2.05</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Our three-year compound annualized dividend growth rate was 5.9%.</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Collateral Requirements</w:t>
      </w:r>
    </w:p>
    <w:p>
      <w:pPr>
        <w:spacing w:after="0" w:line="26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December 31, 2021, we had sufficient liquidity to cover collateral that could be required to be posted under these contracts. The cash collateral we were required to post at December 31, 2021 was not material.</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268" w:lineRule="exact"/>
        <w:rPr>
          <w:sz w:val="20"/>
          <w:szCs w:val="20"/>
          <w:color w:val="auto"/>
        </w:rPr>
      </w:pPr>
    </w:p>
    <w:p>
      <w:pPr>
        <w:ind w:right="10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We provide various guarantees, which represent off-balance sheet commitments, supporting certain of our subsidiaries under specified agreements or transactions. For more information on these guarantees, see </w:t>
      </w:r>
      <w:hyperlink w:anchor="page79">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26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prepare our consolidated financial statements in conformity with GAAP. In many cases, the accounting treatment of a particular transaction is specifically dictated by GAAP and does not require management’s judgment in application. There are also areas which require management’s judgment in selecting among available GAAP alternatives. We are required to make certain estimates, judgments and assumptions that we believe are reasonable based upon the information available. We continue to closely monitor the impacts of COVID-19 and Winter Storm Uri on our critical accounting estimates including, but not limited to, collectibility of customer receivables, recoverability of regulatory assets, impairment risk of goodwill and long-lived assets, valuation of pension assets and liabilities and contingent liabilities. These estimates and assumptions affect the reported amounts of assets and liabilities at the date of the financial statements and the reported amounts of revenues and expenses during the periods presented. Actual results may differ from our estimates and to the extent there are material differences between these estimates, judgments or assumptions and actual results, our financial statements will be affected. We believe the following accounting estimates are the most critical in understanding and evaluating our reported financial results. We have reviewed these critical accounting estimates and related disclosures with our Audit Committee.</w:t>
      </w:r>
    </w:p>
    <w:p>
      <w:pPr>
        <w:spacing w:after="0" w:line="232" w:lineRule="exact"/>
        <w:rPr>
          <w:sz w:val="20"/>
          <w:szCs w:val="20"/>
          <w:color w:val="auto"/>
        </w:rPr>
      </w:pPr>
    </w:p>
    <w:p>
      <w:pPr>
        <w:ind w:right="320"/>
        <w:spacing w:after="0" w:line="260" w:lineRule="auto"/>
        <w:rPr>
          <w:rFonts w:ascii="Arial" w:cs="Arial" w:eastAsia="Arial" w:hAnsi="Arial"/>
          <w:sz w:val="16"/>
          <w:szCs w:val="16"/>
          <w:color w:val="0000FF"/>
        </w:rPr>
      </w:pPr>
      <w:hyperlink w:anchor="page66">
        <w:r>
          <w:rPr>
            <w:rFonts w:ascii="Arial" w:cs="Arial" w:eastAsia="Arial" w:hAnsi="Arial"/>
            <w:sz w:val="16"/>
            <w:szCs w:val="16"/>
            <w:color w:val="auto"/>
          </w:rPr>
          <w:t xml:space="preserve">The following discussion of our critical accounting estimates should be read in conjunction with </w:t>
        </w:r>
        <w:r>
          <w:rPr>
            <w:rFonts w:ascii="Arial" w:cs="Arial" w:eastAsia="Arial" w:hAnsi="Arial"/>
            <w:sz w:val="16"/>
            <w:szCs w:val="16"/>
            <w:u w:val="single" w:color="auto"/>
            <w:color w:val="0000FF"/>
          </w:rPr>
          <w:t>Note 1</w:t>
        </w:r>
        <w:r>
          <w:rPr>
            <w:rFonts w:ascii="Arial" w:cs="Arial" w:eastAsia="Arial" w:hAnsi="Arial"/>
            <w:sz w:val="16"/>
            <w:szCs w:val="16"/>
            <w:color w:val="auto"/>
          </w:rPr>
          <w:t>, “</w:t>
        </w:r>
        <w:r>
          <w:rPr>
            <w:rFonts w:ascii="Arial" w:cs="Arial" w:eastAsia="Arial" w:hAnsi="Arial"/>
            <w:sz w:val="16"/>
            <w:szCs w:val="16"/>
            <w:u w:val="single" w:color="auto"/>
            <w:color w:val="0000FF"/>
          </w:rPr>
          <w:t>Business Description and Significant Accounting</w:t>
        </w:r>
      </w:hyperlink>
      <w:r>
        <w:rPr>
          <w:rFonts w:ascii="Arial" w:cs="Arial" w:eastAsia="Arial" w:hAnsi="Arial"/>
          <w:sz w:val="16"/>
          <w:szCs w:val="16"/>
          <w:color w:val="auto"/>
        </w:rPr>
        <w:t xml:space="preserve"> </w:t>
      </w:r>
      <w:hyperlink w:anchor="page66">
        <w:r>
          <w:rPr>
            <w:rFonts w:ascii="Arial" w:cs="Arial" w:eastAsia="Arial" w:hAnsi="Arial"/>
            <w:sz w:val="16"/>
            <w:szCs w:val="16"/>
            <w:u w:val="single" w:color="auto"/>
            <w:color w:val="0000FF"/>
          </w:rPr>
          <w:t>Policies</w:t>
        </w:r>
        <w:r>
          <w:rPr>
            <w:rFonts w:ascii="Arial" w:cs="Arial" w:eastAsia="Arial" w:hAnsi="Arial"/>
            <w:sz w:val="16"/>
            <w:szCs w:val="16"/>
            <w:color w:val="000000"/>
          </w:rPr>
          <w:t>” of the Notes to Consolidated Financial Statements in this Annual Report on Form 10-K.</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w:t>
      </w:r>
    </w:p>
    <w:p>
      <w:pPr>
        <w:spacing w:after="0" w:line="26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regulated Electric and Gas Utilities are subject to cost-of-service regulation and earnings oversight from federal and state utility commissions. This regulatory treatment does not provide any assurance as to achievement of desired earnings levels. Our retail electric and gas utility rates are regulated on a state-by-state basis by the relevant state regulatory commissions based on an analysis of our costs, as reviewed and approved in a regulatory proceeding. The rates that we are allowed to charge may or may not match our related costs and allowed return on invested capital at any given time.</w:t>
      </w:r>
    </w:p>
    <w:p>
      <w:pPr>
        <w:spacing w:after="0" w:line="22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Management continually assesses the probability of future recoveries associated with regulatory assets and future obligations associated with regulatory liabilities. Factors such as the current regulatory environment, recently issued rate orders and historical precedents are considered. As a result, we believe that the accounting prescribed under rate-based regulation remains appropriate and our regulatory assets are probable of recovery in current rates or in future rate proceedings.</w:t>
      </w:r>
    </w:p>
    <w:p>
      <w:pPr>
        <w:spacing w:after="0" w:line="229"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To some degree, each of our Electric and Gas Utilities are permitted to recover certain costs (such as increased fuel and purchased power costs) outside of a base rate review. To the extent we are able to pass through such costs to our customers, and a state regulatory commission subsequently determines that such costs should not have been paid by the customers, we may be required to refund such costs.</w:t>
      </w:r>
    </w:p>
    <w:p>
      <w:pPr>
        <w:spacing w:after="0" w:line="228" w:lineRule="exact"/>
        <w:rPr>
          <w:sz w:val="20"/>
          <w:szCs w:val="20"/>
          <w:color w:val="auto"/>
        </w:rPr>
      </w:pPr>
    </w:p>
    <w:p>
      <w:pPr>
        <w:ind w:right="46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As of December 31, 2021 and 2020, we had total regulatory assets of $797 million and $278 million, respectively, and total regulatory liabilities of $503 million and $533 million, respectively. See </w:t>
      </w:r>
      <w:hyperlink w:anchor="page74">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 for further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26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perform a goodwill impairment test on an annual basis or upon the occurrence of events or changes in circumstances that indicate that the asset might be impaired. Our annual goodwill impairment testing date is as of October 1, which aligns with our financial planning process.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Accounting standards for testing goodwill for impairment require the application of either a qualitative or quantitative assessment to analyze whether or not goodwill has been impaired. Goodwill is tested for impairment at the reporting unit level. Under either the qualitative or quantitative assessment, the estimated fair value of a reporting unit is compared with its carrying amount, including goodwill. If the carrying amount exceeds fair value, then an impairment loss would be recognized in an amount equal to that excess, limited to the amount of goodwill allocated to that reporting unit.</w:t>
      </w:r>
    </w:p>
    <w:p>
      <w:pPr>
        <w:spacing w:after="0" w:line="22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Application of the goodwill impairment test requires judgment, including the identification of reporting units and determining the fair value of the reporting unit. We have determined that the reporting units for goodwill impairment testing are our operating segments, or components of an operating segment, that constitute a business for which discrete financial information is available and for which the Chief Operating Decision Maker (CODM) regularly reviews the operating results. We estimate the fair value of our reporting units using a combination of an income approach, which estimates fair value based on discounted future cash flows, and a market approach, which estimates fair value based on market comparables within the utility and energy industries. These valuations require significant judgments, including, but not limited to: 1) estimates of future cash flows, based on our internal five-year business plans and adjusted as appropriate for our view of market participant assumptions, with long range cash flows estimated using a terminal value calculation; 2) estimates of long-term growth rates for our businesses; 3) the determination of an appropriate weighted-average cost of capital or discount rate; and 4) the utilization of market information such as recent sales transactions for comparable assets within the utility and energy industries. Varying by reporting unit, weighted average cost of capital in the range of 4.9% to 5.1% and long-term growth rate projections of 1.75% were utilized in the goodwill impairment test performed as of October 1, 2021. Although 1.75% was used for a long-term growth rate projection, the short-term projected growth rate is higher with planned recovery of capital investments through rider mechanisms and rate reviews. Under the market approach, we estimate fair value using multiples derived from comparable sales transactions and enterprise value to EBITDA for comparative peer companies for each respective reporting unit. These multiples are applied to operating data for each reporting unit to arrive at an indication of fair value. In addition, we add a reasonable control premium when calculating fair value utilizing the peer multiples, which is estimated as the premium that would be received in a sale in an orderly transaction between market participants.</w:t>
      </w:r>
    </w:p>
    <w:p>
      <w:pPr>
        <w:spacing w:after="0" w:line="200" w:lineRule="exact"/>
        <w:rPr>
          <w:sz w:val="20"/>
          <w:szCs w:val="20"/>
          <w:color w:val="auto"/>
        </w:rPr>
      </w:pPr>
    </w:p>
    <w:p>
      <w:pPr>
        <w:spacing w:after="0" w:line="22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 estimates and assumptions used in the impairment assessments are based on available market information and we believe they are reasonable. However, variations in any of the assumptions could result in materially different calculations of fair value and determinations of whether or not an impairment is indicated. For the years ended December 31, 2021, 2020, and 2019, there were no impairment losses recorded. At December 31, 2021, the fair value substantially exceeded the carrying value at all reporting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and Other Postretirement Benefits</w:t>
      </w:r>
    </w:p>
    <w:p>
      <w:pPr>
        <w:spacing w:after="0" w:line="268" w:lineRule="exact"/>
        <w:rPr>
          <w:sz w:val="20"/>
          <w:szCs w:val="20"/>
          <w:color w:val="auto"/>
        </w:rPr>
      </w:pPr>
    </w:p>
    <w:p>
      <w:pPr>
        <w:jc w:val="both"/>
        <w:ind w:right="16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As described in </w:t>
      </w:r>
      <w:hyperlink w:anchor="page98">
        <w:r>
          <w:rPr>
            <w:rFonts w:ascii="Arial" w:cs="Arial" w:eastAsia="Arial" w:hAnsi="Arial"/>
            <w:sz w:val="16"/>
            <w:szCs w:val="16"/>
            <w:u w:val="single" w:color="auto"/>
            <w:color w:val="0000FF"/>
          </w:rPr>
          <w:t>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 we have one defined benefit pension plan, one defined post-retirement healthcare plan and several non-qualified retirement plans. A Master Trust holds the assets for the pension plan. A VEBA trust for the funded portion of the post-retirement healthcare plan has also been established.</w:t>
      </w:r>
    </w:p>
    <w:p>
      <w:pPr>
        <w:spacing w:after="0" w:line="22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Accounting for pension and other postretirement benefit obligations involves numerous assumptions, the most significant of which relate to the discount rates, healthcare cost trend rates, expected return on plan assets, compensation increases, retirement rates and mortality rates. The determination of our obligation and expenses for pension and other postretirement benefits is dependent on the assumptions determined by management and used by actuaries in calculating the amounts. Although we believe our assumptions are appropriate, significant differences in our actual experience or significant changes in our assumptions may materially affect our pension and other postretirement obligations and our future expense.</w:t>
      </w:r>
    </w:p>
    <w:p>
      <w:pPr>
        <w:spacing w:after="0" w:line="230"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2022 pension benefit cost for our non-contributory funded pension plan is expected to be $2.2 million compared to $0.8 million in 2021. The increase in the expected 2022 pension benefit cost is driven primarily by lower expected asset returns and a higher discount rate.</w:t>
      </w:r>
    </w:p>
    <w:p>
      <w:pPr>
        <w:spacing w:after="0" w:line="222"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The effect of hypothetical changes to selected assumptions on the pension and other postretirement benefit plans would be as follows in thousands of dollars:</w:t>
      </w:r>
    </w:p>
    <w:p>
      <w:pPr>
        <w:spacing w:after="0" w:line="114" w:lineRule="exact"/>
        <w:rPr>
          <w:sz w:val="20"/>
          <w:szCs w:val="20"/>
          <w:color w:val="auto"/>
        </w:rPr>
      </w:pPr>
    </w:p>
    <w:p>
      <w:pPr>
        <w:ind w:left="8640"/>
        <w:spacing w:after="0"/>
        <w:rPr>
          <w:sz w:val="20"/>
          <w:szCs w:val="20"/>
          <w:color w:val="auto"/>
        </w:rPr>
      </w:pPr>
      <w:r>
        <w:rPr>
          <w:rFonts w:ascii="Arial" w:cs="Arial" w:eastAsia="Arial" w:hAnsi="Arial"/>
          <w:sz w:val="16"/>
          <w:szCs w:val="16"/>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40" w:type="dxa"/>
            <w:vAlign w:val="bottom"/>
            <w:tcBorders>
              <w:top w:val="single" w:sz="8" w:color="auto"/>
            </w:tcBorders>
          </w:tcPr>
          <w:p>
            <w:pPr>
              <w:spacing w:after="0"/>
              <w:rPr>
                <w:sz w:val="15"/>
                <w:szCs w:val="15"/>
                <w:color w:val="auto"/>
              </w:rPr>
            </w:pPr>
          </w:p>
        </w:tc>
        <w:tc>
          <w:tcPr>
            <w:tcW w:w="322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jc w:val="center"/>
              <w:ind w:right="159"/>
              <w:spacing w:after="0" w:line="177" w:lineRule="exact"/>
              <w:rPr>
                <w:sz w:val="20"/>
                <w:szCs w:val="20"/>
                <w:color w:val="auto"/>
              </w:rPr>
            </w:pPr>
            <w:r>
              <w:rPr>
                <w:rFonts w:ascii="Arial" w:cs="Arial" w:eastAsia="Arial" w:hAnsi="Arial"/>
                <w:sz w:val="16"/>
                <w:szCs w:val="16"/>
                <w:color w:val="auto"/>
              </w:rPr>
              <w:t>2021</w:t>
            </w:r>
          </w:p>
        </w:tc>
        <w:tc>
          <w:tcPr>
            <w:tcW w:w="2080" w:type="dxa"/>
            <w:vAlign w:val="bottom"/>
            <w:tcBorders>
              <w:top w:val="single" w:sz="8" w:color="auto"/>
            </w:tcBorders>
          </w:tcPr>
          <w:p>
            <w:pPr>
              <w:jc w:val="center"/>
              <w:ind w:left="39"/>
              <w:spacing w:after="0" w:line="177" w:lineRule="exact"/>
              <w:rPr>
                <w:sz w:val="20"/>
                <w:szCs w:val="20"/>
                <w:color w:val="auto"/>
              </w:rPr>
            </w:pPr>
            <w:r>
              <w:rPr>
                <w:rFonts w:ascii="Arial" w:cs="Arial" w:eastAsia="Arial" w:hAnsi="Arial"/>
                <w:sz w:val="16"/>
                <w:szCs w:val="16"/>
                <w:color w:val="auto"/>
              </w:rPr>
              <w:t>2022</w:t>
            </w:r>
          </w:p>
        </w:tc>
      </w:tr>
      <w:tr>
        <w:trPr>
          <w:trHeight w:val="147"/>
        </w:trPr>
        <w:tc>
          <w:tcPr>
            <w:tcW w:w="39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0" w:type="dxa"/>
            <w:vAlign w:val="bottom"/>
          </w:tcPr>
          <w:p>
            <w:pPr>
              <w:jc w:val="center"/>
              <w:ind w:right="159"/>
              <w:spacing w:after="0" w:line="147" w:lineRule="exact"/>
              <w:rPr>
                <w:sz w:val="20"/>
                <w:szCs w:val="20"/>
                <w:color w:val="auto"/>
              </w:rPr>
            </w:pPr>
            <w:r>
              <w:rPr>
                <w:rFonts w:ascii="Arial" w:cs="Arial" w:eastAsia="Arial" w:hAnsi="Arial"/>
                <w:sz w:val="16"/>
                <w:szCs w:val="16"/>
                <w:color w:val="auto"/>
              </w:rPr>
              <w:t>Increase/(Decrease)</w:t>
            </w:r>
          </w:p>
        </w:tc>
        <w:tc>
          <w:tcPr>
            <w:tcW w:w="2080" w:type="dxa"/>
            <w:vAlign w:val="bottom"/>
          </w:tcPr>
          <w:p>
            <w:pPr>
              <w:ind w:left="380"/>
              <w:spacing w:after="0" w:line="147" w:lineRule="exact"/>
              <w:rPr>
                <w:sz w:val="20"/>
                <w:szCs w:val="20"/>
                <w:color w:val="auto"/>
              </w:rPr>
            </w:pPr>
            <w:r>
              <w:rPr>
                <w:rFonts w:ascii="Arial" w:cs="Arial" w:eastAsia="Arial" w:hAnsi="Arial"/>
                <w:sz w:val="16"/>
                <w:szCs w:val="16"/>
                <w:color w:val="auto"/>
              </w:rPr>
              <w:t>Increase/(Decrease)</w:t>
            </w:r>
          </w:p>
        </w:tc>
      </w:tr>
      <w:tr>
        <w:trPr>
          <w:trHeight w:val="216"/>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Assumptions</w:t>
            </w:r>
          </w:p>
        </w:tc>
        <w:tc>
          <w:tcPr>
            <w:tcW w:w="3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Percentage Change</w:t>
            </w:r>
          </w:p>
        </w:tc>
        <w:tc>
          <w:tcPr>
            <w:tcW w:w="2000" w:type="dxa"/>
            <w:vAlign w:val="bottom"/>
            <w:tcBorders>
              <w:bottom w:val="single" w:sz="8" w:color="auto"/>
            </w:tcBorders>
          </w:tcPr>
          <w:p>
            <w:pPr>
              <w:jc w:val="center"/>
              <w:ind w:right="159"/>
              <w:spacing w:after="0" w:line="216" w:lineRule="exact"/>
              <w:rPr>
                <w:sz w:val="20"/>
                <w:szCs w:val="20"/>
                <w:color w:val="auto"/>
              </w:rPr>
            </w:pPr>
            <w:r>
              <w:rPr>
                <w:rFonts w:ascii="Arial" w:cs="Arial" w:eastAsia="Arial" w:hAnsi="Arial"/>
                <w:sz w:val="16"/>
                <w:szCs w:val="16"/>
                <w:color w:val="auto"/>
                <w:w w:val="95"/>
              </w:rPr>
              <w:t xml:space="preserve">PBO/APBO </w:t>
            </w:r>
            <w:r>
              <w:rPr>
                <w:rFonts w:ascii="Arial" w:cs="Arial" w:eastAsia="Arial" w:hAnsi="Arial"/>
                <w:sz w:val="21"/>
                <w:szCs w:val="21"/>
                <w:color w:val="auto"/>
                <w:w w:val="95"/>
                <w:vertAlign w:val="superscript"/>
              </w:rPr>
              <w:t>(a)</w:t>
            </w:r>
          </w:p>
        </w:tc>
        <w:tc>
          <w:tcPr>
            <w:tcW w:w="20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Expense - Pretax</w:t>
            </w:r>
          </w:p>
        </w:tc>
      </w:tr>
      <w:tr>
        <w:trPr>
          <w:trHeight w:val="463"/>
        </w:trPr>
        <w:tc>
          <w:tcPr>
            <w:tcW w:w="3940" w:type="dxa"/>
            <w:vAlign w:val="bottom"/>
          </w:tcPr>
          <w:p>
            <w:pPr>
              <w:ind w:left="20"/>
              <w:spacing w:after="0"/>
              <w:rPr>
                <w:sz w:val="20"/>
                <w:szCs w:val="20"/>
                <w:color w:val="auto"/>
              </w:rPr>
            </w:pPr>
            <w:r>
              <w:rPr>
                <w:rFonts w:ascii="Arial" w:cs="Arial" w:eastAsia="Arial" w:hAnsi="Arial"/>
                <w:sz w:val="16"/>
                <w:szCs w:val="16"/>
                <w:color w:val="auto"/>
              </w:rPr>
              <w:t>Pension</w:t>
            </w:r>
          </w:p>
        </w:tc>
        <w:tc>
          <w:tcPr>
            <w:tcW w:w="3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19"/>
        </w:trPr>
        <w:tc>
          <w:tcPr>
            <w:tcW w:w="3940" w:type="dxa"/>
            <w:vAlign w:val="bottom"/>
            <w:shd w:val="clear" w:color="auto" w:fill="CEFFE7"/>
          </w:tcPr>
          <w:p>
            <w:pPr>
              <w:ind w:left="440"/>
              <w:spacing w:after="0" w:line="219" w:lineRule="exact"/>
              <w:rPr>
                <w:sz w:val="20"/>
                <w:szCs w:val="20"/>
                <w:color w:val="auto"/>
              </w:rPr>
            </w:pPr>
            <w:r>
              <w:rPr>
                <w:rFonts w:ascii="Arial" w:cs="Arial" w:eastAsia="Arial" w:hAnsi="Arial"/>
                <w:sz w:val="16"/>
                <w:szCs w:val="16"/>
                <w:color w:val="auto"/>
              </w:rPr>
              <w:t xml:space="preserve">Discount rate </w:t>
            </w:r>
            <w:r>
              <w:rPr>
                <w:rFonts w:ascii="Arial" w:cs="Arial" w:eastAsia="Arial" w:hAnsi="Arial"/>
                <w:sz w:val="21"/>
                <w:szCs w:val="21"/>
                <w:color w:val="auto"/>
                <w:vertAlign w:val="superscript"/>
              </w:rPr>
              <w:t>(b)</w:t>
            </w:r>
          </w:p>
        </w:tc>
        <w:tc>
          <w:tcPr>
            <w:tcW w:w="3220" w:type="dxa"/>
            <w:vAlign w:val="bottom"/>
            <w:shd w:val="clear" w:color="auto" w:fill="CEFFE7"/>
          </w:tcPr>
          <w:p>
            <w:pPr>
              <w:jc w:val="right"/>
              <w:ind w:right="539"/>
              <w:spacing w:after="0"/>
              <w:rPr>
                <w:sz w:val="20"/>
                <w:szCs w:val="20"/>
                <w:color w:val="auto"/>
              </w:rPr>
            </w:pPr>
            <w:r>
              <w:rPr>
                <w:rFonts w:ascii="Arial" w:cs="Arial" w:eastAsia="Arial" w:hAnsi="Arial"/>
                <w:sz w:val="16"/>
                <w:szCs w:val="16"/>
                <w:color w:val="auto"/>
              </w:rPr>
              <w:t>+/- 0.5</w:t>
            </w:r>
          </w:p>
        </w:tc>
        <w:tc>
          <w:tcPr>
            <w:tcW w:w="2000" w:type="dxa"/>
            <w:vAlign w:val="bottom"/>
            <w:shd w:val="clear" w:color="auto" w:fill="CEFFE7"/>
          </w:tcPr>
          <w:p>
            <w:pPr>
              <w:jc w:val="center"/>
              <w:ind w:right="159"/>
              <w:spacing w:after="0"/>
              <w:rPr>
                <w:sz w:val="20"/>
                <w:szCs w:val="20"/>
                <w:color w:val="auto"/>
              </w:rPr>
            </w:pPr>
            <w:r>
              <w:rPr>
                <w:rFonts w:ascii="Arial" w:cs="Arial" w:eastAsia="Arial" w:hAnsi="Arial"/>
                <w:sz w:val="16"/>
                <w:szCs w:val="16"/>
                <w:color w:val="auto"/>
              </w:rPr>
              <w:t>(27,101)/29,688</w:t>
            </w:r>
          </w:p>
        </w:tc>
        <w:tc>
          <w:tcPr>
            <w:tcW w:w="208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rPr>
              <w:t>(1,883)/2,389</w:t>
            </w:r>
          </w:p>
        </w:tc>
      </w:tr>
      <w:tr>
        <w:trPr>
          <w:trHeight w:val="213"/>
        </w:trPr>
        <w:tc>
          <w:tcPr>
            <w:tcW w:w="3940" w:type="dxa"/>
            <w:vAlign w:val="bottom"/>
          </w:tcPr>
          <w:p>
            <w:pPr>
              <w:ind w:left="440"/>
              <w:spacing w:after="0"/>
              <w:rPr>
                <w:sz w:val="20"/>
                <w:szCs w:val="20"/>
                <w:color w:val="auto"/>
              </w:rPr>
            </w:pPr>
            <w:r>
              <w:rPr>
                <w:rFonts w:ascii="Arial" w:cs="Arial" w:eastAsia="Arial" w:hAnsi="Arial"/>
                <w:sz w:val="16"/>
                <w:szCs w:val="16"/>
                <w:color w:val="auto"/>
              </w:rPr>
              <w:t>Expected return on assets</w:t>
            </w:r>
          </w:p>
        </w:tc>
        <w:tc>
          <w:tcPr>
            <w:tcW w:w="3220" w:type="dxa"/>
            <w:vAlign w:val="bottom"/>
          </w:tcPr>
          <w:p>
            <w:pPr>
              <w:jc w:val="right"/>
              <w:ind w:right="539"/>
              <w:spacing w:after="0"/>
              <w:rPr>
                <w:sz w:val="20"/>
                <w:szCs w:val="20"/>
                <w:color w:val="auto"/>
              </w:rPr>
            </w:pPr>
            <w:r>
              <w:rPr>
                <w:rFonts w:ascii="Arial" w:cs="Arial" w:eastAsia="Arial" w:hAnsi="Arial"/>
                <w:sz w:val="16"/>
                <w:szCs w:val="16"/>
                <w:color w:val="auto"/>
              </w:rPr>
              <w:t>+/- 0.5</w:t>
            </w:r>
          </w:p>
        </w:tc>
        <w:tc>
          <w:tcPr>
            <w:tcW w:w="2000" w:type="dxa"/>
            <w:vAlign w:val="bottom"/>
          </w:tcPr>
          <w:p>
            <w:pPr>
              <w:jc w:val="center"/>
              <w:ind w:right="159"/>
              <w:spacing w:after="0"/>
              <w:rPr>
                <w:sz w:val="20"/>
                <w:szCs w:val="20"/>
                <w:color w:val="auto"/>
              </w:rPr>
            </w:pPr>
            <w:r>
              <w:rPr>
                <w:rFonts w:ascii="Arial" w:cs="Arial" w:eastAsia="Arial" w:hAnsi="Arial"/>
                <w:sz w:val="16"/>
                <w:szCs w:val="16"/>
                <w:color w:val="auto"/>
              </w:rPr>
              <w:t>N/A</w:t>
            </w:r>
          </w:p>
        </w:tc>
        <w:tc>
          <w:tcPr>
            <w:tcW w:w="2080" w:type="dxa"/>
            <w:vAlign w:val="bottom"/>
          </w:tcPr>
          <w:p>
            <w:pPr>
              <w:jc w:val="center"/>
              <w:ind w:left="39"/>
              <w:spacing w:after="0"/>
              <w:rPr>
                <w:sz w:val="20"/>
                <w:szCs w:val="20"/>
                <w:color w:val="auto"/>
              </w:rPr>
            </w:pPr>
            <w:r>
              <w:rPr>
                <w:rFonts w:ascii="Arial" w:cs="Arial" w:eastAsia="Arial" w:hAnsi="Arial"/>
                <w:sz w:val="16"/>
                <w:szCs w:val="16"/>
                <w:color w:val="auto"/>
              </w:rPr>
              <w:t>(2,180)/2,180</w:t>
            </w:r>
          </w:p>
        </w:tc>
      </w:tr>
      <w:tr>
        <w:trPr>
          <w:trHeight w:val="273"/>
        </w:trPr>
        <w:tc>
          <w:tcPr>
            <w:tcW w:w="3940" w:type="dxa"/>
            <w:vAlign w:val="bottom"/>
            <w:shd w:val="clear" w:color="auto" w:fill="CEFFE7"/>
          </w:tcPr>
          <w:p>
            <w:pPr>
              <w:spacing w:after="0"/>
              <w:rPr>
                <w:sz w:val="23"/>
                <w:szCs w:val="23"/>
                <w:color w:val="auto"/>
              </w:rPr>
            </w:pPr>
          </w:p>
        </w:tc>
        <w:tc>
          <w:tcPr>
            <w:tcW w:w="3220" w:type="dxa"/>
            <w:vAlign w:val="bottom"/>
            <w:shd w:val="clear" w:color="auto" w:fill="CEFFE7"/>
          </w:tcPr>
          <w:p>
            <w:pPr>
              <w:spacing w:after="0"/>
              <w:rPr>
                <w:sz w:val="23"/>
                <w:szCs w:val="23"/>
                <w:color w:val="auto"/>
              </w:rPr>
            </w:pPr>
          </w:p>
        </w:tc>
        <w:tc>
          <w:tcPr>
            <w:tcW w:w="2000" w:type="dxa"/>
            <w:vAlign w:val="bottom"/>
            <w:shd w:val="clear" w:color="auto" w:fill="CEFFE7"/>
          </w:tcPr>
          <w:p>
            <w:pPr>
              <w:spacing w:after="0"/>
              <w:rPr>
                <w:sz w:val="23"/>
                <w:szCs w:val="23"/>
                <w:color w:val="auto"/>
              </w:rPr>
            </w:pPr>
          </w:p>
        </w:tc>
        <w:tc>
          <w:tcPr>
            <w:tcW w:w="2080" w:type="dxa"/>
            <w:vAlign w:val="bottom"/>
            <w:shd w:val="clear" w:color="auto" w:fill="CEFFE7"/>
          </w:tcPr>
          <w:p>
            <w:pPr>
              <w:spacing w:after="0"/>
              <w:rPr>
                <w:sz w:val="23"/>
                <w:szCs w:val="23"/>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OPEB</w:t>
            </w:r>
          </w:p>
        </w:tc>
        <w:tc>
          <w:tcPr>
            <w:tcW w:w="3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9"/>
        </w:trPr>
        <w:tc>
          <w:tcPr>
            <w:tcW w:w="3940" w:type="dxa"/>
            <w:vAlign w:val="bottom"/>
            <w:shd w:val="clear" w:color="auto" w:fill="CEFFE7"/>
          </w:tcPr>
          <w:p>
            <w:pPr>
              <w:ind w:left="440"/>
              <w:spacing w:after="0" w:line="219" w:lineRule="exact"/>
              <w:rPr>
                <w:sz w:val="20"/>
                <w:szCs w:val="20"/>
                <w:color w:val="auto"/>
              </w:rPr>
            </w:pPr>
            <w:r>
              <w:rPr>
                <w:rFonts w:ascii="Arial" w:cs="Arial" w:eastAsia="Arial" w:hAnsi="Arial"/>
                <w:sz w:val="16"/>
                <w:szCs w:val="16"/>
                <w:color w:val="auto"/>
              </w:rPr>
              <w:t xml:space="preserve">Discount rate </w:t>
            </w:r>
            <w:r>
              <w:rPr>
                <w:rFonts w:ascii="Arial" w:cs="Arial" w:eastAsia="Arial" w:hAnsi="Arial"/>
                <w:sz w:val="21"/>
                <w:szCs w:val="21"/>
                <w:color w:val="auto"/>
                <w:vertAlign w:val="superscript"/>
              </w:rPr>
              <w:t>(b)</w:t>
            </w:r>
          </w:p>
        </w:tc>
        <w:tc>
          <w:tcPr>
            <w:tcW w:w="3220" w:type="dxa"/>
            <w:vAlign w:val="bottom"/>
            <w:shd w:val="clear" w:color="auto" w:fill="CEFFE7"/>
          </w:tcPr>
          <w:p>
            <w:pPr>
              <w:jc w:val="right"/>
              <w:ind w:right="539"/>
              <w:spacing w:after="0"/>
              <w:rPr>
                <w:sz w:val="20"/>
                <w:szCs w:val="20"/>
                <w:color w:val="auto"/>
              </w:rPr>
            </w:pPr>
            <w:r>
              <w:rPr>
                <w:rFonts w:ascii="Arial" w:cs="Arial" w:eastAsia="Arial" w:hAnsi="Arial"/>
                <w:sz w:val="16"/>
                <w:szCs w:val="16"/>
                <w:color w:val="auto"/>
              </w:rPr>
              <w:t>+/- 0.5</w:t>
            </w:r>
          </w:p>
        </w:tc>
        <w:tc>
          <w:tcPr>
            <w:tcW w:w="2000" w:type="dxa"/>
            <w:vAlign w:val="bottom"/>
            <w:shd w:val="clear" w:color="auto" w:fill="CEFFE7"/>
          </w:tcPr>
          <w:p>
            <w:pPr>
              <w:jc w:val="center"/>
              <w:ind w:right="159"/>
              <w:spacing w:after="0"/>
              <w:rPr>
                <w:sz w:val="20"/>
                <w:szCs w:val="20"/>
                <w:color w:val="auto"/>
              </w:rPr>
            </w:pPr>
            <w:r>
              <w:rPr>
                <w:rFonts w:ascii="Arial" w:cs="Arial" w:eastAsia="Arial" w:hAnsi="Arial"/>
                <w:sz w:val="16"/>
                <w:szCs w:val="16"/>
                <w:color w:val="auto"/>
              </w:rPr>
              <w:t>(2,839)/3,097</w:t>
            </w:r>
          </w:p>
        </w:tc>
        <w:tc>
          <w:tcPr>
            <w:tcW w:w="208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rPr>
              <w:t>47/107</w:t>
            </w:r>
          </w:p>
        </w:tc>
      </w:tr>
      <w:tr>
        <w:trPr>
          <w:trHeight w:val="210"/>
        </w:trPr>
        <w:tc>
          <w:tcPr>
            <w:tcW w:w="3940" w:type="dxa"/>
            <w:vAlign w:val="bottom"/>
          </w:tcPr>
          <w:p>
            <w:pPr>
              <w:ind w:left="440"/>
              <w:spacing w:after="0"/>
              <w:rPr>
                <w:sz w:val="20"/>
                <w:szCs w:val="20"/>
                <w:color w:val="auto"/>
              </w:rPr>
            </w:pPr>
            <w:r>
              <w:rPr>
                <w:rFonts w:ascii="Arial" w:cs="Arial" w:eastAsia="Arial" w:hAnsi="Arial"/>
                <w:sz w:val="16"/>
                <w:szCs w:val="16"/>
                <w:color w:val="auto"/>
              </w:rPr>
              <w:t>Expected return on assets</w:t>
            </w:r>
          </w:p>
        </w:tc>
        <w:tc>
          <w:tcPr>
            <w:tcW w:w="3220" w:type="dxa"/>
            <w:vAlign w:val="bottom"/>
          </w:tcPr>
          <w:p>
            <w:pPr>
              <w:jc w:val="right"/>
              <w:ind w:right="539"/>
              <w:spacing w:after="0"/>
              <w:rPr>
                <w:sz w:val="20"/>
                <w:szCs w:val="20"/>
                <w:color w:val="auto"/>
              </w:rPr>
            </w:pPr>
            <w:r>
              <w:rPr>
                <w:rFonts w:ascii="Arial" w:cs="Arial" w:eastAsia="Arial" w:hAnsi="Arial"/>
                <w:sz w:val="16"/>
                <w:szCs w:val="16"/>
                <w:color w:val="auto"/>
              </w:rPr>
              <w:t>+/- 0.5</w:t>
            </w:r>
          </w:p>
        </w:tc>
        <w:tc>
          <w:tcPr>
            <w:tcW w:w="2000" w:type="dxa"/>
            <w:vAlign w:val="bottom"/>
          </w:tcPr>
          <w:p>
            <w:pPr>
              <w:jc w:val="center"/>
              <w:ind w:right="159"/>
              <w:spacing w:after="0"/>
              <w:rPr>
                <w:sz w:val="20"/>
                <w:szCs w:val="20"/>
                <w:color w:val="auto"/>
              </w:rPr>
            </w:pPr>
            <w:r>
              <w:rPr>
                <w:rFonts w:ascii="Arial" w:cs="Arial" w:eastAsia="Arial" w:hAnsi="Arial"/>
                <w:sz w:val="16"/>
                <w:szCs w:val="16"/>
                <w:color w:val="auto"/>
              </w:rPr>
              <w:t>N/A</w:t>
            </w:r>
          </w:p>
        </w:tc>
        <w:tc>
          <w:tcPr>
            <w:tcW w:w="2080" w:type="dxa"/>
            <w:vAlign w:val="bottom"/>
          </w:tcPr>
          <w:p>
            <w:pPr>
              <w:jc w:val="center"/>
              <w:ind w:left="39"/>
              <w:spacing w:after="0"/>
              <w:rPr>
                <w:sz w:val="20"/>
                <w:szCs w:val="20"/>
                <w:color w:val="auto"/>
              </w:rPr>
            </w:pPr>
            <w:r>
              <w:rPr>
                <w:rFonts w:ascii="Arial" w:cs="Arial" w:eastAsia="Arial" w:hAnsi="Arial"/>
                <w:sz w:val="16"/>
                <w:szCs w:val="16"/>
                <w:color w:val="auto"/>
              </w:rPr>
              <w:t>(37)/37</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Projected benefit obligation (PBO) for the pension plan and accumulated postretirement benefit obligation (APBO) for OPEB plans.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Impact on service cost, interest cost and amortization of gains or losses.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6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Company and its subsidiaries file consolidated federal income tax returns. Each entity records income taxes as if it were a separate taxpayer for both federal and state income tax purposes and consolidating adjustments are allocated to the subsidiaries based on separate company computations of taxable income or loss.</w:t>
      </w:r>
    </w:p>
    <w:p>
      <w:pPr>
        <w:spacing w:after="0" w:line="22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Company uses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229" w:lineRule="exact"/>
        <w:rPr>
          <w:sz w:val="20"/>
          <w:szCs w:val="20"/>
          <w:color w:val="auto"/>
        </w:rPr>
      </w:pPr>
    </w:p>
    <w:p>
      <w:pPr>
        <w:ind w:right="260"/>
        <w:spacing w:after="0" w:line="249"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some portion or all of the deferred tax assets will not be realized and provides any necessary valuation allowances as required. If we determine that we will be unable to realize all or part of our deferred tax assets in the future, an adjustment to the deferred tax asset would be made in the period such determination was made. These adjustments may increase or decrease earnings. Although we believe our assumptions, judgments and estimates are reasonable, changes in tax laws or our interpretations of tax laws and the resolution of current and any future tax audits could significantly impact the amounts provided for income taxes in our consolidated financial statements.</w:t>
      </w:r>
    </w:p>
    <w:p>
      <w:pPr>
        <w:spacing w:after="0" w:line="232"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107">
        <w:r>
          <w:rPr>
            <w:rFonts w:ascii="Arial" w:cs="Arial" w:eastAsia="Arial" w:hAnsi="Arial"/>
            <w:sz w:val="16"/>
            <w:szCs w:val="16"/>
            <w:u w:val="single" w:color="auto"/>
            <w:color w:val="0000FF"/>
          </w:rPr>
          <w:t>Note 15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6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Our activities in the regulated and non-regulated energy sectors expose us to a number of risks in the normal operations of our businesses. Depending on the activity, we are exposed to varying degrees of market risk and credit risk.</w:t>
      </w:r>
    </w:p>
    <w:p>
      <w:pPr>
        <w:spacing w:after="0" w:line="222"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222" w:lineRule="exact"/>
        <w:rPr>
          <w:sz w:val="20"/>
          <w:szCs w:val="20"/>
          <w:color w:val="auto"/>
        </w:rPr>
      </w:pPr>
    </w:p>
    <w:p>
      <w:pPr>
        <w:ind w:left="500" w:right="60" w:hanging="330"/>
        <w:spacing w:after="0" w:line="253" w:lineRule="auto"/>
        <w:tabs>
          <w:tab w:leader="none" w:pos="489"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Commodity price risk associated with our retail natural gas services, wholesale electric power marketing activities and fuel procurement for several of our gas-fired generation assets. Market fluctuations may occur due to unpredictable factors such as weather (Winter Storm Uri), market speculation, inflation, pipeline constraints, and other factors that may impact natural gas and electric energy supply and demand; and</w:t>
      </w:r>
    </w:p>
    <w:p>
      <w:pPr>
        <w:spacing w:after="0" w:line="228" w:lineRule="exact"/>
        <w:rPr>
          <w:rFonts w:ascii="Arial" w:cs="Arial" w:eastAsia="Arial" w:hAnsi="Arial"/>
          <w:sz w:val="16"/>
          <w:szCs w:val="16"/>
          <w:color w:val="auto"/>
        </w:rPr>
      </w:pPr>
    </w:p>
    <w:p>
      <w:pPr>
        <w:ind w:left="500" w:right="360" w:hanging="330"/>
        <w:spacing w:after="0" w:line="260" w:lineRule="auto"/>
        <w:tabs>
          <w:tab w:leader="none" w:pos="489"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 such as the 2008 financial crisis and the COVID-19 pandemic.</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associated with financial loss resulting from non-performance of contractual obligations by a counterparty.</w:t>
      </w:r>
    </w:p>
    <w:p>
      <w:pPr>
        <w:spacing w:after="0" w:line="24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To manage and mitigate these identified risks, we have adopted the Black Hills Corporation Risk Policies and Procedures. The Black Hills Corporation Risk Policies and Procedures have been approved by our Executive Risk Committee. These policies relate to numerous matters including governance, control infrastructure, authorized commodities and trading instruments, prohibited activities and employee conduct. We report any issues or concerns pertaining to the Risk Policies and Procedures to the Audit Committee of our Board of Directors. The Executive Risk Committee, which includes senior level executives, meets at least quarterly and as necessary, to review our business and credit activities and to ensure that these activities are conducted within the authorized policies.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Commodity Price Risk</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Electric and Gas Utilities</w:t>
      </w:r>
    </w:p>
    <w:p>
      <w:pPr>
        <w:spacing w:after="0" w:line="26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utilities have various provisions that allow them to pass the prudently-incurred cost of energy through to the customer. To the extent energy prices are higher or lower than amounts in our current billing rates, adjustments are made on a periodic basis to reflect billed amounts to match the actual energy cost we incurred. In Colorado, South Dakota and Wyoming, we have ECA or PCA provisions that adjust electric rates when energy costs are higher or lower than the costs included in our tariffs. In Arkansas, Colorado, Iowa, Kansas, Nebraska and Wyoming, we have GCA provisions that adjust natural gas rates when our natural gas costs are higher or lower than the energy cost included in our tariffs. These adjustments are subject to periodic prudence reviews by the state regulatory commissions.</w:t>
      </w:r>
    </w:p>
    <w:p>
      <w:pPr>
        <w:spacing w:after="0" w:line="232"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regulatory commissions, we have entered into commission-approved hedging programs utilizing natural gas futures, options, over-the-counter swaps and basis swaps to reduce our customers’ underlying exposure to these fluctuations.</w:t>
      </w:r>
    </w:p>
    <w:p>
      <w:pPr>
        <w:spacing w:after="0" w:line="229" w:lineRule="exact"/>
        <w:rPr>
          <w:sz w:val="20"/>
          <w:szCs w:val="20"/>
          <w:color w:val="auto"/>
        </w:rPr>
      </w:pPr>
    </w:p>
    <w:p>
      <w:pPr>
        <w:ind w:right="8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utility commission guidelines. When the related costs are recovered through our rates, the hedging activity is recognized in the Consolidated Statements of Income. See additional information in </w:t>
      </w:r>
      <w:hyperlink w:anchor="page92">
        <w:r>
          <w:rPr>
            <w:rFonts w:ascii="Arial" w:cs="Arial" w:eastAsia="Arial" w:hAnsi="Arial"/>
            <w:sz w:val="16"/>
            <w:szCs w:val="16"/>
            <w:u w:val="single" w:color="auto"/>
            <w:color w:val="0000FF"/>
          </w:rPr>
          <w:t>Note 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Wholesale Power</w:t>
      </w:r>
    </w:p>
    <w:p>
      <w:pPr>
        <w:spacing w:after="0" w:line="26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periodically have wholesale power purchase and sale contracts used to manage purchased power costs and load requirements associated with serving our electric customers that are considered derivative instruments and do not qualify for the normal purchase and normal sales exception for derivative accounting. Changes in the fair value of these commodity derivatives are recognized in the Consolidated Statements of Income.</w:t>
      </w:r>
    </w:p>
    <w:p>
      <w:pPr>
        <w:spacing w:after="0" w:line="22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 potential risk related to wholesale power sales is the price risk arising from the sale of power that exceeds our generating capacity. These potential short positions can arise from unplanned plant outages or from unanticipated load demands. To manage such risk, we restrict wholesale off-system sales to amounts by which our anticipated generating capabilities and purchased power resources exceed our anticipated load requirements plus a required reserve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Black Hills Energy Services</w:t>
      </w:r>
    </w:p>
    <w:p>
      <w:pPr>
        <w:spacing w:after="0" w:line="26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buy and sell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A portion of our over-the-counter swaps have been designated as cash flow hedges to mitigate the commodity price risk associated with fixed price forward contracts to supply gas to our Choice Gas Program customers. The gain or loss on these designated derivatives is reported in AOCI in the accompanying Consolidated Balance Sheets and reclassified into earnings in the same period that the underlying hedged item is recognized in earnings.</w:t>
      </w:r>
    </w:p>
    <w:p>
      <w:pPr>
        <w:spacing w:after="0" w:line="23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At December 31, 2021 and 2020, a 10% change in market prices for our derivative instruments would not materially impact pre-tax income, the fair values of our derivative assets and liabilities, or OCI.</w:t>
      </w:r>
    </w:p>
    <w:p>
      <w:pPr>
        <w:spacing w:after="0" w:line="222"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additional commodity risk and derivative information in </w:t>
      </w:r>
      <w:hyperlink w:anchor="page92">
        <w:r>
          <w:rPr>
            <w:rFonts w:ascii="Arial" w:cs="Arial" w:eastAsia="Arial" w:hAnsi="Arial"/>
            <w:sz w:val="16"/>
            <w:szCs w:val="16"/>
            <w:u w:val="single" w:color="auto"/>
            <w:color w:val="0000FF"/>
          </w:rPr>
          <w:t>Note 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68" w:lineRule="exact"/>
        <w:rPr>
          <w:sz w:val="20"/>
          <w:szCs w:val="20"/>
          <w:color w:val="auto"/>
        </w:rPr>
      </w:pPr>
    </w:p>
    <w:p>
      <w:pPr>
        <w:ind w:right="2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Periodically, we have engaged in activities to manage risks associated with changes in interest rates. We have utilized pay-fixed interest rate swap agreements to reduce exposure to interest rate fluctuations associated with floating rate debt obligations and anticipated debt refinancings. At December 31, 2021, we had no interest rate swaps in place. Further details of past swap agreements are set forth in </w:t>
      </w:r>
      <w:hyperlink w:anchor="page92">
        <w:r>
          <w:rPr>
            <w:rFonts w:ascii="Arial" w:cs="Arial" w:eastAsia="Arial" w:hAnsi="Arial"/>
            <w:sz w:val="16"/>
            <w:szCs w:val="16"/>
            <w:u w:val="single" w:color="auto"/>
            <w:color w:val="0000FF"/>
          </w:rPr>
          <w:t>Note 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29" w:lineRule="exact"/>
        <w:rPr>
          <w:sz w:val="20"/>
          <w:szCs w:val="20"/>
          <w:color w:val="auto"/>
        </w:rPr>
      </w:pPr>
    </w:p>
    <w:p>
      <w:pPr>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At December 31, 2021, 91% of our debt is fixed rate debt, which limits our exposure to variable interest rate fluctuations. A hypothetical 100 basis point increase in the benchmark rate on our variable rate debt would have increased annual pretax interest expense by approximately $2.7 million and $2.1 million for the years ended December 31, 2021 and 2020, respectively. See </w:t>
      </w:r>
      <w:hyperlink w:anchor="page88">
        <w:r>
          <w:rPr>
            <w:rFonts w:ascii="Arial" w:cs="Arial" w:eastAsia="Arial" w:hAnsi="Arial"/>
            <w:sz w:val="16"/>
            <w:szCs w:val="16"/>
            <w:u w:val="single" w:color="auto"/>
            <w:color w:val="0000FF"/>
          </w:rPr>
          <w:t>Note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information on cash amounts outstanding under short- and long-term variable rate borrowings.</w:t>
      </w:r>
    </w:p>
    <w:p>
      <w:pPr>
        <w:spacing w:after="0" w:line="229" w:lineRule="exact"/>
        <w:rPr>
          <w:sz w:val="20"/>
          <w:szCs w:val="20"/>
          <w:color w:val="auto"/>
        </w:rPr>
      </w:pPr>
    </w:p>
    <w:p>
      <w:pPr>
        <w:ind w:right="22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We are subject to interest rate risk associated with our pension and post-retirement benefit obligations. Changes in interest rates impact the liabilities associated with these benefit plans as well as the amount of income or expense recognized for these plans. Declines in the value of the plan assets could diminish the funded status of the pension plans and potentially increase the requirements to make cash contributions to these plans. See additional information in </w:t>
      </w:r>
      <w:hyperlink w:anchor="page51">
        <w:r>
          <w:rPr>
            <w:rFonts w:ascii="Arial" w:cs="Arial" w:eastAsia="Arial" w:hAnsi="Arial"/>
            <w:sz w:val="16"/>
            <w:szCs w:val="16"/>
            <w:u w:val="single" w:color="auto"/>
            <w:color w:val="0000FF"/>
          </w:rPr>
          <w:t>Critical Accounting Estimates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in </w:t>
      </w:r>
      <w:hyperlink w:anchor="page30">
        <w:r>
          <w:rPr>
            <w:rFonts w:ascii="Arial" w:cs="Arial" w:eastAsia="Arial" w:hAnsi="Arial"/>
            <w:sz w:val="16"/>
            <w:szCs w:val="16"/>
            <w:u w:val="single" w:color="auto"/>
            <w:color w:val="0000FF"/>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98">
        <w:r>
          <w:rPr>
            <w:rFonts w:ascii="Arial" w:cs="Arial" w:eastAsia="Arial" w:hAnsi="Arial"/>
            <w:sz w:val="16"/>
            <w:szCs w:val="16"/>
            <w:u w:val="single" w:color="auto"/>
            <w:color w:val="0000FF"/>
          </w:rPr>
          <w:t>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0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Credit Risk</w:t>
      </w:r>
    </w:p>
    <w:p>
      <w:pPr>
        <w:spacing w:after="0" w:line="268" w:lineRule="exact"/>
        <w:rPr>
          <w:rFonts w:ascii="Arial" w:cs="Arial" w:eastAsia="Arial" w:hAnsi="Arial"/>
          <w:sz w:val="16"/>
          <w:szCs w:val="16"/>
          <w:color w:val="auto"/>
        </w:rPr>
      </w:pPr>
    </w:p>
    <w:p>
      <w:pPr>
        <w:spacing w:after="0" w:line="251" w:lineRule="auto"/>
        <w:rPr>
          <w:sz w:val="20"/>
          <w:szCs w:val="20"/>
          <w:color w:val="auto"/>
        </w:rPr>
      </w:pPr>
      <w:r>
        <w:rPr>
          <w:rFonts w:ascii="Arial" w:cs="Arial" w:eastAsia="Arial" w:hAnsi="Arial"/>
          <w:sz w:val="16"/>
          <w:szCs w:val="16"/>
          <w:color w:val="auto"/>
        </w:rPr>
        <w:t>We have adopted the Black Hills Corporation Credit Policy that establishes guidelines, controls and limits to manage and mitigate credit risk within risk tolerances established by the Board of Directors.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229" w:lineRule="exact"/>
        <w:rPr>
          <w:rFonts w:ascii="Arial" w:cs="Arial" w:eastAsia="Arial" w:hAnsi="Arial"/>
          <w:sz w:val="16"/>
          <w:szCs w:val="16"/>
          <w:color w:val="auto"/>
        </w:rPr>
      </w:pPr>
    </w:p>
    <w:p>
      <w:pPr>
        <w:ind w:right="20"/>
        <w:spacing w:after="0" w:line="251" w:lineRule="auto"/>
        <w:rPr>
          <w:sz w:val="20"/>
          <w:szCs w:val="20"/>
          <w:color w:val="auto"/>
        </w:rPr>
      </w:pPr>
      <w:r>
        <w:rPr>
          <w:rFonts w:ascii="Arial" w:cs="Arial" w:eastAsia="Arial" w:hAnsi="Arial"/>
          <w:sz w:val="16"/>
          <w:szCs w:val="16"/>
          <w:color w:val="auto"/>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 Our credit exposure at December 31, 2021 was concentrated primarily among retail utility customers, investment grade companies, cooperative utilities and federal agencies.</w:t>
      </w:r>
    </w:p>
    <w:p>
      <w:pPr>
        <w:spacing w:after="0" w:line="2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more information in Notes </w:t>
      </w:r>
      <w:hyperlink w:anchor="page66">
        <w:r>
          <w:rPr>
            <w:rFonts w:ascii="Arial" w:cs="Arial" w:eastAsia="Arial" w:hAnsi="Arial"/>
            <w:sz w:val="16"/>
            <w:szCs w:val="16"/>
            <w:u w:val="single" w:color="auto"/>
            <w:color w:val="0000FF"/>
          </w:rPr>
          <w:t>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92">
        <w:r>
          <w:rPr>
            <w:rFonts w:ascii="Arial" w:cs="Arial" w:eastAsia="Arial" w:hAnsi="Arial"/>
            <w:sz w:val="16"/>
            <w:szCs w:val="16"/>
            <w:u w:val="single" w:color="auto"/>
            <w:color w:val="0000FF"/>
          </w:rPr>
          <w:t>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Management’s Report on Internal Control Over Financial Reporting</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are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Under the supervision and with the participation of management, including our Chief Executive Officer and Chief Financial Officer, we conducted an evaluation of the effectiveness of our internal control over financial reporting as of December 31, 2021, based on the criteria set forth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 This evaluation included review</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2021.</w:t>
      </w:r>
    </w:p>
    <w:p>
      <w:pPr>
        <w:spacing w:after="0" w:line="23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Deloitte &amp; Touche LLP, an independent registered public accounting firm, as auditors of Black Hills Corporation’s financial statements, has issued an attestation report on the effectiveness of Black Hills Corporation's internal control over financial reporting as of December 31, 2021. Deloitte &amp; Touche LLP's report on Black Hills Corporation's internal control over financial reporting is included herein.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Black Hills Corporation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Black Hills Corporation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6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have audited the accompanying consolidated balance sheets of Black Hills Corporation and subsidiaries (the "Company") as of December 31, 2021 and 2020, the related consolidated statements of income, comprehensive income, shareholders'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3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February 15, 2022, expressed an unqualified opinion on the Company's internal control over financial reporting.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6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Accounting - Impact of Rate Regulation on the Financial Statements — Refer to Notes 1 and 2 to the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26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Company is subject to cost-of-service regulation and earnings oversight by state and federal utility commissions (collectively, the “Commissions”), which have jurisdiction over the Company’s electric rates in Colorado, Montana, South Dakota and Wyoming and natural gas rates in Arkansas, Colorado, Iowa, Kansas, Nebraska and Wyoming.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 such as property, plant, and equipment; regulatory assets and liabilities; revenue; operating expenses; and income tax benefit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Rates are regulated on a state-by-state basis by the relevant state regulatory commissions based on an analysis of the costs, as reviewed and approved in a regulatory proceeding. Rate regulation is premised on the full recovery of prudently incurred costs and a reasonable rate of return on invested capital. Decisions to be made by the Commissions in the future will impact the accounting for regulated operations, including decisions about the amount of allowable costs and return on invested capital included in rates and any refunds that may be required. While the Company has indicated its regulatory assets are probable of recovery in current rates or in future proceedings, there is a risk that the Commissions will not judge all costs to have been prudently incurred or that the rate regulation process in which rates are determined will not always result in rates that produce a full recovery of costs and the return on invested capital.</w:t>
      </w:r>
    </w:p>
    <w:p>
      <w:pPr>
        <w:spacing w:after="0" w:line="23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identified the impact of rate regulation as a critical audit matter due to the significant judgments made by management to support its assertions about impacted account balances and disclosures and the high degree of subjectivity involved in assessing the impact of future regulatory orders on the financial statements. Management judgments include assessing the likelihood of (1) recovery in future rates of incurred costs, and (2) a refund or future rate reduction to be provided to customers. Given the uncertainty of future decisions by the Commissions, auditing these judgments required specialized knowledge of accounting for rate regulation and the rate setting process due to its inherent complexities.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uncertainty of future decisions by the Commissions included the following, among others:</w:t>
      </w:r>
    </w:p>
    <w:p>
      <w:pPr>
        <w:spacing w:after="0" w:line="248" w:lineRule="exact"/>
        <w:rPr>
          <w:sz w:val="20"/>
          <w:szCs w:val="20"/>
          <w:color w:val="auto"/>
        </w:rPr>
      </w:pPr>
    </w:p>
    <w:p>
      <w:pPr>
        <w:ind w:left="660" w:hanging="328"/>
        <w:spacing w:after="0" w:line="246"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tested the effectiveness of management’s controls over the evaluation of the likelihood of (1) the recovery in future rates of costs incurred as property, plant, and equipment and deferred as regulatory assets, and (2) refunds or future reductions in rates that should be reported as regulatory liabilities. We tested the effectiveness of management’s controls over the initial recognition of amounts as property, plant, and equipment; regulatory assets or liabilities; and the monitoring and evaluation of regulatory developments that may affect the likelihood of recovering costs in future rates or of a future reduction in rates.</w:t>
      </w:r>
    </w:p>
    <w:p>
      <w:pPr>
        <w:spacing w:after="0" w:line="2"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read relevant regulatory orders issued by the Commissions, procedural memorandums, filings made by the Company, and other publicly available information, as appropriate, to assess the likelihood of recovery in future rates or of a future reduction in rates based on precedence of the Commissions’ treatment of similar costs under similar circumstances. We evaluated the external information and compared it to the Company’s recorded regulatory asset and liability balances for completeness and for any evidence that might contradict management’s assertions.</w:t>
      </w:r>
    </w:p>
    <w:p>
      <w:pPr>
        <w:spacing w:after="0" w:line="1" w:lineRule="exact"/>
        <w:rPr>
          <w:rFonts w:ascii="Arial" w:cs="Arial" w:eastAsia="Arial" w:hAnsi="Arial"/>
          <w:sz w:val="16"/>
          <w:szCs w:val="16"/>
          <w:color w:val="auto"/>
        </w:rPr>
      </w:pPr>
    </w:p>
    <w:p>
      <w:pPr>
        <w:ind w:left="660" w:right="40" w:hanging="328"/>
        <w:spacing w:after="0" w:line="246"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obtained and evaluated an analysis from management regarding probability of recovery for regulatory assets or refund or future reduction in rates for regulatory liabilities not yet addressed in a regulatory order to assess management’s assertion that amounts are probable of recovery or of a future reduction in rates.</w:t>
      </w:r>
    </w:p>
    <w:p>
      <w:pPr>
        <w:spacing w:after="0" w:line="1" w:lineRule="exact"/>
        <w:rPr>
          <w:rFonts w:ascii="Arial" w:cs="Arial" w:eastAsia="Arial" w:hAnsi="Arial"/>
          <w:sz w:val="16"/>
          <w:szCs w:val="16"/>
          <w:color w:val="auto"/>
        </w:rPr>
      </w:pPr>
    </w:p>
    <w:p>
      <w:pPr>
        <w:ind w:left="660" w:right="500" w:hanging="328"/>
        <w:spacing w:after="0" w:line="246"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inspected minutes of the board of directors to identify any evidence that may contradict management’s assertions regarding probability of recovery or refunds. We also inquired of management regarding current year rate filings and new regulatory assets or liabilities.</w:t>
      </w: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evaluated the Company’s disclosures related to the impacts of rate regulation, including the balances recorded and regulatory developments.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15, 2022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Black Hills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55"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 xml:space="preserve">We have audited the internal control over financial reporting of Black Hills Corporation and subsidiaries (the “Company”)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224" w:lineRule="exact"/>
        <w:rPr>
          <w:sz w:val="20"/>
          <w:szCs w:val="20"/>
          <w:color w:val="auto"/>
        </w:rPr>
      </w:pPr>
    </w:p>
    <w:p>
      <w:pPr>
        <w:ind w:right="260"/>
        <w:spacing w:after="0" w:line="237"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2021, of the Company and our report dated February 15, 2022, expressed an unqualified opinion on those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55"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7"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59" w:lineRule="exact"/>
        <w:rPr>
          <w:sz w:val="20"/>
          <w:szCs w:val="20"/>
          <w:color w:val="auto"/>
        </w:rPr>
      </w:pPr>
    </w:p>
    <w:p>
      <w:pPr>
        <w:ind w:right="280"/>
        <w:spacing w:after="0" w:line="23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rPr>
          <w:sz w:val="20"/>
          <w:szCs w:val="20"/>
          <w:color w:val="auto"/>
        </w:rPr>
      </w:pPr>
      <w:r>
        <w:rPr>
          <w:rFonts w:ascii="Arial" w:cs="Arial" w:eastAsia="Arial" w:hAnsi="Arial"/>
          <w:sz w:val="16"/>
          <w:szCs w:val="16"/>
          <w:color w:val="auto"/>
        </w:rPr>
        <w:t>February 15, 2022</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December 31, 2021</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December 31, 2020</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December 31, 2019</w:t>
            </w:r>
          </w:p>
        </w:tc>
        <w:tc>
          <w:tcPr>
            <w:tcW w:w="0" w:type="dxa"/>
            <w:vAlign w:val="bottom"/>
          </w:tcPr>
          <w:p>
            <w:pPr>
              <w:spacing w:after="0"/>
              <w:rPr>
                <w:sz w:val="1"/>
                <w:szCs w:val="1"/>
                <w:color w:val="auto"/>
              </w:rPr>
            </w:pPr>
          </w:p>
        </w:tc>
      </w:tr>
      <w:tr>
        <w:trPr>
          <w:trHeight w:val="184"/>
        </w:trPr>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40" w:type="dxa"/>
            <w:vAlign w:val="bottom"/>
            <w:gridSpan w:val="5"/>
          </w:tcPr>
          <w:p>
            <w:pPr>
              <w:jc w:val="right"/>
              <w:ind w:right="1148"/>
              <w:spacing w:after="0"/>
              <w:rPr>
                <w:sz w:val="20"/>
                <w:szCs w:val="20"/>
                <w:color w:val="auto"/>
              </w:rPr>
            </w:pPr>
            <w:r>
              <w:rPr>
                <w:rFonts w:ascii="Arial" w:cs="Arial" w:eastAsia="Arial" w:hAnsi="Arial"/>
                <w:sz w:val="14"/>
                <w:szCs w:val="14"/>
                <w:color w:val="auto"/>
              </w:rPr>
              <w:t>(in thousands, except per share amounts)</w:t>
            </w:r>
          </w:p>
        </w:tc>
        <w:tc>
          <w:tcPr>
            <w:tcW w:w="0" w:type="dxa"/>
            <w:vAlign w:val="bottom"/>
          </w:tcPr>
          <w:p>
            <w:pPr>
              <w:spacing w:after="0"/>
              <w:rPr>
                <w:sz w:val="1"/>
                <w:szCs w:val="1"/>
                <w:color w:val="auto"/>
              </w:rPr>
            </w:pPr>
          </w:p>
        </w:tc>
      </w:tr>
      <w:tr>
        <w:trPr>
          <w:trHeight w:val="215"/>
        </w:trPr>
        <w:tc>
          <w:tcPr>
            <w:tcW w:w="6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1,949,102</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1,696,941</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1,734,900</w:t>
            </w:r>
          </w:p>
        </w:tc>
        <w:tc>
          <w:tcPr>
            <w:tcW w:w="0" w:type="dxa"/>
            <w:vAlign w:val="bottom"/>
          </w:tcPr>
          <w:p>
            <w:pPr>
              <w:spacing w:after="0"/>
              <w:rPr>
                <w:sz w:val="1"/>
                <w:szCs w:val="1"/>
                <w:color w:val="auto"/>
              </w:rPr>
            </w:pPr>
          </w:p>
        </w:tc>
      </w:tr>
      <w:tr>
        <w:trPr>
          <w:trHeight w:val="128"/>
        </w:trPr>
        <w:tc>
          <w:tcPr>
            <w:tcW w:w="6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Fuel, purchased power and cost of natural gas sold</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741,934</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492,404</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570,829</w:t>
            </w: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Operations and maintenance</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501,690</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495,404</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495,994</w:t>
            </w:r>
          </w:p>
        </w:tc>
        <w:tc>
          <w:tcPr>
            <w:tcW w:w="0" w:type="dxa"/>
            <w:vAlign w:val="bottom"/>
          </w:tcPr>
          <w:p>
            <w:pPr>
              <w:spacing w:after="0"/>
              <w:rPr>
                <w:sz w:val="1"/>
                <w:szCs w:val="1"/>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Depreciation, depletion and amortization</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235,953</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224,457</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209,120</w:t>
            </w: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Taxes - property and production</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60,096</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56,373</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52,915</w:t>
            </w:r>
          </w:p>
        </w:tc>
        <w:tc>
          <w:tcPr>
            <w:tcW w:w="0" w:type="dxa"/>
            <w:vAlign w:val="bottom"/>
          </w:tcPr>
          <w:p>
            <w:pPr>
              <w:spacing w:after="0"/>
              <w:rPr>
                <w:sz w:val="1"/>
                <w:szCs w:val="1"/>
                <w:color w:val="auto"/>
              </w:rPr>
            </w:pPr>
          </w:p>
        </w:tc>
      </w:tr>
      <w:tr>
        <w:trPr>
          <w:trHeight w:val="183"/>
        </w:trPr>
        <w:tc>
          <w:tcPr>
            <w:tcW w:w="6140" w:type="dxa"/>
            <w:vAlign w:val="bottom"/>
          </w:tcPr>
          <w:p>
            <w:pPr>
              <w:ind w:left="480"/>
              <w:spacing w:after="0"/>
              <w:rPr>
                <w:sz w:val="20"/>
                <w:szCs w:val="20"/>
                <w:color w:val="auto"/>
              </w:rPr>
            </w:pPr>
            <w:r>
              <w:rPr>
                <w:rFonts w:ascii="Arial" w:cs="Arial" w:eastAsia="Arial" w:hAnsi="Arial"/>
                <w:sz w:val="14"/>
                <w:szCs w:val="14"/>
                <w:color w:val="auto"/>
              </w:rPr>
              <w:t>Total operating expenses</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1,539,673</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1,268,638</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1,328,858</w:t>
            </w:r>
          </w:p>
        </w:tc>
        <w:tc>
          <w:tcPr>
            <w:tcW w:w="0" w:type="dxa"/>
            <w:vAlign w:val="bottom"/>
          </w:tcPr>
          <w:p>
            <w:pPr>
              <w:spacing w:after="0"/>
              <w:rPr>
                <w:sz w:val="1"/>
                <w:szCs w:val="1"/>
                <w:color w:val="auto"/>
              </w:rPr>
            </w:pPr>
          </w:p>
        </w:tc>
      </w:tr>
      <w:tr>
        <w:trPr>
          <w:trHeight w:val="148"/>
        </w:trPr>
        <w:tc>
          <w:tcPr>
            <w:tcW w:w="6140" w:type="dxa"/>
            <w:vAlign w:val="bottom"/>
            <w:shd w:val="clear" w:color="auto" w:fill="CEFFE7"/>
          </w:tcPr>
          <w:p>
            <w:pPr>
              <w:spacing w:after="0"/>
              <w:rPr>
                <w:sz w:val="12"/>
                <w:szCs w:val="12"/>
                <w:color w:val="auto"/>
              </w:rPr>
            </w:pPr>
          </w:p>
        </w:tc>
        <w:tc>
          <w:tcPr>
            <w:tcW w:w="160" w:type="dxa"/>
            <w:vAlign w:val="bottom"/>
            <w:shd w:val="clear" w:color="auto" w:fill="CEFFE7"/>
          </w:tcPr>
          <w:p>
            <w:pPr>
              <w:spacing w:after="0"/>
              <w:rPr>
                <w:sz w:val="12"/>
                <w:szCs w:val="12"/>
                <w:color w:val="auto"/>
              </w:rPr>
            </w:pPr>
          </w:p>
        </w:tc>
        <w:tc>
          <w:tcPr>
            <w:tcW w:w="1540" w:type="dxa"/>
            <w:vAlign w:val="bottom"/>
            <w:shd w:val="clear" w:color="auto" w:fill="CEFFE7"/>
          </w:tcPr>
          <w:p>
            <w:pPr>
              <w:spacing w:after="0"/>
              <w:rPr>
                <w:sz w:val="12"/>
                <w:szCs w:val="12"/>
                <w:color w:val="auto"/>
              </w:rPr>
            </w:pPr>
          </w:p>
        </w:tc>
        <w:tc>
          <w:tcPr>
            <w:tcW w:w="160" w:type="dxa"/>
            <w:vAlign w:val="bottom"/>
            <w:shd w:val="clear" w:color="auto" w:fill="CEFFE7"/>
          </w:tcPr>
          <w:p>
            <w:pPr>
              <w:spacing w:after="0"/>
              <w:rPr>
                <w:sz w:val="12"/>
                <w:szCs w:val="12"/>
                <w:color w:val="auto"/>
              </w:rPr>
            </w:pPr>
          </w:p>
        </w:tc>
        <w:tc>
          <w:tcPr>
            <w:tcW w:w="1540" w:type="dxa"/>
            <w:vAlign w:val="bottom"/>
            <w:shd w:val="clear" w:color="auto" w:fill="CEFFE7"/>
          </w:tcPr>
          <w:p>
            <w:pPr>
              <w:spacing w:after="0"/>
              <w:rPr>
                <w:sz w:val="12"/>
                <w:szCs w:val="12"/>
                <w:color w:val="auto"/>
              </w:rPr>
            </w:pPr>
          </w:p>
        </w:tc>
        <w:tc>
          <w:tcPr>
            <w:tcW w:w="160" w:type="dxa"/>
            <w:vAlign w:val="bottom"/>
            <w:shd w:val="clear" w:color="auto" w:fill="CEFFE7"/>
          </w:tcPr>
          <w:p>
            <w:pPr>
              <w:spacing w:after="0"/>
              <w:rPr>
                <w:sz w:val="12"/>
                <w:szCs w:val="12"/>
                <w:color w:val="auto"/>
              </w:rPr>
            </w:pPr>
          </w:p>
        </w:tc>
        <w:tc>
          <w:tcPr>
            <w:tcW w:w="1540" w:type="dxa"/>
            <w:vAlign w:val="bottom"/>
            <w:shd w:val="clear" w:color="auto" w:fill="CEFFE7"/>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14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Operating income</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409,429</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428,303</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406,042</w:t>
            </w:r>
          </w:p>
        </w:tc>
        <w:tc>
          <w:tcPr>
            <w:tcW w:w="0" w:type="dxa"/>
            <w:vAlign w:val="bottom"/>
          </w:tcPr>
          <w:p>
            <w:pPr>
              <w:spacing w:after="0"/>
              <w:rPr>
                <w:sz w:val="1"/>
                <w:szCs w:val="1"/>
                <w:color w:val="auto"/>
              </w:rPr>
            </w:pPr>
          </w:p>
        </w:tc>
      </w:tr>
      <w:tr>
        <w:trPr>
          <w:trHeight w:val="128"/>
        </w:trPr>
        <w:tc>
          <w:tcPr>
            <w:tcW w:w="6140" w:type="dxa"/>
            <w:vAlign w:val="bottom"/>
            <w:shd w:val="clear" w:color="auto" w:fill="CEFFE7"/>
          </w:tcPr>
          <w:p>
            <w:pPr>
              <w:spacing w:after="0"/>
              <w:rPr>
                <w:sz w:val="11"/>
                <w:szCs w:val="11"/>
                <w:color w:val="auto"/>
              </w:rPr>
            </w:pPr>
          </w:p>
        </w:tc>
        <w:tc>
          <w:tcPr>
            <w:tcW w:w="160" w:type="dxa"/>
            <w:vAlign w:val="bottom"/>
            <w:shd w:val="clear" w:color="auto" w:fill="CEFFE7"/>
          </w:tcPr>
          <w:p>
            <w:pPr>
              <w:spacing w:after="0"/>
              <w:rPr>
                <w:sz w:val="11"/>
                <w:szCs w:val="11"/>
                <w:color w:val="auto"/>
              </w:rPr>
            </w:pPr>
          </w:p>
        </w:tc>
        <w:tc>
          <w:tcPr>
            <w:tcW w:w="1540" w:type="dxa"/>
            <w:vAlign w:val="bottom"/>
            <w:shd w:val="clear" w:color="auto" w:fill="CEFFE7"/>
          </w:tcPr>
          <w:p>
            <w:pPr>
              <w:spacing w:after="0"/>
              <w:rPr>
                <w:sz w:val="11"/>
                <w:szCs w:val="11"/>
                <w:color w:val="auto"/>
              </w:rPr>
            </w:pPr>
          </w:p>
        </w:tc>
        <w:tc>
          <w:tcPr>
            <w:tcW w:w="160" w:type="dxa"/>
            <w:vAlign w:val="bottom"/>
            <w:shd w:val="clear" w:color="auto" w:fill="CEFFE7"/>
          </w:tcPr>
          <w:p>
            <w:pPr>
              <w:spacing w:after="0"/>
              <w:rPr>
                <w:sz w:val="11"/>
                <w:szCs w:val="11"/>
                <w:color w:val="auto"/>
              </w:rPr>
            </w:pPr>
          </w:p>
        </w:tc>
        <w:tc>
          <w:tcPr>
            <w:tcW w:w="1540" w:type="dxa"/>
            <w:vAlign w:val="bottom"/>
            <w:shd w:val="clear" w:color="auto" w:fill="CEFFE7"/>
          </w:tcPr>
          <w:p>
            <w:pPr>
              <w:spacing w:after="0"/>
              <w:rPr>
                <w:sz w:val="11"/>
                <w:szCs w:val="11"/>
                <w:color w:val="auto"/>
              </w:rPr>
            </w:pPr>
          </w:p>
        </w:tc>
        <w:tc>
          <w:tcPr>
            <w:tcW w:w="160" w:type="dxa"/>
            <w:vAlign w:val="bottom"/>
            <w:shd w:val="clear" w:color="auto" w:fill="CEFFE7"/>
          </w:tcPr>
          <w:p>
            <w:pPr>
              <w:spacing w:after="0"/>
              <w:rPr>
                <w:sz w:val="11"/>
                <w:szCs w:val="11"/>
                <w:color w:val="auto"/>
              </w:rPr>
            </w:pPr>
          </w:p>
        </w:tc>
        <w:tc>
          <w:tcPr>
            <w:tcW w:w="1540" w:type="dxa"/>
            <w:vAlign w:val="bottom"/>
            <w:shd w:val="clear" w:color="auto" w:fill="CEFFE7"/>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140" w:type="dxa"/>
            <w:vAlign w:val="bottom"/>
            <w:shd w:val="clear" w:color="auto" w:fill="CEFFE7"/>
          </w:tcPr>
          <w:p>
            <w:pPr>
              <w:ind w:left="20"/>
              <w:spacing w:after="0" w:line="153" w:lineRule="exact"/>
              <w:rPr>
                <w:sz w:val="20"/>
                <w:szCs w:val="20"/>
                <w:color w:val="auto"/>
              </w:rPr>
            </w:pPr>
            <w:r>
              <w:rPr>
                <w:rFonts w:ascii="Arial" w:cs="Arial" w:eastAsia="Arial" w:hAnsi="Arial"/>
                <w:sz w:val="14"/>
                <w:szCs w:val="14"/>
                <w:color w:val="auto"/>
              </w:rPr>
              <w:t>Interest expense incurred net of amounts capitalized (including amortization of debt issuance</w:t>
            </w:r>
          </w:p>
        </w:tc>
        <w:tc>
          <w:tcPr>
            <w:tcW w:w="160" w:type="dxa"/>
            <w:vAlign w:val="bottom"/>
            <w:shd w:val="clear" w:color="auto" w:fill="CEFFE7"/>
          </w:tcPr>
          <w:p>
            <w:pPr>
              <w:spacing w:after="0"/>
              <w:rPr>
                <w:sz w:val="13"/>
                <w:szCs w:val="13"/>
                <w:color w:val="auto"/>
              </w:rPr>
            </w:pPr>
          </w:p>
        </w:tc>
        <w:tc>
          <w:tcPr>
            <w:tcW w:w="154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(154,112)</w:t>
            </w:r>
          </w:p>
        </w:tc>
        <w:tc>
          <w:tcPr>
            <w:tcW w:w="160" w:type="dxa"/>
            <w:vAlign w:val="bottom"/>
            <w:shd w:val="clear" w:color="auto" w:fill="CEFFE7"/>
          </w:tcPr>
          <w:p>
            <w:pPr>
              <w:spacing w:after="0"/>
              <w:rPr>
                <w:sz w:val="13"/>
                <w:szCs w:val="13"/>
                <w:color w:val="auto"/>
              </w:rPr>
            </w:pPr>
          </w:p>
        </w:tc>
        <w:tc>
          <w:tcPr>
            <w:tcW w:w="154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(144,931)</w:t>
            </w:r>
          </w:p>
        </w:tc>
        <w:tc>
          <w:tcPr>
            <w:tcW w:w="160" w:type="dxa"/>
            <w:vAlign w:val="bottom"/>
            <w:shd w:val="clear" w:color="auto" w:fill="CEFFE7"/>
          </w:tcPr>
          <w:p>
            <w:pPr>
              <w:spacing w:after="0"/>
              <w:rPr>
                <w:sz w:val="13"/>
                <w:szCs w:val="13"/>
                <w:color w:val="auto"/>
              </w:rPr>
            </w:pPr>
          </w:p>
        </w:tc>
        <w:tc>
          <w:tcPr>
            <w:tcW w:w="154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(139,291)</w:t>
            </w:r>
          </w:p>
        </w:tc>
        <w:tc>
          <w:tcPr>
            <w:tcW w:w="0" w:type="dxa"/>
            <w:vAlign w:val="bottom"/>
          </w:tcPr>
          <w:p>
            <w:pPr>
              <w:spacing w:after="0"/>
              <w:rPr>
                <w:sz w:val="1"/>
                <w:szCs w:val="1"/>
                <w:color w:val="auto"/>
              </w:rPr>
            </w:pPr>
          </w:p>
        </w:tc>
      </w:tr>
      <w:tr>
        <w:trPr>
          <w:trHeight w:val="171"/>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costs, premiums and discounts)</w:t>
            </w:r>
          </w:p>
        </w:tc>
        <w:tc>
          <w:tcPr>
            <w:tcW w:w="160" w:type="dxa"/>
            <w:vAlign w:val="bottom"/>
            <w:shd w:val="clear" w:color="auto" w:fill="CEFFE7"/>
          </w:tcPr>
          <w:p>
            <w:pPr>
              <w:spacing w:after="0"/>
              <w:rPr>
                <w:sz w:val="14"/>
                <w:szCs w:val="14"/>
                <w:color w:val="auto"/>
              </w:rPr>
            </w:pPr>
          </w:p>
        </w:tc>
        <w:tc>
          <w:tcPr>
            <w:tcW w:w="1540" w:type="dxa"/>
            <w:vAlign w:val="bottom"/>
            <w:vMerge w:val="continue"/>
            <w:shd w:val="clear" w:color="auto" w:fill="CEFFE7"/>
          </w:tcPr>
          <w:p>
            <w:pPr>
              <w:spacing w:after="0"/>
              <w:rPr>
                <w:sz w:val="14"/>
                <w:szCs w:val="14"/>
                <w:color w:val="auto"/>
              </w:rPr>
            </w:pPr>
          </w:p>
        </w:tc>
        <w:tc>
          <w:tcPr>
            <w:tcW w:w="160" w:type="dxa"/>
            <w:vAlign w:val="bottom"/>
            <w:shd w:val="clear" w:color="auto" w:fill="CEFFE7"/>
          </w:tcPr>
          <w:p>
            <w:pPr>
              <w:spacing w:after="0"/>
              <w:rPr>
                <w:sz w:val="14"/>
                <w:szCs w:val="14"/>
                <w:color w:val="auto"/>
              </w:rPr>
            </w:pPr>
          </w:p>
        </w:tc>
        <w:tc>
          <w:tcPr>
            <w:tcW w:w="1540" w:type="dxa"/>
            <w:vAlign w:val="bottom"/>
            <w:vMerge w:val="continue"/>
            <w:shd w:val="clear" w:color="auto" w:fill="CEFFE7"/>
          </w:tcPr>
          <w:p>
            <w:pPr>
              <w:spacing w:after="0"/>
              <w:rPr>
                <w:sz w:val="14"/>
                <w:szCs w:val="14"/>
                <w:color w:val="auto"/>
              </w:rPr>
            </w:pPr>
          </w:p>
        </w:tc>
        <w:tc>
          <w:tcPr>
            <w:tcW w:w="160" w:type="dxa"/>
            <w:vAlign w:val="bottom"/>
            <w:shd w:val="clear" w:color="auto" w:fill="CEFFE7"/>
          </w:tcPr>
          <w:p>
            <w:pPr>
              <w:spacing w:after="0"/>
              <w:rPr>
                <w:sz w:val="14"/>
                <w:szCs w:val="14"/>
                <w:color w:val="auto"/>
              </w:rPr>
            </w:pPr>
          </w:p>
        </w:tc>
        <w:tc>
          <w:tcPr>
            <w:tcW w:w="1540" w:type="dxa"/>
            <w:vAlign w:val="bottom"/>
            <w:vMerge w:val="continue"/>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1,708</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1,461</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1,632</w:t>
            </w: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Impairment of investment</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(6,859)</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(19,741)</w:t>
            </w:r>
          </w:p>
        </w:tc>
        <w:tc>
          <w:tcPr>
            <w:tcW w:w="0" w:type="dxa"/>
            <w:vAlign w:val="bottom"/>
          </w:tcPr>
          <w:p>
            <w:pPr>
              <w:spacing w:after="0"/>
              <w:rPr>
                <w:sz w:val="1"/>
                <w:szCs w:val="1"/>
                <w:color w:val="auto"/>
              </w:rPr>
            </w:pPr>
          </w:p>
        </w:tc>
      </w:tr>
      <w:tr>
        <w:trPr>
          <w:trHeight w:val="189"/>
        </w:trPr>
        <w:tc>
          <w:tcPr>
            <w:tcW w:w="614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Other income (expense), net</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1,404</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(2,293)</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(5,740)</w:t>
            </w:r>
          </w:p>
        </w:tc>
        <w:tc>
          <w:tcPr>
            <w:tcW w:w="0" w:type="dxa"/>
            <w:vAlign w:val="bottom"/>
          </w:tcPr>
          <w:p>
            <w:pPr>
              <w:spacing w:after="0"/>
              <w:rPr>
                <w:sz w:val="1"/>
                <w:szCs w:val="1"/>
                <w:color w:val="auto"/>
              </w:rPr>
            </w:pPr>
          </w:p>
        </w:tc>
      </w:tr>
      <w:tr>
        <w:trPr>
          <w:trHeight w:val="183"/>
        </w:trPr>
        <w:tc>
          <w:tcPr>
            <w:tcW w:w="6140" w:type="dxa"/>
            <w:vAlign w:val="bottom"/>
            <w:shd w:val="clear" w:color="auto" w:fill="CEFFE7"/>
          </w:tcPr>
          <w:p>
            <w:pPr>
              <w:ind w:left="48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bottom w:val="single" w:sz="8" w:color="auto"/>
            </w:tcBorders>
            <w:shd w:val="clear" w:color="auto" w:fill="CEFFE7"/>
          </w:tcPr>
          <w:p>
            <w:pPr>
              <w:spacing w:after="0"/>
              <w:rPr>
                <w:sz w:val="15"/>
                <w:szCs w:val="15"/>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(151,000)</w:t>
            </w:r>
          </w:p>
        </w:tc>
        <w:tc>
          <w:tcPr>
            <w:tcW w:w="160" w:type="dxa"/>
            <w:vAlign w:val="bottom"/>
            <w:tcBorders>
              <w:bottom w:val="single" w:sz="8" w:color="auto"/>
            </w:tcBorders>
            <w:shd w:val="clear" w:color="auto" w:fill="CEFFE7"/>
          </w:tcPr>
          <w:p>
            <w:pPr>
              <w:spacing w:after="0"/>
              <w:rPr>
                <w:sz w:val="15"/>
                <w:szCs w:val="15"/>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(152,622)</w:t>
            </w:r>
          </w:p>
        </w:tc>
        <w:tc>
          <w:tcPr>
            <w:tcW w:w="160" w:type="dxa"/>
            <w:vAlign w:val="bottom"/>
            <w:tcBorders>
              <w:bottom w:val="single" w:sz="8" w:color="auto"/>
            </w:tcBorders>
            <w:shd w:val="clear" w:color="auto" w:fill="CEFFE7"/>
          </w:tcPr>
          <w:p>
            <w:pPr>
              <w:spacing w:after="0"/>
              <w:rPr>
                <w:sz w:val="15"/>
                <w:szCs w:val="15"/>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(163,140)</w:t>
            </w:r>
          </w:p>
        </w:tc>
        <w:tc>
          <w:tcPr>
            <w:tcW w:w="0" w:type="dxa"/>
            <w:vAlign w:val="bottom"/>
          </w:tcPr>
          <w:p>
            <w:pPr>
              <w:spacing w:after="0"/>
              <w:rPr>
                <w:sz w:val="1"/>
                <w:szCs w:val="1"/>
                <w:color w:val="auto"/>
              </w:rPr>
            </w:pPr>
          </w:p>
        </w:tc>
      </w:tr>
      <w:tr>
        <w:trPr>
          <w:trHeight w:val="183"/>
        </w:trPr>
        <w:tc>
          <w:tcPr>
            <w:tcW w:w="61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258,429</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275,681</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242,902</w:t>
            </w: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Income tax (expense)</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(7,169)</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(32,918)</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(29,580)</w:t>
            </w:r>
          </w:p>
        </w:tc>
        <w:tc>
          <w:tcPr>
            <w:tcW w:w="0" w:type="dxa"/>
            <w:vAlign w:val="bottom"/>
          </w:tcPr>
          <w:p>
            <w:pPr>
              <w:spacing w:after="0"/>
              <w:rPr>
                <w:sz w:val="1"/>
                <w:szCs w:val="1"/>
                <w:color w:val="auto"/>
              </w:rPr>
            </w:pPr>
          </w:p>
        </w:tc>
      </w:tr>
      <w:tr>
        <w:trPr>
          <w:trHeight w:val="183"/>
        </w:trPr>
        <w:tc>
          <w:tcPr>
            <w:tcW w:w="61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251,260</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242,763</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213,322</w:t>
            </w: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(14,516)</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(15,155)</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(14,012)</w:t>
            </w:r>
          </w:p>
        </w:tc>
        <w:tc>
          <w:tcPr>
            <w:tcW w:w="0" w:type="dxa"/>
            <w:vAlign w:val="bottom"/>
          </w:tcPr>
          <w:p>
            <w:pPr>
              <w:spacing w:after="0"/>
              <w:rPr>
                <w:sz w:val="1"/>
                <w:szCs w:val="1"/>
                <w:color w:val="auto"/>
              </w:rPr>
            </w:pPr>
          </w:p>
        </w:tc>
      </w:tr>
      <w:tr>
        <w:trPr>
          <w:trHeight w:val="183"/>
        </w:trPr>
        <w:tc>
          <w:tcPr>
            <w:tcW w:w="6140" w:type="dxa"/>
            <w:vAlign w:val="bottom"/>
          </w:tcPr>
          <w:p>
            <w:pPr>
              <w:ind w:left="20"/>
              <w:spacing w:after="0"/>
              <w:rPr>
                <w:sz w:val="20"/>
                <w:szCs w:val="20"/>
                <w:color w:val="auto"/>
              </w:rPr>
            </w:pPr>
            <w:r>
              <w:rPr>
                <w:rFonts w:ascii="Arial" w:cs="Arial" w:eastAsia="Arial" w:hAnsi="Arial"/>
                <w:sz w:val="14"/>
                <w:szCs w:val="14"/>
                <w:color w:val="auto"/>
              </w:rPr>
              <w:t>Net income available for common stock</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236,744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227,608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199,310</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EFFE7"/>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14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154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154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1540" w:type="dxa"/>
            <w:vAlign w:val="bottom"/>
            <w:shd w:val="clear" w:color="auto" w:fill="CEFFE7"/>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Earnings per share of common stock:</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4"/>
                <w:szCs w:val="14"/>
                <w:color w:val="auto"/>
              </w:rPr>
              <w:t>Earnings per share, Basic</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3.74</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3.65</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0"/>
        </w:trPr>
        <w:tc>
          <w:tcPr>
            <w:tcW w:w="614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40" w:type="dxa"/>
            <w:vAlign w:val="bottom"/>
          </w:tcPr>
          <w:p>
            <w:pPr>
              <w:ind w:left="20"/>
              <w:spacing w:after="0"/>
              <w:rPr>
                <w:sz w:val="20"/>
                <w:szCs w:val="20"/>
                <w:color w:val="auto"/>
              </w:rPr>
            </w:pPr>
            <w:r>
              <w:rPr>
                <w:rFonts w:ascii="Arial" w:cs="Arial" w:eastAsia="Arial" w:hAnsi="Arial"/>
                <w:sz w:val="14"/>
                <w:szCs w:val="14"/>
                <w:color w:val="auto"/>
              </w:rPr>
              <w:t>Earnings per share,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EFFE7"/>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14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154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154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1540" w:type="dxa"/>
            <w:vAlign w:val="bottom"/>
            <w:shd w:val="clear" w:color="auto" w:fill="CEFFE7"/>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1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EFFE7"/>
          </w:tcPr>
          <w:p>
            <w:pPr>
              <w:spacing w:after="0"/>
              <w:rPr>
                <w:sz w:val="18"/>
                <w:szCs w:val="18"/>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63,219</w:t>
            </w:r>
          </w:p>
        </w:tc>
        <w:tc>
          <w:tcPr>
            <w:tcW w:w="160" w:type="dxa"/>
            <w:vAlign w:val="bottom"/>
            <w:tcBorders>
              <w:bottom w:val="single" w:sz="8" w:color="auto"/>
            </w:tcBorders>
            <w:shd w:val="clear" w:color="auto" w:fill="CEFFE7"/>
          </w:tcPr>
          <w:p>
            <w:pPr>
              <w:spacing w:after="0"/>
              <w:rPr>
                <w:sz w:val="18"/>
                <w:szCs w:val="18"/>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62,378</w:t>
            </w:r>
          </w:p>
        </w:tc>
        <w:tc>
          <w:tcPr>
            <w:tcW w:w="160" w:type="dxa"/>
            <w:vAlign w:val="bottom"/>
            <w:tcBorders>
              <w:bottom w:val="single" w:sz="8" w:color="auto"/>
            </w:tcBorders>
            <w:shd w:val="clear" w:color="auto" w:fill="CEFFE7"/>
          </w:tcPr>
          <w:p>
            <w:pPr>
              <w:spacing w:after="0"/>
              <w:rPr>
                <w:sz w:val="18"/>
                <w:szCs w:val="18"/>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60,662</w:t>
            </w:r>
          </w:p>
        </w:tc>
        <w:tc>
          <w:tcPr>
            <w:tcW w:w="0" w:type="dxa"/>
            <w:vAlign w:val="bottom"/>
          </w:tcPr>
          <w:p>
            <w:pPr>
              <w:spacing w:after="0"/>
              <w:rPr>
                <w:sz w:val="1"/>
                <w:szCs w:val="1"/>
                <w:color w:val="auto"/>
              </w:rPr>
            </w:pPr>
          </w:p>
        </w:tc>
      </w:tr>
      <w:tr>
        <w:trPr>
          <w:trHeight w:val="20"/>
        </w:trPr>
        <w:tc>
          <w:tcPr>
            <w:tcW w:w="614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40" w:type="dxa"/>
            <w:vAlign w:val="bottom"/>
          </w:tcPr>
          <w:p>
            <w:pPr>
              <w:ind w:left="14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63,325</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62,439</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60,798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65">
        <w:r>
          <w:rPr>
            <w:rFonts w:ascii="Arial" w:cs="Arial" w:eastAsia="Arial" w:hAnsi="Arial"/>
            <w:sz w:val="14"/>
            <w:szCs w:val="14"/>
            <w:u w:val="single" w:color="auto"/>
            <w:color w:val="0000FF"/>
          </w:rPr>
          <w:t>Notes to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Consolidated Financial Statements.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4"/>
        </w:trPr>
        <w:tc>
          <w:tcPr>
            <w:tcW w:w="6040" w:type="dxa"/>
            <w:vAlign w:val="bottom"/>
            <w:gridSpan w:val="3"/>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758"/>
        </w:trPr>
        <w:tc>
          <w:tcPr>
            <w:tcW w:w="20" w:type="dxa"/>
            <w:vAlign w:val="bottom"/>
            <w:tcBorders>
              <w:top w:val="single" w:sz="8" w:color="0000FF"/>
            </w:tcBorders>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6400" w:type="dxa"/>
            <w:vAlign w:val="bottom"/>
            <w:gridSpan w:val="3"/>
          </w:tcPr>
          <w:p>
            <w:pPr>
              <w:jc w:val="right"/>
              <w:ind w:right="899"/>
              <w:spacing w:after="0"/>
              <w:rPr>
                <w:sz w:val="20"/>
                <w:szCs w:val="20"/>
                <w:color w:val="auto"/>
              </w:rPr>
            </w:pPr>
            <w:r>
              <w:rPr>
                <w:rFonts w:ascii="Arial" w:cs="Arial" w:eastAsia="Arial" w:hAnsi="Arial"/>
                <w:sz w:val="16"/>
                <w:szCs w:val="16"/>
                <w:b w:val="1"/>
                <w:bCs w:val="1"/>
                <w:color w:val="auto"/>
              </w:rPr>
              <w:t>BLACK HILLS CORPORATION</w:t>
            </w: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140" w:type="dxa"/>
            <w:vAlign w:val="bottom"/>
            <w:gridSpan w:val="5"/>
          </w:tcPr>
          <w:p>
            <w:pPr>
              <w:jc w:val="right"/>
              <w:ind w:right="1379"/>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27"/>
        </w:trPr>
        <w:tc>
          <w:tcPr>
            <w:tcW w:w="20" w:type="dxa"/>
            <w:vAlign w:val="bottom"/>
          </w:tcPr>
          <w:p>
            <w:pPr>
              <w:spacing w:after="0"/>
              <w:rPr>
                <w:sz w:val="24"/>
                <w:szCs w:val="24"/>
                <w:color w:val="auto"/>
              </w:rPr>
            </w:pPr>
          </w:p>
        </w:tc>
        <w:tc>
          <w:tcPr>
            <w:tcW w:w="60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Year ended</w:t>
            </w: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December 31, 2021</w:t>
            </w: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December 31, 2020</w:t>
            </w: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December 31, 2019</w:t>
            </w:r>
          </w:p>
        </w:tc>
      </w:tr>
      <w:tr>
        <w:trPr>
          <w:trHeight w:val="209"/>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251,260</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242,763</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213,322</w:t>
            </w:r>
          </w:p>
        </w:tc>
      </w:tr>
      <w:tr>
        <w:trPr>
          <w:trHeight w:val="253"/>
        </w:trPr>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40" w:type="dxa"/>
            <w:vAlign w:val="bottom"/>
            <w:shd w:val="clear" w:color="auto" w:fill="CEFFE7"/>
          </w:tcPr>
          <w:p>
            <w:pPr>
              <w:spacing w:after="0"/>
              <w:rPr>
                <w:sz w:val="18"/>
                <w:szCs w:val="18"/>
                <w:color w:val="auto"/>
              </w:rPr>
            </w:pPr>
          </w:p>
        </w:tc>
        <w:tc>
          <w:tcPr>
            <w:tcW w:w="158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6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600" w:type="dxa"/>
            <w:vAlign w:val="bottom"/>
            <w:shd w:val="clear" w:color="auto" w:fill="CEFFE7"/>
          </w:tcPr>
          <w:p>
            <w:pPr>
              <w:spacing w:after="0"/>
              <w:rPr>
                <w:sz w:val="18"/>
                <w:szCs w:val="18"/>
                <w:color w:val="auto"/>
              </w:rPr>
            </w:pPr>
          </w:p>
        </w:tc>
      </w:tr>
      <w:tr>
        <w:trPr>
          <w:trHeight w:val="177"/>
        </w:trPr>
        <w:tc>
          <w:tcPr>
            <w:tcW w:w="20" w:type="dxa"/>
            <w:vAlign w:val="bottom"/>
          </w:tcPr>
          <w:p>
            <w:pPr>
              <w:spacing w:after="0"/>
              <w:rPr>
                <w:sz w:val="15"/>
                <w:szCs w:val="15"/>
                <w:color w:val="auto"/>
              </w:rPr>
            </w:pPr>
          </w:p>
        </w:tc>
        <w:tc>
          <w:tcPr>
            <w:tcW w:w="6020" w:type="dxa"/>
            <w:vAlign w:val="bottom"/>
            <w:gridSpan w:val="2"/>
          </w:tcPr>
          <w:p>
            <w:pPr>
              <w:ind w:left="340"/>
              <w:spacing w:after="0" w:line="178" w:lineRule="exact"/>
              <w:rPr>
                <w:sz w:val="20"/>
                <w:szCs w:val="20"/>
                <w:color w:val="auto"/>
              </w:rPr>
            </w:pPr>
            <w:r>
              <w:rPr>
                <w:rFonts w:ascii="Arial" w:cs="Arial" w:eastAsia="Arial" w:hAnsi="Arial"/>
                <w:sz w:val="16"/>
                <w:szCs w:val="16"/>
                <w:color w:val="auto"/>
              </w:rPr>
              <w:t>Benefit plan liability adjustments - net gain (loss) (net of tax of $(664), $191</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020" w:type="dxa"/>
            <w:vAlign w:val="bottom"/>
            <w:gridSpan w:val="2"/>
          </w:tcPr>
          <w:p>
            <w:pPr>
              <w:ind w:left="340"/>
              <w:spacing w:after="0"/>
              <w:rPr>
                <w:sz w:val="20"/>
                <w:szCs w:val="20"/>
                <w:color w:val="auto"/>
              </w:rPr>
            </w:pPr>
            <w:r>
              <w:rPr>
                <w:rFonts w:ascii="Arial" w:cs="Arial" w:eastAsia="Arial" w:hAnsi="Arial"/>
                <w:sz w:val="16"/>
                <w:szCs w:val="16"/>
                <w:color w:val="auto"/>
              </w:rPr>
              <w:t>and $1,886, respectively)</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1,959</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(6,253)</w:t>
            </w:r>
          </w:p>
        </w:tc>
      </w:tr>
      <w:tr>
        <w:trPr>
          <w:trHeight w:val="180"/>
        </w:trPr>
        <w:tc>
          <w:tcPr>
            <w:tcW w:w="20" w:type="dxa"/>
            <w:vAlign w:val="bottom"/>
          </w:tcPr>
          <w:p>
            <w:pPr>
              <w:spacing w:after="0"/>
              <w:rPr>
                <w:sz w:val="15"/>
                <w:szCs w:val="15"/>
                <w:color w:val="auto"/>
              </w:rPr>
            </w:pPr>
          </w:p>
        </w:tc>
        <w:tc>
          <w:tcPr>
            <w:tcW w:w="6020" w:type="dxa"/>
            <w:vAlign w:val="bottom"/>
            <w:gridSpan w:val="2"/>
            <w:shd w:val="clear" w:color="auto" w:fill="CEFFE7"/>
          </w:tcPr>
          <w:p>
            <w:pPr>
              <w:ind w:left="340"/>
              <w:spacing w:after="0" w:line="181" w:lineRule="exact"/>
              <w:rPr>
                <w:sz w:val="20"/>
                <w:szCs w:val="20"/>
                <w:color w:val="auto"/>
              </w:rPr>
            </w:pPr>
            <w:r>
              <w:rPr>
                <w:rFonts w:ascii="Arial" w:cs="Arial" w:eastAsia="Arial" w:hAnsi="Arial"/>
                <w:sz w:val="16"/>
                <w:szCs w:val="16"/>
                <w:color w:val="auto"/>
              </w:rPr>
              <w:t>Benefit plan liability adjustments - prior service costs (net of tax of $0, $0 and</w:t>
            </w:r>
          </w:p>
        </w:tc>
        <w:tc>
          <w:tcPr>
            <w:tcW w:w="140" w:type="dxa"/>
            <w:vAlign w:val="bottom"/>
            <w:shd w:val="clear" w:color="auto" w:fill="CEFFE7"/>
          </w:tcPr>
          <w:p>
            <w:pPr>
              <w:spacing w:after="0"/>
              <w:rPr>
                <w:sz w:val="15"/>
                <w:szCs w:val="15"/>
                <w:color w:val="auto"/>
              </w:rPr>
            </w:pPr>
          </w:p>
        </w:tc>
        <w:tc>
          <w:tcPr>
            <w:tcW w:w="158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16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600" w:type="dxa"/>
            <w:vAlign w:val="bottom"/>
            <w:shd w:val="clear" w:color="auto" w:fill="CEFFE7"/>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6020" w:type="dxa"/>
            <w:vAlign w:val="bottom"/>
            <w:gridSpan w:val="2"/>
            <w:shd w:val="clear" w:color="auto" w:fill="CEFFE7"/>
          </w:tcPr>
          <w:p>
            <w:pPr>
              <w:ind w:left="340"/>
              <w:spacing w:after="0"/>
              <w:rPr>
                <w:sz w:val="20"/>
                <w:szCs w:val="20"/>
                <w:color w:val="auto"/>
              </w:rPr>
            </w:pPr>
            <w:r>
              <w:rPr>
                <w:rFonts w:ascii="Arial" w:cs="Arial" w:eastAsia="Arial" w:hAnsi="Arial"/>
                <w:sz w:val="16"/>
                <w:szCs w:val="16"/>
                <w:color w:val="auto"/>
              </w:rPr>
              <w:t>$2 respectively)</w:t>
            </w:r>
          </w:p>
        </w:tc>
        <w:tc>
          <w:tcPr>
            <w:tcW w:w="140" w:type="dxa"/>
            <w:vAlign w:val="bottom"/>
            <w:shd w:val="clear" w:color="auto" w:fill="CEFFE7"/>
          </w:tcPr>
          <w:p>
            <w:pPr>
              <w:spacing w:after="0"/>
              <w:rPr>
                <w:sz w:val="17"/>
                <w:szCs w:val="17"/>
                <w:color w:val="auto"/>
              </w:rPr>
            </w:pP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7"/>
                <w:szCs w:val="17"/>
                <w:color w:val="auto"/>
              </w:rPr>
            </w:pPr>
          </w:p>
        </w:tc>
        <w:tc>
          <w:tcPr>
            <w:tcW w:w="16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17"/>
                <w:szCs w:val="17"/>
                <w:color w:val="auto"/>
              </w:rPr>
            </w:pPr>
          </w:p>
        </w:tc>
        <w:tc>
          <w:tcPr>
            <w:tcW w:w="16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w:t>
            </w:r>
          </w:p>
        </w:tc>
      </w:tr>
      <w:tr>
        <w:trPr>
          <w:trHeight w:val="177"/>
        </w:trPr>
        <w:tc>
          <w:tcPr>
            <w:tcW w:w="20" w:type="dxa"/>
            <w:vAlign w:val="bottom"/>
          </w:tcPr>
          <w:p>
            <w:pPr>
              <w:spacing w:after="0"/>
              <w:rPr>
                <w:sz w:val="15"/>
                <w:szCs w:val="15"/>
                <w:color w:val="auto"/>
              </w:rPr>
            </w:pPr>
          </w:p>
        </w:tc>
        <w:tc>
          <w:tcPr>
            <w:tcW w:w="6020" w:type="dxa"/>
            <w:vAlign w:val="bottom"/>
            <w:gridSpan w:val="2"/>
          </w:tcPr>
          <w:p>
            <w:pPr>
              <w:ind w:left="340"/>
              <w:spacing w:after="0" w:line="178" w:lineRule="exact"/>
              <w:rPr>
                <w:sz w:val="20"/>
                <w:szCs w:val="20"/>
                <w:color w:val="auto"/>
              </w:rPr>
            </w:pPr>
            <w:r>
              <w:rPr>
                <w:rFonts w:ascii="Arial" w:cs="Arial" w:eastAsia="Arial" w:hAnsi="Arial"/>
                <w:sz w:val="16"/>
                <w:szCs w:val="16"/>
                <w:color w:val="auto"/>
              </w:rPr>
              <w:t>Reclassification adjustment of benefit plan liability - net loss (net of tax of</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020" w:type="dxa"/>
            <w:vAlign w:val="bottom"/>
            <w:gridSpan w:val="2"/>
          </w:tcPr>
          <w:p>
            <w:pPr>
              <w:ind w:left="340"/>
              <w:spacing w:after="0"/>
              <w:rPr>
                <w:sz w:val="20"/>
                <w:szCs w:val="20"/>
                <w:color w:val="auto"/>
              </w:rPr>
            </w:pPr>
            <w:r>
              <w:rPr>
                <w:rFonts w:ascii="Arial" w:cs="Arial" w:eastAsia="Arial" w:hAnsi="Arial"/>
                <w:sz w:val="16"/>
                <w:szCs w:val="16"/>
                <w:color w:val="auto"/>
              </w:rPr>
              <w:t>$(665), $(958) and $434, respectively)</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1,726</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1,429</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1,179</w:t>
            </w:r>
          </w:p>
        </w:tc>
      </w:tr>
      <w:tr>
        <w:trPr>
          <w:trHeight w:val="180"/>
        </w:trPr>
        <w:tc>
          <w:tcPr>
            <w:tcW w:w="20" w:type="dxa"/>
            <w:vAlign w:val="bottom"/>
          </w:tcPr>
          <w:p>
            <w:pPr>
              <w:spacing w:after="0"/>
              <w:rPr>
                <w:sz w:val="15"/>
                <w:szCs w:val="15"/>
                <w:color w:val="auto"/>
              </w:rPr>
            </w:pPr>
          </w:p>
        </w:tc>
        <w:tc>
          <w:tcPr>
            <w:tcW w:w="6020" w:type="dxa"/>
            <w:vAlign w:val="bottom"/>
            <w:gridSpan w:val="2"/>
            <w:shd w:val="clear" w:color="auto" w:fill="CEFFE7"/>
          </w:tcPr>
          <w:p>
            <w:pPr>
              <w:ind w:left="340"/>
              <w:spacing w:after="0" w:line="181" w:lineRule="exact"/>
              <w:rPr>
                <w:sz w:val="20"/>
                <w:szCs w:val="20"/>
                <w:color w:val="auto"/>
              </w:rPr>
            </w:pPr>
            <w:r>
              <w:rPr>
                <w:rFonts w:ascii="Arial" w:cs="Arial" w:eastAsia="Arial" w:hAnsi="Arial"/>
                <w:sz w:val="16"/>
                <w:szCs w:val="16"/>
                <w:color w:val="auto"/>
              </w:rPr>
              <w:t>Reclassification adjustment of benefit plan liability - prior service cost (net of</w:t>
            </w:r>
          </w:p>
        </w:tc>
        <w:tc>
          <w:tcPr>
            <w:tcW w:w="140" w:type="dxa"/>
            <w:vAlign w:val="bottom"/>
            <w:shd w:val="clear" w:color="auto" w:fill="CEFFE7"/>
          </w:tcPr>
          <w:p>
            <w:pPr>
              <w:spacing w:after="0"/>
              <w:rPr>
                <w:sz w:val="15"/>
                <w:szCs w:val="15"/>
                <w:color w:val="auto"/>
              </w:rPr>
            </w:pPr>
          </w:p>
        </w:tc>
        <w:tc>
          <w:tcPr>
            <w:tcW w:w="158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16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600" w:type="dxa"/>
            <w:vAlign w:val="bottom"/>
            <w:shd w:val="clear" w:color="auto" w:fill="CEFFE7"/>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6020" w:type="dxa"/>
            <w:vAlign w:val="bottom"/>
            <w:gridSpan w:val="2"/>
            <w:shd w:val="clear" w:color="auto" w:fill="CEFFE7"/>
          </w:tcPr>
          <w:p>
            <w:pPr>
              <w:ind w:left="340"/>
              <w:spacing w:after="0"/>
              <w:rPr>
                <w:sz w:val="20"/>
                <w:szCs w:val="20"/>
                <w:color w:val="auto"/>
              </w:rPr>
            </w:pPr>
            <w:r>
              <w:rPr>
                <w:rFonts w:ascii="Arial" w:cs="Arial" w:eastAsia="Arial" w:hAnsi="Arial"/>
                <w:sz w:val="16"/>
                <w:szCs w:val="16"/>
                <w:color w:val="auto"/>
              </w:rPr>
              <w:t>tax of $27, $23 and $19, respectively)</w:t>
            </w:r>
          </w:p>
        </w:tc>
        <w:tc>
          <w:tcPr>
            <w:tcW w:w="140" w:type="dxa"/>
            <w:vAlign w:val="bottom"/>
            <w:shd w:val="clear" w:color="auto" w:fill="CEFFE7"/>
          </w:tcPr>
          <w:p>
            <w:pPr>
              <w:spacing w:after="0"/>
              <w:rPr>
                <w:sz w:val="17"/>
                <w:szCs w:val="17"/>
                <w:color w:val="auto"/>
              </w:rPr>
            </w:pP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w:t>
            </w:r>
          </w:p>
        </w:tc>
        <w:tc>
          <w:tcPr>
            <w:tcW w:w="140" w:type="dxa"/>
            <w:vAlign w:val="bottom"/>
            <w:shd w:val="clear" w:color="auto" w:fill="CEFFE7"/>
          </w:tcPr>
          <w:p>
            <w:pPr>
              <w:spacing w:after="0"/>
              <w:rPr>
                <w:sz w:val="17"/>
                <w:szCs w:val="17"/>
                <w:color w:val="auto"/>
              </w:rPr>
            </w:pPr>
          </w:p>
        </w:tc>
        <w:tc>
          <w:tcPr>
            <w:tcW w:w="16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EFFE7"/>
          </w:tcPr>
          <w:p>
            <w:pPr>
              <w:spacing w:after="0"/>
              <w:rPr>
                <w:sz w:val="17"/>
                <w:szCs w:val="17"/>
                <w:color w:val="auto"/>
              </w:rPr>
            </w:pPr>
          </w:p>
        </w:tc>
        <w:tc>
          <w:tcPr>
            <w:tcW w:w="16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20" w:type="dxa"/>
            <w:vAlign w:val="bottom"/>
          </w:tcPr>
          <w:p>
            <w:pPr>
              <w:spacing w:after="0"/>
              <w:rPr>
                <w:sz w:val="18"/>
                <w:szCs w:val="18"/>
                <w:color w:val="auto"/>
              </w:rPr>
            </w:pPr>
          </w:p>
        </w:tc>
        <w:tc>
          <w:tcPr>
            <w:tcW w:w="6020" w:type="dxa"/>
            <w:vAlign w:val="bottom"/>
            <w:gridSpan w:val="2"/>
          </w:tcPr>
          <w:p>
            <w:pPr>
              <w:ind w:left="220"/>
              <w:spacing w:after="0"/>
              <w:rPr>
                <w:sz w:val="20"/>
                <w:szCs w:val="20"/>
                <w:color w:val="auto"/>
              </w:rPr>
            </w:pPr>
            <w:r>
              <w:rPr>
                <w:rFonts w:ascii="Arial" w:cs="Arial" w:eastAsia="Arial" w:hAnsi="Arial"/>
                <w:sz w:val="16"/>
                <w:szCs w:val="16"/>
                <w:color w:val="auto"/>
              </w:rPr>
              <w:t>Derivative instruments designated as cash flow hedges: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6020" w:type="dxa"/>
            <w:vAlign w:val="bottom"/>
            <w:gridSpan w:val="2"/>
            <w:shd w:val="clear" w:color="auto" w:fill="CEFFE7"/>
          </w:tcPr>
          <w:p>
            <w:pPr>
              <w:ind w:left="340"/>
              <w:spacing w:after="0" w:line="181" w:lineRule="exact"/>
              <w:rPr>
                <w:sz w:val="20"/>
                <w:szCs w:val="20"/>
                <w:color w:val="auto"/>
              </w:rPr>
            </w:pPr>
            <w:r>
              <w:rPr>
                <w:rFonts w:ascii="Arial" w:cs="Arial" w:eastAsia="Arial" w:hAnsi="Arial"/>
                <w:sz w:val="16"/>
                <w:szCs w:val="16"/>
                <w:color w:val="auto"/>
              </w:rPr>
              <w:t>Reclassification of net realized (gains) losses on settled/amortized interest rate</w:t>
            </w:r>
          </w:p>
        </w:tc>
        <w:tc>
          <w:tcPr>
            <w:tcW w:w="140" w:type="dxa"/>
            <w:vAlign w:val="bottom"/>
            <w:shd w:val="clear" w:color="auto" w:fill="CEFFE7"/>
          </w:tcPr>
          <w:p>
            <w:pPr>
              <w:spacing w:after="0"/>
              <w:rPr>
                <w:sz w:val="15"/>
                <w:szCs w:val="15"/>
                <w:color w:val="auto"/>
              </w:rPr>
            </w:pPr>
          </w:p>
        </w:tc>
        <w:tc>
          <w:tcPr>
            <w:tcW w:w="158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16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600" w:type="dxa"/>
            <w:vAlign w:val="bottom"/>
            <w:shd w:val="clear" w:color="auto" w:fill="CEFFE7"/>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6020" w:type="dxa"/>
            <w:vAlign w:val="bottom"/>
            <w:gridSpan w:val="2"/>
            <w:shd w:val="clear" w:color="auto" w:fill="CEFFE7"/>
          </w:tcPr>
          <w:p>
            <w:pPr>
              <w:ind w:left="340"/>
              <w:spacing w:after="0"/>
              <w:rPr>
                <w:sz w:val="20"/>
                <w:szCs w:val="20"/>
                <w:color w:val="auto"/>
              </w:rPr>
            </w:pPr>
            <w:r>
              <w:rPr>
                <w:rFonts w:ascii="Arial" w:cs="Arial" w:eastAsia="Arial" w:hAnsi="Arial"/>
                <w:sz w:val="16"/>
                <w:szCs w:val="16"/>
                <w:color w:val="auto"/>
              </w:rPr>
              <w:t>swaps (net of tax of $(677), $(287) and $(666), respectively)</w:t>
            </w:r>
          </w:p>
        </w:tc>
        <w:tc>
          <w:tcPr>
            <w:tcW w:w="140" w:type="dxa"/>
            <w:vAlign w:val="bottom"/>
            <w:shd w:val="clear" w:color="auto" w:fill="CEFFE7"/>
          </w:tcPr>
          <w:p>
            <w:pPr>
              <w:spacing w:after="0"/>
              <w:rPr>
                <w:sz w:val="17"/>
                <w:szCs w:val="17"/>
                <w:color w:val="auto"/>
              </w:rPr>
            </w:pP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2,174</w:t>
            </w:r>
          </w:p>
        </w:tc>
        <w:tc>
          <w:tcPr>
            <w:tcW w:w="140" w:type="dxa"/>
            <w:vAlign w:val="bottom"/>
            <w:shd w:val="clear" w:color="auto" w:fill="CEFFE7"/>
          </w:tcPr>
          <w:p>
            <w:pPr>
              <w:spacing w:after="0"/>
              <w:rPr>
                <w:sz w:val="17"/>
                <w:szCs w:val="17"/>
                <w:color w:val="auto"/>
              </w:rPr>
            </w:pPr>
          </w:p>
        </w:tc>
        <w:tc>
          <w:tcPr>
            <w:tcW w:w="16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2,564</w:t>
            </w:r>
          </w:p>
        </w:tc>
        <w:tc>
          <w:tcPr>
            <w:tcW w:w="120" w:type="dxa"/>
            <w:vAlign w:val="bottom"/>
            <w:shd w:val="clear" w:color="auto" w:fill="CEFFE7"/>
          </w:tcPr>
          <w:p>
            <w:pPr>
              <w:spacing w:after="0"/>
              <w:rPr>
                <w:sz w:val="17"/>
                <w:szCs w:val="17"/>
                <w:color w:val="auto"/>
              </w:rPr>
            </w:pPr>
          </w:p>
        </w:tc>
        <w:tc>
          <w:tcPr>
            <w:tcW w:w="16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2,185</w:t>
            </w:r>
          </w:p>
        </w:tc>
      </w:tr>
      <w:tr>
        <w:trPr>
          <w:trHeight w:val="177"/>
        </w:trPr>
        <w:tc>
          <w:tcPr>
            <w:tcW w:w="20" w:type="dxa"/>
            <w:vAlign w:val="bottom"/>
          </w:tcPr>
          <w:p>
            <w:pPr>
              <w:spacing w:after="0"/>
              <w:rPr>
                <w:sz w:val="15"/>
                <w:szCs w:val="15"/>
                <w:color w:val="auto"/>
              </w:rPr>
            </w:pPr>
          </w:p>
        </w:tc>
        <w:tc>
          <w:tcPr>
            <w:tcW w:w="6020" w:type="dxa"/>
            <w:vAlign w:val="bottom"/>
            <w:gridSpan w:val="2"/>
          </w:tcPr>
          <w:p>
            <w:pPr>
              <w:ind w:left="340"/>
              <w:spacing w:after="0" w:line="178" w:lineRule="exact"/>
              <w:rPr>
                <w:sz w:val="20"/>
                <w:szCs w:val="20"/>
                <w:color w:val="auto"/>
              </w:rPr>
            </w:pPr>
            <w:r>
              <w:rPr>
                <w:rFonts w:ascii="Arial" w:cs="Arial" w:eastAsia="Arial" w:hAnsi="Arial"/>
                <w:sz w:val="16"/>
                <w:szCs w:val="16"/>
                <w:color w:val="auto"/>
              </w:rPr>
              <w:t>Net unrealized gains (losses) on commodity derivatives (net of tax of $(980),</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020" w:type="dxa"/>
            <w:vAlign w:val="bottom"/>
            <w:gridSpan w:val="2"/>
          </w:tcPr>
          <w:p>
            <w:pPr>
              <w:ind w:left="340"/>
              <w:spacing w:after="0"/>
              <w:rPr>
                <w:sz w:val="20"/>
                <w:szCs w:val="20"/>
                <w:color w:val="auto"/>
              </w:rPr>
            </w:pPr>
            <w:r>
              <w:rPr>
                <w:rFonts w:ascii="Arial" w:cs="Arial" w:eastAsia="Arial" w:hAnsi="Arial"/>
                <w:sz w:val="16"/>
                <w:szCs w:val="16"/>
                <w:color w:val="auto"/>
              </w:rPr>
              <w:t>$14 and $126, respectively)</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3,023</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(422)</w:t>
            </w:r>
          </w:p>
        </w:tc>
      </w:tr>
      <w:tr>
        <w:trPr>
          <w:trHeight w:val="180"/>
        </w:trPr>
        <w:tc>
          <w:tcPr>
            <w:tcW w:w="20" w:type="dxa"/>
            <w:vAlign w:val="bottom"/>
          </w:tcPr>
          <w:p>
            <w:pPr>
              <w:spacing w:after="0"/>
              <w:rPr>
                <w:sz w:val="15"/>
                <w:szCs w:val="15"/>
                <w:color w:val="auto"/>
              </w:rPr>
            </w:pPr>
          </w:p>
        </w:tc>
        <w:tc>
          <w:tcPr>
            <w:tcW w:w="6020" w:type="dxa"/>
            <w:vAlign w:val="bottom"/>
            <w:gridSpan w:val="2"/>
            <w:shd w:val="clear" w:color="auto" w:fill="CEFFE7"/>
          </w:tcPr>
          <w:p>
            <w:pPr>
              <w:ind w:left="340"/>
              <w:spacing w:after="0" w:line="181" w:lineRule="exact"/>
              <w:rPr>
                <w:sz w:val="20"/>
                <w:szCs w:val="20"/>
                <w:color w:val="auto"/>
              </w:rPr>
            </w:pPr>
            <w:r>
              <w:rPr>
                <w:rFonts w:ascii="Arial" w:cs="Arial" w:eastAsia="Arial" w:hAnsi="Arial"/>
                <w:sz w:val="16"/>
                <w:szCs w:val="16"/>
                <w:color w:val="auto"/>
              </w:rPr>
              <w:t>Reclassification of net realized (gains) losses on settled commodity derivatives</w:t>
            </w:r>
          </w:p>
        </w:tc>
        <w:tc>
          <w:tcPr>
            <w:tcW w:w="140" w:type="dxa"/>
            <w:vAlign w:val="bottom"/>
            <w:shd w:val="clear" w:color="auto" w:fill="CEFFE7"/>
          </w:tcPr>
          <w:p>
            <w:pPr>
              <w:spacing w:after="0"/>
              <w:rPr>
                <w:sz w:val="15"/>
                <w:szCs w:val="15"/>
                <w:color w:val="auto"/>
              </w:rPr>
            </w:pPr>
          </w:p>
        </w:tc>
        <w:tc>
          <w:tcPr>
            <w:tcW w:w="158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16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600" w:type="dxa"/>
            <w:vAlign w:val="bottom"/>
            <w:shd w:val="clear" w:color="auto" w:fill="CEFFE7"/>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020" w:type="dxa"/>
            <w:vAlign w:val="bottom"/>
            <w:gridSpan w:val="2"/>
            <w:shd w:val="clear" w:color="auto" w:fill="CEFFE7"/>
          </w:tcPr>
          <w:p>
            <w:pPr>
              <w:ind w:left="340"/>
              <w:spacing w:after="0"/>
              <w:rPr>
                <w:sz w:val="20"/>
                <w:szCs w:val="20"/>
                <w:color w:val="auto"/>
              </w:rPr>
            </w:pPr>
            <w:r>
              <w:rPr>
                <w:rFonts w:ascii="Arial" w:cs="Arial" w:eastAsia="Arial" w:hAnsi="Arial"/>
                <w:sz w:val="16"/>
                <w:szCs w:val="16"/>
                <w:color w:val="auto"/>
              </w:rPr>
              <w:t>(net of tax of $502, $(96) and $55, respectively)</w:t>
            </w:r>
          </w:p>
        </w:tc>
        <w:tc>
          <w:tcPr>
            <w:tcW w:w="140" w:type="dxa"/>
            <w:vAlign w:val="bottom"/>
            <w:tcBorders>
              <w:bottom w:val="single" w:sz="8" w:color="auto"/>
            </w:tcBorders>
            <w:shd w:val="clear" w:color="auto" w:fill="CEFFE7"/>
          </w:tcPr>
          <w:p>
            <w:pPr>
              <w:spacing w:after="0"/>
              <w:rPr>
                <w:sz w:val="17"/>
                <w:szCs w:val="17"/>
                <w:color w:val="auto"/>
              </w:rPr>
            </w:pP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(1,549)</w:t>
            </w:r>
          </w:p>
        </w:tc>
        <w:tc>
          <w:tcPr>
            <w:tcW w:w="140" w:type="dxa"/>
            <w:vAlign w:val="bottom"/>
            <w:tcBorders>
              <w:bottom w:val="single" w:sz="8" w:color="auto"/>
            </w:tcBorders>
            <w:shd w:val="clear" w:color="auto" w:fill="CEFFE7"/>
          </w:tcPr>
          <w:p>
            <w:pPr>
              <w:spacing w:after="0"/>
              <w:rPr>
                <w:sz w:val="17"/>
                <w:szCs w:val="17"/>
                <w:color w:val="auto"/>
              </w:rPr>
            </w:pPr>
          </w:p>
        </w:tc>
        <w:tc>
          <w:tcPr>
            <w:tcW w:w="1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auto"/>
            </w:tcBorders>
            <w:shd w:val="clear" w:color="auto" w:fill="CEFFE7"/>
          </w:tcPr>
          <w:p>
            <w:pPr>
              <w:spacing w:after="0"/>
              <w:rPr>
                <w:sz w:val="17"/>
                <w:szCs w:val="17"/>
                <w:color w:val="auto"/>
              </w:rPr>
            </w:pPr>
          </w:p>
        </w:tc>
        <w:tc>
          <w:tcPr>
            <w:tcW w:w="1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(362)</w:t>
            </w:r>
          </w:p>
        </w:tc>
      </w:tr>
      <w:tr>
        <w:trPr>
          <w:trHeight w:val="209"/>
        </w:trPr>
        <w:tc>
          <w:tcPr>
            <w:tcW w:w="20" w:type="dxa"/>
            <w:vAlign w:val="bottom"/>
          </w:tcPr>
          <w:p>
            <w:pPr>
              <w:spacing w:after="0"/>
              <w:rPr>
                <w:sz w:val="18"/>
                <w:szCs w:val="18"/>
                <w:color w:val="auto"/>
              </w:rPr>
            </w:pPr>
          </w:p>
        </w:tc>
        <w:tc>
          <w:tcPr>
            <w:tcW w:w="602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7,262</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3,309</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(3,739)</w:t>
            </w:r>
          </w:p>
        </w:tc>
      </w:tr>
      <w:tr>
        <w:trPr>
          <w:trHeight w:val="253"/>
        </w:trPr>
        <w:tc>
          <w:tcPr>
            <w:tcW w:w="20" w:type="dxa"/>
            <w:vAlign w:val="bottom"/>
          </w:tcPr>
          <w:p>
            <w:pPr>
              <w:spacing w:after="0"/>
              <w:rPr>
                <w:sz w:val="22"/>
                <w:szCs w:val="22"/>
                <w:color w:val="auto"/>
              </w:rPr>
            </w:pPr>
          </w:p>
        </w:tc>
        <w:tc>
          <w:tcPr>
            <w:tcW w:w="1340" w:type="dxa"/>
            <w:vAlign w:val="bottom"/>
            <w:shd w:val="clear" w:color="auto" w:fill="CEFFE7"/>
          </w:tcPr>
          <w:p>
            <w:pPr>
              <w:spacing w:after="0"/>
              <w:rPr>
                <w:sz w:val="22"/>
                <w:szCs w:val="22"/>
                <w:color w:val="auto"/>
              </w:rPr>
            </w:pPr>
          </w:p>
        </w:tc>
        <w:tc>
          <w:tcPr>
            <w:tcW w:w="4680" w:type="dxa"/>
            <w:vAlign w:val="bottom"/>
            <w:shd w:val="clear" w:color="auto" w:fill="CEFFE7"/>
          </w:tcPr>
          <w:p>
            <w:pPr>
              <w:spacing w:after="0"/>
              <w:rPr>
                <w:sz w:val="22"/>
                <w:szCs w:val="22"/>
                <w:color w:val="auto"/>
              </w:rPr>
            </w:pPr>
          </w:p>
        </w:tc>
        <w:tc>
          <w:tcPr>
            <w:tcW w:w="140" w:type="dxa"/>
            <w:vAlign w:val="bottom"/>
            <w:shd w:val="clear" w:color="auto" w:fill="CEFFE7"/>
          </w:tcPr>
          <w:p>
            <w:pPr>
              <w:spacing w:after="0"/>
              <w:rPr>
                <w:sz w:val="22"/>
                <w:szCs w:val="22"/>
                <w:color w:val="auto"/>
              </w:rPr>
            </w:pPr>
          </w:p>
        </w:tc>
        <w:tc>
          <w:tcPr>
            <w:tcW w:w="1580" w:type="dxa"/>
            <w:vAlign w:val="bottom"/>
            <w:shd w:val="clear" w:color="auto" w:fill="CEFFE7"/>
          </w:tcPr>
          <w:p>
            <w:pPr>
              <w:spacing w:after="0"/>
              <w:rPr>
                <w:sz w:val="22"/>
                <w:szCs w:val="22"/>
                <w:color w:val="auto"/>
              </w:rPr>
            </w:pPr>
          </w:p>
        </w:tc>
        <w:tc>
          <w:tcPr>
            <w:tcW w:w="140" w:type="dxa"/>
            <w:vAlign w:val="bottom"/>
            <w:shd w:val="clear" w:color="auto" w:fill="CEFFE7"/>
          </w:tcPr>
          <w:p>
            <w:pPr>
              <w:spacing w:after="0"/>
              <w:rPr>
                <w:sz w:val="22"/>
                <w:szCs w:val="22"/>
                <w:color w:val="auto"/>
              </w:rPr>
            </w:pPr>
          </w:p>
        </w:tc>
        <w:tc>
          <w:tcPr>
            <w:tcW w:w="1600" w:type="dxa"/>
            <w:vAlign w:val="bottom"/>
            <w:shd w:val="clear" w:color="auto" w:fill="CEFFE7"/>
          </w:tcPr>
          <w:p>
            <w:pPr>
              <w:spacing w:after="0"/>
              <w:rPr>
                <w:sz w:val="22"/>
                <w:szCs w:val="22"/>
                <w:color w:val="auto"/>
              </w:rPr>
            </w:pPr>
          </w:p>
        </w:tc>
        <w:tc>
          <w:tcPr>
            <w:tcW w:w="120" w:type="dxa"/>
            <w:vAlign w:val="bottom"/>
            <w:shd w:val="clear" w:color="auto" w:fill="CEFFE7"/>
          </w:tcPr>
          <w:p>
            <w:pPr>
              <w:spacing w:after="0"/>
              <w:rPr>
                <w:sz w:val="22"/>
                <w:szCs w:val="22"/>
                <w:color w:val="auto"/>
              </w:rPr>
            </w:pPr>
          </w:p>
        </w:tc>
        <w:tc>
          <w:tcPr>
            <w:tcW w:w="1600" w:type="dxa"/>
            <w:vAlign w:val="bottom"/>
            <w:shd w:val="clear" w:color="auto" w:fill="CEFFE7"/>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602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258,522</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246,072</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209,583</w:t>
            </w: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40" w:type="dxa"/>
            <w:vAlign w:val="bottom"/>
            <w:tcBorders>
              <w:bottom w:val="single" w:sz="8" w:color="auto"/>
            </w:tcBorders>
            <w:shd w:val="clear" w:color="auto" w:fill="CEFFE7"/>
          </w:tcPr>
          <w:p>
            <w:pPr>
              <w:spacing w:after="0"/>
              <w:rPr>
                <w:sz w:val="18"/>
                <w:szCs w:val="18"/>
                <w:color w:val="auto"/>
              </w:rPr>
            </w:pP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(14,516)</w:t>
            </w:r>
          </w:p>
        </w:tc>
        <w:tc>
          <w:tcPr>
            <w:tcW w:w="140" w:type="dxa"/>
            <w:vAlign w:val="bottom"/>
            <w:tcBorders>
              <w:bottom w:val="single" w:sz="8" w:color="auto"/>
            </w:tcBorders>
            <w:shd w:val="clear" w:color="auto" w:fill="CEFFE7"/>
          </w:tcPr>
          <w:p>
            <w:pPr>
              <w:spacing w:after="0"/>
              <w:rPr>
                <w:sz w:val="18"/>
                <w:szCs w:val="18"/>
                <w:color w:val="auto"/>
              </w:rPr>
            </w:pPr>
          </w:p>
        </w:tc>
        <w:tc>
          <w:tcPr>
            <w:tcW w:w="1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(15,155)</w:t>
            </w:r>
          </w:p>
        </w:tc>
        <w:tc>
          <w:tcPr>
            <w:tcW w:w="120" w:type="dxa"/>
            <w:vAlign w:val="bottom"/>
            <w:tcBorders>
              <w:bottom w:val="single" w:sz="8" w:color="auto"/>
            </w:tcBorders>
            <w:shd w:val="clear" w:color="auto" w:fill="CEFFE7"/>
          </w:tcPr>
          <w:p>
            <w:pPr>
              <w:spacing w:after="0"/>
              <w:rPr>
                <w:sz w:val="18"/>
                <w:szCs w:val="18"/>
                <w:color w:val="auto"/>
              </w:rPr>
            </w:pPr>
          </w:p>
        </w:tc>
        <w:tc>
          <w:tcPr>
            <w:tcW w:w="1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(14,012)</w:t>
            </w:r>
          </w:p>
        </w:tc>
      </w:tr>
      <w:tr>
        <w:trPr>
          <w:trHeight w:val="213"/>
        </w:trPr>
        <w:tc>
          <w:tcPr>
            <w:tcW w:w="20" w:type="dxa"/>
            <w:vAlign w:val="bottom"/>
          </w:tcPr>
          <w:p>
            <w:pPr>
              <w:spacing w:after="0"/>
              <w:rPr>
                <w:sz w:val="18"/>
                <w:szCs w:val="18"/>
                <w:color w:val="auto"/>
              </w:rPr>
            </w:pPr>
          </w:p>
        </w:tc>
        <w:tc>
          <w:tcPr>
            <w:tcW w:w="6020" w:type="dxa"/>
            <w:vAlign w:val="bottom"/>
            <w:gridSpan w:val="2"/>
          </w:tcPr>
          <w:p>
            <w:pPr>
              <w:ind w:left="20"/>
              <w:spacing w:after="0"/>
              <w:rPr>
                <w:sz w:val="20"/>
                <w:szCs w:val="20"/>
                <w:color w:val="auto"/>
              </w:rPr>
            </w:pPr>
            <w:r>
              <w:rPr>
                <w:rFonts w:ascii="Arial" w:cs="Arial" w:eastAsia="Arial" w:hAnsi="Arial"/>
                <w:sz w:val="16"/>
                <w:szCs w:val="16"/>
                <w:color w:val="auto"/>
              </w:rPr>
              <w:t>Comprehensive income available for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244,006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230,917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195,571</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See </w:t>
      </w:r>
      <w:hyperlink w:anchor="page96">
        <w:r>
          <w:rPr>
            <w:rFonts w:ascii="Arial" w:cs="Arial" w:eastAsia="Arial" w:hAnsi="Arial"/>
            <w:sz w:val="14"/>
            <w:szCs w:val="14"/>
            <w:u w:val="single" w:color="auto"/>
            <w:color w:val="0000FF"/>
          </w:rPr>
          <w:t>Note 11</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additional disclosures related to Comprehensive Income.</w:t>
      </w:r>
    </w:p>
    <w:p>
      <w:pPr>
        <w:spacing w:after="0" w:line="244"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65">
        <w:r>
          <w:rPr>
            <w:rFonts w:ascii="Arial" w:cs="Arial" w:eastAsia="Arial" w:hAnsi="Arial"/>
            <w:sz w:val="14"/>
            <w:szCs w:val="14"/>
            <w:u w:val="single" w:color="auto"/>
            <w:color w:val="0000FF"/>
          </w:rPr>
          <w:t>Notes to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Consolidated Financial Statements.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3420" w:type="dxa"/>
            <w:vAlign w:val="bottom"/>
            <w:gridSpan w:val="3"/>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664"/>
        </w:trPr>
        <w:tc>
          <w:tcPr>
            <w:tcW w:w="4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tcPr>
          <w:p>
            <w:pPr>
              <w:spacing w:after="0"/>
              <w:rPr>
                <w:sz w:val="24"/>
                <w:szCs w:val="24"/>
                <w:color w:val="auto"/>
              </w:rPr>
            </w:pPr>
          </w:p>
        </w:tc>
        <w:tc>
          <w:tcPr>
            <w:tcW w:w="2060" w:type="dxa"/>
            <w:vAlign w:val="bottom"/>
          </w:tcPr>
          <w:p>
            <w:pPr>
              <w:spacing w:after="0"/>
              <w:rPr>
                <w:sz w:val="24"/>
                <w:szCs w:val="24"/>
                <w:color w:val="auto"/>
              </w:rPr>
            </w:pPr>
          </w:p>
        </w:tc>
        <w:tc>
          <w:tcPr>
            <w:tcW w:w="4220" w:type="dxa"/>
            <w:vAlign w:val="bottom"/>
            <w:gridSpan w:val="2"/>
          </w:tcPr>
          <w:p>
            <w:pPr>
              <w:jc w:val="right"/>
              <w:ind w:right="860"/>
              <w:spacing w:after="0"/>
              <w:rPr>
                <w:sz w:val="20"/>
                <w:szCs w:val="20"/>
                <w:color w:val="auto"/>
              </w:rPr>
            </w:pPr>
            <w:r>
              <w:rPr>
                <w:rFonts w:ascii="Arial" w:cs="Arial" w:eastAsia="Arial" w:hAnsi="Arial"/>
                <w:sz w:val="16"/>
                <w:szCs w:val="16"/>
                <w:b w:val="1"/>
                <w:bCs w:val="1"/>
                <w:color w:val="auto"/>
              </w:rPr>
              <w:t>BLACK HILLS CORPORATION</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22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CONSOLIDATED BALANCE SHEETS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24"/>
        </w:trPr>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680" w:type="dxa"/>
            <w:vAlign w:val="bottom"/>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December 31, 2021</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December 31, 2020</w:t>
            </w:r>
          </w:p>
        </w:tc>
      </w:tr>
      <w:tr>
        <w:trPr>
          <w:trHeight w:val="206"/>
        </w:trPr>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
          </w:tcPr>
          <w:p>
            <w:pPr>
              <w:jc w:val="right"/>
              <w:ind w:right="1279"/>
              <w:spacing w:after="0"/>
              <w:rPr>
                <w:sz w:val="20"/>
                <w:szCs w:val="20"/>
                <w:color w:val="auto"/>
              </w:rPr>
            </w:pPr>
            <w:r>
              <w:rPr>
                <w:rFonts w:ascii="Arial" w:cs="Arial" w:eastAsia="Arial" w:hAnsi="Arial"/>
                <w:sz w:val="16"/>
                <w:szCs w:val="16"/>
                <w:color w:val="auto"/>
              </w:rPr>
              <w:t>(in thousands)</w:t>
            </w:r>
          </w:p>
        </w:tc>
      </w:tr>
      <w:tr>
        <w:trPr>
          <w:trHeight w:val="219"/>
        </w:trPr>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220" w:type="dxa"/>
            <w:vAlign w:val="bottom"/>
            <w:gridSpan w:val="2"/>
          </w:tcPr>
          <w:p>
            <w:pPr>
              <w:jc w:val="right"/>
              <w:ind w:right="3560"/>
              <w:spacing w:after="0"/>
              <w:rPr>
                <w:sz w:val="20"/>
                <w:szCs w:val="20"/>
                <w:color w:val="auto"/>
              </w:rPr>
            </w:pPr>
            <w:r>
              <w:rPr>
                <w:rFonts w:ascii="Arial" w:cs="Arial" w:eastAsia="Arial" w:hAnsi="Arial"/>
                <w:sz w:val="16"/>
                <w:szCs w:val="16"/>
                <w:b w:val="1"/>
                <w:bCs w:val="1"/>
                <w:color w:val="auto"/>
                <w:w w:val="99"/>
              </w:rPr>
              <w:t>ASSETS</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33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Current assets:</w:t>
            </w:r>
          </w:p>
        </w:tc>
        <w:tc>
          <w:tcPr>
            <w:tcW w:w="4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70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680" w:type="dxa"/>
            <w:vAlign w:val="bottom"/>
            <w:shd w:val="clear" w:color="auto" w:fill="CEFFE7"/>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3380" w:type="dxa"/>
            <w:vAlign w:val="bottom"/>
            <w:gridSpan w:val="2"/>
          </w:tcPr>
          <w:p>
            <w:pPr>
              <w:ind w:left="120"/>
              <w:spacing w:after="0"/>
              <w:rPr>
                <w:sz w:val="20"/>
                <w:szCs w:val="20"/>
                <w:color w:val="auto"/>
              </w:rPr>
            </w:pPr>
            <w:r>
              <w:rPr>
                <w:rFonts w:ascii="Arial" w:cs="Arial" w:eastAsia="Arial" w:hAnsi="Arial"/>
                <w:sz w:val="16"/>
                <w:szCs w:val="16"/>
                <w:color w:val="auto"/>
              </w:rPr>
              <w:t>Cash and cash equivalents</w:t>
            </w:r>
          </w:p>
        </w:tc>
        <w:tc>
          <w:tcPr>
            <w:tcW w:w="4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8,921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6,356</w:t>
            </w:r>
          </w:p>
        </w:tc>
      </w:tr>
      <w:tr>
        <w:trPr>
          <w:trHeight w:val="219"/>
        </w:trPr>
        <w:tc>
          <w:tcPr>
            <w:tcW w:w="40" w:type="dxa"/>
            <w:vAlign w:val="bottom"/>
          </w:tcPr>
          <w:p>
            <w:pPr>
              <w:spacing w:after="0"/>
              <w:rPr>
                <w:sz w:val="19"/>
                <w:szCs w:val="19"/>
                <w:color w:val="auto"/>
              </w:rPr>
            </w:pPr>
          </w:p>
        </w:tc>
        <w:tc>
          <w:tcPr>
            <w:tcW w:w="338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Restricted cash and equivalents</w:t>
            </w:r>
          </w:p>
        </w:tc>
        <w:tc>
          <w:tcPr>
            <w:tcW w:w="4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4,889</w:t>
            </w:r>
          </w:p>
        </w:tc>
        <w:tc>
          <w:tcPr>
            <w:tcW w:w="20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4,383</w:t>
            </w:r>
          </w:p>
        </w:tc>
      </w:tr>
      <w:tr>
        <w:trPr>
          <w:trHeight w:val="213"/>
        </w:trPr>
        <w:tc>
          <w:tcPr>
            <w:tcW w:w="40" w:type="dxa"/>
            <w:vAlign w:val="bottom"/>
          </w:tcPr>
          <w:p>
            <w:pPr>
              <w:spacing w:after="0"/>
              <w:rPr>
                <w:sz w:val="18"/>
                <w:szCs w:val="18"/>
                <w:color w:val="auto"/>
              </w:rPr>
            </w:pPr>
          </w:p>
        </w:tc>
        <w:tc>
          <w:tcPr>
            <w:tcW w:w="3380" w:type="dxa"/>
            <w:vAlign w:val="bottom"/>
            <w:gridSpan w:val="2"/>
          </w:tcPr>
          <w:p>
            <w:pPr>
              <w:ind w:left="120"/>
              <w:spacing w:after="0"/>
              <w:rPr>
                <w:sz w:val="20"/>
                <w:szCs w:val="20"/>
                <w:color w:val="auto"/>
              </w:rPr>
            </w:pPr>
            <w:r>
              <w:rPr>
                <w:rFonts w:ascii="Arial" w:cs="Arial" w:eastAsia="Arial" w:hAnsi="Arial"/>
                <w:sz w:val="16"/>
                <w:szCs w:val="16"/>
                <w:color w:val="auto"/>
              </w:rPr>
              <w:t>Accounts receivable, net</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321,652</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265,961</w:t>
            </w:r>
          </w:p>
        </w:tc>
      </w:tr>
      <w:tr>
        <w:trPr>
          <w:trHeight w:val="219"/>
        </w:trPr>
        <w:tc>
          <w:tcPr>
            <w:tcW w:w="40" w:type="dxa"/>
            <w:vAlign w:val="bottom"/>
          </w:tcPr>
          <w:p>
            <w:pPr>
              <w:spacing w:after="0"/>
              <w:rPr>
                <w:sz w:val="19"/>
                <w:szCs w:val="19"/>
                <w:color w:val="auto"/>
              </w:rPr>
            </w:pPr>
          </w:p>
        </w:tc>
        <w:tc>
          <w:tcPr>
            <w:tcW w:w="338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Materials, supplies and fuel</w:t>
            </w:r>
          </w:p>
        </w:tc>
        <w:tc>
          <w:tcPr>
            <w:tcW w:w="4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150,979</w:t>
            </w:r>
          </w:p>
        </w:tc>
        <w:tc>
          <w:tcPr>
            <w:tcW w:w="20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117,400</w:t>
            </w:r>
          </w:p>
        </w:tc>
      </w:tr>
      <w:tr>
        <w:trPr>
          <w:trHeight w:val="213"/>
        </w:trPr>
        <w:tc>
          <w:tcPr>
            <w:tcW w:w="40" w:type="dxa"/>
            <w:vAlign w:val="bottom"/>
          </w:tcPr>
          <w:p>
            <w:pPr>
              <w:spacing w:after="0"/>
              <w:rPr>
                <w:sz w:val="18"/>
                <w:szCs w:val="18"/>
                <w:color w:val="auto"/>
              </w:rPr>
            </w:pPr>
          </w:p>
        </w:tc>
        <w:tc>
          <w:tcPr>
            <w:tcW w:w="3380" w:type="dxa"/>
            <w:vAlign w:val="bottom"/>
            <w:gridSpan w:val="2"/>
          </w:tcPr>
          <w:p>
            <w:pPr>
              <w:ind w:left="120"/>
              <w:spacing w:after="0"/>
              <w:rPr>
                <w:sz w:val="20"/>
                <w:szCs w:val="20"/>
                <w:color w:val="auto"/>
              </w:rPr>
            </w:pPr>
            <w:r>
              <w:rPr>
                <w:rFonts w:ascii="Arial" w:cs="Arial" w:eastAsia="Arial" w:hAnsi="Arial"/>
                <w:sz w:val="16"/>
                <w:szCs w:val="16"/>
                <w:color w:val="auto"/>
              </w:rPr>
              <w:t>Derivative assets, current</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4,373</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1,848</w:t>
            </w:r>
          </w:p>
        </w:tc>
      </w:tr>
      <w:tr>
        <w:trPr>
          <w:trHeight w:val="219"/>
        </w:trPr>
        <w:tc>
          <w:tcPr>
            <w:tcW w:w="40" w:type="dxa"/>
            <w:vAlign w:val="bottom"/>
          </w:tcPr>
          <w:p>
            <w:pPr>
              <w:spacing w:after="0"/>
              <w:rPr>
                <w:sz w:val="19"/>
                <w:szCs w:val="19"/>
                <w:color w:val="auto"/>
              </w:rPr>
            </w:pPr>
          </w:p>
        </w:tc>
        <w:tc>
          <w:tcPr>
            <w:tcW w:w="338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Income tax receivable, net</w:t>
            </w:r>
          </w:p>
        </w:tc>
        <w:tc>
          <w:tcPr>
            <w:tcW w:w="4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18,017</w:t>
            </w:r>
          </w:p>
        </w:tc>
        <w:tc>
          <w:tcPr>
            <w:tcW w:w="20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19,446</w:t>
            </w:r>
          </w:p>
        </w:tc>
      </w:tr>
      <w:tr>
        <w:trPr>
          <w:trHeight w:val="213"/>
        </w:trPr>
        <w:tc>
          <w:tcPr>
            <w:tcW w:w="40" w:type="dxa"/>
            <w:vAlign w:val="bottom"/>
          </w:tcPr>
          <w:p>
            <w:pPr>
              <w:spacing w:after="0"/>
              <w:rPr>
                <w:sz w:val="18"/>
                <w:szCs w:val="18"/>
                <w:color w:val="auto"/>
              </w:rPr>
            </w:pPr>
          </w:p>
        </w:tc>
        <w:tc>
          <w:tcPr>
            <w:tcW w:w="3380" w:type="dxa"/>
            <w:vAlign w:val="bottom"/>
            <w:gridSpan w:val="2"/>
          </w:tcPr>
          <w:p>
            <w:pPr>
              <w:ind w:left="120"/>
              <w:spacing w:after="0"/>
              <w:rPr>
                <w:sz w:val="20"/>
                <w:szCs w:val="20"/>
                <w:color w:val="auto"/>
              </w:rPr>
            </w:pPr>
            <w:r>
              <w:rPr>
                <w:rFonts w:ascii="Arial" w:cs="Arial" w:eastAsia="Arial" w:hAnsi="Arial"/>
                <w:sz w:val="16"/>
                <w:szCs w:val="16"/>
                <w:color w:val="auto"/>
              </w:rPr>
              <w:t>Regulatory assets, current</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270,290</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51,676</w:t>
            </w:r>
          </w:p>
        </w:tc>
      </w:tr>
      <w:tr>
        <w:trPr>
          <w:trHeight w:val="216"/>
        </w:trPr>
        <w:tc>
          <w:tcPr>
            <w:tcW w:w="40" w:type="dxa"/>
            <w:vAlign w:val="bottom"/>
          </w:tcPr>
          <w:p>
            <w:pPr>
              <w:spacing w:after="0"/>
              <w:rPr>
                <w:sz w:val="18"/>
                <w:szCs w:val="18"/>
                <w:color w:val="auto"/>
              </w:rPr>
            </w:pPr>
          </w:p>
        </w:tc>
        <w:tc>
          <w:tcPr>
            <w:tcW w:w="338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Other current assets</w:t>
            </w:r>
          </w:p>
        </w:tc>
        <w:tc>
          <w:tcPr>
            <w:tcW w:w="4060" w:type="dxa"/>
            <w:vAlign w:val="bottom"/>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29,012</w:t>
            </w:r>
          </w:p>
        </w:tc>
        <w:tc>
          <w:tcPr>
            <w:tcW w:w="20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26,221</w:t>
            </w:r>
          </w:p>
        </w:tc>
      </w:tr>
      <w:tr>
        <w:trPr>
          <w:trHeight w:val="209"/>
        </w:trPr>
        <w:tc>
          <w:tcPr>
            <w:tcW w:w="40" w:type="dxa"/>
            <w:vAlign w:val="bottom"/>
          </w:tcPr>
          <w:p>
            <w:pPr>
              <w:spacing w:after="0"/>
              <w:rPr>
                <w:sz w:val="18"/>
                <w:szCs w:val="18"/>
                <w:color w:val="auto"/>
              </w:rPr>
            </w:pPr>
          </w:p>
        </w:tc>
        <w:tc>
          <w:tcPr>
            <w:tcW w:w="3380" w:type="dxa"/>
            <w:vAlign w:val="bottom"/>
            <w:tcBorders>
              <w:bottom w:val="single" w:sz="8" w:color="CEFFE7"/>
            </w:tcBorders>
            <w:gridSpan w:val="2"/>
          </w:tcPr>
          <w:p>
            <w:pPr>
              <w:ind w:left="460"/>
              <w:spacing w:after="0"/>
              <w:rPr>
                <w:sz w:val="20"/>
                <w:szCs w:val="20"/>
                <w:color w:val="auto"/>
              </w:rPr>
            </w:pPr>
            <w:r>
              <w:rPr>
                <w:rFonts w:ascii="Arial" w:cs="Arial" w:eastAsia="Arial" w:hAnsi="Arial"/>
                <w:sz w:val="16"/>
                <w:szCs w:val="16"/>
                <w:color w:val="auto"/>
              </w:rPr>
              <w:t>Total current assets</w:t>
            </w:r>
          </w:p>
        </w:tc>
        <w:tc>
          <w:tcPr>
            <w:tcW w:w="4060" w:type="dxa"/>
            <w:vAlign w:val="bottom"/>
            <w:tcBorders>
              <w:bottom w:val="single" w:sz="8" w:color="CEFFE7"/>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808,133</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493,291</w:t>
            </w:r>
          </w:p>
        </w:tc>
      </w:tr>
      <w:tr>
        <w:trPr>
          <w:trHeight w:val="239"/>
        </w:trPr>
        <w:tc>
          <w:tcPr>
            <w:tcW w:w="40" w:type="dxa"/>
            <w:vAlign w:val="bottom"/>
          </w:tcPr>
          <w:p>
            <w:pPr>
              <w:spacing w:after="0"/>
              <w:rPr>
                <w:sz w:val="20"/>
                <w:szCs w:val="20"/>
                <w:color w:val="auto"/>
              </w:rPr>
            </w:pPr>
          </w:p>
        </w:tc>
        <w:tc>
          <w:tcPr>
            <w:tcW w:w="1320" w:type="dxa"/>
            <w:vAlign w:val="bottom"/>
            <w:shd w:val="clear" w:color="auto" w:fill="CEFFE7"/>
          </w:tcPr>
          <w:p>
            <w:pPr>
              <w:spacing w:after="0"/>
              <w:rPr>
                <w:sz w:val="20"/>
                <w:szCs w:val="20"/>
                <w:color w:val="auto"/>
              </w:rPr>
            </w:pPr>
          </w:p>
        </w:tc>
        <w:tc>
          <w:tcPr>
            <w:tcW w:w="2060" w:type="dxa"/>
            <w:vAlign w:val="bottom"/>
            <w:shd w:val="clear" w:color="auto" w:fill="CEFFE7"/>
          </w:tcPr>
          <w:p>
            <w:pPr>
              <w:spacing w:after="0"/>
              <w:rPr>
                <w:sz w:val="20"/>
                <w:szCs w:val="20"/>
                <w:color w:val="auto"/>
              </w:rPr>
            </w:pPr>
          </w:p>
        </w:tc>
        <w:tc>
          <w:tcPr>
            <w:tcW w:w="406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1700" w:type="dxa"/>
            <w:vAlign w:val="bottom"/>
            <w:shd w:val="clear" w:color="auto" w:fill="CEFFE7"/>
          </w:tcPr>
          <w:p>
            <w:pPr>
              <w:spacing w:after="0"/>
              <w:rPr>
                <w:sz w:val="20"/>
                <w:szCs w:val="20"/>
                <w:color w:val="auto"/>
              </w:rPr>
            </w:pPr>
          </w:p>
        </w:tc>
        <w:tc>
          <w:tcPr>
            <w:tcW w:w="200" w:type="dxa"/>
            <w:vAlign w:val="bottom"/>
            <w:shd w:val="clear" w:color="auto" w:fill="CEFFE7"/>
          </w:tcPr>
          <w:p>
            <w:pPr>
              <w:spacing w:after="0"/>
              <w:rPr>
                <w:sz w:val="20"/>
                <w:szCs w:val="20"/>
                <w:color w:val="auto"/>
              </w:rPr>
            </w:pPr>
          </w:p>
        </w:tc>
        <w:tc>
          <w:tcPr>
            <w:tcW w:w="1680" w:type="dxa"/>
            <w:vAlign w:val="bottom"/>
            <w:shd w:val="clear" w:color="auto" w:fill="CEFFE7"/>
          </w:tcPr>
          <w:p>
            <w:pPr>
              <w:spacing w:after="0"/>
              <w:rPr>
                <w:sz w:val="20"/>
                <w:szCs w:val="20"/>
                <w:color w:val="auto"/>
              </w:rPr>
            </w:pPr>
          </w:p>
        </w:tc>
      </w:tr>
      <w:tr>
        <w:trPr>
          <w:trHeight w:val="213"/>
        </w:trPr>
        <w:tc>
          <w:tcPr>
            <w:tcW w:w="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7,856,573</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7,305,530</w:t>
            </w:r>
          </w:p>
        </w:tc>
      </w:tr>
      <w:tr>
        <w:trPr>
          <w:trHeight w:val="216"/>
        </w:trPr>
        <w:tc>
          <w:tcPr>
            <w:tcW w:w="40" w:type="dxa"/>
            <w:vAlign w:val="bottom"/>
          </w:tcPr>
          <w:p>
            <w:pPr>
              <w:spacing w:after="0"/>
              <w:rPr>
                <w:sz w:val="18"/>
                <w:szCs w:val="18"/>
                <w:color w:val="auto"/>
              </w:rPr>
            </w:pPr>
          </w:p>
        </w:tc>
        <w:tc>
          <w:tcPr>
            <w:tcW w:w="338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Less accumulated depreciation and depletion</w:t>
            </w:r>
          </w:p>
        </w:tc>
        <w:tc>
          <w:tcPr>
            <w:tcW w:w="4060" w:type="dxa"/>
            <w:vAlign w:val="bottom"/>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(1,407,397)</w:t>
            </w:r>
          </w:p>
        </w:tc>
        <w:tc>
          <w:tcPr>
            <w:tcW w:w="20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(1,285,816)</w:t>
            </w:r>
          </w:p>
        </w:tc>
      </w:tr>
      <w:tr>
        <w:trPr>
          <w:trHeight w:val="210"/>
        </w:trPr>
        <w:tc>
          <w:tcPr>
            <w:tcW w:w="40" w:type="dxa"/>
            <w:vAlign w:val="bottom"/>
          </w:tcPr>
          <w:p>
            <w:pPr>
              <w:spacing w:after="0"/>
              <w:rPr>
                <w:sz w:val="18"/>
                <w:szCs w:val="18"/>
                <w:color w:val="auto"/>
              </w:rPr>
            </w:pPr>
          </w:p>
        </w:tc>
        <w:tc>
          <w:tcPr>
            <w:tcW w:w="3380" w:type="dxa"/>
            <w:vAlign w:val="bottom"/>
            <w:tcBorders>
              <w:bottom w:val="single" w:sz="8" w:color="CEFFE7"/>
            </w:tcBorders>
            <w:gridSpan w:val="2"/>
          </w:tcPr>
          <w:p>
            <w:pPr>
              <w:ind w:left="460"/>
              <w:spacing w:after="0"/>
              <w:rPr>
                <w:sz w:val="20"/>
                <w:szCs w:val="20"/>
                <w:color w:val="auto"/>
              </w:rPr>
            </w:pPr>
            <w:r>
              <w:rPr>
                <w:rFonts w:ascii="Arial" w:cs="Arial" w:eastAsia="Arial" w:hAnsi="Arial"/>
                <w:sz w:val="16"/>
                <w:szCs w:val="16"/>
                <w:color w:val="auto"/>
              </w:rPr>
              <w:t>Total property, plant and equipment, net</w:t>
            </w:r>
          </w:p>
        </w:tc>
        <w:tc>
          <w:tcPr>
            <w:tcW w:w="4060" w:type="dxa"/>
            <w:vAlign w:val="bottom"/>
            <w:tcBorders>
              <w:bottom w:val="single" w:sz="8" w:color="CEFFE7"/>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6,449,176</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6,019,714</w:t>
            </w:r>
          </w:p>
        </w:tc>
      </w:tr>
      <w:tr>
        <w:trPr>
          <w:trHeight w:val="239"/>
        </w:trPr>
        <w:tc>
          <w:tcPr>
            <w:tcW w:w="40" w:type="dxa"/>
            <w:vAlign w:val="bottom"/>
          </w:tcPr>
          <w:p>
            <w:pPr>
              <w:spacing w:after="0"/>
              <w:rPr>
                <w:sz w:val="20"/>
                <w:szCs w:val="20"/>
                <w:color w:val="auto"/>
              </w:rPr>
            </w:pPr>
          </w:p>
        </w:tc>
        <w:tc>
          <w:tcPr>
            <w:tcW w:w="1320" w:type="dxa"/>
            <w:vAlign w:val="bottom"/>
            <w:shd w:val="clear" w:color="auto" w:fill="CEFFE7"/>
          </w:tcPr>
          <w:p>
            <w:pPr>
              <w:spacing w:after="0"/>
              <w:rPr>
                <w:sz w:val="20"/>
                <w:szCs w:val="20"/>
                <w:color w:val="auto"/>
              </w:rPr>
            </w:pPr>
          </w:p>
        </w:tc>
        <w:tc>
          <w:tcPr>
            <w:tcW w:w="2060" w:type="dxa"/>
            <w:vAlign w:val="bottom"/>
            <w:shd w:val="clear" w:color="auto" w:fill="CEFFE7"/>
          </w:tcPr>
          <w:p>
            <w:pPr>
              <w:spacing w:after="0"/>
              <w:rPr>
                <w:sz w:val="20"/>
                <w:szCs w:val="20"/>
                <w:color w:val="auto"/>
              </w:rPr>
            </w:pPr>
          </w:p>
        </w:tc>
        <w:tc>
          <w:tcPr>
            <w:tcW w:w="406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1700" w:type="dxa"/>
            <w:vAlign w:val="bottom"/>
            <w:shd w:val="clear" w:color="auto" w:fill="CEFFE7"/>
          </w:tcPr>
          <w:p>
            <w:pPr>
              <w:spacing w:after="0"/>
              <w:rPr>
                <w:sz w:val="20"/>
                <w:szCs w:val="20"/>
                <w:color w:val="auto"/>
              </w:rPr>
            </w:pPr>
          </w:p>
        </w:tc>
        <w:tc>
          <w:tcPr>
            <w:tcW w:w="200" w:type="dxa"/>
            <w:vAlign w:val="bottom"/>
            <w:shd w:val="clear" w:color="auto" w:fill="CEFFE7"/>
          </w:tcPr>
          <w:p>
            <w:pPr>
              <w:spacing w:after="0"/>
              <w:rPr>
                <w:sz w:val="20"/>
                <w:szCs w:val="20"/>
                <w:color w:val="auto"/>
              </w:rPr>
            </w:pPr>
          </w:p>
        </w:tc>
        <w:tc>
          <w:tcPr>
            <w:tcW w:w="1680" w:type="dxa"/>
            <w:vAlign w:val="bottom"/>
            <w:shd w:val="clear" w:color="auto" w:fill="CEFFE7"/>
          </w:tcPr>
          <w:p>
            <w:pPr>
              <w:spacing w:after="0"/>
              <w:rPr>
                <w:sz w:val="20"/>
                <w:szCs w:val="20"/>
                <w:color w:val="auto"/>
              </w:rPr>
            </w:pPr>
          </w:p>
        </w:tc>
      </w:tr>
      <w:tr>
        <w:trPr>
          <w:trHeight w:val="213"/>
        </w:trPr>
        <w:tc>
          <w:tcPr>
            <w:tcW w:w="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338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Goodwill</w:t>
            </w:r>
          </w:p>
        </w:tc>
        <w:tc>
          <w:tcPr>
            <w:tcW w:w="4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1,299,454</w:t>
            </w:r>
          </w:p>
        </w:tc>
        <w:tc>
          <w:tcPr>
            <w:tcW w:w="20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1,299,454</w:t>
            </w:r>
          </w:p>
        </w:tc>
      </w:tr>
      <w:tr>
        <w:trPr>
          <w:trHeight w:val="213"/>
        </w:trPr>
        <w:tc>
          <w:tcPr>
            <w:tcW w:w="40" w:type="dxa"/>
            <w:vAlign w:val="bottom"/>
          </w:tcPr>
          <w:p>
            <w:pPr>
              <w:spacing w:after="0"/>
              <w:rPr>
                <w:sz w:val="18"/>
                <w:szCs w:val="18"/>
                <w:color w:val="auto"/>
              </w:rPr>
            </w:pPr>
          </w:p>
        </w:tc>
        <w:tc>
          <w:tcPr>
            <w:tcW w:w="3380" w:type="dxa"/>
            <w:vAlign w:val="bottom"/>
            <w:gridSpan w:val="2"/>
          </w:tcPr>
          <w:p>
            <w:pPr>
              <w:ind w:left="120"/>
              <w:spacing w:after="0"/>
              <w:rPr>
                <w:sz w:val="20"/>
                <w:szCs w:val="20"/>
                <w:color w:val="auto"/>
              </w:rPr>
            </w:pPr>
            <w:r>
              <w:rPr>
                <w:rFonts w:ascii="Arial" w:cs="Arial" w:eastAsia="Arial" w:hAnsi="Arial"/>
                <w:sz w:val="16"/>
                <w:szCs w:val="16"/>
                <w:color w:val="auto"/>
              </w:rPr>
              <w:t>Intangible assets, net</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10,770</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11,944</w:t>
            </w:r>
          </w:p>
        </w:tc>
      </w:tr>
      <w:tr>
        <w:trPr>
          <w:trHeight w:val="219"/>
        </w:trPr>
        <w:tc>
          <w:tcPr>
            <w:tcW w:w="40" w:type="dxa"/>
            <w:vAlign w:val="bottom"/>
          </w:tcPr>
          <w:p>
            <w:pPr>
              <w:spacing w:after="0"/>
              <w:rPr>
                <w:sz w:val="19"/>
                <w:szCs w:val="19"/>
                <w:color w:val="auto"/>
              </w:rPr>
            </w:pPr>
          </w:p>
        </w:tc>
        <w:tc>
          <w:tcPr>
            <w:tcW w:w="338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Regulatory assets, non-current</w:t>
            </w:r>
          </w:p>
        </w:tc>
        <w:tc>
          <w:tcPr>
            <w:tcW w:w="4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526,309</w:t>
            </w:r>
          </w:p>
        </w:tc>
        <w:tc>
          <w:tcPr>
            <w:tcW w:w="20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226,582</w:t>
            </w:r>
          </w:p>
        </w:tc>
      </w:tr>
      <w:tr>
        <w:trPr>
          <w:trHeight w:val="213"/>
        </w:trPr>
        <w:tc>
          <w:tcPr>
            <w:tcW w:w="40" w:type="dxa"/>
            <w:vAlign w:val="bottom"/>
          </w:tcPr>
          <w:p>
            <w:pPr>
              <w:spacing w:after="0"/>
              <w:rPr>
                <w:sz w:val="18"/>
                <w:szCs w:val="18"/>
                <w:color w:val="auto"/>
              </w:rPr>
            </w:pPr>
          </w:p>
        </w:tc>
        <w:tc>
          <w:tcPr>
            <w:tcW w:w="3380" w:type="dxa"/>
            <w:vAlign w:val="bottom"/>
            <w:tcBorders>
              <w:bottom w:val="single" w:sz="8" w:color="CEFFE7"/>
            </w:tcBorders>
            <w:gridSpan w:val="2"/>
          </w:tcPr>
          <w:p>
            <w:pPr>
              <w:ind w:left="120"/>
              <w:spacing w:after="0"/>
              <w:rPr>
                <w:sz w:val="20"/>
                <w:szCs w:val="20"/>
                <w:color w:val="auto"/>
              </w:rPr>
            </w:pPr>
            <w:r>
              <w:rPr>
                <w:rFonts w:ascii="Arial" w:cs="Arial" w:eastAsia="Arial" w:hAnsi="Arial"/>
                <w:sz w:val="16"/>
                <w:szCs w:val="16"/>
                <w:color w:val="auto"/>
              </w:rPr>
              <w:t>Other assets, non-current</w:t>
            </w:r>
          </w:p>
        </w:tc>
        <w:tc>
          <w:tcPr>
            <w:tcW w:w="4060" w:type="dxa"/>
            <w:vAlign w:val="bottom"/>
            <w:tcBorders>
              <w:bottom w:val="single" w:sz="8" w:color="CEFFE7"/>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38,054</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37,801</w:t>
            </w:r>
          </w:p>
        </w:tc>
      </w:tr>
      <w:tr>
        <w:trPr>
          <w:trHeight w:val="210"/>
        </w:trPr>
        <w:tc>
          <w:tcPr>
            <w:tcW w:w="40" w:type="dxa"/>
            <w:vAlign w:val="bottom"/>
          </w:tcPr>
          <w:p>
            <w:pPr>
              <w:spacing w:after="0"/>
              <w:rPr>
                <w:sz w:val="18"/>
                <w:szCs w:val="18"/>
                <w:color w:val="auto"/>
              </w:rPr>
            </w:pPr>
          </w:p>
        </w:tc>
        <w:tc>
          <w:tcPr>
            <w:tcW w:w="3380" w:type="dxa"/>
            <w:vAlign w:val="bottom"/>
            <w:gridSpan w:val="2"/>
            <w:shd w:val="clear" w:color="auto" w:fill="CEFFE7"/>
          </w:tcPr>
          <w:p>
            <w:pPr>
              <w:ind w:left="460"/>
              <w:spacing w:after="0"/>
              <w:rPr>
                <w:sz w:val="20"/>
                <w:szCs w:val="20"/>
                <w:color w:val="auto"/>
              </w:rPr>
            </w:pPr>
            <w:r>
              <w:rPr>
                <w:rFonts w:ascii="Arial" w:cs="Arial" w:eastAsia="Arial" w:hAnsi="Arial"/>
                <w:sz w:val="16"/>
                <w:szCs w:val="16"/>
                <w:color w:val="auto"/>
              </w:rPr>
              <w:t>Total other assets, non-current</w:t>
            </w:r>
          </w:p>
        </w:tc>
        <w:tc>
          <w:tcPr>
            <w:tcW w:w="4060" w:type="dxa"/>
            <w:vAlign w:val="bottom"/>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1,874,587</w:t>
            </w:r>
          </w:p>
        </w:tc>
        <w:tc>
          <w:tcPr>
            <w:tcW w:w="20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1,575,781</w:t>
            </w:r>
          </w:p>
        </w:tc>
      </w:tr>
      <w:tr>
        <w:trPr>
          <w:trHeight w:val="213"/>
        </w:trPr>
        <w:tc>
          <w:tcPr>
            <w:tcW w:w="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4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9,131,896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8,088,786</w:t>
            </w: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65">
        <w:r>
          <w:rPr>
            <w:rFonts w:ascii="Arial" w:cs="Arial" w:eastAsia="Arial" w:hAnsi="Arial"/>
            <w:sz w:val="14"/>
            <w:szCs w:val="14"/>
            <w:u w:val="single" w:color="auto"/>
            <w:color w:val="0000FF"/>
          </w:rPr>
          <w:t>Notes to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4"/>
        </w:trPr>
        <w:tc>
          <w:tcPr>
            <w:tcW w:w="748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664"/>
        </w:trPr>
        <w:tc>
          <w:tcPr>
            <w:tcW w:w="1360" w:type="dxa"/>
            <w:vAlign w:val="bottom"/>
            <w:tcBorders>
              <w:top w:val="single" w:sz="8" w:color="0000FF"/>
            </w:tcBorders>
          </w:tcPr>
          <w:p>
            <w:pPr>
              <w:spacing w:after="0"/>
              <w:rPr>
                <w:sz w:val="24"/>
                <w:szCs w:val="24"/>
                <w:color w:val="auto"/>
              </w:rPr>
            </w:pPr>
          </w:p>
        </w:tc>
        <w:tc>
          <w:tcPr>
            <w:tcW w:w="6120" w:type="dxa"/>
            <w:vAlign w:val="bottom"/>
          </w:tcPr>
          <w:p>
            <w:pPr>
              <w:jc w:val="center"/>
              <w:ind w:left="2319"/>
              <w:spacing w:after="0"/>
              <w:rPr>
                <w:sz w:val="20"/>
                <w:szCs w:val="20"/>
                <w:color w:val="auto"/>
              </w:rPr>
            </w:pPr>
            <w:r>
              <w:rPr>
                <w:rFonts w:ascii="Arial" w:cs="Arial" w:eastAsia="Arial" w:hAnsi="Arial"/>
                <w:sz w:val="16"/>
                <w:szCs w:val="16"/>
                <w:b w:val="1"/>
                <w:bCs w:val="1"/>
                <w:color w:val="auto"/>
              </w:rPr>
              <w:t>BLACK HILLS CORPORATION</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6120" w:type="dxa"/>
            <w:vAlign w:val="bottom"/>
          </w:tcPr>
          <w:p>
            <w:pPr>
              <w:jc w:val="center"/>
              <w:ind w:left="2339"/>
              <w:spacing w:after="0"/>
              <w:rPr>
                <w:sz w:val="20"/>
                <w:szCs w:val="20"/>
                <w:color w:val="auto"/>
              </w:rPr>
            </w:pPr>
            <w:r>
              <w:rPr>
                <w:rFonts w:ascii="Arial" w:cs="Arial" w:eastAsia="Arial" w:hAnsi="Arial"/>
                <w:sz w:val="16"/>
                <w:szCs w:val="16"/>
                <w:b w:val="1"/>
                <w:bCs w:val="1"/>
                <w:color w:val="auto"/>
              </w:rPr>
              <w:t>CONSOLIDATED BALANCE SHEETS</w:t>
            </w: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5"/>
        </w:trPr>
        <w:tc>
          <w:tcPr>
            <w:tcW w:w="1360" w:type="dxa"/>
            <w:vAlign w:val="bottom"/>
          </w:tcPr>
          <w:p>
            <w:pPr>
              <w:spacing w:after="0"/>
              <w:rPr>
                <w:sz w:val="18"/>
                <w:szCs w:val="18"/>
                <w:color w:val="auto"/>
              </w:rPr>
            </w:pPr>
          </w:p>
        </w:tc>
        <w:tc>
          <w:tcPr>
            <w:tcW w:w="6120" w:type="dxa"/>
            <w:vAlign w:val="bottom"/>
          </w:tcPr>
          <w:p>
            <w:pPr>
              <w:jc w:val="center"/>
              <w:ind w:left="2319"/>
              <w:spacing w:after="0"/>
              <w:rPr>
                <w:sz w:val="20"/>
                <w:szCs w:val="20"/>
                <w:color w:val="auto"/>
              </w:rPr>
            </w:pPr>
            <w:r>
              <w:rPr>
                <w:rFonts w:ascii="Arial" w:cs="Arial" w:eastAsia="Arial" w:hAnsi="Arial"/>
                <w:sz w:val="16"/>
                <w:szCs w:val="16"/>
                <w:b w:val="1"/>
                <w:bCs w:val="1"/>
                <w:color w:val="auto"/>
              </w:rPr>
              <w:t>(Continued)</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24"/>
        </w:trPr>
        <w:tc>
          <w:tcPr>
            <w:tcW w:w="13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680" w:type="dxa"/>
            <w:vAlign w:val="bottom"/>
          </w:tcPr>
          <w:p>
            <w:pPr>
              <w:spacing w:after="0"/>
              <w:rPr>
                <w:sz w:val="24"/>
                <w:szCs w:val="24"/>
                <w:color w:val="auto"/>
              </w:rPr>
            </w:pPr>
          </w:p>
        </w:tc>
      </w:tr>
      <w:tr>
        <w:trPr>
          <w:trHeight w:val="219"/>
        </w:trPr>
        <w:tc>
          <w:tcPr>
            <w:tcW w:w="136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December 31, 2021</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December 31, 2020</w:t>
            </w:r>
          </w:p>
        </w:tc>
      </w:tr>
      <w:tr>
        <w:trPr>
          <w:trHeight w:val="207"/>
        </w:trPr>
        <w:tc>
          <w:tcPr>
            <w:tcW w:w="136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gridSpan w:val="3"/>
          </w:tcPr>
          <w:p>
            <w:pPr>
              <w:jc w:val="right"/>
              <w:ind w:right="439"/>
              <w:spacing w:after="0"/>
              <w:rPr>
                <w:sz w:val="20"/>
                <w:szCs w:val="20"/>
                <w:color w:val="auto"/>
              </w:rPr>
            </w:pPr>
            <w:r>
              <w:rPr>
                <w:rFonts w:ascii="Arial" w:cs="Arial" w:eastAsia="Arial" w:hAnsi="Arial"/>
                <w:sz w:val="16"/>
                <w:szCs w:val="16"/>
                <w:color w:val="auto"/>
              </w:rPr>
              <w:t>(in thousands, except share amounts)</w:t>
            </w:r>
          </w:p>
        </w:tc>
      </w:tr>
      <w:tr>
        <w:trPr>
          <w:trHeight w:val="216"/>
        </w:trPr>
        <w:tc>
          <w:tcPr>
            <w:tcW w:w="1360" w:type="dxa"/>
            <w:vAlign w:val="bottom"/>
          </w:tcPr>
          <w:p>
            <w:pPr>
              <w:spacing w:after="0"/>
              <w:rPr>
                <w:sz w:val="18"/>
                <w:szCs w:val="18"/>
                <w:color w:val="auto"/>
              </w:rPr>
            </w:pPr>
          </w:p>
        </w:tc>
        <w:tc>
          <w:tcPr>
            <w:tcW w:w="6120" w:type="dxa"/>
            <w:vAlign w:val="bottom"/>
          </w:tcPr>
          <w:p>
            <w:pPr>
              <w:ind w:left="140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9"/>
        </w:trPr>
        <w:tc>
          <w:tcPr>
            <w:tcW w:w="748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217,761</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183,340</w:t>
            </w:r>
          </w:p>
        </w:tc>
      </w:tr>
      <w:tr>
        <w:trPr>
          <w:trHeight w:val="213"/>
        </w:trPr>
        <w:tc>
          <w:tcPr>
            <w:tcW w:w="7480" w:type="dxa"/>
            <w:vAlign w:val="bottom"/>
            <w:gridSpan w:val="2"/>
          </w:tcPr>
          <w:p>
            <w:pPr>
              <w:ind w:left="14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244,759</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243,612</w:t>
            </w:r>
          </w:p>
        </w:tc>
      </w:tr>
      <w:tr>
        <w:trPr>
          <w:trHeight w:val="219"/>
        </w:trPr>
        <w:tc>
          <w:tcPr>
            <w:tcW w:w="748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Derivative liabilities, current</w:t>
            </w:r>
          </w:p>
        </w:tc>
        <w:tc>
          <w:tcPr>
            <w:tcW w:w="18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1,439</w:t>
            </w:r>
          </w:p>
        </w:tc>
        <w:tc>
          <w:tcPr>
            <w:tcW w:w="22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2,044</w:t>
            </w:r>
          </w:p>
        </w:tc>
      </w:tr>
      <w:tr>
        <w:trPr>
          <w:trHeight w:val="213"/>
        </w:trPr>
        <w:tc>
          <w:tcPr>
            <w:tcW w:w="7480" w:type="dxa"/>
            <w:vAlign w:val="bottom"/>
            <w:gridSpan w:val="2"/>
          </w:tcPr>
          <w:p>
            <w:pPr>
              <w:ind w:left="140"/>
              <w:spacing w:after="0"/>
              <w:rPr>
                <w:sz w:val="20"/>
                <w:szCs w:val="20"/>
                <w:color w:val="auto"/>
              </w:rPr>
            </w:pPr>
            <w:r>
              <w:rPr>
                <w:rFonts w:ascii="Arial" w:cs="Arial" w:eastAsia="Arial" w:hAnsi="Arial"/>
                <w:sz w:val="16"/>
                <w:szCs w:val="16"/>
                <w:color w:val="auto"/>
              </w:rPr>
              <w:t>Regulatory liabilities, current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17,574</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25,061</w:t>
            </w:r>
          </w:p>
        </w:tc>
      </w:tr>
      <w:tr>
        <w:trPr>
          <w:trHeight w:val="219"/>
        </w:trPr>
        <w:tc>
          <w:tcPr>
            <w:tcW w:w="748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Notes payable</w:t>
            </w:r>
          </w:p>
        </w:tc>
        <w:tc>
          <w:tcPr>
            <w:tcW w:w="18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420,180</w:t>
            </w:r>
          </w:p>
        </w:tc>
        <w:tc>
          <w:tcPr>
            <w:tcW w:w="22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234,040</w:t>
            </w:r>
          </w:p>
        </w:tc>
      </w:tr>
      <w:tr>
        <w:trPr>
          <w:trHeight w:val="213"/>
        </w:trPr>
        <w:tc>
          <w:tcPr>
            <w:tcW w:w="7480" w:type="dxa"/>
            <w:vAlign w:val="bottom"/>
            <w:tcBorders>
              <w:bottom w:val="single" w:sz="8" w:color="CEFFE7"/>
            </w:tcBorders>
            <w:gridSpan w:val="2"/>
          </w:tcPr>
          <w:p>
            <w:pPr>
              <w:ind w:left="14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8,436</w:t>
            </w:r>
          </w:p>
        </w:tc>
      </w:tr>
      <w:tr>
        <w:trPr>
          <w:trHeight w:val="210"/>
        </w:trPr>
        <w:tc>
          <w:tcPr>
            <w:tcW w:w="7480" w:type="dxa"/>
            <w:vAlign w:val="bottom"/>
            <w:gridSpan w:val="2"/>
            <w:shd w:val="clear" w:color="auto" w:fill="CEFFE7"/>
          </w:tcPr>
          <w:p>
            <w:pPr>
              <w:ind w:left="4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901,713</w:t>
            </w:r>
          </w:p>
        </w:tc>
        <w:tc>
          <w:tcPr>
            <w:tcW w:w="22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696,533</w:t>
            </w:r>
          </w:p>
        </w:tc>
      </w:tr>
      <w:tr>
        <w:trPr>
          <w:trHeight w:val="239"/>
        </w:trPr>
        <w:tc>
          <w:tcPr>
            <w:tcW w:w="13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3"/>
        </w:trPr>
        <w:tc>
          <w:tcPr>
            <w:tcW w:w="74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18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4,126,923</w:t>
            </w:r>
          </w:p>
        </w:tc>
        <w:tc>
          <w:tcPr>
            <w:tcW w:w="22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3,528,100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credits and other liabilities: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Deferred income tax liabilities, net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Regulatory liabilities, non-current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Benefit plan liabilities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deferred credits and other liabilities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Total deferred credits and 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380" w:type="dxa"/>
            <w:vAlign w:val="bottom"/>
          </w:tcPr>
          <w:p>
            <w:pPr>
              <w:jc w:val="right"/>
              <w:ind w:right="479"/>
              <w:spacing w:after="0"/>
              <w:rPr>
                <w:sz w:val="20"/>
                <w:szCs w:val="20"/>
                <w:color w:val="auto"/>
              </w:rPr>
            </w:pPr>
            <w:r>
              <w:rPr>
                <w:rFonts w:ascii="Arial" w:cs="Arial" w:eastAsia="Arial" w:hAnsi="Arial"/>
                <w:sz w:val="16"/>
                <w:szCs w:val="16"/>
                <w:color w:val="auto"/>
              </w:rPr>
              <w:t>465,388</w:t>
            </w:r>
          </w:p>
        </w:tc>
        <w:tc>
          <w:tcPr>
            <w:tcW w:w="1380" w:type="dxa"/>
            <w:vAlign w:val="bottom"/>
          </w:tcPr>
          <w:p>
            <w:pPr>
              <w:jc w:val="right"/>
              <w:spacing w:after="0"/>
              <w:rPr>
                <w:sz w:val="20"/>
                <w:szCs w:val="20"/>
                <w:color w:val="auto"/>
              </w:rPr>
            </w:pPr>
            <w:r>
              <w:rPr>
                <w:rFonts w:ascii="Arial" w:cs="Arial" w:eastAsia="Arial" w:hAnsi="Arial"/>
                <w:sz w:val="16"/>
                <w:szCs w:val="16"/>
                <w:color w:val="auto"/>
              </w:rPr>
              <w:t>408,624</w:t>
            </w:r>
          </w:p>
        </w:tc>
      </w:tr>
      <w:tr>
        <w:trPr>
          <w:trHeight w:val="216"/>
        </w:trPr>
        <w:tc>
          <w:tcPr>
            <w:tcW w:w="2380" w:type="dxa"/>
            <w:vAlign w:val="bottom"/>
          </w:tcPr>
          <w:p>
            <w:pPr>
              <w:jc w:val="right"/>
              <w:ind w:right="479"/>
              <w:spacing w:after="0"/>
              <w:rPr>
                <w:sz w:val="20"/>
                <w:szCs w:val="20"/>
                <w:color w:val="auto"/>
              </w:rPr>
            </w:pPr>
            <w:r>
              <w:rPr>
                <w:rFonts w:ascii="Arial" w:cs="Arial" w:eastAsia="Arial" w:hAnsi="Arial"/>
                <w:sz w:val="16"/>
                <w:szCs w:val="16"/>
                <w:color w:val="auto"/>
              </w:rPr>
              <w:t>485,377</w:t>
            </w:r>
          </w:p>
        </w:tc>
        <w:tc>
          <w:tcPr>
            <w:tcW w:w="1380" w:type="dxa"/>
            <w:vAlign w:val="bottom"/>
          </w:tcPr>
          <w:p>
            <w:pPr>
              <w:jc w:val="right"/>
              <w:spacing w:after="0"/>
              <w:rPr>
                <w:sz w:val="20"/>
                <w:szCs w:val="20"/>
                <w:color w:val="auto"/>
              </w:rPr>
            </w:pPr>
            <w:r>
              <w:rPr>
                <w:rFonts w:ascii="Arial" w:cs="Arial" w:eastAsia="Arial" w:hAnsi="Arial"/>
                <w:sz w:val="16"/>
                <w:szCs w:val="16"/>
                <w:color w:val="auto"/>
              </w:rPr>
              <w:t>507,659</w:t>
            </w:r>
          </w:p>
        </w:tc>
      </w:tr>
      <w:tr>
        <w:trPr>
          <w:trHeight w:val="216"/>
        </w:trPr>
        <w:tc>
          <w:tcPr>
            <w:tcW w:w="2380" w:type="dxa"/>
            <w:vAlign w:val="bottom"/>
          </w:tcPr>
          <w:p>
            <w:pPr>
              <w:jc w:val="right"/>
              <w:ind w:right="479"/>
              <w:spacing w:after="0"/>
              <w:rPr>
                <w:sz w:val="20"/>
                <w:szCs w:val="20"/>
                <w:color w:val="auto"/>
              </w:rPr>
            </w:pPr>
            <w:r>
              <w:rPr>
                <w:rFonts w:ascii="Arial" w:cs="Arial" w:eastAsia="Arial" w:hAnsi="Arial"/>
                <w:sz w:val="16"/>
                <w:szCs w:val="16"/>
                <w:color w:val="auto"/>
              </w:rPr>
              <w:t>123,925</w:t>
            </w:r>
          </w:p>
        </w:tc>
        <w:tc>
          <w:tcPr>
            <w:tcW w:w="1380" w:type="dxa"/>
            <w:vAlign w:val="bottom"/>
          </w:tcPr>
          <w:p>
            <w:pPr>
              <w:jc w:val="right"/>
              <w:spacing w:after="0"/>
              <w:rPr>
                <w:sz w:val="20"/>
                <w:szCs w:val="20"/>
                <w:color w:val="auto"/>
              </w:rPr>
            </w:pPr>
            <w:r>
              <w:rPr>
                <w:rFonts w:ascii="Arial" w:cs="Arial" w:eastAsia="Arial" w:hAnsi="Arial"/>
                <w:sz w:val="16"/>
                <w:szCs w:val="16"/>
                <w:color w:val="auto"/>
              </w:rPr>
              <w:t>150,556</w:t>
            </w:r>
          </w:p>
        </w:tc>
      </w:tr>
      <w:tr>
        <w:trPr>
          <w:trHeight w:val="219"/>
        </w:trPr>
        <w:tc>
          <w:tcPr>
            <w:tcW w:w="23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141,447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134,667</w:t>
            </w:r>
          </w:p>
        </w:tc>
      </w:tr>
      <w:tr>
        <w:trPr>
          <w:trHeight w:val="209"/>
        </w:trPr>
        <w:tc>
          <w:tcPr>
            <w:tcW w:w="23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1,216,137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-4744085</wp:posOffset>
            </wp:positionH>
            <wp:positionV relativeFrom="paragraph">
              <wp:posOffset>-565150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-290830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-7620</wp:posOffset>
            </wp:positionV>
            <wp:extent cx="7132320"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60" w:space="720"/>
            <w:col w:w="3760"/>
          </w:cols>
          <w:pgMar w:left="320" w:top="118" w:right="339" w:bottom="1440" w:gutter="0" w:footer="0" w:header="0"/>
          <w:type w:val="continuous"/>
        </w:sectPr>
      </w:pPr>
    </w:p>
    <w:p>
      <w:pPr>
        <w:spacing w:after="0" w:line="58"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Commitments, contingencies and guarantees (</w:t>
      </w:r>
      <w:hyperlink w:anchor="page79">
        <w:r>
          <w:rPr>
            <w:rFonts w:ascii="Arial" w:cs="Arial" w:eastAsia="Arial" w:hAnsi="Arial"/>
            <w:sz w:val="16"/>
            <w:szCs w:val="16"/>
            <w:u w:val="single" w:color="auto"/>
            <w:color w:val="0000FF"/>
          </w:rPr>
          <w:t>Note 3</w:t>
        </w:r>
      </w:hyperlink>
      <w:r>
        <w:rPr>
          <w:rFonts w:ascii="Arial" w:cs="Arial" w:eastAsia="Arial" w:hAnsi="Arial"/>
          <w:sz w:val="16"/>
          <w:szCs w:val="16"/>
          <w:color w:val="auto"/>
        </w:rPr>
        <w: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80" w:type="dxa"/>
            <w:vAlign w:val="bottom"/>
            <w:shd w:val="clear" w:color="auto" w:fill="CEFFE7"/>
          </w:tcPr>
          <w:p>
            <w:pPr>
              <w:spacing w:after="0"/>
              <w:rPr>
                <w:sz w:val="21"/>
                <w:szCs w:val="21"/>
                <w:color w:val="auto"/>
              </w:rPr>
            </w:pPr>
          </w:p>
        </w:tc>
        <w:tc>
          <w:tcPr>
            <w:tcW w:w="600" w:type="dxa"/>
            <w:vAlign w:val="bottom"/>
            <w:shd w:val="clear" w:color="auto" w:fill="CEFFE7"/>
          </w:tcPr>
          <w:p>
            <w:pPr>
              <w:spacing w:after="0"/>
              <w:rPr>
                <w:sz w:val="21"/>
                <w:szCs w:val="21"/>
                <w:color w:val="auto"/>
              </w:rPr>
            </w:pPr>
          </w:p>
        </w:tc>
        <w:tc>
          <w:tcPr>
            <w:tcW w:w="1280" w:type="dxa"/>
            <w:vAlign w:val="bottom"/>
            <w:shd w:val="clear" w:color="auto" w:fill="CEFFE7"/>
          </w:tcPr>
          <w:p>
            <w:pPr>
              <w:spacing w:after="0"/>
              <w:rPr>
                <w:sz w:val="21"/>
                <w:szCs w:val="21"/>
                <w:color w:val="auto"/>
              </w:rPr>
            </w:pPr>
          </w:p>
        </w:tc>
        <w:tc>
          <w:tcPr>
            <w:tcW w:w="600" w:type="dxa"/>
            <w:vAlign w:val="bottom"/>
            <w:shd w:val="clear" w:color="auto" w:fill="CEFFE7"/>
          </w:tcPr>
          <w:p>
            <w:pPr>
              <w:spacing w:after="0"/>
              <w:rPr>
                <w:sz w:val="21"/>
                <w:szCs w:val="21"/>
                <w:color w:val="auto"/>
              </w:rPr>
            </w:pPr>
          </w:p>
        </w:tc>
        <w:tc>
          <w:tcPr>
            <w:tcW w:w="1280" w:type="dxa"/>
            <w:vAlign w:val="bottom"/>
            <w:shd w:val="clear" w:color="auto" w:fill="CEFFE7"/>
          </w:tcPr>
          <w:p>
            <w:pPr>
              <w:spacing w:after="0"/>
              <w:rPr>
                <w:sz w:val="21"/>
                <w:szCs w:val="2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Equity:</w:t>
            </w: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480" w:type="dxa"/>
            <w:vAlign w:val="bottom"/>
            <w:shd w:val="clear" w:color="auto" w:fill="CEFFE7"/>
          </w:tcPr>
          <w:p>
            <w:pPr>
              <w:ind w:left="20"/>
              <w:spacing w:after="0"/>
              <w:rPr>
                <w:sz w:val="20"/>
                <w:szCs w:val="20"/>
                <w:color w:val="auto"/>
              </w:rPr>
            </w:pPr>
            <w:r>
              <w:rPr>
                <w:rFonts w:ascii="Arial" w:cs="Arial" w:eastAsia="Arial" w:hAnsi="Arial"/>
                <w:sz w:val="16"/>
                <w:szCs w:val="16"/>
                <w:color w:val="auto"/>
              </w:rPr>
              <w:t>Stockholders’ equity -</w:t>
            </w:r>
          </w:p>
        </w:tc>
        <w:tc>
          <w:tcPr>
            <w:tcW w:w="600" w:type="dxa"/>
            <w:vAlign w:val="bottom"/>
            <w:shd w:val="clear" w:color="auto" w:fill="CEFFE7"/>
          </w:tcPr>
          <w:p>
            <w:pPr>
              <w:spacing w:after="0"/>
              <w:rPr>
                <w:sz w:val="19"/>
                <w:szCs w:val="19"/>
                <w:color w:val="auto"/>
              </w:rPr>
            </w:pPr>
          </w:p>
        </w:tc>
        <w:tc>
          <w:tcPr>
            <w:tcW w:w="1280" w:type="dxa"/>
            <w:vAlign w:val="bottom"/>
            <w:shd w:val="clear" w:color="auto" w:fill="CEFFE7"/>
          </w:tcPr>
          <w:p>
            <w:pPr>
              <w:spacing w:after="0"/>
              <w:rPr>
                <w:sz w:val="19"/>
                <w:szCs w:val="19"/>
                <w:color w:val="auto"/>
              </w:rPr>
            </w:pPr>
          </w:p>
        </w:tc>
        <w:tc>
          <w:tcPr>
            <w:tcW w:w="600" w:type="dxa"/>
            <w:vAlign w:val="bottom"/>
            <w:shd w:val="clear" w:color="auto" w:fill="CEFFE7"/>
          </w:tcPr>
          <w:p>
            <w:pPr>
              <w:spacing w:after="0"/>
              <w:rPr>
                <w:sz w:val="19"/>
                <w:szCs w:val="19"/>
                <w:color w:val="auto"/>
              </w:rPr>
            </w:pPr>
          </w:p>
        </w:tc>
        <w:tc>
          <w:tcPr>
            <w:tcW w:w="1280" w:type="dxa"/>
            <w:vAlign w:val="bottom"/>
            <w:shd w:val="clear" w:color="auto" w:fill="CEFFE7"/>
          </w:tcPr>
          <w:p>
            <w:pPr>
              <w:spacing w:after="0"/>
              <w:rPr>
                <w:sz w:val="19"/>
                <w:szCs w:val="19"/>
                <w:color w:val="auto"/>
              </w:rPr>
            </w:pPr>
          </w:p>
        </w:tc>
      </w:tr>
      <w:tr>
        <w:trPr>
          <w:trHeight w:val="177"/>
        </w:trPr>
        <w:tc>
          <w:tcPr>
            <w:tcW w:w="7480" w:type="dxa"/>
            <w:vAlign w:val="bottom"/>
          </w:tcPr>
          <w:p>
            <w:pPr>
              <w:ind w:left="140"/>
              <w:spacing w:after="0" w:line="178" w:lineRule="exact"/>
              <w:rPr>
                <w:sz w:val="20"/>
                <w:szCs w:val="20"/>
                <w:color w:val="auto"/>
              </w:rPr>
            </w:pPr>
            <w:r>
              <w:rPr>
                <w:rFonts w:ascii="Arial" w:cs="Arial" w:eastAsia="Arial" w:hAnsi="Arial"/>
                <w:sz w:val="16"/>
                <w:szCs w:val="16"/>
                <w:color w:val="auto"/>
              </w:rPr>
              <w:t>Common stock $1.00 par value; 100,000,000 shares authorized; issued: 64,793,095 and 62,827,179,</w:t>
            </w:r>
          </w:p>
        </w:tc>
        <w:tc>
          <w:tcPr>
            <w:tcW w:w="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8"/>
        </w:trPr>
        <w:tc>
          <w:tcPr>
            <w:tcW w:w="7480" w:type="dxa"/>
            <w:vAlign w:val="bottom"/>
          </w:tcPr>
          <w:p>
            <w:pPr>
              <w:ind w:left="140"/>
              <w:spacing w:after="0"/>
              <w:rPr>
                <w:sz w:val="20"/>
                <w:szCs w:val="20"/>
                <w:color w:val="auto"/>
              </w:rPr>
            </w:pPr>
            <w:r>
              <w:rPr>
                <w:rFonts w:ascii="Arial" w:cs="Arial" w:eastAsia="Arial" w:hAnsi="Arial"/>
                <w:sz w:val="16"/>
                <w:szCs w:val="16"/>
                <w:color w:val="auto"/>
              </w:rPr>
              <w:t>respectively</w:t>
            </w:r>
          </w:p>
        </w:tc>
        <w:tc>
          <w:tcPr>
            <w:tcW w:w="6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64,793</w:t>
            </w:r>
          </w:p>
        </w:tc>
        <w:tc>
          <w:tcPr>
            <w:tcW w:w="6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62,827</w:t>
            </w:r>
          </w:p>
        </w:tc>
      </w:tr>
      <w:tr>
        <w:trPr>
          <w:trHeight w:val="219"/>
        </w:trPr>
        <w:tc>
          <w:tcPr>
            <w:tcW w:w="74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Additional paid-in capital</w:t>
            </w:r>
          </w:p>
        </w:tc>
        <w:tc>
          <w:tcPr>
            <w:tcW w:w="60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1,783,436</w:t>
            </w:r>
          </w:p>
        </w:tc>
        <w:tc>
          <w:tcPr>
            <w:tcW w:w="60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1,657,285</w:t>
            </w:r>
          </w:p>
        </w:tc>
      </w:tr>
      <w:tr>
        <w:trPr>
          <w:trHeight w:val="213"/>
        </w:trPr>
        <w:tc>
          <w:tcPr>
            <w:tcW w:w="748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962,458</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870,738</w:t>
            </w:r>
          </w:p>
        </w:tc>
      </w:tr>
      <w:tr>
        <w:trPr>
          <w:trHeight w:val="219"/>
        </w:trPr>
        <w:tc>
          <w:tcPr>
            <w:tcW w:w="74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Treasury stock at cost - 54,078 and 32,492, respectively</w:t>
            </w:r>
          </w:p>
        </w:tc>
        <w:tc>
          <w:tcPr>
            <w:tcW w:w="60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(3,509)</w:t>
            </w:r>
          </w:p>
        </w:tc>
        <w:tc>
          <w:tcPr>
            <w:tcW w:w="60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(2,119)</w:t>
            </w:r>
          </w:p>
        </w:tc>
      </w:tr>
      <w:tr>
        <w:trPr>
          <w:trHeight w:val="213"/>
        </w:trPr>
        <w:tc>
          <w:tcPr>
            <w:tcW w:w="74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(20,084)</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(27,346)</w:t>
            </w:r>
          </w:p>
        </w:tc>
      </w:tr>
      <w:tr>
        <w:trPr>
          <w:trHeight w:val="213"/>
        </w:trPr>
        <w:tc>
          <w:tcPr>
            <w:tcW w:w="748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stockholders’ equity</w:t>
            </w:r>
          </w:p>
        </w:tc>
        <w:tc>
          <w:tcPr>
            <w:tcW w:w="60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2,787,094</w:t>
            </w:r>
          </w:p>
        </w:tc>
        <w:tc>
          <w:tcPr>
            <w:tcW w:w="60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2,561,385</w:t>
            </w:r>
          </w:p>
        </w:tc>
      </w:tr>
      <w:tr>
        <w:trPr>
          <w:trHeight w:val="213"/>
        </w:trPr>
        <w:tc>
          <w:tcPr>
            <w:tcW w:w="74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Non-controlling interest</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100,029</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101,262</w:t>
            </w:r>
          </w:p>
        </w:tc>
      </w:tr>
      <w:tr>
        <w:trPr>
          <w:trHeight w:val="209"/>
        </w:trPr>
        <w:tc>
          <w:tcPr>
            <w:tcW w:w="748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equity</w:t>
            </w:r>
          </w:p>
        </w:tc>
        <w:tc>
          <w:tcPr>
            <w:tcW w:w="60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2,887,123</w:t>
            </w:r>
          </w:p>
        </w:tc>
        <w:tc>
          <w:tcPr>
            <w:tcW w:w="60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2,662,647</w:t>
            </w:r>
          </w:p>
        </w:tc>
      </w:tr>
      <w:tr>
        <w:trPr>
          <w:trHeight w:val="240"/>
        </w:trPr>
        <w:tc>
          <w:tcPr>
            <w:tcW w:w="7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1"/>
        </w:trPr>
        <w:tc>
          <w:tcPr>
            <w:tcW w:w="7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LIABILITIES AND TOTAL EQUITY</w:t>
            </w:r>
          </w:p>
        </w:tc>
        <w:tc>
          <w:tcPr>
            <w:tcW w:w="600" w:type="dxa"/>
            <w:vAlign w:val="bottom"/>
            <w:tcBorders>
              <w:bottom w:val="single" w:sz="8" w:color="auto"/>
            </w:tcBorders>
            <w:shd w:val="clear" w:color="auto" w:fill="CEFFE7"/>
          </w:tcPr>
          <w:p>
            <w:pPr>
              <w:jc w:val="right"/>
              <w:ind w:right="3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9,131,896</w:t>
            </w:r>
          </w:p>
        </w:tc>
        <w:tc>
          <w:tcPr>
            <w:tcW w:w="600" w:type="dxa"/>
            <w:vAlign w:val="bottom"/>
            <w:tcBorders>
              <w:bottom w:val="single" w:sz="8" w:color="auto"/>
            </w:tcBorders>
            <w:shd w:val="clear" w:color="auto" w:fill="CEFFE7"/>
          </w:tcPr>
          <w:p>
            <w:pPr>
              <w:jc w:val="right"/>
              <w:ind w:right="3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8,088,786</w:t>
            </w:r>
          </w:p>
        </w:tc>
      </w:tr>
      <w:tr>
        <w:trPr>
          <w:trHeight w:val="20"/>
        </w:trPr>
        <w:tc>
          <w:tcPr>
            <w:tcW w:w="7480" w:type="dxa"/>
            <w:vAlign w:val="bottom"/>
            <w:tcBorders>
              <w:top w:val="single" w:sz="8" w:color="CEFFE7"/>
            </w:tcBorders>
          </w:tcPr>
          <w:p>
            <w:pPr>
              <w:spacing w:after="0" w:line="20" w:lineRule="exact"/>
              <w:rPr>
                <w:sz w:val="1"/>
                <w:szCs w:val="1"/>
                <w:color w:val="auto"/>
              </w:rPr>
            </w:pPr>
          </w:p>
        </w:tc>
        <w:tc>
          <w:tcPr>
            <w:tcW w:w="60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60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65">
        <w:r>
          <w:rPr>
            <w:rFonts w:ascii="Arial" w:cs="Arial" w:eastAsia="Arial" w:hAnsi="Arial"/>
            <w:sz w:val="14"/>
            <w:szCs w:val="14"/>
            <w:u w:val="single" w:color="auto"/>
            <w:color w:val="0000FF"/>
          </w:rPr>
          <w:t>Notes to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Consolidated Financial Statements.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3" w:name="page64"/>
    <w:bookmarkEnd w:id="6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00" w:type="dxa"/>
            <w:vAlign w:val="bottom"/>
          </w:tcPr>
          <w:p>
            <w:pPr>
              <w:spacing w:after="0"/>
              <w:rPr>
                <w:sz w:val="20"/>
                <w:szCs w:val="20"/>
                <w:color w:val="auto"/>
              </w:rPr>
            </w:pPr>
            <w:r>
              <w:rPr>
                <w:rFonts w:ascii="Arial" w:cs="Arial" w:eastAsia="Arial" w:hAnsi="Arial"/>
                <w:sz w:val="14"/>
                <w:szCs w:val="14"/>
                <w:color w:val="auto"/>
              </w:rPr>
              <w:t>Year ended</w:t>
            </w: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December 31, 2021</w:t>
            </w: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December 31, 2020</w:t>
            </w: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December 31, 2019</w:t>
            </w:r>
          </w:p>
        </w:tc>
      </w:tr>
      <w:tr>
        <w:trPr>
          <w:trHeight w:val="183"/>
        </w:trPr>
        <w:tc>
          <w:tcPr>
            <w:tcW w:w="6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9"/>
        </w:trPr>
        <w:tc>
          <w:tcPr>
            <w:tcW w:w="6600" w:type="dxa"/>
            <w:vAlign w:val="bottom"/>
            <w:shd w:val="clear" w:color="auto" w:fill="CEFFE7"/>
          </w:tcPr>
          <w:p>
            <w:pPr>
              <w:spacing w:after="0"/>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spacing w:after="0"/>
              <w:rPr>
                <w:sz w:val="16"/>
                <w:szCs w:val="16"/>
                <w:color w:val="auto"/>
              </w:rPr>
            </w:pP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spacing w:after="0"/>
              <w:rPr>
                <w:sz w:val="16"/>
                <w:szCs w:val="16"/>
                <w:color w:val="auto"/>
              </w:rPr>
            </w:pPr>
          </w:p>
        </w:tc>
        <w:tc>
          <w:tcPr>
            <w:tcW w:w="120" w:type="dxa"/>
            <w:vAlign w:val="bottom"/>
            <w:shd w:val="clear" w:color="auto" w:fill="CEFFE7"/>
          </w:tcPr>
          <w:p>
            <w:pPr>
              <w:spacing w:after="0"/>
              <w:rPr>
                <w:sz w:val="16"/>
                <w:szCs w:val="16"/>
                <w:color w:val="auto"/>
              </w:rPr>
            </w:pPr>
          </w:p>
        </w:tc>
        <w:tc>
          <w:tcPr>
            <w:tcW w:w="1420" w:type="dxa"/>
            <w:vAlign w:val="bottom"/>
            <w:shd w:val="clear" w:color="auto" w:fill="CEFFE7"/>
          </w:tcPr>
          <w:p>
            <w:pPr>
              <w:spacing w:after="0"/>
              <w:rPr>
                <w:sz w:val="16"/>
                <w:szCs w:val="16"/>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251,260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242,763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213,322</w:t>
            </w:r>
          </w:p>
        </w:tc>
      </w:tr>
      <w:tr>
        <w:trPr>
          <w:trHeight w:val="189"/>
        </w:trPr>
        <w:tc>
          <w:tcPr>
            <w:tcW w:w="6600" w:type="dxa"/>
            <w:vAlign w:val="bottom"/>
            <w:shd w:val="clear" w:color="auto" w:fill="CEFFE7"/>
          </w:tcPr>
          <w:p>
            <w:pPr>
              <w:ind w:left="12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spacing w:after="0"/>
              <w:rPr>
                <w:sz w:val="16"/>
                <w:szCs w:val="16"/>
                <w:color w:val="auto"/>
              </w:rPr>
            </w:pP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spacing w:after="0"/>
              <w:rPr>
                <w:sz w:val="16"/>
                <w:szCs w:val="16"/>
                <w:color w:val="auto"/>
              </w:rPr>
            </w:pPr>
          </w:p>
        </w:tc>
        <w:tc>
          <w:tcPr>
            <w:tcW w:w="120" w:type="dxa"/>
            <w:vAlign w:val="bottom"/>
            <w:shd w:val="clear" w:color="auto" w:fill="CEFFE7"/>
          </w:tcPr>
          <w:p>
            <w:pPr>
              <w:spacing w:after="0"/>
              <w:rPr>
                <w:sz w:val="16"/>
                <w:szCs w:val="16"/>
                <w:color w:val="auto"/>
              </w:rPr>
            </w:pPr>
          </w:p>
        </w:tc>
        <w:tc>
          <w:tcPr>
            <w:tcW w:w="1420" w:type="dxa"/>
            <w:vAlign w:val="bottom"/>
            <w:shd w:val="clear" w:color="auto" w:fill="CEFFE7"/>
          </w:tcPr>
          <w:p>
            <w:pPr>
              <w:spacing w:after="0"/>
              <w:rPr>
                <w:sz w:val="16"/>
                <w:szCs w:val="16"/>
                <w:color w:val="auto"/>
              </w:rPr>
            </w:pPr>
          </w:p>
        </w:tc>
      </w:tr>
      <w:tr>
        <w:trPr>
          <w:trHeight w:val="189"/>
        </w:trPr>
        <w:tc>
          <w:tcPr>
            <w:tcW w:w="6600" w:type="dxa"/>
            <w:vAlign w:val="bottom"/>
          </w:tcPr>
          <w:p>
            <w:pPr>
              <w:ind w:left="200"/>
              <w:spacing w:after="0"/>
              <w:rPr>
                <w:sz w:val="20"/>
                <w:szCs w:val="20"/>
                <w:color w:val="auto"/>
              </w:rPr>
            </w:pPr>
            <w:r>
              <w:rPr>
                <w:rFonts w:ascii="Arial" w:cs="Arial" w:eastAsia="Arial" w:hAnsi="Arial"/>
                <w:sz w:val="14"/>
                <w:szCs w:val="14"/>
                <w:color w:val="auto"/>
              </w:rPr>
              <w:t>Depreciation, depletion and amortization</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235,953</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224,457</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209,120</w:t>
            </w:r>
          </w:p>
        </w:tc>
      </w:tr>
      <w:tr>
        <w:trPr>
          <w:trHeight w:val="189"/>
        </w:trPr>
        <w:tc>
          <w:tcPr>
            <w:tcW w:w="6600" w:type="dxa"/>
            <w:vAlign w:val="bottom"/>
            <w:shd w:val="clear" w:color="auto" w:fill="CEFFE7"/>
          </w:tcPr>
          <w:p>
            <w:pPr>
              <w:ind w:left="200"/>
              <w:spacing w:after="0"/>
              <w:rPr>
                <w:sz w:val="20"/>
                <w:szCs w:val="20"/>
                <w:color w:val="auto"/>
              </w:rPr>
            </w:pPr>
            <w:r>
              <w:rPr>
                <w:rFonts w:ascii="Arial" w:cs="Arial" w:eastAsia="Arial" w:hAnsi="Arial"/>
                <w:sz w:val="14"/>
                <w:szCs w:val="14"/>
                <w:color w:val="auto"/>
              </w:rPr>
              <w:t>Deferred financing cost amortization</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6,968</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7,883</w:t>
            </w:r>
          </w:p>
        </w:tc>
        <w:tc>
          <w:tcPr>
            <w:tcW w:w="120" w:type="dxa"/>
            <w:vAlign w:val="bottom"/>
            <w:shd w:val="clear" w:color="auto" w:fill="CEFFE7"/>
          </w:tcPr>
          <w:p>
            <w:pPr>
              <w:spacing w:after="0"/>
              <w:rPr>
                <w:sz w:val="16"/>
                <w:szCs w:val="16"/>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7,838</w:t>
            </w:r>
          </w:p>
        </w:tc>
      </w:tr>
      <w:tr>
        <w:trPr>
          <w:trHeight w:val="189"/>
        </w:trPr>
        <w:tc>
          <w:tcPr>
            <w:tcW w:w="6600" w:type="dxa"/>
            <w:vAlign w:val="bottom"/>
          </w:tcPr>
          <w:p>
            <w:pPr>
              <w:ind w:left="200"/>
              <w:spacing w:after="0"/>
              <w:rPr>
                <w:sz w:val="20"/>
                <w:szCs w:val="20"/>
                <w:color w:val="auto"/>
              </w:rPr>
            </w:pPr>
            <w:r>
              <w:rPr>
                <w:rFonts w:ascii="Arial" w:cs="Arial" w:eastAsia="Arial" w:hAnsi="Arial"/>
                <w:sz w:val="14"/>
                <w:szCs w:val="14"/>
                <w:color w:val="auto"/>
              </w:rPr>
              <w:t>Impairment of investment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6,859</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19,741</w:t>
            </w:r>
          </w:p>
        </w:tc>
      </w:tr>
      <w:tr>
        <w:trPr>
          <w:trHeight w:val="189"/>
        </w:trPr>
        <w:tc>
          <w:tcPr>
            <w:tcW w:w="6600" w:type="dxa"/>
            <w:vAlign w:val="bottom"/>
            <w:shd w:val="clear" w:color="auto" w:fill="CEFFE7"/>
          </w:tcPr>
          <w:p>
            <w:pPr>
              <w:ind w:left="200"/>
              <w:spacing w:after="0"/>
              <w:rPr>
                <w:sz w:val="20"/>
                <w:szCs w:val="20"/>
                <w:color w:val="auto"/>
              </w:rPr>
            </w:pPr>
            <w:r>
              <w:rPr>
                <w:rFonts w:ascii="Arial" w:cs="Arial" w:eastAsia="Arial" w:hAnsi="Arial"/>
                <w:sz w:val="14"/>
                <w:szCs w:val="14"/>
                <w:color w:val="auto"/>
              </w:rPr>
              <w:t>Stock compensation</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9,655</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5,373</w:t>
            </w:r>
          </w:p>
        </w:tc>
        <w:tc>
          <w:tcPr>
            <w:tcW w:w="120" w:type="dxa"/>
            <w:vAlign w:val="bottom"/>
            <w:shd w:val="clear" w:color="auto" w:fill="CEFFE7"/>
          </w:tcPr>
          <w:p>
            <w:pPr>
              <w:spacing w:after="0"/>
              <w:rPr>
                <w:sz w:val="16"/>
                <w:szCs w:val="16"/>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12,095</w:t>
            </w:r>
          </w:p>
        </w:tc>
      </w:tr>
      <w:tr>
        <w:trPr>
          <w:trHeight w:val="189"/>
        </w:trPr>
        <w:tc>
          <w:tcPr>
            <w:tcW w:w="660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7,261</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38,091</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38,020</w:t>
            </w:r>
          </w:p>
        </w:tc>
      </w:tr>
      <w:tr>
        <w:trPr>
          <w:trHeight w:val="189"/>
        </w:trPr>
        <w:tc>
          <w:tcPr>
            <w:tcW w:w="6600" w:type="dxa"/>
            <w:vAlign w:val="bottom"/>
            <w:shd w:val="clear" w:color="auto" w:fill="CEFFE7"/>
          </w:tcPr>
          <w:p>
            <w:pPr>
              <w:ind w:left="200"/>
              <w:spacing w:after="0"/>
              <w:rPr>
                <w:sz w:val="20"/>
                <w:szCs w:val="20"/>
                <w:color w:val="auto"/>
              </w:rPr>
            </w:pPr>
            <w:r>
              <w:rPr>
                <w:rFonts w:ascii="Arial" w:cs="Arial" w:eastAsia="Arial" w:hAnsi="Arial"/>
                <w:sz w:val="14"/>
                <w:szCs w:val="14"/>
                <w:color w:val="auto"/>
              </w:rPr>
              <w:t>Employee benefit plans</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9,590</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11,997</w:t>
            </w:r>
          </w:p>
        </w:tc>
        <w:tc>
          <w:tcPr>
            <w:tcW w:w="120" w:type="dxa"/>
            <w:vAlign w:val="bottom"/>
            <w:shd w:val="clear" w:color="auto" w:fill="CEFFE7"/>
          </w:tcPr>
          <w:p>
            <w:pPr>
              <w:spacing w:after="0"/>
              <w:rPr>
                <w:sz w:val="16"/>
                <w:szCs w:val="16"/>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12,406</w:t>
            </w:r>
          </w:p>
        </w:tc>
      </w:tr>
      <w:tr>
        <w:trPr>
          <w:trHeight w:val="189"/>
        </w:trPr>
        <w:tc>
          <w:tcPr>
            <w:tcW w:w="6600" w:type="dxa"/>
            <w:vAlign w:val="bottom"/>
          </w:tcPr>
          <w:p>
            <w:pPr>
              <w:ind w:left="200"/>
              <w:spacing w:after="0"/>
              <w:rPr>
                <w:sz w:val="20"/>
                <w:szCs w:val="20"/>
                <w:color w:val="auto"/>
              </w:rPr>
            </w:pPr>
            <w:r>
              <w:rPr>
                <w:rFonts w:ascii="Arial" w:cs="Arial" w:eastAsia="Arial" w:hAnsi="Arial"/>
                <w:sz w:val="14"/>
                <w:szCs w:val="14"/>
                <w:color w:val="auto"/>
              </w:rPr>
              <w:t>Other adjustments, net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7,018</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11,669</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16,485</w:t>
            </w:r>
          </w:p>
        </w:tc>
      </w:tr>
      <w:tr>
        <w:trPr>
          <w:trHeight w:val="189"/>
        </w:trPr>
        <w:tc>
          <w:tcPr>
            <w:tcW w:w="6600" w:type="dxa"/>
            <w:vAlign w:val="bottom"/>
            <w:shd w:val="clear" w:color="auto" w:fill="CEFFE7"/>
          </w:tcPr>
          <w:p>
            <w:pPr>
              <w:ind w:left="120"/>
              <w:spacing w:after="0"/>
              <w:rPr>
                <w:sz w:val="20"/>
                <w:szCs w:val="20"/>
                <w:color w:val="auto"/>
              </w:rPr>
            </w:pPr>
            <w:r>
              <w:rPr>
                <w:rFonts w:ascii="Arial" w:cs="Arial" w:eastAsia="Arial" w:hAnsi="Arial"/>
                <w:sz w:val="14"/>
                <w:szCs w:val="14"/>
                <w:color w:val="auto"/>
              </w:rPr>
              <w:t>Change in certain operating assets and liabilities:</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spacing w:after="0"/>
              <w:rPr>
                <w:sz w:val="16"/>
                <w:szCs w:val="16"/>
                <w:color w:val="auto"/>
              </w:rPr>
            </w:pP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spacing w:after="0"/>
              <w:rPr>
                <w:sz w:val="16"/>
                <w:szCs w:val="16"/>
                <w:color w:val="auto"/>
              </w:rPr>
            </w:pPr>
          </w:p>
        </w:tc>
        <w:tc>
          <w:tcPr>
            <w:tcW w:w="120" w:type="dxa"/>
            <w:vAlign w:val="bottom"/>
            <w:shd w:val="clear" w:color="auto" w:fill="CEFFE7"/>
          </w:tcPr>
          <w:p>
            <w:pPr>
              <w:spacing w:after="0"/>
              <w:rPr>
                <w:sz w:val="16"/>
                <w:szCs w:val="16"/>
                <w:color w:val="auto"/>
              </w:rPr>
            </w:pPr>
          </w:p>
        </w:tc>
        <w:tc>
          <w:tcPr>
            <w:tcW w:w="1420" w:type="dxa"/>
            <w:vAlign w:val="bottom"/>
            <w:shd w:val="clear" w:color="auto" w:fill="CEFFE7"/>
          </w:tcPr>
          <w:p>
            <w:pPr>
              <w:spacing w:after="0"/>
              <w:rPr>
                <w:sz w:val="16"/>
                <w:szCs w:val="16"/>
                <w:color w:val="auto"/>
              </w:rPr>
            </w:pPr>
          </w:p>
        </w:tc>
      </w:tr>
      <w:tr>
        <w:trPr>
          <w:trHeight w:val="189"/>
        </w:trPr>
        <w:tc>
          <w:tcPr>
            <w:tcW w:w="6600" w:type="dxa"/>
            <w:vAlign w:val="bottom"/>
          </w:tcPr>
          <w:p>
            <w:pPr>
              <w:ind w:left="200"/>
              <w:spacing w:after="0"/>
              <w:rPr>
                <w:sz w:val="20"/>
                <w:szCs w:val="20"/>
                <w:color w:val="auto"/>
              </w:rPr>
            </w:pPr>
            <w:r>
              <w:rPr>
                <w:rFonts w:ascii="Arial" w:cs="Arial" w:eastAsia="Arial" w:hAnsi="Arial"/>
                <w:sz w:val="14"/>
                <w:szCs w:val="14"/>
                <w:color w:val="auto"/>
              </w:rPr>
              <w:t>Materials, supplies and fuel</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(35,707)</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2,755</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2,052</w:t>
            </w:r>
          </w:p>
        </w:tc>
      </w:tr>
      <w:tr>
        <w:trPr>
          <w:trHeight w:val="189"/>
        </w:trPr>
        <w:tc>
          <w:tcPr>
            <w:tcW w:w="6600" w:type="dxa"/>
            <w:vAlign w:val="bottom"/>
            <w:shd w:val="clear" w:color="auto" w:fill="CEFFE7"/>
          </w:tcPr>
          <w:p>
            <w:pPr>
              <w:ind w:left="200"/>
              <w:spacing w:after="0"/>
              <w:rPr>
                <w:sz w:val="20"/>
                <w:szCs w:val="20"/>
                <w:color w:val="auto"/>
              </w:rPr>
            </w:pPr>
            <w:r>
              <w:rPr>
                <w:rFonts w:ascii="Arial" w:cs="Arial" w:eastAsia="Arial" w:hAnsi="Arial"/>
                <w:sz w:val="14"/>
                <w:szCs w:val="14"/>
                <w:color w:val="auto"/>
              </w:rPr>
              <w:t>Accounts receivable and other current assets</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(43,170)</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(10,843)</w:t>
            </w:r>
          </w:p>
        </w:tc>
        <w:tc>
          <w:tcPr>
            <w:tcW w:w="120" w:type="dxa"/>
            <w:vAlign w:val="bottom"/>
            <w:shd w:val="clear" w:color="auto" w:fill="CEFFE7"/>
          </w:tcPr>
          <w:p>
            <w:pPr>
              <w:spacing w:after="0"/>
              <w:rPr>
                <w:sz w:val="16"/>
                <w:szCs w:val="16"/>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7,578</w:t>
            </w:r>
          </w:p>
        </w:tc>
      </w:tr>
      <w:tr>
        <w:trPr>
          <w:trHeight w:val="189"/>
        </w:trPr>
        <w:tc>
          <w:tcPr>
            <w:tcW w:w="6600" w:type="dxa"/>
            <w:vAlign w:val="bottom"/>
          </w:tcPr>
          <w:p>
            <w:pPr>
              <w:ind w:left="200"/>
              <w:spacing w:after="0"/>
              <w:rPr>
                <w:sz w:val="20"/>
                <w:szCs w:val="20"/>
                <w:color w:val="auto"/>
              </w:rPr>
            </w:pPr>
            <w:r>
              <w:rPr>
                <w:rFonts w:ascii="Arial" w:cs="Arial" w:eastAsia="Arial" w:hAnsi="Arial"/>
                <w:sz w:val="14"/>
                <w:szCs w:val="14"/>
                <w:color w:val="auto"/>
              </w:rPr>
              <w:t>Accounts payable and other current liabilities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10,660</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24,659</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(34,906)</w:t>
            </w:r>
          </w:p>
        </w:tc>
      </w:tr>
      <w:tr>
        <w:trPr>
          <w:trHeight w:val="189"/>
        </w:trPr>
        <w:tc>
          <w:tcPr>
            <w:tcW w:w="6600" w:type="dxa"/>
            <w:vAlign w:val="bottom"/>
            <w:shd w:val="clear" w:color="auto" w:fill="CEFFE7"/>
          </w:tcPr>
          <w:p>
            <w:pPr>
              <w:ind w:left="200"/>
              <w:spacing w:after="0"/>
              <w:rPr>
                <w:sz w:val="20"/>
                <w:szCs w:val="20"/>
                <w:color w:val="auto"/>
              </w:rPr>
            </w:pPr>
            <w:r>
              <w:rPr>
                <w:rFonts w:ascii="Arial" w:cs="Arial" w:eastAsia="Arial" w:hAnsi="Arial"/>
                <w:sz w:val="14"/>
                <w:szCs w:val="14"/>
                <w:color w:val="auto"/>
              </w:rPr>
              <w:t>Regulatory assets</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(514,687)</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(5,047)</w:t>
            </w:r>
          </w:p>
        </w:tc>
        <w:tc>
          <w:tcPr>
            <w:tcW w:w="120" w:type="dxa"/>
            <w:vAlign w:val="bottom"/>
            <w:shd w:val="clear" w:color="auto" w:fill="CEFFE7"/>
          </w:tcPr>
          <w:p>
            <w:pPr>
              <w:spacing w:after="0"/>
              <w:rPr>
                <w:sz w:val="16"/>
                <w:szCs w:val="16"/>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23,619</w:t>
            </w:r>
          </w:p>
        </w:tc>
      </w:tr>
      <w:tr>
        <w:trPr>
          <w:trHeight w:val="189"/>
        </w:trPr>
        <w:tc>
          <w:tcPr>
            <w:tcW w:w="6600" w:type="dxa"/>
            <w:vAlign w:val="bottom"/>
          </w:tcPr>
          <w:p>
            <w:pPr>
              <w:ind w:left="200"/>
              <w:spacing w:after="0"/>
              <w:rPr>
                <w:sz w:val="20"/>
                <w:szCs w:val="20"/>
                <w:color w:val="auto"/>
              </w:rPr>
            </w:pPr>
            <w:r>
              <w:rPr>
                <w:rFonts w:ascii="Arial" w:cs="Arial" w:eastAsia="Arial" w:hAnsi="Arial"/>
                <w:sz w:val="14"/>
                <w:szCs w:val="14"/>
                <w:color w:val="auto"/>
              </w:rPr>
              <w:t>Regulatory liabilities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(9,533)</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(10,706)</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(15,158)</w:t>
            </w:r>
          </w:p>
        </w:tc>
      </w:tr>
      <w:tr>
        <w:trPr>
          <w:trHeight w:val="189"/>
        </w:trPr>
        <w:tc>
          <w:tcPr>
            <w:tcW w:w="6600" w:type="dxa"/>
            <w:vAlign w:val="bottom"/>
            <w:shd w:val="clear" w:color="auto" w:fill="CEFFE7"/>
          </w:tcPr>
          <w:p>
            <w:pPr>
              <w:ind w:left="120"/>
              <w:spacing w:after="0"/>
              <w:rPr>
                <w:sz w:val="20"/>
                <w:szCs w:val="20"/>
                <w:color w:val="auto"/>
              </w:rPr>
            </w:pPr>
            <w:r>
              <w:rPr>
                <w:rFonts w:ascii="Arial" w:cs="Arial" w:eastAsia="Arial" w:hAnsi="Arial"/>
                <w:sz w:val="14"/>
                <w:szCs w:val="14"/>
                <w:color w:val="auto"/>
              </w:rPr>
              <w:t>Contributions to defined benefit pension plans</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(12,700)</w:t>
            </w:r>
          </w:p>
        </w:tc>
        <w:tc>
          <w:tcPr>
            <w:tcW w:w="120" w:type="dxa"/>
            <w:vAlign w:val="bottom"/>
            <w:shd w:val="clear" w:color="auto" w:fill="CEFFE7"/>
          </w:tcPr>
          <w:p>
            <w:pPr>
              <w:spacing w:after="0"/>
              <w:rPr>
                <w:sz w:val="16"/>
                <w:szCs w:val="16"/>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(12,700)</w:t>
            </w:r>
          </w:p>
        </w:tc>
      </w:tr>
      <w:tr>
        <w:trPr>
          <w:trHeight w:val="189"/>
        </w:trPr>
        <w:tc>
          <w:tcPr>
            <w:tcW w:w="6600" w:type="dxa"/>
            <w:vAlign w:val="bottom"/>
            <w:tcBorders>
              <w:bottom w:val="single" w:sz="8" w:color="CEFFE7"/>
            </w:tcBorders>
          </w:tcPr>
          <w:p>
            <w:pPr>
              <w:ind w:left="120"/>
              <w:spacing w:after="0"/>
              <w:rPr>
                <w:sz w:val="20"/>
                <w:szCs w:val="20"/>
                <w:color w:val="auto"/>
              </w:rPr>
            </w:pPr>
            <w:r>
              <w:rPr>
                <w:rFonts w:ascii="Arial" w:cs="Arial" w:eastAsia="Arial" w:hAnsi="Arial"/>
                <w:sz w:val="14"/>
                <w:szCs w:val="14"/>
                <w:color w:val="auto"/>
              </w:rPr>
              <w:t>Other operating activities, net</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4,653</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6,001</w:t>
            </w:r>
          </w:p>
        </w:tc>
      </w:tr>
      <w:tr>
        <w:trPr>
          <w:trHeight w:val="183"/>
        </w:trPr>
        <w:tc>
          <w:tcPr>
            <w:tcW w:w="6600" w:type="dxa"/>
            <w:vAlign w:val="bottom"/>
            <w:shd w:val="clear" w:color="auto" w:fill="CEFFE7"/>
          </w:tcPr>
          <w:p>
            <w:pPr>
              <w:spacing w:after="0"/>
              <w:rPr>
                <w:sz w:val="20"/>
                <w:szCs w:val="20"/>
                <w:color w:val="auto"/>
              </w:rPr>
            </w:pPr>
            <w:r>
              <w:rPr>
                <w:rFonts w:ascii="Arial" w:cs="Arial" w:eastAsia="Arial" w:hAnsi="Arial"/>
                <w:sz w:val="14"/>
                <w:szCs w:val="14"/>
                <w:color w:val="auto"/>
              </w:rPr>
              <w:t>Net cash provided by (used in) operating activities</w:t>
            </w:r>
          </w:p>
        </w:tc>
        <w:tc>
          <w:tcPr>
            <w:tcW w:w="120" w:type="dxa"/>
            <w:vAlign w:val="bottom"/>
            <w:shd w:val="clear" w:color="auto" w:fill="CEFFE7"/>
          </w:tcPr>
          <w:p>
            <w:pPr>
              <w:spacing w:after="0"/>
              <w:rPr>
                <w:sz w:val="15"/>
                <w:szCs w:val="15"/>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(64,565)</w:t>
            </w:r>
          </w:p>
        </w:tc>
        <w:tc>
          <w:tcPr>
            <w:tcW w:w="120" w:type="dxa"/>
            <w:vAlign w:val="bottom"/>
            <w:shd w:val="clear" w:color="auto" w:fill="CEFFE7"/>
          </w:tcPr>
          <w:p>
            <w:pPr>
              <w:spacing w:after="0"/>
              <w:rPr>
                <w:sz w:val="15"/>
                <w:szCs w:val="15"/>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541,863</w:t>
            </w:r>
          </w:p>
        </w:tc>
        <w:tc>
          <w:tcPr>
            <w:tcW w:w="120" w:type="dxa"/>
            <w:vAlign w:val="bottom"/>
            <w:shd w:val="clear" w:color="auto" w:fill="CEFFE7"/>
          </w:tcPr>
          <w:p>
            <w:pPr>
              <w:spacing w:after="0"/>
              <w:rPr>
                <w:sz w:val="15"/>
                <w:szCs w:val="15"/>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505,513</w:t>
            </w:r>
          </w:p>
        </w:tc>
      </w:tr>
      <w:tr>
        <w:trPr>
          <w:trHeight w:val="216"/>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89"/>
        </w:trPr>
        <w:tc>
          <w:tcPr>
            <w:tcW w:w="6600" w:type="dxa"/>
            <w:vAlign w:val="bottom"/>
            <w:shd w:val="clear" w:color="auto" w:fill="CEFFE7"/>
          </w:tcPr>
          <w:p>
            <w:pPr>
              <w:spacing w:after="0"/>
              <w:rPr>
                <w:sz w:val="20"/>
                <w:szCs w:val="20"/>
                <w:color w:val="auto"/>
              </w:rPr>
            </w:pPr>
            <w:r>
              <w:rPr>
                <w:rFonts w:ascii="Arial" w:cs="Arial" w:eastAsia="Arial" w:hAnsi="Arial"/>
                <w:sz w:val="14"/>
                <w:szCs w:val="14"/>
                <w:color w:val="auto"/>
              </w:rPr>
              <w:t>Investing activities:</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spacing w:after="0"/>
              <w:rPr>
                <w:sz w:val="16"/>
                <w:szCs w:val="16"/>
                <w:color w:val="auto"/>
              </w:rPr>
            </w:pP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spacing w:after="0"/>
              <w:rPr>
                <w:sz w:val="16"/>
                <w:szCs w:val="16"/>
                <w:color w:val="auto"/>
              </w:rPr>
            </w:pPr>
          </w:p>
        </w:tc>
        <w:tc>
          <w:tcPr>
            <w:tcW w:w="120" w:type="dxa"/>
            <w:vAlign w:val="bottom"/>
            <w:shd w:val="clear" w:color="auto" w:fill="CEFFE7"/>
          </w:tcPr>
          <w:p>
            <w:pPr>
              <w:spacing w:after="0"/>
              <w:rPr>
                <w:sz w:val="16"/>
                <w:szCs w:val="16"/>
                <w:color w:val="auto"/>
              </w:rPr>
            </w:pPr>
          </w:p>
        </w:tc>
        <w:tc>
          <w:tcPr>
            <w:tcW w:w="1420" w:type="dxa"/>
            <w:vAlign w:val="bottom"/>
            <w:shd w:val="clear" w:color="auto" w:fill="CEFFE7"/>
          </w:tcPr>
          <w:p>
            <w:pPr>
              <w:spacing w:after="0"/>
              <w:rPr>
                <w:sz w:val="16"/>
                <w:szCs w:val="16"/>
                <w:color w:val="auto"/>
              </w:rPr>
            </w:pPr>
          </w:p>
        </w:tc>
      </w:tr>
      <w:tr>
        <w:trPr>
          <w:trHeight w:val="189"/>
        </w:trPr>
        <w:tc>
          <w:tcPr>
            <w:tcW w:w="6600" w:type="dxa"/>
            <w:vAlign w:val="bottom"/>
          </w:tcPr>
          <w:p>
            <w:pPr>
              <w:ind w:left="120"/>
              <w:spacing w:after="0"/>
              <w:rPr>
                <w:sz w:val="20"/>
                <w:szCs w:val="20"/>
                <w:color w:val="auto"/>
              </w:rPr>
            </w:pPr>
            <w:r>
              <w:rPr>
                <w:rFonts w:ascii="Arial" w:cs="Arial" w:eastAsia="Arial" w:hAnsi="Arial"/>
                <w:sz w:val="14"/>
                <w:szCs w:val="14"/>
                <w:color w:val="auto"/>
              </w:rPr>
              <w:t>Property, plant and equipment additions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(677,492)</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(767,404)</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(818,376)</w:t>
            </w:r>
          </w:p>
        </w:tc>
      </w:tr>
      <w:tr>
        <w:trPr>
          <w:trHeight w:val="189"/>
        </w:trPr>
        <w:tc>
          <w:tcPr>
            <w:tcW w:w="6600" w:type="dxa"/>
            <w:vAlign w:val="bottom"/>
            <w:shd w:val="clear" w:color="auto" w:fill="CEFFE7"/>
          </w:tcPr>
          <w:p>
            <w:pPr>
              <w:ind w:left="120"/>
              <w:spacing w:after="0"/>
              <w:rPr>
                <w:sz w:val="20"/>
                <w:szCs w:val="20"/>
                <w:color w:val="auto"/>
              </w:rPr>
            </w:pPr>
            <w:r>
              <w:rPr>
                <w:rFonts w:ascii="Arial" w:cs="Arial" w:eastAsia="Arial" w:hAnsi="Arial"/>
                <w:sz w:val="14"/>
                <w:szCs w:val="14"/>
                <w:color w:val="auto"/>
              </w:rPr>
              <w:t>Other investing activities</w:t>
            </w:r>
          </w:p>
        </w:tc>
        <w:tc>
          <w:tcPr>
            <w:tcW w:w="120" w:type="dxa"/>
            <w:vAlign w:val="bottom"/>
            <w:tcBorders>
              <w:bottom w:val="single" w:sz="8" w:color="auto"/>
            </w:tcBorders>
            <w:shd w:val="clear" w:color="auto" w:fill="CEFFE7"/>
          </w:tcPr>
          <w:p>
            <w:pPr>
              <w:spacing w:after="0"/>
              <w:rPr>
                <w:sz w:val="16"/>
                <w:szCs w:val="16"/>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13,262</w:t>
            </w:r>
          </w:p>
        </w:tc>
        <w:tc>
          <w:tcPr>
            <w:tcW w:w="120" w:type="dxa"/>
            <w:vAlign w:val="bottom"/>
            <w:tcBorders>
              <w:bottom w:val="single" w:sz="8" w:color="auto"/>
            </w:tcBorders>
            <w:shd w:val="clear" w:color="auto" w:fill="CEFFE7"/>
          </w:tcPr>
          <w:p>
            <w:pPr>
              <w:spacing w:after="0"/>
              <w:rPr>
                <w:sz w:val="16"/>
                <w:szCs w:val="16"/>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5,740</w:t>
            </w:r>
          </w:p>
        </w:tc>
        <w:tc>
          <w:tcPr>
            <w:tcW w:w="120" w:type="dxa"/>
            <w:vAlign w:val="bottom"/>
            <w:tcBorders>
              <w:bottom w:val="single" w:sz="8" w:color="auto"/>
            </w:tcBorders>
            <w:shd w:val="clear" w:color="auto" w:fill="CEFFE7"/>
          </w:tcPr>
          <w:p>
            <w:pPr>
              <w:spacing w:after="0"/>
              <w:rPr>
                <w:sz w:val="16"/>
                <w:szCs w:val="16"/>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2,166</w:t>
            </w:r>
          </w:p>
        </w:tc>
      </w:tr>
      <w:tr>
        <w:trPr>
          <w:trHeight w:val="183"/>
        </w:trPr>
        <w:tc>
          <w:tcPr>
            <w:tcW w:w="660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(664,230)</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(761,664)</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(816,210)</w:t>
            </w:r>
          </w:p>
        </w:tc>
      </w:tr>
      <w:tr>
        <w:trPr>
          <w:trHeight w:val="216"/>
        </w:trPr>
        <w:tc>
          <w:tcPr>
            <w:tcW w:w="66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4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4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420" w:type="dxa"/>
            <w:vAlign w:val="bottom"/>
            <w:shd w:val="clear" w:color="auto" w:fill="CEFFE7"/>
          </w:tcPr>
          <w:p>
            <w:pPr>
              <w:spacing w:after="0"/>
              <w:rPr>
                <w:sz w:val="18"/>
                <w:szCs w:val="18"/>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4"/>
                <w:szCs w:val="14"/>
                <w:color w:val="auto"/>
              </w:rPr>
              <w:t>Financing activities: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6600" w:type="dxa"/>
            <w:vAlign w:val="bottom"/>
            <w:shd w:val="clear" w:color="auto" w:fill="CEFFE7"/>
          </w:tcPr>
          <w:p>
            <w:pPr>
              <w:ind w:left="120"/>
              <w:spacing w:after="0"/>
              <w:rPr>
                <w:sz w:val="20"/>
                <w:szCs w:val="20"/>
                <w:color w:val="auto"/>
              </w:rPr>
            </w:pPr>
            <w:r>
              <w:rPr>
                <w:rFonts w:ascii="Arial" w:cs="Arial" w:eastAsia="Arial" w:hAnsi="Arial"/>
                <w:sz w:val="14"/>
                <w:szCs w:val="14"/>
                <w:color w:val="auto"/>
              </w:rPr>
              <w:t>Dividends paid on common stock</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(145,023)</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(135,439)</w:t>
            </w:r>
          </w:p>
        </w:tc>
        <w:tc>
          <w:tcPr>
            <w:tcW w:w="120" w:type="dxa"/>
            <w:vAlign w:val="bottom"/>
            <w:shd w:val="clear" w:color="auto" w:fill="CEFFE7"/>
          </w:tcPr>
          <w:p>
            <w:pPr>
              <w:spacing w:after="0"/>
              <w:rPr>
                <w:sz w:val="16"/>
                <w:szCs w:val="16"/>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(124,647)</w:t>
            </w:r>
          </w:p>
        </w:tc>
      </w:tr>
      <w:tr>
        <w:trPr>
          <w:trHeight w:val="189"/>
        </w:trPr>
        <w:tc>
          <w:tcPr>
            <w:tcW w:w="660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118,979</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99,278</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101,358</w:t>
            </w:r>
          </w:p>
        </w:tc>
      </w:tr>
      <w:tr>
        <w:trPr>
          <w:trHeight w:val="189"/>
        </w:trPr>
        <w:tc>
          <w:tcPr>
            <w:tcW w:w="6600" w:type="dxa"/>
            <w:vAlign w:val="bottom"/>
            <w:shd w:val="clear" w:color="auto" w:fill="CEFFE7"/>
          </w:tcPr>
          <w:p>
            <w:pPr>
              <w:ind w:left="120"/>
              <w:spacing w:after="0"/>
              <w:rPr>
                <w:sz w:val="20"/>
                <w:szCs w:val="20"/>
                <w:color w:val="auto"/>
              </w:rPr>
            </w:pPr>
            <w:r>
              <w:rPr>
                <w:rFonts w:ascii="Arial" w:cs="Arial" w:eastAsia="Arial" w:hAnsi="Arial"/>
                <w:sz w:val="14"/>
                <w:szCs w:val="14"/>
                <w:color w:val="auto"/>
              </w:rPr>
              <w:t>Term Loan - borrowings</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800,000</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6"/>
                <w:szCs w:val="16"/>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600" w:type="dxa"/>
            <w:vAlign w:val="bottom"/>
          </w:tcPr>
          <w:p>
            <w:pPr>
              <w:ind w:left="120"/>
              <w:spacing w:after="0"/>
              <w:rPr>
                <w:sz w:val="20"/>
                <w:szCs w:val="20"/>
                <w:color w:val="auto"/>
              </w:rPr>
            </w:pPr>
            <w:r>
              <w:rPr>
                <w:rFonts w:ascii="Arial" w:cs="Arial" w:eastAsia="Arial" w:hAnsi="Arial"/>
                <w:sz w:val="14"/>
                <w:szCs w:val="14"/>
                <w:color w:val="auto"/>
              </w:rPr>
              <w:t>Term Loan - repayments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(800,000)</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600" w:type="dxa"/>
            <w:vAlign w:val="bottom"/>
            <w:shd w:val="clear" w:color="auto" w:fill="CEFFE7"/>
          </w:tcPr>
          <w:p>
            <w:pPr>
              <w:ind w:left="120"/>
              <w:spacing w:after="0"/>
              <w:rPr>
                <w:sz w:val="20"/>
                <w:szCs w:val="20"/>
                <w:color w:val="auto"/>
              </w:rPr>
            </w:pPr>
            <w:r>
              <w:rPr>
                <w:rFonts w:ascii="Arial" w:cs="Arial" w:eastAsia="Arial" w:hAnsi="Arial"/>
                <w:sz w:val="14"/>
                <w:szCs w:val="14"/>
                <w:color w:val="auto"/>
              </w:rPr>
              <w:t>Net borrowings (payments) of Revolving Credit Facility and CP Program</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186,140</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(115,460)</w:t>
            </w:r>
          </w:p>
        </w:tc>
        <w:tc>
          <w:tcPr>
            <w:tcW w:w="120" w:type="dxa"/>
            <w:vAlign w:val="bottom"/>
            <w:shd w:val="clear" w:color="auto" w:fill="CEFFE7"/>
          </w:tcPr>
          <w:p>
            <w:pPr>
              <w:spacing w:after="0"/>
              <w:rPr>
                <w:sz w:val="16"/>
                <w:szCs w:val="16"/>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163,880</w:t>
            </w:r>
          </w:p>
        </w:tc>
      </w:tr>
      <w:tr>
        <w:trPr>
          <w:trHeight w:val="189"/>
        </w:trPr>
        <w:tc>
          <w:tcPr>
            <w:tcW w:w="6600" w:type="dxa"/>
            <w:vAlign w:val="bottom"/>
          </w:tcPr>
          <w:p>
            <w:pPr>
              <w:ind w:left="120"/>
              <w:spacing w:after="0"/>
              <w:rPr>
                <w:sz w:val="20"/>
                <w:szCs w:val="20"/>
                <w:color w:val="auto"/>
              </w:rPr>
            </w:pPr>
            <w:r>
              <w:rPr>
                <w:rFonts w:ascii="Arial" w:cs="Arial" w:eastAsia="Arial" w:hAnsi="Arial"/>
                <w:sz w:val="14"/>
                <w:szCs w:val="14"/>
                <w:color w:val="auto"/>
              </w:rPr>
              <w:t>Long-term debt - issuance</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600,000</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1,100,000</w:t>
            </w:r>
          </w:p>
        </w:tc>
      </w:tr>
      <w:tr>
        <w:trPr>
          <w:trHeight w:val="189"/>
        </w:trPr>
        <w:tc>
          <w:tcPr>
            <w:tcW w:w="6600" w:type="dxa"/>
            <w:vAlign w:val="bottom"/>
            <w:shd w:val="clear" w:color="auto" w:fill="CEFFE7"/>
          </w:tcPr>
          <w:p>
            <w:pPr>
              <w:ind w:left="120"/>
              <w:spacing w:after="0"/>
              <w:rPr>
                <w:sz w:val="20"/>
                <w:szCs w:val="20"/>
                <w:color w:val="auto"/>
              </w:rPr>
            </w:pPr>
            <w:r>
              <w:rPr>
                <w:rFonts w:ascii="Arial" w:cs="Arial" w:eastAsia="Arial" w:hAnsi="Arial"/>
                <w:sz w:val="14"/>
                <w:szCs w:val="14"/>
                <w:color w:val="auto"/>
              </w:rPr>
              <w:t>Long-term debt - repayments</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(8,436)</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(8,597)</w:t>
            </w:r>
          </w:p>
        </w:tc>
        <w:tc>
          <w:tcPr>
            <w:tcW w:w="120" w:type="dxa"/>
            <w:vAlign w:val="bottom"/>
            <w:shd w:val="clear" w:color="auto" w:fill="CEFFE7"/>
          </w:tcPr>
          <w:p>
            <w:pPr>
              <w:spacing w:after="0"/>
              <w:rPr>
                <w:sz w:val="16"/>
                <w:szCs w:val="16"/>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(905,743)</w:t>
            </w:r>
          </w:p>
        </w:tc>
      </w:tr>
      <w:tr>
        <w:trPr>
          <w:trHeight w:val="189"/>
        </w:trPr>
        <w:tc>
          <w:tcPr>
            <w:tcW w:w="6600" w:type="dxa"/>
            <w:vAlign w:val="bottom"/>
          </w:tcPr>
          <w:p>
            <w:pPr>
              <w:ind w:left="120"/>
              <w:spacing w:after="0"/>
              <w:rPr>
                <w:sz w:val="20"/>
                <w:szCs w:val="20"/>
                <w:color w:val="auto"/>
              </w:rPr>
            </w:pPr>
            <w:r>
              <w:rPr>
                <w:rFonts w:ascii="Arial" w:cs="Arial" w:eastAsia="Arial" w:hAnsi="Arial"/>
                <w:sz w:val="14"/>
                <w:szCs w:val="14"/>
                <w:color w:val="auto"/>
              </w:rPr>
              <w:t>Distributions to non-controlling interests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(15,749)</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(15,839)</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(17,901)</w:t>
            </w:r>
          </w:p>
        </w:tc>
      </w:tr>
      <w:tr>
        <w:trPr>
          <w:trHeight w:val="189"/>
        </w:trPr>
        <w:tc>
          <w:tcPr>
            <w:tcW w:w="6600" w:type="dxa"/>
            <w:vAlign w:val="bottom"/>
            <w:shd w:val="clear" w:color="auto" w:fill="CEFFE7"/>
          </w:tcPr>
          <w:p>
            <w:pPr>
              <w:ind w:left="120"/>
              <w:spacing w:after="0"/>
              <w:rPr>
                <w:sz w:val="20"/>
                <w:szCs w:val="20"/>
                <w:color w:val="auto"/>
              </w:rPr>
            </w:pPr>
            <w:r>
              <w:rPr>
                <w:rFonts w:ascii="Arial" w:cs="Arial" w:eastAsia="Arial" w:hAnsi="Arial"/>
                <w:sz w:val="14"/>
                <w:szCs w:val="14"/>
                <w:color w:val="auto"/>
              </w:rPr>
              <w:t>Other financing activities</w:t>
            </w:r>
          </w:p>
        </w:tc>
        <w:tc>
          <w:tcPr>
            <w:tcW w:w="120" w:type="dxa"/>
            <w:vAlign w:val="bottom"/>
            <w:tcBorders>
              <w:bottom w:val="single" w:sz="8" w:color="auto"/>
            </w:tcBorders>
            <w:shd w:val="clear" w:color="auto" w:fill="CEFFE7"/>
          </w:tcPr>
          <w:p>
            <w:pPr>
              <w:spacing w:after="0"/>
              <w:rPr>
                <w:sz w:val="16"/>
                <w:szCs w:val="16"/>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(4,045)</w:t>
            </w:r>
          </w:p>
        </w:tc>
        <w:tc>
          <w:tcPr>
            <w:tcW w:w="120" w:type="dxa"/>
            <w:vAlign w:val="bottom"/>
            <w:tcBorders>
              <w:bottom w:val="single" w:sz="8" w:color="auto"/>
            </w:tcBorders>
            <w:shd w:val="clear" w:color="auto" w:fill="CEFFE7"/>
          </w:tcPr>
          <w:p>
            <w:pPr>
              <w:spacing w:after="0"/>
              <w:rPr>
                <w:sz w:val="16"/>
                <w:szCs w:val="16"/>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(7,061)</w:t>
            </w:r>
          </w:p>
        </w:tc>
        <w:tc>
          <w:tcPr>
            <w:tcW w:w="120" w:type="dxa"/>
            <w:vAlign w:val="bottom"/>
            <w:tcBorders>
              <w:bottom w:val="single" w:sz="8" w:color="auto"/>
            </w:tcBorders>
            <w:shd w:val="clear" w:color="auto" w:fill="CEFFE7"/>
          </w:tcPr>
          <w:p>
            <w:pPr>
              <w:spacing w:after="0"/>
              <w:rPr>
                <w:sz w:val="16"/>
                <w:szCs w:val="16"/>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(16,737)</w:t>
            </w:r>
          </w:p>
        </w:tc>
      </w:tr>
      <w:tr>
        <w:trPr>
          <w:trHeight w:val="183"/>
        </w:trPr>
        <w:tc>
          <w:tcPr>
            <w:tcW w:w="6600" w:type="dxa"/>
            <w:vAlign w:val="bottom"/>
          </w:tcPr>
          <w:p>
            <w:pPr>
              <w:spacing w:after="0"/>
              <w:rPr>
                <w:sz w:val="20"/>
                <w:szCs w:val="20"/>
                <w:color w:val="auto"/>
              </w:rPr>
            </w:pPr>
            <w:r>
              <w:rPr>
                <w:rFonts w:ascii="Arial" w:cs="Arial" w:eastAsia="Arial" w:hAnsi="Arial"/>
                <w:sz w:val="14"/>
                <w:szCs w:val="14"/>
                <w:color w:val="auto"/>
              </w:rPr>
              <w:t>Net cash provided by financing activities</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731,866</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216,882</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300,210</w:t>
            </w:r>
          </w:p>
        </w:tc>
      </w:tr>
      <w:tr>
        <w:trPr>
          <w:trHeight w:val="216"/>
        </w:trPr>
        <w:tc>
          <w:tcPr>
            <w:tcW w:w="66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4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4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420" w:type="dxa"/>
            <w:vAlign w:val="bottom"/>
            <w:shd w:val="clear" w:color="auto" w:fill="CEFFE7"/>
          </w:tcPr>
          <w:p>
            <w:pPr>
              <w:spacing w:after="0"/>
              <w:rPr>
                <w:sz w:val="18"/>
                <w:szCs w:val="18"/>
                <w:color w:val="auto"/>
              </w:rPr>
            </w:pPr>
          </w:p>
        </w:tc>
      </w:tr>
      <w:tr>
        <w:trPr>
          <w:trHeight w:val="189"/>
        </w:trPr>
        <w:tc>
          <w:tcPr>
            <w:tcW w:w="6600" w:type="dxa"/>
            <w:vAlign w:val="bottom"/>
          </w:tcPr>
          <w:p>
            <w:pPr>
              <w:ind w:left="460"/>
              <w:spacing w:after="0"/>
              <w:rPr>
                <w:sz w:val="20"/>
                <w:szCs w:val="20"/>
                <w:color w:val="auto"/>
              </w:rPr>
            </w:pPr>
            <w:r>
              <w:rPr>
                <w:rFonts w:ascii="Arial" w:cs="Arial" w:eastAsia="Arial" w:hAnsi="Arial"/>
                <w:sz w:val="14"/>
                <w:szCs w:val="14"/>
                <w:color w:val="auto"/>
              </w:rPr>
              <w:t>Net change in cash, restricted cash and cash equivalents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3,071</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(2,919)</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(10,487)</w:t>
            </w:r>
          </w:p>
        </w:tc>
      </w:tr>
      <w:tr>
        <w:trPr>
          <w:trHeight w:val="216"/>
        </w:trPr>
        <w:tc>
          <w:tcPr>
            <w:tcW w:w="66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4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4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420" w:type="dxa"/>
            <w:vAlign w:val="bottom"/>
            <w:shd w:val="clear" w:color="auto" w:fill="CEFFE7"/>
          </w:tcPr>
          <w:p>
            <w:pPr>
              <w:spacing w:after="0"/>
              <w:rPr>
                <w:sz w:val="18"/>
                <w:szCs w:val="18"/>
                <w:color w:val="auto"/>
              </w:rPr>
            </w:pPr>
          </w:p>
        </w:tc>
      </w:tr>
      <w:tr>
        <w:trPr>
          <w:trHeight w:val="189"/>
        </w:trPr>
        <w:tc>
          <w:tcPr>
            <w:tcW w:w="6600" w:type="dxa"/>
            <w:vAlign w:val="bottom"/>
            <w:tcBorders>
              <w:bottom w:val="single" w:sz="8" w:color="CEFFE7"/>
            </w:tcBorders>
          </w:tcPr>
          <w:p>
            <w:pPr>
              <w:ind w:left="120"/>
              <w:spacing w:after="0"/>
              <w:rPr>
                <w:sz w:val="20"/>
                <w:szCs w:val="20"/>
                <w:color w:val="auto"/>
              </w:rPr>
            </w:pPr>
            <w:r>
              <w:rPr>
                <w:rFonts w:ascii="Arial" w:cs="Arial" w:eastAsia="Arial" w:hAnsi="Arial"/>
                <w:sz w:val="14"/>
                <w:szCs w:val="14"/>
                <w:color w:val="auto"/>
              </w:rPr>
              <w:t>Cash, restricted cash and cash equivalents beginning of year</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10,739</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13,658</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24,145</w:t>
            </w:r>
          </w:p>
        </w:tc>
      </w:tr>
      <w:tr>
        <w:trPr>
          <w:trHeight w:val="208"/>
        </w:trPr>
        <w:tc>
          <w:tcPr>
            <w:tcW w:w="66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4"/>
                <w:szCs w:val="14"/>
                <w:color w:val="auto"/>
              </w:rPr>
              <w:t>Cash, restricted cash and cash equivalents end of year</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13,810</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10,739</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13,658</w:t>
            </w:r>
          </w:p>
        </w:tc>
      </w:tr>
      <w:tr>
        <w:trPr>
          <w:trHeight w:val="20"/>
        </w:trPr>
        <w:tc>
          <w:tcPr>
            <w:tcW w:w="66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420" w:type="dxa"/>
            <w:vAlign w:val="bottom"/>
            <w:tcBorders>
              <w:top w:val="single" w:sz="8" w:color="CEFFE7"/>
              <w:bottom w:val="single" w:sz="8" w:color="auto"/>
            </w:tcBorders>
          </w:tcPr>
          <w:p>
            <w:pPr>
              <w:spacing w:after="0" w:line="20" w:lineRule="exact"/>
              <w:rPr>
                <w:sz w:val="1"/>
                <w:szCs w:val="1"/>
                <w:color w:val="auto"/>
              </w:rPr>
            </w:pPr>
          </w:p>
        </w:tc>
      </w:tr>
      <w:tr>
        <w:trPr>
          <w:trHeight w:val="163"/>
        </w:trPr>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9"/>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Supplemental cash flow information:</w:t>
            </w: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spacing w:after="0"/>
              <w:rPr>
                <w:sz w:val="16"/>
                <w:szCs w:val="16"/>
                <w:color w:val="auto"/>
              </w:rPr>
            </w:pPr>
          </w:p>
        </w:tc>
        <w:tc>
          <w:tcPr>
            <w:tcW w:w="120" w:type="dxa"/>
            <w:vAlign w:val="bottom"/>
            <w:shd w:val="clear" w:color="auto" w:fill="CEFFE7"/>
          </w:tcPr>
          <w:p>
            <w:pPr>
              <w:spacing w:after="0"/>
              <w:rPr>
                <w:sz w:val="16"/>
                <w:szCs w:val="16"/>
                <w:color w:val="auto"/>
              </w:rPr>
            </w:pPr>
          </w:p>
        </w:tc>
        <w:tc>
          <w:tcPr>
            <w:tcW w:w="1400" w:type="dxa"/>
            <w:vAlign w:val="bottom"/>
            <w:shd w:val="clear" w:color="auto" w:fill="CEFFE7"/>
          </w:tcPr>
          <w:p>
            <w:pPr>
              <w:spacing w:after="0"/>
              <w:rPr>
                <w:sz w:val="16"/>
                <w:szCs w:val="16"/>
                <w:color w:val="auto"/>
              </w:rPr>
            </w:pPr>
          </w:p>
        </w:tc>
        <w:tc>
          <w:tcPr>
            <w:tcW w:w="120" w:type="dxa"/>
            <w:vAlign w:val="bottom"/>
            <w:shd w:val="clear" w:color="auto" w:fill="CEFFE7"/>
          </w:tcPr>
          <w:p>
            <w:pPr>
              <w:spacing w:after="0"/>
              <w:rPr>
                <w:sz w:val="16"/>
                <w:szCs w:val="16"/>
                <w:color w:val="auto"/>
              </w:rPr>
            </w:pPr>
          </w:p>
        </w:tc>
        <w:tc>
          <w:tcPr>
            <w:tcW w:w="1420" w:type="dxa"/>
            <w:vAlign w:val="bottom"/>
            <w:shd w:val="clear" w:color="auto" w:fill="CEFFE7"/>
          </w:tcPr>
          <w:p>
            <w:pPr>
              <w:spacing w:after="0"/>
              <w:rPr>
                <w:sz w:val="16"/>
                <w:szCs w:val="16"/>
                <w:color w:val="auto"/>
              </w:rPr>
            </w:pPr>
          </w:p>
        </w:tc>
      </w:tr>
      <w:tr>
        <w:trPr>
          <w:trHeight w:val="189"/>
        </w:trPr>
        <w:tc>
          <w:tcPr>
            <w:tcW w:w="6600" w:type="dxa"/>
            <w:vAlign w:val="bottom"/>
          </w:tcPr>
          <w:p>
            <w:pPr>
              <w:ind w:left="120"/>
              <w:spacing w:after="0"/>
              <w:rPr>
                <w:sz w:val="20"/>
                <w:szCs w:val="20"/>
                <w:color w:val="auto"/>
              </w:rPr>
            </w:pPr>
            <w:r>
              <w:rPr>
                <w:rFonts w:ascii="Arial" w:cs="Arial" w:eastAsia="Arial" w:hAnsi="Arial"/>
                <w:sz w:val="14"/>
                <w:szCs w:val="14"/>
                <w:color w:val="auto"/>
              </w:rPr>
              <w:t>Cash (paid) refunded during the period:</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6600" w:type="dxa"/>
            <w:vAlign w:val="bottom"/>
            <w:shd w:val="clear" w:color="auto" w:fill="CEFFE7"/>
          </w:tcPr>
          <w:p>
            <w:pPr>
              <w:ind w:left="240"/>
              <w:spacing w:after="0"/>
              <w:rPr>
                <w:sz w:val="20"/>
                <w:szCs w:val="20"/>
                <w:color w:val="auto"/>
              </w:rPr>
            </w:pPr>
            <w:r>
              <w:rPr>
                <w:rFonts w:ascii="Arial" w:cs="Arial" w:eastAsia="Arial" w:hAnsi="Arial"/>
                <w:sz w:val="14"/>
                <w:szCs w:val="14"/>
                <w:color w:val="auto"/>
              </w:rPr>
              <w:t>Interest (net of amounts capitalized)</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(142,685)</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(136,549)</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(131,774)</w:t>
            </w:r>
          </w:p>
        </w:tc>
      </w:tr>
      <w:tr>
        <w:trPr>
          <w:trHeight w:val="189"/>
        </w:trPr>
        <w:tc>
          <w:tcPr>
            <w:tcW w:w="6600" w:type="dxa"/>
            <w:vAlign w:val="bottom"/>
          </w:tcPr>
          <w:p>
            <w:pPr>
              <w:ind w:left="240"/>
              <w:spacing w:after="0"/>
              <w:rPr>
                <w:sz w:val="20"/>
                <w:szCs w:val="20"/>
                <w:color w:val="auto"/>
              </w:rPr>
            </w:pPr>
            <w:r>
              <w:rPr>
                <w:rFonts w:ascii="Arial" w:cs="Arial" w:eastAsia="Arial" w:hAnsi="Arial"/>
                <w:sz w:val="14"/>
                <w:szCs w:val="14"/>
                <w:color w:val="auto"/>
              </w:rPr>
              <w:t>Income taxes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1,521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2,172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4,682</w:t>
            </w:r>
          </w:p>
        </w:tc>
      </w:tr>
      <w:tr>
        <w:trPr>
          <w:trHeight w:val="216"/>
        </w:trPr>
        <w:tc>
          <w:tcPr>
            <w:tcW w:w="66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4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4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420" w:type="dxa"/>
            <w:vAlign w:val="bottom"/>
            <w:shd w:val="clear" w:color="auto" w:fill="CEFFE7"/>
          </w:tcPr>
          <w:p>
            <w:pPr>
              <w:spacing w:after="0"/>
              <w:rPr>
                <w:sz w:val="18"/>
                <w:szCs w:val="18"/>
                <w:color w:val="auto"/>
              </w:rPr>
            </w:pPr>
          </w:p>
        </w:tc>
      </w:tr>
      <w:tr>
        <w:trPr>
          <w:trHeight w:val="189"/>
        </w:trPr>
        <w:tc>
          <w:tcPr>
            <w:tcW w:w="6600" w:type="dxa"/>
            <w:vAlign w:val="bottom"/>
          </w:tcPr>
          <w:p>
            <w:pPr>
              <w:ind w:left="120"/>
              <w:spacing w:after="0"/>
              <w:rPr>
                <w:sz w:val="20"/>
                <w:szCs w:val="20"/>
                <w:color w:val="auto"/>
              </w:rPr>
            </w:pPr>
            <w:r>
              <w:rPr>
                <w:rFonts w:ascii="Arial" w:cs="Arial" w:eastAsia="Arial" w:hAnsi="Arial"/>
                <w:sz w:val="14"/>
                <w:szCs w:val="14"/>
                <w:color w:val="auto"/>
              </w:rPr>
              <w:t>Non-cash investing and financing activities: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6600" w:type="dxa"/>
            <w:vAlign w:val="bottom"/>
            <w:shd w:val="clear" w:color="auto" w:fill="CEFFE7"/>
          </w:tcPr>
          <w:p>
            <w:pPr>
              <w:ind w:left="240"/>
              <w:spacing w:after="0"/>
              <w:rPr>
                <w:sz w:val="20"/>
                <w:szCs w:val="20"/>
                <w:color w:val="auto"/>
              </w:rPr>
            </w:pPr>
            <w:r>
              <w:rPr>
                <w:rFonts w:ascii="Arial" w:cs="Arial" w:eastAsia="Arial" w:hAnsi="Arial"/>
                <w:sz w:val="14"/>
                <w:szCs w:val="14"/>
                <w:color w:val="auto"/>
              </w:rPr>
              <w:t>Accrued property, plant and equipment purchases at December 31</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68,758</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72,215</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91,491</w:t>
            </w:r>
          </w:p>
        </w:tc>
      </w:tr>
      <w:tr>
        <w:trPr>
          <w:trHeight w:val="190"/>
        </w:trPr>
        <w:tc>
          <w:tcPr>
            <w:tcW w:w="6600" w:type="dxa"/>
            <w:vAlign w:val="bottom"/>
          </w:tcPr>
          <w:p>
            <w:pPr>
              <w:ind w:left="240"/>
              <w:spacing w:after="0"/>
              <w:rPr>
                <w:sz w:val="20"/>
                <w:szCs w:val="20"/>
                <w:color w:val="auto"/>
              </w:rPr>
            </w:pPr>
            <w:r>
              <w:rPr>
                <w:rFonts w:ascii="Arial" w:cs="Arial" w:eastAsia="Arial" w:hAnsi="Arial"/>
                <w:sz w:val="14"/>
                <w:szCs w:val="14"/>
                <w:color w:val="auto"/>
              </w:rPr>
              <w:t>Increase in capitalized assets associated with asset retirement obligations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2,109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4,774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5,044</w:t>
            </w:r>
          </w:p>
        </w:tc>
      </w:tr>
    </w:tbl>
    <w:p>
      <w:pPr>
        <w:spacing w:after="0" w:line="327" w:lineRule="exact"/>
        <w:rPr>
          <w:sz w:val="20"/>
          <w:szCs w:val="20"/>
          <w:color w:val="auto"/>
        </w:rPr>
      </w:pPr>
    </w:p>
    <w:p>
      <w:pPr>
        <w:jc w:val="center"/>
        <w:ind w:right="140"/>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65">
        <w:r>
          <w:rPr>
            <w:rFonts w:ascii="Arial" w:cs="Arial" w:eastAsia="Arial" w:hAnsi="Arial"/>
            <w:sz w:val="14"/>
            <w:szCs w:val="14"/>
            <w:u w:val="single" w:color="auto"/>
            <w:color w:val="0000FF"/>
          </w:rPr>
          <w:t>Notes to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Consolidated Financial Statements.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3"/>
                <w:szCs w:val="13"/>
                <w:color w:val="auto"/>
              </w:rPr>
              <w:t>Common Stock</w:t>
            </w:r>
          </w:p>
        </w:tc>
        <w:tc>
          <w:tcPr>
            <w:tcW w:w="15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16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share amounts)</w:t>
            </w:r>
          </w:p>
        </w:tc>
        <w:tc>
          <w:tcPr>
            <w:tcW w:w="960" w:type="dxa"/>
            <w:vAlign w:val="bottom"/>
            <w:vMerge w:val="restart"/>
          </w:tcPr>
          <w:p>
            <w:pPr>
              <w:jc w:val="right"/>
              <w:ind w:right="189"/>
              <w:spacing w:after="0"/>
              <w:rPr>
                <w:sz w:val="20"/>
                <w:szCs w:val="20"/>
                <w:color w:val="auto"/>
              </w:rPr>
            </w:pPr>
            <w:r>
              <w:rPr>
                <w:rFonts w:ascii="Arial" w:cs="Arial" w:eastAsia="Arial" w:hAnsi="Arial"/>
                <w:sz w:val="13"/>
                <w:szCs w:val="13"/>
                <w:color w:val="auto"/>
              </w:rPr>
              <w:t>Shares</w:t>
            </w:r>
          </w:p>
        </w:tc>
        <w:tc>
          <w:tcPr>
            <w:tcW w:w="200" w:type="dxa"/>
            <w:vAlign w:val="bottom"/>
          </w:tcPr>
          <w:p>
            <w:pPr>
              <w:spacing w:after="0"/>
              <w:rPr>
                <w:sz w:val="10"/>
                <w:szCs w:val="10"/>
                <w:color w:val="auto"/>
              </w:rPr>
            </w:pPr>
          </w:p>
        </w:tc>
        <w:tc>
          <w:tcPr>
            <w:tcW w:w="700" w:type="dxa"/>
            <w:vAlign w:val="bottom"/>
            <w:vMerge w:val="restart"/>
          </w:tcPr>
          <w:p>
            <w:pPr>
              <w:jc w:val="right"/>
              <w:ind w:right="248"/>
              <w:spacing w:after="0"/>
              <w:rPr>
                <w:sz w:val="20"/>
                <w:szCs w:val="20"/>
                <w:color w:val="auto"/>
              </w:rPr>
            </w:pPr>
            <w:r>
              <w:rPr>
                <w:rFonts w:ascii="Arial" w:cs="Arial" w:eastAsia="Arial" w:hAnsi="Arial"/>
                <w:sz w:val="13"/>
                <w:szCs w:val="13"/>
                <w:color w:val="auto"/>
              </w:rPr>
              <w:t>Value</w:t>
            </w:r>
          </w:p>
        </w:tc>
        <w:tc>
          <w:tcPr>
            <w:tcW w:w="720" w:type="dxa"/>
            <w:vAlign w:val="bottom"/>
            <w:vMerge w:val="restart"/>
          </w:tcPr>
          <w:p>
            <w:pPr>
              <w:jc w:val="right"/>
              <w:ind w:right="129"/>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0"/>
                <w:szCs w:val="10"/>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3"/>
                <w:szCs w:val="13"/>
                <w:color w:val="auto"/>
              </w:rPr>
              <w:t>Value</w:t>
            </w:r>
          </w:p>
        </w:tc>
        <w:tc>
          <w:tcPr>
            <w:tcW w:w="1020" w:type="dxa"/>
            <w:vAlign w:val="bottom"/>
            <w:gridSpan w:val="2"/>
          </w:tcPr>
          <w:p>
            <w:pPr>
              <w:ind w:left="20"/>
              <w:spacing w:after="0" w:line="116" w:lineRule="exact"/>
              <w:rPr>
                <w:sz w:val="20"/>
                <w:szCs w:val="20"/>
                <w:color w:val="auto"/>
              </w:rPr>
            </w:pPr>
            <w:r>
              <w:rPr>
                <w:rFonts w:ascii="Arial" w:cs="Arial" w:eastAsia="Arial" w:hAnsi="Arial"/>
                <w:sz w:val="13"/>
                <w:szCs w:val="13"/>
                <w:color w:val="auto"/>
                <w:w w:val="97"/>
              </w:rPr>
              <w:t>Additional Paid in</w:t>
            </w:r>
          </w:p>
        </w:tc>
        <w:tc>
          <w:tcPr>
            <w:tcW w:w="160" w:type="dxa"/>
            <w:vAlign w:val="bottom"/>
          </w:tcPr>
          <w:p>
            <w:pPr>
              <w:spacing w:after="0"/>
              <w:rPr>
                <w:sz w:val="10"/>
                <w:szCs w:val="10"/>
                <w:color w:val="auto"/>
              </w:rPr>
            </w:pPr>
          </w:p>
        </w:tc>
        <w:tc>
          <w:tcPr>
            <w:tcW w:w="720" w:type="dxa"/>
            <w:vAlign w:val="bottom"/>
          </w:tcPr>
          <w:p>
            <w:pPr>
              <w:jc w:val="right"/>
              <w:ind w:right="109"/>
              <w:spacing w:after="0" w:line="116" w:lineRule="exact"/>
              <w:rPr>
                <w:sz w:val="20"/>
                <w:szCs w:val="20"/>
                <w:color w:val="auto"/>
              </w:rPr>
            </w:pPr>
            <w:r>
              <w:rPr>
                <w:rFonts w:ascii="Arial" w:cs="Arial" w:eastAsia="Arial" w:hAnsi="Arial"/>
                <w:sz w:val="13"/>
                <w:szCs w:val="13"/>
                <w:color w:val="auto"/>
                <w:w w:val="99"/>
              </w:rPr>
              <w:t>Retained</w:t>
            </w:r>
          </w:p>
        </w:tc>
        <w:tc>
          <w:tcPr>
            <w:tcW w:w="200" w:type="dxa"/>
            <w:vAlign w:val="bottom"/>
          </w:tcPr>
          <w:p>
            <w:pPr>
              <w:spacing w:after="0"/>
              <w:rPr>
                <w:sz w:val="10"/>
                <w:szCs w:val="10"/>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3"/>
                <w:szCs w:val="13"/>
                <w:color w:val="auto"/>
              </w:rPr>
              <w:t>AOCI</w:t>
            </w:r>
          </w:p>
        </w:tc>
        <w:tc>
          <w:tcPr>
            <w:tcW w:w="920" w:type="dxa"/>
            <w:vAlign w:val="bottom"/>
            <w:gridSpan w:val="2"/>
          </w:tcPr>
          <w:p>
            <w:pPr>
              <w:ind w:left="40"/>
              <w:spacing w:after="0" w:line="116" w:lineRule="exact"/>
              <w:rPr>
                <w:sz w:val="20"/>
                <w:szCs w:val="20"/>
                <w:color w:val="auto"/>
              </w:rPr>
            </w:pPr>
            <w:r>
              <w:rPr>
                <w:rFonts w:ascii="Arial" w:cs="Arial" w:eastAsia="Arial" w:hAnsi="Arial"/>
                <w:sz w:val="13"/>
                <w:szCs w:val="13"/>
                <w:color w:val="auto"/>
                <w:w w:val="99"/>
              </w:rPr>
              <w:t>Non controlling</w:t>
            </w:r>
          </w:p>
        </w:tc>
        <w:tc>
          <w:tcPr>
            <w:tcW w:w="200" w:type="dxa"/>
            <w:vAlign w:val="bottom"/>
          </w:tcPr>
          <w:p>
            <w:pPr>
              <w:spacing w:after="0"/>
              <w:rPr>
                <w:sz w:val="10"/>
                <w:szCs w:val="10"/>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1"/>
        </w:trPr>
        <w:tc>
          <w:tcPr>
            <w:tcW w:w="3160" w:type="dxa"/>
            <w:vAlign w:val="bottom"/>
            <w:tcBorders>
              <w:bottom w:val="single" w:sz="8" w:color="CEFFE7"/>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color w:val="auto"/>
              </w:rPr>
              <w:t>Capital</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color w:val="auto"/>
              </w:rPr>
              <w:t>Earnings</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color w:val="auto"/>
              </w:rPr>
              <w:t>Interest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EFFE7"/>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60,048,567</w:t>
            </w:r>
          </w:p>
        </w:tc>
        <w:tc>
          <w:tcPr>
            <w:tcW w:w="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60,049</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44,253</w:t>
            </w:r>
          </w:p>
        </w:tc>
        <w:tc>
          <w:tcPr>
            <w:tcW w:w="18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(2,510)</w:t>
            </w:r>
          </w:p>
        </w:tc>
        <w:tc>
          <w:tcPr>
            <w:tcW w:w="200" w:type="dxa"/>
            <w:vAlign w:val="bottom"/>
            <w:shd w:val="clear" w:color="auto" w:fill="CEFFE7"/>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1,450,569</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700,396</w:t>
            </w:r>
          </w:p>
        </w:tc>
        <w:tc>
          <w:tcPr>
            <w:tcW w:w="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(26,916)</w:t>
            </w:r>
          </w:p>
        </w:tc>
        <w:tc>
          <w:tcPr>
            <w:tcW w:w="180" w:type="dxa"/>
            <w:vAlign w:val="bottom"/>
            <w:shd w:val="clear" w:color="auto" w:fill="CEFFE7"/>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105,835</w:t>
            </w:r>
          </w:p>
        </w:tc>
        <w:tc>
          <w:tcPr>
            <w:tcW w:w="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2,287,423</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199,310</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14,012</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213,322</w:t>
            </w:r>
          </w:p>
        </w:tc>
        <w:tc>
          <w:tcPr>
            <w:tcW w:w="0" w:type="dxa"/>
            <w:vAlign w:val="bottom"/>
          </w:tcPr>
          <w:p>
            <w:pPr>
              <w:spacing w:after="0"/>
              <w:rPr>
                <w:sz w:val="1"/>
                <w:szCs w:val="1"/>
                <w:color w:val="auto"/>
              </w:rPr>
            </w:pPr>
          </w:p>
        </w:tc>
      </w:tr>
      <w:tr>
        <w:trPr>
          <w:trHeight w:val="189"/>
        </w:trPr>
        <w:tc>
          <w:tcPr>
            <w:tcW w:w="3160" w:type="dxa"/>
            <w:vAlign w:val="bottom"/>
            <w:shd w:val="clear" w:color="auto" w:fill="CEFFE7"/>
          </w:tcPr>
          <w:p>
            <w:pPr>
              <w:ind w:left="20"/>
              <w:spacing w:after="0"/>
              <w:rPr>
                <w:sz w:val="20"/>
                <w:szCs w:val="20"/>
                <w:color w:val="auto"/>
              </w:rPr>
            </w:pPr>
            <w:r>
              <w:rPr>
                <w:rFonts w:ascii="Arial" w:cs="Arial" w:eastAsia="Arial" w:hAnsi="Arial"/>
                <w:sz w:val="14"/>
                <w:szCs w:val="14"/>
                <w:color w:val="auto"/>
              </w:rPr>
              <w:t>Other comprehensive (loss), net of tax</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(3,739)</w:t>
            </w:r>
          </w:p>
        </w:tc>
        <w:tc>
          <w:tcPr>
            <w:tcW w:w="180" w:type="dxa"/>
            <w:vAlign w:val="bottom"/>
            <w:shd w:val="clear" w:color="auto" w:fill="CEFFE7"/>
          </w:tcPr>
          <w:p>
            <w:pPr>
              <w:spacing w:after="0"/>
              <w:rPr>
                <w:sz w:val="16"/>
                <w:szCs w:val="16"/>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(3,739)</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4"/>
                <w:szCs w:val="14"/>
                <w:color w:val="auto"/>
              </w:rPr>
              <w:t>Dividends on common stock ($2.05 per share)</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(124,647)</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(124,647)</w:t>
            </w:r>
          </w:p>
        </w:tc>
        <w:tc>
          <w:tcPr>
            <w:tcW w:w="0" w:type="dxa"/>
            <w:vAlign w:val="bottom"/>
          </w:tcPr>
          <w:p>
            <w:pPr>
              <w:spacing w:after="0"/>
              <w:rPr>
                <w:sz w:val="1"/>
                <w:szCs w:val="1"/>
                <w:color w:val="auto"/>
              </w:rPr>
            </w:pPr>
          </w:p>
        </w:tc>
      </w:tr>
      <w:tr>
        <w:trPr>
          <w:trHeight w:val="189"/>
        </w:trPr>
        <w:tc>
          <w:tcPr>
            <w:tcW w:w="3160" w:type="dxa"/>
            <w:vAlign w:val="bottom"/>
            <w:shd w:val="clear" w:color="auto" w:fill="CEFFE7"/>
          </w:tcPr>
          <w:p>
            <w:pPr>
              <w:ind w:left="20"/>
              <w:spacing w:after="0"/>
              <w:rPr>
                <w:sz w:val="20"/>
                <w:szCs w:val="20"/>
                <w:color w:val="auto"/>
              </w:rPr>
            </w:pPr>
            <w:r>
              <w:rPr>
                <w:rFonts w:ascii="Arial" w:cs="Arial" w:eastAsia="Arial" w:hAnsi="Arial"/>
                <w:sz w:val="14"/>
                <w:szCs w:val="14"/>
                <w:color w:val="auto"/>
              </w:rPr>
              <w:t>Share-based compensation</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103,759</w:t>
            </w:r>
          </w:p>
        </w:tc>
        <w:tc>
          <w:tcPr>
            <w:tcW w:w="20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104</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(40,297)</w:t>
            </w:r>
          </w:p>
        </w:tc>
        <w:tc>
          <w:tcPr>
            <w:tcW w:w="18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2,243</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4,729</w:t>
            </w:r>
          </w:p>
        </w:tc>
        <w:tc>
          <w:tcPr>
            <w:tcW w:w="16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7,076</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60" w:type="dxa"/>
            <w:vAlign w:val="bottom"/>
          </w:tcPr>
          <w:p>
            <w:pPr>
              <w:jc w:val="right"/>
              <w:spacing w:after="0"/>
              <w:rPr>
                <w:sz w:val="20"/>
                <w:szCs w:val="20"/>
                <w:color w:val="auto"/>
              </w:rPr>
            </w:pPr>
            <w:r>
              <w:rPr>
                <w:rFonts w:ascii="Arial" w:cs="Arial" w:eastAsia="Arial" w:hAnsi="Arial"/>
                <w:sz w:val="14"/>
                <w:szCs w:val="14"/>
                <w:color w:val="auto"/>
              </w:rPr>
              <w:t>1,328,332</w:t>
            </w: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1,328</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98,672</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9"/>
        </w:trPr>
        <w:tc>
          <w:tcPr>
            <w:tcW w:w="3160" w:type="dxa"/>
            <w:vAlign w:val="bottom"/>
            <w:shd w:val="clear" w:color="auto" w:fill="CEFFE7"/>
          </w:tcPr>
          <w:p>
            <w:pPr>
              <w:ind w:left="20"/>
              <w:spacing w:after="0"/>
              <w:rPr>
                <w:sz w:val="20"/>
                <w:szCs w:val="20"/>
                <w:color w:val="auto"/>
              </w:rPr>
            </w:pPr>
            <w:r>
              <w:rPr>
                <w:rFonts w:ascii="Arial" w:cs="Arial" w:eastAsia="Arial" w:hAnsi="Arial"/>
                <w:sz w:val="14"/>
                <w:szCs w:val="14"/>
                <w:color w:val="auto"/>
              </w:rPr>
              <w:t>Issuance costs</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(1,182)</w:t>
            </w:r>
          </w:p>
        </w:tc>
        <w:tc>
          <w:tcPr>
            <w:tcW w:w="16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4"/>
                <w:szCs w:val="14"/>
                <w:color w:val="auto"/>
              </w:rPr>
              <w:t>Other</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327</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89"/>
        </w:trPr>
        <w:tc>
          <w:tcPr>
            <w:tcW w:w="3160" w:type="dxa"/>
            <w:vAlign w:val="bottom"/>
            <w:shd w:val="clear" w:color="auto" w:fill="CEFFE7"/>
          </w:tcPr>
          <w:p>
            <w:pPr>
              <w:ind w:left="20"/>
              <w:spacing w:after="0"/>
              <w:rPr>
                <w:sz w:val="20"/>
                <w:szCs w:val="20"/>
                <w:color w:val="auto"/>
              </w:rPr>
            </w:pPr>
            <w:r>
              <w:rPr>
                <w:rFonts w:ascii="Arial" w:cs="Arial" w:eastAsia="Arial" w:hAnsi="Arial"/>
                <w:sz w:val="14"/>
                <w:szCs w:val="14"/>
                <w:color w:val="auto"/>
              </w:rPr>
              <w:t>Implementation of ASU 2016-02 Leases</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3,390</w:t>
            </w:r>
          </w:p>
        </w:tc>
        <w:tc>
          <w:tcPr>
            <w:tcW w:w="200" w:type="dxa"/>
            <w:vAlign w:val="bottom"/>
            <w:shd w:val="clear" w:color="auto" w:fill="CEFFE7"/>
          </w:tcPr>
          <w:p>
            <w:pPr>
              <w:spacing w:after="0"/>
              <w:rPr>
                <w:sz w:val="16"/>
                <w:szCs w:val="16"/>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3,390</w:t>
            </w:r>
          </w:p>
        </w:tc>
        <w:tc>
          <w:tcPr>
            <w:tcW w:w="0" w:type="dxa"/>
            <w:vAlign w:val="bottom"/>
          </w:tcPr>
          <w:p>
            <w:pPr>
              <w:spacing w:after="0"/>
              <w:rPr>
                <w:sz w:val="1"/>
                <w:szCs w:val="1"/>
                <w:color w:val="auto"/>
              </w:rPr>
            </w:pPr>
          </w:p>
        </w:tc>
      </w:tr>
      <w:tr>
        <w:trPr>
          <w:trHeight w:val="189"/>
        </w:trPr>
        <w:tc>
          <w:tcPr>
            <w:tcW w:w="316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(17,901)</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(17,901)</w:t>
            </w:r>
          </w:p>
        </w:tc>
        <w:tc>
          <w:tcPr>
            <w:tcW w:w="0" w:type="dxa"/>
            <w:vAlign w:val="bottom"/>
          </w:tcPr>
          <w:p>
            <w:pPr>
              <w:spacing w:after="0"/>
              <w:rPr>
                <w:sz w:val="1"/>
                <w:szCs w:val="1"/>
                <w:color w:val="auto"/>
              </w:rPr>
            </w:pPr>
          </w:p>
        </w:tc>
      </w:tr>
      <w:tr>
        <w:trPr>
          <w:trHeight w:val="183"/>
        </w:trPr>
        <w:tc>
          <w:tcPr>
            <w:tcW w:w="3160" w:type="dxa"/>
            <w:vAlign w:val="bottom"/>
            <w:shd w:val="clear" w:color="auto" w:fill="CEFFE7"/>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61,480,658</w:t>
            </w:r>
          </w:p>
        </w:tc>
        <w:tc>
          <w:tcPr>
            <w:tcW w:w="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61,481</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3,956</w:t>
            </w:r>
          </w:p>
        </w:tc>
        <w:tc>
          <w:tcPr>
            <w:tcW w:w="18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(267)</w:t>
            </w:r>
          </w:p>
        </w:tc>
        <w:tc>
          <w:tcPr>
            <w:tcW w:w="200" w:type="dxa"/>
            <w:vAlign w:val="bottom"/>
            <w:shd w:val="clear" w:color="auto" w:fill="CEFFE7"/>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1,552,788</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778,776</w:t>
            </w:r>
          </w:p>
        </w:tc>
        <w:tc>
          <w:tcPr>
            <w:tcW w:w="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(30,655)</w:t>
            </w:r>
          </w:p>
        </w:tc>
        <w:tc>
          <w:tcPr>
            <w:tcW w:w="180" w:type="dxa"/>
            <w:vAlign w:val="bottom"/>
            <w:shd w:val="clear" w:color="auto" w:fill="CEFFE7"/>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101,946</w:t>
            </w:r>
          </w:p>
        </w:tc>
        <w:tc>
          <w:tcPr>
            <w:tcW w:w="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2,464,069</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227,608</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15,155</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242,763</w:t>
            </w:r>
          </w:p>
        </w:tc>
        <w:tc>
          <w:tcPr>
            <w:tcW w:w="0" w:type="dxa"/>
            <w:vAlign w:val="bottom"/>
          </w:tcPr>
          <w:p>
            <w:pPr>
              <w:spacing w:after="0"/>
              <w:rPr>
                <w:sz w:val="1"/>
                <w:szCs w:val="1"/>
                <w:color w:val="auto"/>
              </w:rPr>
            </w:pPr>
          </w:p>
        </w:tc>
      </w:tr>
      <w:tr>
        <w:trPr>
          <w:trHeight w:val="189"/>
        </w:trPr>
        <w:tc>
          <w:tcPr>
            <w:tcW w:w="3160" w:type="dxa"/>
            <w:vAlign w:val="bottom"/>
            <w:shd w:val="clear" w:color="auto" w:fill="CEFFE7"/>
          </w:tcPr>
          <w:p>
            <w:pPr>
              <w:ind w:left="20"/>
              <w:spacing w:after="0"/>
              <w:rPr>
                <w:sz w:val="20"/>
                <w:szCs w:val="20"/>
                <w:color w:val="auto"/>
              </w:rPr>
            </w:pPr>
            <w:r>
              <w:rPr>
                <w:rFonts w:ascii="Arial" w:cs="Arial" w:eastAsia="Arial" w:hAnsi="Arial"/>
                <w:sz w:val="14"/>
                <w:szCs w:val="14"/>
                <w:color w:val="auto"/>
              </w:rPr>
              <w:t>Other comprehensive income, net of tax</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3,309</w:t>
            </w:r>
          </w:p>
        </w:tc>
        <w:tc>
          <w:tcPr>
            <w:tcW w:w="180" w:type="dxa"/>
            <w:vAlign w:val="bottom"/>
            <w:shd w:val="clear" w:color="auto" w:fill="CEFFE7"/>
          </w:tcPr>
          <w:p>
            <w:pPr>
              <w:spacing w:after="0"/>
              <w:rPr>
                <w:sz w:val="16"/>
                <w:szCs w:val="16"/>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3,309</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4"/>
                <w:szCs w:val="14"/>
                <w:color w:val="auto"/>
              </w:rPr>
              <w:t>Dividends on common stock ($2.17 per share)</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(135,439)</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(135,439)</w:t>
            </w:r>
          </w:p>
        </w:tc>
        <w:tc>
          <w:tcPr>
            <w:tcW w:w="0" w:type="dxa"/>
            <w:vAlign w:val="bottom"/>
          </w:tcPr>
          <w:p>
            <w:pPr>
              <w:spacing w:after="0"/>
              <w:rPr>
                <w:sz w:val="1"/>
                <w:szCs w:val="1"/>
                <w:color w:val="auto"/>
              </w:rPr>
            </w:pPr>
          </w:p>
        </w:tc>
      </w:tr>
      <w:tr>
        <w:trPr>
          <w:trHeight w:val="189"/>
        </w:trPr>
        <w:tc>
          <w:tcPr>
            <w:tcW w:w="3160" w:type="dxa"/>
            <w:vAlign w:val="bottom"/>
            <w:shd w:val="clear" w:color="auto" w:fill="CEFFE7"/>
          </w:tcPr>
          <w:p>
            <w:pPr>
              <w:ind w:left="20"/>
              <w:spacing w:after="0"/>
              <w:rPr>
                <w:sz w:val="20"/>
                <w:szCs w:val="20"/>
                <w:color w:val="auto"/>
              </w:rPr>
            </w:pPr>
            <w:r>
              <w:rPr>
                <w:rFonts w:ascii="Arial" w:cs="Arial" w:eastAsia="Arial" w:hAnsi="Arial"/>
                <w:sz w:val="14"/>
                <w:szCs w:val="14"/>
                <w:color w:val="auto"/>
              </w:rPr>
              <w:t>Share-based compensation</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123,578</w:t>
            </w:r>
          </w:p>
        </w:tc>
        <w:tc>
          <w:tcPr>
            <w:tcW w:w="20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123</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28,536</w:t>
            </w:r>
          </w:p>
        </w:tc>
        <w:tc>
          <w:tcPr>
            <w:tcW w:w="18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(1,852)</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6,923</w:t>
            </w:r>
          </w:p>
        </w:tc>
        <w:tc>
          <w:tcPr>
            <w:tcW w:w="16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5,194</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60" w:type="dxa"/>
            <w:vAlign w:val="bottom"/>
          </w:tcPr>
          <w:p>
            <w:pPr>
              <w:jc w:val="right"/>
              <w:spacing w:after="0"/>
              <w:rPr>
                <w:sz w:val="20"/>
                <w:szCs w:val="20"/>
                <w:color w:val="auto"/>
              </w:rPr>
            </w:pPr>
            <w:r>
              <w:rPr>
                <w:rFonts w:ascii="Arial" w:cs="Arial" w:eastAsia="Arial" w:hAnsi="Arial"/>
                <w:sz w:val="14"/>
                <w:szCs w:val="14"/>
                <w:color w:val="auto"/>
              </w:rPr>
              <w:t>1,222,943</w:t>
            </w: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1,223</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98,777</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9"/>
        </w:trPr>
        <w:tc>
          <w:tcPr>
            <w:tcW w:w="3160" w:type="dxa"/>
            <w:vAlign w:val="bottom"/>
            <w:shd w:val="clear" w:color="auto" w:fill="CEFFE7"/>
          </w:tcPr>
          <w:p>
            <w:pPr>
              <w:ind w:left="20"/>
              <w:spacing w:after="0"/>
              <w:rPr>
                <w:sz w:val="20"/>
                <w:szCs w:val="20"/>
                <w:color w:val="auto"/>
              </w:rPr>
            </w:pPr>
            <w:r>
              <w:rPr>
                <w:rFonts w:ascii="Arial" w:cs="Arial" w:eastAsia="Arial" w:hAnsi="Arial"/>
                <w:sz w:val="14"/>
                <w:szCs w:val="14"/>
                <w:color w:val="auto"/>
              </w:rPr>
              <w:t>Issuance costs</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(1,203)</w:t>
            </w:r>
          </w:p>
        </w:tc>
        <w:tc>
          <w:tcPr>
            <w:tcW w:w="16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153"/>
        </w:trPr>
        <w:tc>
          <w:tcPr>
            <w:tcW w:w="3160" w:type="dxa"/>
            <w:vAlign w:val="bottom"/>
          </w:tcPr>
          <w:p>
            <w:pPr>
              <w:ind w:left="20"/>
              <w:spacing w:after="0" w:line="153" w:lineRule="exact"/>
              <w:rPr>
                <w:sz w:val="20"/>
                <w:szCs w:val="20"/>
                <w:color w:val="auto"/>
              </w:rPr>
            </w:pPr>
            <w:r>
              <w:rPr>
                <w:rFonts w:ascii="Arial" w:cs="Arial" w:eastAsia="Arial" w:hAnsi="Arial"/>
                <w:sz w:val="14"/>
                <w:szCs w:val="14"/>
                <w:color w:val="auto"/>
              </w:rPr>
              <w:t>Implementation of ASU 2016-13 Financial</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(207)</w:t>
            </w: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71"/>
        </w:trPr>
        <w:tc>
          <w:tcPr>
            <w:tcW w:w="3160" w:type="dxa"/>
            <w:vAlign w:val="bottom"/>
          </w:tcPr>
          <w:p>
            <w:pPr>
              <w:ind w:left="20"/>
              <w:spacing w:after="0"/>
              <w:rPr>
                <w:sz w:val="20"/>
                <w:szCs w:val="20"/>
                <w:color w:val="auto"/>
              </w:rPr>
            </w:pPr>
            <w:r>
              <w:rPr>
                <w:rFonts w:ascii="Arial" w:cs="Arial" w:eastAsia="Arial" w:hAnsi="Arial"/>
                <w:sz w:val="14"/>
                <w:szCs w:val="14"/>
                <w:color w:val="auto"/>
              </w:rPr>
              <w:t>Instruments - - Credit Losses</w:t>
            </w: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EFFE7"/>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EFFE7"/>
          </w:tcPr>
          <w:p>
            <w:pPr>
              <w:spacing w:after="0"/>
              <w:rPr>
                <w:sz w:val="16"/>
                <w:szCs w:val="16"/>
                <w:color w:val="auto"/>
              </w:rPr>
            </w:pPr>
          </w:p>
        </w:tc>
        <w:tc>
          <w:tcPr>
            <w:tcW w:w="700" w:type="dxa"/>
            <w:vAlign w:val="bottom"/>
            <w:tcBorders>
              <w:bottom w:val="single" w:sz="8" w:color="auto"/>
            </w:tcBorders>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EFFE7"/>
          </w:tcPr>
          <w:p>
            <w:pPr>
              <w:spacing w:after="0"/>
              <w:rPr>
                <w:sz w:val="16"/>
                <w:szCs w:val="16"/>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EFFE7"/>
          </w:tcPr>
          <w:p>
            <w:pPr>
              <w:spacing w:after="0"/>
              <w:rPr>
                <w:sz w:val="16"/>
                <w:szCs w:val="16"/>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6"/>
                <w:szCs w:val="16"/>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EFFE7"/>
          </w:tcPr>
          <w:p>
            <w:pPr>
              <w:spacing w:after="0"/>
              <w:rPr>
                <w:sz w:val="16"/>
                <w:szCs w:val="16"/>
                <w:color w:val="auto"/>
              </w:rPr>
            </w:pP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EFFE7"/>
          </w:tcPr>
          <w:p>
            <w:pPr>
              <w:spacing w:after="0"/>
              <w:rPr>
                <w:sz w:val="16"/>
                <w:szCs w:val="16"/>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(15,839)</w:t>
            </w:r>
          </w:p>
        </w:tc>
        <w:tc>
          <w:tcPr>
            <w:tcW w:w="200" w:type="dxa"/>
            <w:vAlign w:val="bottom"/>
            <w:tcBorders>
              <w:bottom w:val="single" w:sz="8" w:color="auto"/>
            </w:tcBorders>
            <w:shd w:val="clear" w:color="auto" w:fill="CEFFE7"/>
          </w:tcPr>
          <w:p>
            <w:pPr>
              <w:spacing w:after="0"/>
              <w:rPr>
                <w:sz w:val="16"/>
                <w:szCs w:val="16"/>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(15,839)</w:t>
            </w:r>
          </w:p>
        </w:tc>
        <w:tc>
          <w:tcPr>
            <w:tcW w:w="0" w:type="dxa"/>
            <w:vAlign w:val="bottom"/>
          </w:tcPr>
          <w:p>
            <w:pPr>
              <w:spacing w:after="0"/>
              <w:rPr>
                <w:sz w:val="1"/>
                <w:szCs w:val="1"/>
                <w:color w:val="auto"/>
              </w:rPr>
            </w:pPr>
          </w:p>
        </w:tc>
      </w:tr>
      <w:tr>
        <w:trPr>
          <w:trHeight w:val="183"/>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60" w:type="dxa"/>
            <w:vAlign w:val="bottom"/>
          </w:tcPr>
          <w:p>
            <w:pPr>
              <w:jc w:val="right"/>
              <w:spacing w:after="0"/>
              <w:rPr>
                <w:sz w:val="20"/>
                <w:szCs w:val="20"/>
                <w:color w:val="auto"/>
              </w:rPr>
            </w:pPr>
            <w:r>
              <w:rPr>
                <w:rFonts w:ascii="Arial" w:cs="Arial" w:eastAsia="Arial" w:hAnsi="Arial"/>
                <w:sz w:val="14"/>
                <w:szCs w:val="14"/>
                <w:color w:val="auto"/>
              </w:rPr>
              <w:t>62,827,179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62,827</w:t>
            </w:r>
          </w:p>
        </w:tc>
        <w:tc>
          <w:tcPr>
            <w:tcW w:w="720" w:type="dxa"/>
            <w:vAlign w:val="bottom"/>
          </w:tcPr>
          <w:p>
            <w:pPr>
              <w:jc w:val="right"/>
              <w:spacing w:after="0"/>
              <w:rPr>
                <w:sz w:val="20"/>
                <w:szCs w:val="20"/>
                <w:color w:val="auto"/>
              </w:rPr>
            </w:pPr>
            <w:r>
              <w:rPr>
                <w:rFonts w:ascii="Arial" w:cs="Arial" w:eastAsia="Arial" w:hAnsi="Arial"/>
                <w:sz w:val="14"/>
                <w:szCs w:val="14"/>
                <w:color w:val="auto"/>
              </w:rPr>
              <w:t>32,492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(2,119)</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1,657,285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870,738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(27,346)</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101,262</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2,662,647</w:t>
            </w:r>
          </w:p>
        </w:tc>
        <w:tc>
          <w:tcPr>
            <w:tcW w:w="0" w:type="dxa"/>
            <w:vAlign w:val="bottom"/>
          </w:tcPr>
          <w:p>
            <w:pPr>
              <w:spacing w:after="0"/>
              <w:rPr>
                <w:sz w:val="1"/>
                <w:szCs w:val="1"/>
                <w:color w:val="auto"/>
              </w:rPr>
            </w:pPr>
          </w:p>
        </w:tc>
      </w:tr>
      <w:tr>
        <w:trPr>
          <w:trHeight w:val="189"/>
        </w:trPr>
        <w:tc>
          <w:tcPr>
            <w:tcW w:w="316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236,744</w:t>
            </w:r>
          </w:p>
        </w:tc>
        <w:tc>
          <w:tcPr>
            <w:tcW w:w="200" w:type="dxa"/>
            <w:vAlign w:val="bottom"/>
            <w:shd w:val="clear" w:color="auto" w:fill="CEFFE7"/>
          </w:tcPr>
          <w:p>
            <w:pPr>
              <w:spacing w:after="0"/>
              <w:rPr>
                <w:sz w:val="16"/>
                <w:szCs w:val="16"/>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14,516</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251,260</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7,262</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7,262</w:t>
            </w:r>
          </w:p>
        </w:tc>
        <w:tc>
          <w:tcPr>
            <w:tcW w:w="0" w:type="dxa"/>
            <w:vAlign w:val="bottom"/>
          </w:tcPr>
          <w:p>
            <w:pPr>
              <w:spacing w:after="0"/>
              <w:rPr>
                <w:sz w:val="1"/>
                <w:szCs w:val="1"/>
                <w:color w:val="auto"/>
              </w:rPr>
            </w:pPr>
          </w:p>
        </w:tc>
      </w:tr>
      <w:tr>
        <w:trPr>
          <w:trHeight w:val="189"/>
        </w:trPr>
        <w:tc>
          <w:tcPr>
            <w:tcW w:w="3160" w:type="dxa"/>
            <w:vAlign w:val="bottom"/>
            <w:shd w:val="clear" w:color="auto" w:fill="CEFFE7"/>
          </w:tcPr>
          <w:p>
            <w:pPr>
              <w:ind w:left="20"/>
              <w:spacing w:after="0"/>
              <w:rPr>
                <w:sz w:val="20"/>
                <w:szCs w:val="20"/>
                <w:color w:val="auto"/>
              </w:rPr>
            </w:pPr>
            <w:r>
              <w:rPr>
                <w:rFonts w:ascii="Arial" w:cs="Arial" w:eastAsia="Arial" w:hAnsi="Arial"/>
                <w:sz w:val="14"/>
                <w:szCs w:val="14"/>
                <w:color w:val="auto"/>
              </w:rPr>
              <w:t>Dividends on common stock ($2.29 per share)</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(145,023)</w:t>
            </w:r>
          </w:p>
        </w:tc>
        <w:tc>
          <w:tcPr>
            <w:tcW w:w="200" w:type="dxa"/>
            <w:vAlign w:val="bottom"/>
            <w:shd w:val="clear" w:color="auto" w:fill="CEFFE7"/>
          </w:tcPr>
          <w:p>
            <w:pPr>
              <w:spacing w:after="0"/>
              <w:rPr>
                <w:sz w:val="16"/>
                <w:szCs w:val="16"/>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(145,023)</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60" w:type="dxa"/>
            <w:vAlign w:val="bottom"/>
          </w:tcPr>
          <w:p>
            <w:pPr>
              <w:jc w:val="right"/>
              <w:spacing w:after="0"/>
              <w:rPr>
                <w:sz w:val="20"/>
                <w:szCs w:val="20"/>
                <w:color w:val="auto"/>
              </w:rPr>
            </w:pPr>
            <w:r>
              <w:rPr>
                <w:rFonts w:ascii="Arial" w:cs="Arial" w:eastAsia="Arial" w:hAnsi="Arial"/>
                <w:sz w:val="14"/>
                <w:szCs w:val="14"/>
                <w:color w:val="auto"/>
              </w:rPr>
              <w:t>153,719</w:t>
            </w: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154</w:t>
            </w:r>
          </w:p>
        </w:tc>
        <w:tc>
          <w:tcPr>
            <w:tcW w:w="720" w:type="dxa"/>
            <w:vAlign w:val="bottom"/>
          </w:tcPr>
          <w:p>
            <w:pPr>
              <w:jc w:val="right"/>
              <w:spacing w:after="0"/>
              <w:rPr>
                <w:sz w:val="20"/>
                <w:szCs w:val="20"/>
                <w:color w:val="auto"/>
              </w:rPr>
            </w:pPr>
            <w:r>
              <w:rPr>
                <w:rFonts w:ascii="Arial" w:cs="Arial" w:eastAsia="Arial" w:hAnsi="Arial"/>
                <w:sz w:val="14"/>
                <w:szCs w:val="14"/>
                <w:color w:val="auto"/>
              </w:rPr>
              <w:t>21,586</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(1,390)</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9,256</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8,020</w:t>
            </w:r>
          </w:p>
        </w:tc>
        <w:tc>
          <w:tcPr>
            <w:tcW w:w="0" w:type="dxa"/>
            <w:vAlign w:val="bottom"/>
          </w:tcPr>
          <w:p>
            <w:pPr>
              <w:spacing w:after="0"/>
              <w:rPr>
                <w:sz w:val="1"/>
                <w:szCs w:val="1"/>
                <w:color w:val="auto"/>
              </w:rPr>
            </w:pPr>
          </w:p>
        </w:tc>
      </w:tr>
      <w:tr>
        <w:trPr>
          <w:trHeight w:val="189"/>
        </w:trPr>
        <w:tc>
          <w:tcPr>
            <w:tcW w:w="3160" w:type="dxa"/>
            <w:vAlign w:val="bottom"/>
            <w:shd w:val="clear" w:color="auto" w:fill="CEFFE7"/>
          </w:tcPr>
          <w:p>
            <w:pPr>
              <w:ind w:left="20"/>
              <w:spacing w:after="0"/>
              <w:rPr>
                <w:sz w:val="20"/>
                <w:szCs w:val="20"/>
                <w:color w:val="auto"/>
              </w:rPr>
            </w:pPr>
            <w:r>
              <w:rPr>
                <w:rFonts w:ascii="Arial" w:cs="Arial" w:eastAsia="Arial" w:hAnsi="Arial"/>
                <w:sz w:val="14"/>
                <w:szCs w:val="14"/>
                <w:color w:val="auto"/>
              </w:rPr>
              <w:t>Issuance of common stock</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1,812,197</w:t>
            </w:r>
          </w:p>
        </w:tc>
        <w:tc>
          <w:tcPr>
            <w:tcW w:w="20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1,812</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118,112</w:t>
            </w:r>
          </w:p>
        </w:tc>
        <w:tc>
          <w:tcPr>
            <w:tcW w:w="16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119,924</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(1,217)</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189"/>
        </w:trPr>
        <w:tc>
          <w:tcPr>
            <w:tcW w:w="3160" w:type="dxa"/>
            <w:vAlign w:val="bottom"/>
            <w:shd w:val="clear" w:color="auto" w:fill="CEFFE7"/>
          </w:tcPr>
          <w:p>
            <w:pPr>
              <w:ind w:left="20"/>
              <w:spacing w:after="0"/>
              <w:rPr>
                <w:sz w:val="20"/>
                <w:szCs w:val="20"/>
                <w:color w:val="auto"/>
              </w:rPr>
            </w:pPr>
            <w:r>
              <w:rPr>
                <w:rFonts w:ascii="Arial" w:cs="Arial" w:eastAsia="Arial" w:hAnsi="Arial"/>
                <w:sz w:val="14"/>
                <w:szCs w:val="14"/>
                <w:color w:val="auto"/>
              </w:rPr>
              <w:t>Other</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EFFE7"/>
          </w:tcPr>
          <w:p>
            <w:pPr>
              <w:spacing w:after="0"/>
              <w:rPr>
                <w:sz w:val="16"/>
                <w:szCs w:val="16"/>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6"/>
                <w:szCs w:val="16"/>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316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(15,749)</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(15,749)</w:t>
            </w:r>
          </w:p>
        </w:tc>
        <w:tc>
          <w:tcPr>
            <w:tcW w:w="0" w:type="dxa"/>
            <w:vAlign w:val="bottom"/>
          </w:tcPr>
          <w:p>
            <w:pPr>
              <w:spacing w:after="0"/>
              <w:rPr>
                <w:sz w:val="1"/>
                <w:szCs w:val="1"/>
                <w:color w:val="auto"/>
              </w:rPr>
            </w:pPr>
          </w:p>
        </w:tc>
      </w:tr>
      <w:tr>
        <w:trPr>
          <w:trHeight w:val="208"/>
        </w:trPr>
        <w:tc>
          <w:tcPr>
            <w:tcW w:w="31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64,793,095</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EFFE7"/>
          </w:tcPr>
          <w:p>
            <w:pPr>
              <w:jc w:val="right"/>
              <w:ind w:right="68"/>
              <w:spacing w:after="0"/>
              <w:rPr>
                <w:sz w:val="20"/>
                <w:szCs w:val="20"/>
                <w:color w:val="auto"/>
              </w:rPr>
            </w:pPr>
            <w:r>
              <w:rPr>
                <w:rFonts w:ascii="Arial" w:cs="Arial" w:eastAsia="Arial" w:hAnsi="Arial"/>
                <w:sz w:val="14"/>
                <w:szCs w:val="14"/>
                <w:color w:val="auto"/>
              </w:rPr>
              <w:t>64,793</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54,078</w:t>
            </w:r>
          </w:p>
        </w:tc>
        <w:tc>
          <w:tcPr>
            <w:tcW w:w="18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(3,509)</w:t>
            </w:r>
          </w:p>
        </w:tc>
        <w:tc>
          <w:tcPr>
            <w:tcW w:w="20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1,783,436</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962,458</w:t>
            </w:r>
          </w:p>
        </w:tc>
        <w:tc>
          <w:tcPr>
            <w:tcW w:w="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(20,084)</w:t>
            </w:r>
          </w:p>
        </w:tc>
        <w:tc>
          <w:tcPr>
            <w:tcW w:w="1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100,029</w:t>
            </w:r>
          </w:p>
        </w:tc>
        <w:tc>
          <w:tcPr>
            <w:tcW w:w="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2,887,123</w:t>
            </w:r>
          </w:p>
        </w:tc>
        <w:tc>
          <w:tcPr>
            <w:tcW w:w="0" w:type="dxa"/>
            <w:vAlign w:val="bottom"/>
          </w:tcPr>
          <w:p>
            <w:pPr>
              <w:spacing w:after="0"/>
              <w:rPr>
                <w:sz w:val="1"/>
                <w:szCs w:val="1"/>
                <w:color w:val="auto"/>
              </w:rPr>
            </w:pPr>
          </w:p>
        </w:tc>
      </w:tr>
      <w:tr>
        <w:trPr>
          <w:trHeight w:val="20"/>
        </w:trPr>
        <w:tc>
          <w:tcPr>
            <w:tcW w:w="3160" w:type="dxa"/>
            <w:vAlign w:val="bottom"/>
            <w:tcBorders>
              <w:top w:val="single" w:sz="8" w:color="CEFFE7"/>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65">
        <w:r>
          <w:rPr>
            <w:rFonts w:ascii="Arial" w:cs="Arial" w:eastAsia="Arial" w:hAnsi="Arial"/>
            <w:sz w:val="14"/>
            <w:szCs w:val="14"/>
            <w:u w:val="single" w:color="auto"/>
            <w:color w:val="0000FF"/>
          </w:rPr>
          <w:t>Notes to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Consolidated Financial Statements.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 2020 and 2019</w:t>
      </w:r>
    </w:p>
    <w:p>
      <w:pPr>
        <w:spacing w:after="0" w:line="235" w:lineRule="exact"/>
        <w:rPr>
          <w:sz w:val="20"/>
          <w:szCs w:val="20"/>
          <w:color w:val="auto"/>
        </w:rPr>
      </w:pPr>
    </w:p>
    <w:p>
      <w:pPr>
        <w:ind w:right="5460" w:firstLine="8"/>
        <w:spacing w:after="0" w:line="576" w:lineRule="auto"/>
        <w:tabs>
          <w:tab w:leader="none" w:pos="378"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BUSINESS DESCRIPTION AND SIGNIFICANT ACCOUNTING POLICIES Business Description</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Black Hills Corporation is a customer-focused, growth-oriented utility company headquartered in Rapid City, South Dakota. We are a holding company that, through our subsidiaries, conducts our operations through the following reportable segments: Electric Utilities and Gas Utilities. Certain unallocated corporate expenses that support our operating segments are presented as Corporate and Other.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Reporting</w:t>
      </w:r>
    </w:p>
    <w:p>
      <w:pPr>
        <w:spacing w:after="0" w:line="26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Our reportable segments are based on our method of internal reporting, which is generally segregated by differences in products and services. All of our operations and assets are located within the United States.</w:t>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Electric Utilities segment includes the operating results of the regulated electric utility operations of Colorado Electric, South Dakota Electric, and Wyoming Electric, which supply regulated electric utility services to areas in Colorado, Montana, South Dakota and Wyoming. We also own and operate non-regulated power generation and mining businesses that are vertically integrated with our Electric Utilities.</w:t>
      </w:r>
    </w:p>
    <w:p>
      <w:pPr>
        <w:spacing w:after="0" w:line="22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the fourth quarter of 2021, we integrated our power generation and mining businesses within the Electric Utilities segment. The alignment is consistent with the current way our CODM evaluates the performance of the business and makes decisions related to the allocation of resources. Comparative periods presented reflect this change.</w:t>
      </w:r>
    </w:p>
    <w:p>
      <w:pPr>
        <w:spacing w:after="0" w:line="22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Our Gas Utilities segment consists of the operating results of our regulated natural gas utility subsidiaries in Arkansas, Colorado, Iowa, Kansas, Nebraska and Wyoming.</w:t>
      </w:r>
    </w:p>
    <w:p>
      <w:pPr>
        <w:spacing w:after="0" w:line="222"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For further information regarding our segment reporting, see </w:t>
      </w:r>
      <w:hyperlink w:anchor="page111">
        <w:r>
          <w:rPr>
            <w:rFonts w:ascii="Arial" w:cs="Arial" w:eastAsia="Arial" w:hAnsi="Arial"/>
            <w:sz w:val="16"/>
            <w:szCs w:val="16"/>
            <w:u w:val="single" w:color="auto"/>
            <w:color w:val="0000FF"/>
          </w:rPr>
          <w:t>Note 16</w:t>
        </w:r>
      </w:hyperlink>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certain assets and liabilities and disclosure of contingent assets and liabilities at the date of the financial statements and the reported amounts of revenues and expenses during the reporting period. Changes in facts and circumstances or additional information may result in revised estimates and actual results could differ materially from those estimates.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2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March 2020, the World Health Organization categorized COVID-19 as a pandemic and the President of the United States declared the outbreak a national emergency. The U.S. government has deemed electric and natural gas utilities to be critical infrastructure sectors that provide essential services during this emergency. As a provider of essential services, the Company has an obligation to provide services to our customers. The Company remains focused on protecting the health of our customers, employees and the communities in which we operate while assuring the continuity of our business operations.</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Company’s Consolidated Financial Statements reflect estimates and assumptions made by management that affect the reported amounts of assets and liabilities and disclosure of contingent assets and liabilities at the date of the Consolidated Financial Statements and reported amounts of revenue and expenses during the reporting periods presented. The Company considered the impacts of COVID-19 on the assumptions and estimates used and determined that, for the years ended December 31, 2021 and 2020, there were no material adverse impacts on the Company’s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include the accounts of Black Hills Corporation and its wholly-owned and majority-owned and controlled subsidiaries.</w:t>
      </w:r>
    </w:p>
    <w:p>
      <w:pPr>
        <w:spacing w:after="0" w:line="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All intercompany balances and transactions have been eliminated in consolidation. For additional information on intercompany revenues, see </w:t>
      </w:r>
      <w:hyperlink w:anchor="page111">
        <w:r>
          <w:rPr>
            <w:rFonts w:ascii="Arial" w:cs="Arial" w:eastAsia="Arial" w:hAnsi="Arial"/>
            <w:sz w:val="16"/>
            <w:szCs w:val="16"/>
            <w:u w:val="single" w:color="auto"/>
            <w:color w:val="0000FF"/>
          </w:rPr>
          <w:t>Note 16</w:t>
        </w:r>
      </w:hyperlink>
      <w:r>
        <w:rPr>
          <w:rFonts w:ascii="Arial" w:cs="Arial" w:eastAsia="Arial" w:hAnsi="Arial"/>
          <w:sz w:val="16"/>
          <w:szCs w:val="16"/>
          <w:color w:val="auto"/>
        </w:rPr>
        <w:t>.</w:t>
      </w:r>
    </w:p>
    <w:p>
      <w:pPr>
        <w:spacing w:after="0" w:line="248" w:lineRule="exact"/>
        <w:rPr>
          <w:sz w:val="20"/>
          <w:szCs w:val="20"/>
          <w:color w:val="auto"/>
        </w:rPr>
      </w:pPr>
    </w:p>
    <w:p>
      <w:pPr>
        <w:ind w:right="2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Our Consolidated Statements of Income include operating activity of acquired companies beginning with their acquisition date. We use the proportionate consolidation method to account for our ownership interest in any jointly-owned electric utility generation facility, wind farm or transmission tie. See </w:t>
      </w:r>
      <w:hyperlink w:anchor="page86">
        <w:r>
          <w:rPr>
            <w:rFonts w:ascii="Arial" w:cs="Arial" w:eastAsia="Arial" w:hAnsi="Arial"/>
            <w:sz w:val="16"/>
            <w:szCs w:val="16"/>
            <w:u w:val="single" w:color="auto"/>
            <w:color w:val="0000FF"/>
          </w:rPr>
          <w:t>Note 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Variable Interest Entities</w:t>
      </w:r>
    </w:p>
    <w:p>
      <w:pPr>
        <w:spacing w:after="0" w:line="26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evaluate arrangements and contracts with other entities to determine if they are VIEs and if we are the primary beneficiary. GAAP provides a framework for identifying VIEs and determining when a company should include the assets, liabilities, non-controlling interest and results of activities of a VIE in its consolidated financial statements.</w:t>
      </w:r>
    </w:p>
    <w:p>
      <w:pPr>
        <w:spacing w:after="0" w:line="22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 VIE should be consolidated if a party with an ownership, contractual or other financial interest in the VIE (a variable interest holder) has the power to direct the VIE’s most significant activities and the obligation to absorb losses or right to receive benefits of the VIE that could be significant to the VIE.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w:t>
      </w:r>
    </w:p>
    <w:p>
      <w:pPr>
        <w:spacing w:after="0" w:line="229" w:lineRule="exact"/>
        <w:rPr>
          <w:sz w:val="20"/>
          <w:szCs w:val="20"/>
          <w:color w:val="auto"/>
        </w:rPr>
      </w:pPr>
    </w:p>
    <w:p>
      <w:pPr>
        <w:ind w:right="4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Our evaluation of whether our interest qualifies as the primary beneficiary of a VIE involves significant judgments, estimates and assumptions and includes a qualitative analysis of the activities that most significantly impact the VIE’s economic performance and whether the Company has the power to direct those activities, the design of the entity, the rights of the parties and the purpose of the arrangement. Black Hills Colorado IPP is a VIE. See additional information in </w:t>
      </w:r>
      <w:hyperlink w:anchor="page97">
        <w:r>
          <w:rPr>
            <w:rFonts w:ascii="Arial" w:cs="Arial" w:eastAsia="Arial" w:hAnsi="Arial"/>
            <w:sz w:val="16"/>
            <w:szCs w:val="16"/>
            <w:u w:val="single" w:color="auto"/>
            <w:color w:val="0000FF"/>
          </w:rPr>
          <w:t>Note 12</w:t>
        </w:r>
      </w:hyperlink>
      <w:r>
        <w:rPr>
          <w:rFonts w:ascii="Arial" w:cs="Arial" w:eastAsia="Arial" w:hAnsi="Arial"/>
          <w:sz w:val="16"/>
          <w:szCs w:val="16"/>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26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We consider all highly liquid investments with an original maturity of three months or less to be cash and cash equivalents. We maintain cash accounts for various specified purposes, which are classified as restricted cash.</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 Our primary types of revenue contracts are:</w:t>
      </w:r>
    </w:p>
    <w:p>
      <w:pPr>
        <w:spacing w:after="0" w:line="213" w:lineRule="exact"/>
        <w:rPr>
          <w:sz w:val="20"/>
          <w:szCs w:val="20"/>
          <w:color w:val="auto"/>
        </w:rPr>
      </w:pPr>
    </w:p>
    <w:p>
      <w:pPr>
        <w:ind w:left="660" w:right="120" w:hanging="328"/>
        <w:spacing w:after="0" w:line="252" w:lineRule="auto"/>
        <w:tabs>
          <w:tab w:leader="none" w:pos="649"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Regulated natural gas and electric utility services tariffs</w:t>
      </w:r>
      <w:r>
        <w:rPr>
          <w:rFonts w:ascii="Arial" w:cs="Arial" w:eastAsia="Arial" w:hAnsi="Arial"/>
          <w:sz w:val="16"/>
          <w:szCs w:val="16"/>
          <w:color w:val="auto"/>
        </w:rPr>
        <w:t xml:space="preserve"> - Our Utilities have regulated operations, as defined by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 xml:space="preserve"> that provide services to regulated customers under tariff rates, charges, terms and conditions of service and prices determined by the jurisdictional regulators designated for our service territories. Our regulated services primarily encompass single performance obligations for delivery of either commodity natural gas, commodity electricity, natural gas transportation or electric transmission services. These service revenues are variable based on quantities delivered, influenced by seasonal business and weather patterns. Tariffs are only permitted to be changed through a rate-setting process involving the state or federal regulatory commissions to establish contractual rates between the utility and its customers. All of our Utilities’ regulated sales are subject to regulatory-approved tariffs.</w:t>
      </w:r>
    </w:p>
    <w:p>
      <w:pPr>
        <w:spacing w:after="0" w:line="229" w:lineRule="exact"/>
        <w:rPr>
          <w:rFonts w:ascii="Arial" w:cs="Arial" w:eastAsia="Arial" w:hAnsi="Arial"/>
          <w:sz w:val="16"/>
          <w:szCs w:val="16"/>
          <w:color w:val="auto"/>
        </w:rPr>
      </w:pPr>
    </w:p>
    <w:p>
      <w:pPr>
        <w:ind w:left="660" w:right="20" w:hanging="328"/>
        <w:spacing w:after="0" w:line="248" w:lineRule="auto"/>
        <w:tabs>
          <w:tab w:leader="none" w:pos="649"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Power sales agreements</w:t>
      </w:r>
      <w:r>
        <w:rPr>
          <w:rFonts w:ascii="Arial" w:cs="Arial" w:eastAsia="Arial" w:hAnsi="Arial"/>
          <w:sz w:val="16"/>
          <w:szCs w:val="16"/>
          <w:color w:val="auto"/>
        </w:rPr>
        <w:t xml:space="preserve"> - Our Electric Utilities segment has long-term wholesale power sales agreements with other load-serving entities, including affiliates, for the sale of excess power from owned generating units. These agreements include a combination of “take or pay” arrangements, where the customer is obligated to pay for the energy regardless of whether it actually takes delivery, as well as “requirements only” arrangements, where the customer is only obligated to pay for the energy the customer needs. In addition to these long-term contracts, we also sell excess energy to other load-serving entities on a short-term basis. The pricing for all of these arrangements is included in the executed contracts or confirmations, reflecting the standalone selling price and is variable based on energy delivered. Certain energy sale and purchase transactions with the same counterparty and at the same delivery point are netted to reflect the economic substance of the arrangement.</w:t>
      </w:r>
    </w:p>
    <w:p>
      <w:pPr>
        <w:spacing w:after="0" w:line="235" w:lineRule="exact"/>
        <w:rPr>
          <w:rFonts w:ascii="Arial" w:cs="Arial" w:eastAsia="Arial" w:hAnsi="Arial"/>
          <w:sz w:val="16"/>
          <w:szCs w:val="16"/>
          <w:color w:val="auto"/>
        </w:rPr>
      </w:pPr>
    </w:p>
    <w:p>
      <w:pPr>
        <w:ind w:left="660" w:right="540" w:hanging="328"/>
        <w:spacing w:after="0" w:line="251" w:lineRule="auto"/>
        <w:tabs>
          <w:tab w:leader="none" w:pos="649"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Coal supply agreements</w:t>
      </w:r>
      <w:r>
        <w:rPr>
          <w:rFonts w:ascii="Arial" w:cs="Arial" w:eastAsia="Arial" w:hAnsi="Arial"/>
          <w:sz w:val="16"/>
          <w:szCs w:val="16"/>
          <w:color w:val="auto"/>
        </w:rPr>
        <w:t xml:space="preserve"> - Our WRDC mine sells coal primarily under long-term contracts to affiliates for use at their generation facilities. The contracts include a single promise to supply coal necessary to fuel the customers’ facilities during the contract term. The transaction price is established in the supply agreements, including cost-based agreements with the affiliated regulated utilities, and is variable based on tons delivered.</w:t>
      </w:r>
    </w:p>
    <w:p>
      <w:pPr>
        <w:spacing w:after="0" w:line="229" w:lineRule="exact"/>
        <w:rPr>
          <w:rFonts w:ascii="Arial" w:cs="Arial" w:eastAsia="Arial" w:hAnsi="Arial"/>
          <w:sz w:val="16"/>
          <w:szCs w:val="16"/>
          <w:color w:val="auto"/>
        </w:rPr>
      </w:pPr>
    </w:p>
    <w:p>
      <w:pPr>
        <w:ind w:left="660" w:right="340" w:hanging="328"/>
        <w:spacing w:after="0" w:line="250" w:lineRule="auto"/>
        <w:tabs>
          <w:tab w:leader="none" w:pos="649"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Other non-regulated services</w:t>
      </w:r>
      <w:r>
        <w:rPr>
          <w:rFonts w:ascii="Arial" w:cs="Arial" w:eastAsia="Arial" w:hAnsi="Arial"/>
          <w:sz w:val="16"/>
          <w:szCs w:val="16"/>
          <w:color w:val="auto"/>
        </w:rPr>
        <w:t xml:space="preserve"> - Our Utilities segments also provide non-regulated services primarily comprised of appliance repair service and protection plans, electric and natural gas technical infrastructure construction and maintenance services, and in Nebraska and Wyoming, an unbundled natural gas commodity offering under the regulatory-approved Choice Gas Program. Revenue contracts for these services generally represent a single performance obligation with the price reflecting the standalone selling price stated in the agreement and a variable revenue based on the units delivered or services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majority of our revenue contracts are based on variable quantities delivered. Any fixed consideration contracts with an expected duration of one year or more are immaterial to our consolidated revenues. Variable consideration constraints in the form of discounts, rebates, credits, price concessions, incentives, performance bonuses, penalties or other similar items are not material for our revenue contracts. We are the principal in our revenue contracts, as we have control over the services prior to those services being transferred to the customer.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Revenue Not in Scope of ASC 606</w:t>
      </w:r>
    </w:p>
    <w:p>
      <w:pPr>
        <w:spacing w:after="0" w:line="181" w:lineRule="exact"/>
        <w:rPr>
          <w:sz w:val="20"/>
          <w:szCs w:val="20"/>
          <w:color w:val="auto"/>
        </w:rPr>
      </w:pPr>
    </w:p>
    <w:p>
      <w:pPr>
        <w:ind w:right="60"/>
        <w:spacing w:after="0" w:line="257" w:lineRule="auto"/>
        <w:rPr>
          <w:rFonts w:ascii="Arial" w:cs="Arial" w:eastAsia="Arial" w:hAnsi="Arial"/>
          <w:sz w:val="16"/>
          <w:szCs w:val="16"/>
          <w:color w:val="auto"/>
        </w:rPr>
      </w:pPr>
      <w:r>
        <w:rPr>
          <w:rFonts w:ascii="Arial" w:cs="Arial" w:eastAsia="Arial" w:hAnsi="Arial"/>
          <w:sz w:val="16"/>
          <w:szCs w:val="16"/>
          <w:color w:val="auto"/>
        </w:rPr>
        <w:t xml:space="preserve">Other revenues included in the tables in </w:t>
      </w:r>
      <w:hyperlink w:anchor="page83">
        <w:r>
          <w:rPr>
            <w:rFonts w:ascii="Arial" w:cs="Arial" w:eastAsia="Arial" w:hAnsi="Arial"/>
            <w:sz w:val="16"/>
            <w:szCs w:val="16"/>
            <w:u w:val="single" w:color="auto"/>
            <w:color w:val="0000FF"/>
          </w:rPr>
          <w:t>Note 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include our revenue accounted for under separate accounting guidance, including lease revenue under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derivative revenue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and alternative revenue programs revenue under ASC 980, </w:t>
      </w:r>
      <w:r>
        <w:rPr>
          <w:rFonts w:ascii="Arial" w:cs="Arial" w:eastAsia="Arial" w:hAnsi="Arial"/>
          <w:sz w:val="16"/>
          <w:szCs w:val="16"/>
          <w:i w:val="1"/>
          <w:iCs w:val="1"/>
          <w:color w:val="auto"/>
        </w:rPr>
        <w:t>Regulated</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Significant Judgments and Estimates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Unbilled Revenue</w:t>
      </w:r>
    </w:p>
    <w:p>
      <w:pPr>
        <w:spacing w:after="0" w:line="26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To the extent that deliveries have occurred but a bill has not been issued, our Utilities accrue an estimate of the revenue since the latest billing. This estimate is calculated based upon several factors including billings through the last billing cycle in a month and prices in effect in our jurisdictions. Each month, the estimated unbilled revenue amounts are trued-up and recorded in Accounts receivable, net on the accompanying Consolidated Balance Sheets.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Balances</w:t>
      </w:r>
    </w:p>
    <w:p>
      <w:pPr>
        <w:spacing w:after="0" w:line="26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nature of our primary revenue contracts provides an unconditional right to consideration upon service delivery; therefore, no customer contract assets or liabilities exist. The unconditional right to consideration is represented by the balance in our Accounts receivable, which is further discussed below.</w:t>
      </w:r>
    </w:p>
    <w:p>
      <w:pPr>
        <w:spacing w:after="0" w:line="222"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Additional information is included in </w:t>
      </w:r>
      <w:hyperlink w:anchor="page83">
        <w:r>
          <w:rPr>
            <w:rFonts w:ascii="Arial" w:cs="Arial" w:eastAsia="Arial" w:hAnsi="Arial"/>
            <w:sz w:val="16"/>
            <w:szCs w:val="16"/>
            <w:u w:val="single" w:color="auto"/>
            <w:color w:val="0000FF"/>
          </w:rPr>
          <w:t>Note 4</w:t>
        </w:r>
      </w:hyperlink>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and Allowance for Credit Losses</w:t>
      </w:r>
    </w:p>
    <w:p>
      <w:pPr>
        <w:spacing w:after="0" w:line="26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Accounts receivable for our Electric and Gas Utilities business segments primarily consists of sales to residential, commercial, industrial, transportation and other customers, all of which do not bear interest. These accounts receivable are stated at billed and estimated unbilled amounts, net of allowance for credit losses. Accounts receivable for our power generation and mining businesses consists of amounts due from sales of electric energy and capacity and coal primarily to affiliates or regional utilities.</w:t>
      </w:r>
    </w:p>
    <w:p>
      <w:pPr>
        <w:spacing w:after="0" w:line="16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maintain an allowance for credit losses which reflects our estimate of uncollectible trade receivables. We regularly review our trade receivable allowance by considering such factors as historical experience, credit worthiness, the age of the receivable balances and current economic conditions that may affect collectability.</w:t>
      </w:r>
    </w:p>
    <w:p>
      <w:pPr>
        <w:spacing w:after="0" w:line="22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specific cases where we are aware of a customer’s inability or reluctance to pay, we record an allowance for credit losses to reduce the net receivable balance to the amount we reasonably expect to collect. However, if circumstances change, our estimate of the recoverability of accounts receivable could be affected. Circumstances which could affect our estimates include, but are not limited to, customer credit issues, expected losses, the level of commodity prices, customer deposits and general economic conditions. Accounts are written off once they are deemed to be uncollectible or the time allowed for dispute under the contract has expired.</w:t>
      </w:r>
    </w:p>
    <w:p>
      <w:pPr>
        <w:spacing w:after="0" w:line="162"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offset exists, accounting standards permit the netting of receivables and payables under a legally enforceable master netting agreement between counterparties. Accounting standards also permit offsetting of fair value amounts recognized for the right to reclaim, or the obligation to return, cash collateral against fair value amounts recognized for derivative instruments executed with the same counterparty.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as of December 31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2021</w:t>
            </w:r>
          </w:p>
        </w:tc>
        <w:tc>
          <w:tcPr>
            <w:tcW w:w="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3"/>
        </w:trPr>
        <w:tc>
          <w:tcPr>
            <w:tcW w:w="3980" w:type="dxa"/>
            <w:vAlign w:val="bottom"/>
            <w:shd w:val="clear" w:color="auto" w:fill="CEFFE7"/>
          </w:tcPr>
          <w:p>
            <w:pPr>
              <w:ind w:left="20"/>
              <w:spacing w:after="0"/>
              <w:rPr>
                <w:sz w:val="20"/>
                <w:szCs w:val="20"/>
                <w:color w:val="auto"/>
              </w:rPr>
            </w:pPr>
            <w:r>
              <w:rPr>
                <w:rFonts w:ascii="Arial" w:cs="Arial" w:eastAsia="Arial" w:hAnsi="Arial"/>
                <w:sz w:val="16"/>
                <w:szCs w:val="16"/>
                <w:color w:val="auto"/>
              </w:rPr>
              <w:t>Billed Accounts Receivable</w:t>
            </w:r>
          </w:p>
        </w:tc>
        <w:tc>
          <w:tcPr>
            <w:tcW w:w="3420" w:type="dxa"/>
            <w:vAlign w:val="bottom"/>
            <w:gridSpan w:val="2"/>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181,027</w:t>
            </w:r>
          </w:p>
        </w:tc>
        <w:tc>
          <w:tcPr>
            <w:tcW w:w="52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146,899</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Unbilled Revenue</w:t>
            </w:r>
          </w:p>
        </w:tc>
        <w:tc>
          <w:tcPr>
            <w:tcW w:w="342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142,738</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126,065</w:t>
            </w:r>
          </w:p>
        </w:tc>
        <w:tc>
          <w:tcPr>
            <w:tcW w:w="0" w:type="dxa"/>
            <w:vAlign w:val="bottom"/>
          </w:tcPr>
          <w:p>
            <w:pPr>
              <w:spacing w:after="0"/>
              <w:rPr>
                <w:sz w:val="1"/>
                <w:szCs w:val="1"/>
                <w:color w:val="auto"/>
              </w:rPr>
            </w:pPr>
          </w:p>
        </w:tc>
      </w:tr>
      <w:tr>
        <w:trPr>
          <w:trHeight w:val="216"/>
        </w:trPr>
        <w:tc>
          <w:tcPr>
            <w:tcW w:w="3980" w:type="dxa"/>
            <w:vAlign w:val="bottom"/>
            <w:shd w:val="clear" w:color="auto" w:fill="CEFFE7"/>
          </w:tcPr>
          <w:p>
            <w:pPr>
              <w:ind w:left="20"/>
              <w:spacing w:after="0"/>
              <w:rPr>
                <w:sz w:val="20"/>
                <w:szCs w:val="20"/>
                <w:color w:val="auto"/>
              </w:rPr>
            </w:pPr>
            <w:r>
              <w:rPr>
                <w:rFonts w:ascii="Arial" w:cs="Arial" w:eastAsia="Arial" w:hAnsi="Arial"/>
                <w:sz w:val="16"/>
                <w:szCs w:val="16"/>
                <w:color w:val="auto"/>
              </w:rPr>
              <w:t>Less Allowance for Credit Losses</w:t>
            </w:r>
          </w:p>
        </w:tc>
        <w:tc>
          <w:tcPr>
            <w:tcW w:w="2920" w:type="dxa"/>
            <w:vAlign w:val="bottom"/>
            <w:shd w:val="clear" w:color="auto" w:fill="CEFFE7"/>
          </w:tcPr>
          <w:p>
            <w:pPr>
              <w:spacing w:after="0"/>
              <w:rPr>
                <w:sz w:val="18"/>
                <w:szCs w:val="18"/>
                <w:color w:val="auto"/>
              </w:rPr>
            </w:pPr>
          </w:p>
        </w:tc>
        <w:tc>
          <w:tcPr>
            <w:tcW w:w="50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(2,113)</w:t>
            </w:r>
          </w:p>
        </w:tc>
        <w:tc>
          <w:tcPr>
            <w:tcW w:w="52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(7,003)</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342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321,652</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265,961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920" w:type="dxa"/>
            <w:vAlign w:val="bottom"/>
            <w:vMerge w:val="restart"/>
          </w:tcPr>
          <w:p>
            <w:pPr>
              <w:jc w:val="right"/>
              <w:ind w:right="1099"/>
              <w:spacing w:after="0"/>
              <w:rPr>
                <w:sz w:val="20"/>
                <w:szCs w:val="20"/>
                <w:color w:val="auto"/>
              </w:rPr>
            </w:pPr>
            <w:r>
              <w:rPr>
                <w:rFonts w:ascii="Arial" w:cs="Arial" w:eastAsia="Arial" w:hAnsi="Arial"/>
                <w:sz w:val="16"/>
                <w:szCs w:val="16"/>
                <w:color w:val="auto"/>
              </w:rPr>
              <w:t>68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1"/>
        </w:trPr>
        <w:tc>
          <w:tcPr>
            <w:tcW w:w="39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98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years ended December 31,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spacing w:after="0"/>
              <w:rPr>
                <w:sz w:val="16"/>
                <w:szCs w:val="16"/>
                <w:color w:val="auto"/>
              </w:rPr>
            </w:pPr>
          </w:p>
        </w:tc>
        <w:tc>
          <w:tcPr>
            <w:tcW w:w="2420" w:type="dxa"/>
            <w:vAlign w:val="bottom"/>
            <w:gridSpan w:val="2"/>
          </w:tcPr>
          <w:p>
            <w:pPr>
              <w:jc w:val="right"/>
              <w:ind w:right="19"/>
              <w:spacing w:after="0"/>
              <w:rPr>
                <w:sz w:val="20"/>
                <w:szCs w:val="20"/>
                <w:color w:val="auto"/>
              </w:rPr>
            </w:pPr>
            <w:r>
              <w:rPr>
                <w:rFonts w:ascii="Arial" w:cs="Arial" w:eastAsia="Arial" w:hAnsi="Arial"/>
                <w:sz w:val="16"/>
                <w:szCs w:val="16"/>
                <w:color w:val="auto"/>
              </w:rPr>
              <w:t>Balance at Beginning</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Additions Charged to</w:t>
            </w:r>
          </w:p>
        </w:tc>
        <w:tc>
          <w:tcPr>
            <w:tcW w:w="280" w:type="dxa"/>
            <w:vAlign w:val="bottom"/>
          </w:tcPr>
          <w:p>
            <w:pPr>
              <w:spacing w:after="0"/>
              <w:rPr>
                <w:sz w:val="16"/>
                <w:szCs w:val="16"/>
                <w:color w:val="auto"/>
              </w:rPr>
            </w:pPr>
          </w:p>
        </w:tc>
        <w:tc>
          <w:tcPr>
            <w:tcW w:w="1820" w:type="dxa"/>
            <w:vAlign w:val="bottom"/>
            <w:gridSpan w:val="2"/>
          </w:tcPr>
          <w:p>
            <w:pPr>
              <w:jc w:val="right"/>
              <w:ind w:right="19"/>
              <w:spacing w:after="0"/>
              <w:rPr>
                <w:sz w:val="20"/>
                <w:szCs w:val="20"/>
                <w:color w:val="auto"/>
              </w:rPr>
            </w:pPr>
            <w:r>
              <w:rPr>
                <w:rFonts w:ascii="Arial" w:cs="Arial" w:eastAsia="Arial" w:hAnsi="Arial"/>
                <w:sz w:val="16"/>
                <w:szCs w:val="16"/>
                <w:color w:val="auto"/>
              </w:rPr>
              <w:t>Recoveries and Other</w:t>
            </w:r>
          </w:p>
        </w:tc>
        <w:tc>
          <w:tcPr>
            <w:tcW w:w="200" w:type="dxa"/>
            <w:vAlign w:val="bottom"/>
          </w:tcPr>
          <w:p>
            <w:pPr>
              <w:spacing w:after="0"/>
              <w:rPr>
                <w:sz w:val="16"/>
                <w:szCs w:val="16"/>
                <w:color w:val="auto"/>
              </w:rPr>
            </w:pPr>
          </w:p>
        </w:tc>
        <w:tc>
          <w:tcPr>
            <w:tcW w:w="1640" w:type="dxa"/>
            <w:vAlign w:val="bottom"/>
          </w:tcPr>
          <w:p>
            <w:pPr>
              <w:jc w:val="right"/>
              <w:ind w:right="99"/>
              <w:spacing w:after="0"/>
              <w:rPr>
                <w:sz w:val="20"/>
                <w:szCs w:val="20"/>
                <w:color w:val="auto"/>
              </w:rPr>
            </w:pPr>
            <w:r>
              <w:rPr>
                <w:rFonts w:ascii="Arial" w:cs="Arial" w:eastAsia="Arial" w:hAnsi="Arial"/>
                <w:sz w:val="16"/>
                <w:szCs w:val="16"/>
                <w:color w:val="auto"/>
                <w:w w:val="99"/>
              </w:rPr>
              <w:t>Write-offs and Other</w:t>
            </w: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8"/>
        </w:trPr>
        <w:tc>
          <w:tcPr>
            <w:tcW w:w="1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of Year</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Costs and Expenses</w:t>
            </w: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Additions</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Deductions</w:t>
            </w:r>
          </w:p>
        </w:tc>
        <w:tc>
          <w:tcPr>
            <w:tcW w:w="17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Balance at End of Year</w:t>
            </w:r>
          </w:p>
        </w:tc>
      </w:tr>
      <w:tr>
        <w:trPr>
          <w:trHeight w:val="213"/>
        </w:trPr>
        <w:tc>
          <w:tcPr>
            <w:tcW w:w="1320" w:type="dxa"/>
            <w:vAlign w:val="bottom"/>
            <w:shd w:val="clear" w:color="auto" w:fill="CEFFE7"/>
          </w:tcPr>
          <w:p>
            <w:pPr>
              <w:jc w:val="right"/>
              <w:ind w:right="659"/>
              <w:spacing w:after="0"/>
              <w:rPr>
                <w:sz w:val="20"/>
                <w:szCs w:val="20"/>
                <w:color w:val="auto"/>
              </w:rPr>
            </w:pPr>
            <w:r>
              <w:rPr>
                <w:rFonts w:ascii="Arial" w:cs="Arial" w:eastAsia="Arial" w:hAnsi="Arial"/>
                <w:sz w:val="16"/>
                <w:szCs w:val="16"/>
                <w:color w:val="auto"/>
              </w:rPr>
              <w:t>2021</w:t>
            </w:r>
          </w:p>
        </w:tc>
        <w:tc>
          <w:tcPr>
            <w:tcW w:w="106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7,003</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2,444</w:t>
            </w:r>
          </w:p>
        </w:tc>
        <w:tc>
          <w:tcPr>
            <w:tcW w:w="280" w:type="dxa"/>
            <w:vAlign w:val="bottom"/>
            <w:shd w:val="clear" w:color="auto" w:fill="CEFFE7"/>
          </w:tcPr>
          <w:p>
            <w:pPr>
              <w:ind w:left="40"/>
              <w:spacing w:after="0"/>
              <w:rPr>
                <w:sz w:val="20"/>
                <w:szCs w:val="20"/>
                <w:color w:val="auto"/>
              </w:rPr>
            </w:pPr>
            <w:r>
              <w:rPr>
                <w:rFonts w:ascii="Arial" w:cs="Arial" w:eastAsia="Arial" w:hAnsi="Arial"/>
                <w:sz w:val="11"/>
                <w:szCs w:val="11"/>
                <w:color w:val="auto"/>
              </w:rPr>
              <w:t>(a)</w:t>
            </w:r>
          </w:p>
        </w:tc>
        <w:tc>
          <w:tcPr>
            <w:tcW w:w="40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3,560</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(10,894)</w:t>
            </w:r>
          </w:p>
        </w:tc>
        <w:tc>
          <w:tcPr>
            <w:tcW w:w="740" w:type="dxa"/>
            <w:vAlign w:val="bottom"/>
            <w:shd w:val="clear" w:color="auto" w:fill="CEFFE7"/>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2,113</w:t>
            </w:r>
          </w:p>
        </w:tc>
      </w:tr>
      <w:tr>
        <w:trPr>
          <w:trHeight w:val="213"/>
        </w:trPr>
        <w:tc>
          <w:tcPr>
            <w:tcW w:w="1320" w:type="dxa"/>
            <w:vAlign w:val="bottom"/>
          </w:tcPr>
          <w:p>
            <w:pPr>
              <w:jc w:val="right"/>
              <w:ind w:right="659"/>
              <w:spacing w:after="0"/>
              <w:rPr>
                <w:sz w:val="20"/>
                <w:szCs w:val="20"/>
                <w:color w:val="auto"/>
              </w:rPr>
            </w:pPr>
            <w:r>
              <w:rPr>
                <w:rFonts w:ascii="Arial" w:cs="Arial" w:eastAsia="Arial" w:hAnsi="Arial"/>
                <w:sz w:val="16"/>
                <w:szCs w:val="16"/>
                <w:color w:val="auto"/>
              </w:rPr>
              <w:t>2020</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2,444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8,927</w:t>
            </w:r>
          </w:p>
        </w:tc>
        <w:tc>
          <w:tcPr>
            <w:tcW w:w="280" w:type="dxa"/>
            <w:vAlign w:val="bottom"/>
          </w:tcPr>
          <w:p>
            <w:pPr>
              <w:ind w:left="40"/>
              <w:spacing w:after="0"/>
              <w:rPr>
                <w:sz w:val="20"/>
                <w:szCs w:val="20"/>
                <w:color w:val="auto"/>
              </w:rPr>
            </w:pPr>
            <w:r>
              <w:rPr>
                <w:rFonts w:ascii="Arial" w:cs="Arial" w:eastAsia="Arial" w:hAnsi="Arial"/>
                <w:sz w:val="11"/>
                <w:szCs w:val="11"/>
                <w:color w:val="auto"/>
              </w:rPr>
              <w:t>(a)</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4,728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(9,096)</w:t>
            </w:r>
          </w:p>
        </w:tc>
        <w:tc>
          <w:tcPr>
            <w:tcW w:w="740" w:type="dxa"/>
            <w:vAlign w:val="bottom"/>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7,003</w:t>
            </w:r>
          </w:p>
        </w:tc>
      </w:tr>
      <w:tr>
        <w:trPr>
          <w:trHeight w:val="219"/>
        </w:trPr>
        <w:tc>
          <w:tcPr>
            <w:tcW w:w="1320" w:type="dxa"/>
            <w:vAlign w:val="bottom"/>
            <w:shd w:val="clear" w:color="auto" w:fill="CEFFE7"/>
          </w:tcPr>
          <w:p>
            <w:pPr>
              <w:jc w:val="right"/>
              <w:ind w:right="659"/>
              <w:spacing w:after="0"/>
              <w:rPr>
                <w:sz w:val="20"/>
                <w:szCs w:val="20"/>
                <w:color w:val="auto"/>
              </w:rPr>
            </w:pPr>
            <w:r>
              <w:rPr>
                <w:rFonts w:ascii="Arial" w:cs="Arial" w:eastAsia="Arial" w:hAnsi="Arial"/>
                <w:sz w:val="16"/>
                <w:szCs w:val="16"/>
                <w:color w:val="auto"/>
              </w:rPr>
              <w:t>2019</w:t>
            </w:r>
          </w:p>
        </w:tc>
        <w:tc>
          <w:tcPr>
            <w:tcW w:w="106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3,209</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5,795</w:t>
            </w:r>
          </w:p>
        </w:tc>
        <w:tc>
          <w:tcPr>
            <w:tcW w:w="280" w:type="dxa"/>
            <w:vAlign w:val="bottom"/>
            <w:shd w:val="clear" w:color="auto" w:fill="CEFFE7"/>
          </w:tcPr>
          <w:p>
            <w:pPr>
              <w:spacing w:after="0"/>
              <w:rPr>
                <w:sz w:val="19"/>
                <w:szCs w:val="19"/>
                <w:color w:val="auto"/>
              </w:rPr>
            </w:pPr>
          </w:p>
        </w:tc>
        <w:tc>
          <w:tcPr>
            <w:tcW w:w="40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3,942</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(10,502)</w:t>
            </w:r>
          </w:p>
        </w:tc>
        <w:tc>
          <w:tcPr>
            <w:tcW w:w="740" w:type="dxa"/>
            <w:vAlign w:val="bottom"/>
            <w:shd w:val="clear" w:color="auto" w:fill="CEFFE7"/>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2,444</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 w:lineRule="exact"/>
        <w:rPr>
          <w:sz w:val="20"/>
          <w:szCs w:val="20"/>
          <w:color w:val="auto"/>
        </w:rPr>
      </w:pPr>
    </w:p>
    <w:p>
      <w:pPr>
        <w:ind w:left="340" w:right="320" w:hanging="332"/>
        <w:spacing w:after="0" w:line="249" w:lineRule="auto"/>
        <w:tabs>
          <w:tab w:leader="none" w:pos="352" w:val="left"/>
        </w:tabs>
        <w:numPr>
          <w:ilvl w:val="0"/>
          <w:numId w:val="49"/>
        </w:numPr>
        <w:rPr>
          <w:rFonts w:ascii="Arial" w:cs="Arial" w:eastAsia="Arial" w:hAnsi="Arial"/>
          <w:sz w:val="14"/>
          <w:szCs w:val="14"/>
          <w:color w:val="auto"/>
        </w:rPr>
      </w:pPr>
      <w:r>
        <w:rPr>
          <w:rFonts w:ascii="Arial" w:cs="Arial" w:eastAsia="Arial" w:hAnsi="Arial"/>
          <w:sz w:val="14"/>
          <w:szCs w:val="14"/>
          <w:color w:val="auto"/>
        </w:rPr>
        <w:t>Due to the COVID-19 pandemic, all of our jurisdictions temporarily suspended disconnections due to non-payment for a period of time, which increased our accounts receivable arrears balances. As a result, we increased our allowance for credit losses and bad debt expense for the year ended December 31, 2020 by an incremental $3.3 million. All jurisdiction disconnect moratoriums ended on or before May 3, 2021.</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Materials, Supplies and Fuel</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Consolidated Balance Sheets as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00" w:type="dxa"/>
            <w:vAlign w:val="bottom"/>
            <w:tcBorders>
              <w:bottom w:val="single" w:sz="8" w:color="CEFFE7"/>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2021</w:t>
            </w: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2020</w:t>
            </w:r>
          </w:p>
        </w:tc>
      </w:tr>
      <w:tr>
        <w:trPr>
          <w:trHeight w:val="212"/>
        </w:trPr>
        <w:tc>
          <w:tcPr>
            <w:tcW w:w="6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Materials and supplies</w:t>
            </w:r>
          </w:p>
        </w:tc>
        <w:tc>
          <w:tcPr>
            <w:tcW w:w="1380" w:type="dxa"/>
            <w:vAlign w:val="bottom"/>
            <w:shd w:val="clear" w:color="auto" w:fill="CEFFE7"/>
          </w:tcPr>
          <w:p>
            <w:pPr>
              <w:jc w:val="right"/>
              <w:ind w:right="11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86,400</w:t>
            </w:r>
          </w:p>
        </w:tc>
        <w:tc>
          <w:tcPr>
            <w:tcW w:w="54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85,250</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Fuel</w:t>
            </w:r>
          </w:p>
        </w:tc>
        <w:tc>
          <w:tcPr>
            <w:tcW w:w="1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1,267</w:t>
            </w:r>
          </w:p>
        </w:tc>
        <w:tc>
          <w:tcPr>
            <w:tcW w:w="5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1,531</w:t>
            </w:r>
          </w:p>
        </w:tc>
      </w:tr>
      <w:tr>
        <w:trPr>
          <w:trHeight w:val="216"/>
        </w:trPr>
        <w:tc>
          <w:tcPr>
            <w:tcW w:w="6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Natural gas in storage</w:t>
            </w:r>
          </w:p>
        </w:tc>
        <w:tc>
          <w:tcPr>
            <w:tcW w:w="138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63,312</w:t>
            </w:r>
          </w:p>
        </w:tc>
        <w:tc>
          <w:tcPr>
            <w:tcW w:w="540" w:type="dxa"/>
            <w:vAlign w:val="bottom"/>
            <w:tcBorders>
              <w:bottom w:val="single" w:sz="8" w:color="auto"/>
            </w:tcBorders>
            <w:shd w:val="clear" w:color="auto" w:fill="CEFFE7"/>
          </w:tcPr>
          <w:p>
            <w:pPr>
              <w:spacing w:after="0"/>
              <w:rPr>
                <w:sz w:val="18"/>
                <w:szCs w:val="18"/>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30,619</w:t>
            </w: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Total materials, supplies and fuel</w:t>
            </w:r>
          </w:p>
        </w:tc>
        <w:tc>
          <w:tcPr>
            <w:tcW w:w="138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150,979</w:t>
            </w:r>
          </w:p>
        </w:tc>
        <w:tc>
          <w:tcPr>
            <w:tcW w:w="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117,400</w:t>
            </w:r>
          </w:p>
        </w:tc>
      </w:tr>
      <w:tr>
        <w:trPr>
          <w:trHeight w:val="20"/>
        </w:trPr>
        <w:tc>
          <w:tcPr>
            <w:tcW w:w="6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Materials and supplies represent parts and supplies for business segments. Fuel represents diesel oil and gas used by our Electric Utilities to produce power. Natural gas in storage primarily represents gas purchased for use by our gas customers. All of our Materials, supplies and fuel are recorded using the weighted-average cost method and are valued at the lower-of-cost or net realizable value. The value of our natural gas in storage fluctuates with seasonal volume requirements of our business and the commodity price of natural gas.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w:t>
      </w:r>
    </w:p>
    <w:p>
      <w:pPr>
        <w:spacing w:after="0" w:line="26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February 2018, we made a contribution of $28 million of assets in exchange for equity securities in a privately held oil and gas company as we divested of our Oil and Gas segment. The carrying value of our investment in the equity securities was recorded at cost. We review this investment on a periodic basis to determine whether a significant event or change in circumstances has occurred that may have an adverse effect on the value of the investment.</w:t>
      </w:r>
    </w:p>
    <w:p>
      <w:pPr>
        <w:spacing w:after="0" w:line="228"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During the third quarter of 2019, we assessed our investment for impairment as a result of a deterioration in earnings performance of the privately held oil and gas company and an adverse change in future natural gas prices. Based on the estimated fair value of our investment, we concluded that the carrying value of the investment exceeded fair value. As a result, we recorded a pre-tax impairment loss of $20 million for the three months ended September 30, 2019, which was the difference between the carrying amount and the fair value of the investment at that time.</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During the first quarter of 2020, we assessed our investment for impairment as a result of continued adverse changes in future natural gas prices and liquidity concerns at the privately held oil and gas company. Based on the estimated fair value of our investment, we concluded that the carrying value of the investment exceeded fair value. As a result, we recorded a pre-tax impairment loss of $6.9 million for the three months ended March 31, 2020, which was the difference between the carrying value and the fair value of the investment at that time.</w:t>
      </w:r>
    </w:p>
    <w:p>
      <w:pPr>
        <w:spacing w:after="0" w:line="229"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 following table presents the carrying value of our investments (in thousands), which are included in Other assets, non-current on the Consolidated Balance Sheets, as of December 31: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20" w:type="dxa"/>
            <w:vAlign w:val="bottom"/>
            <w:tcBorders>
              <w:bottom w:val="single" w:sz="8" w:color="CEFFE7"/>
            </w:tcBorders>
          </w:tcPr>
          <w:p>
            <w:pPr>
              <w:spacing w:after="0"/>
              <w:rPr>
                <w:sz w:val="17"/>
                <w:szCs w:val="17"/>
                <w:color w:val="auto"/>
              </w:rPr>
            </w:pPr>
          </w:p>
        </w:tc>
        <w:tc>
          <w:tcPr>
            <w:tcW w:w="2380" w:type="dxa"/>
            <w:vAlign w:val="bottom"/>
            <w:tcBorders>
              <w:bottom w:val="single" w:sz="8" w:color="CEFFE7"/>
            </w:tcBorders>
          </w:tcPr>
          <w:p>
            <w:pPr>
              <w:spacing w:after="0"/>
              <w:rPr>
                <w:sz w:val="17"/>
                <w:szCs w:val="17"/>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2021</w:t>
            </w:r>
          </w:p>
        </w:tc>
        <w:tc>
          <w:tcPr>
            <w:tcW w:w="7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2"/>
        </w:trPr>
        <w:tc>
          <w:tcPr>
            <w:tcW w:w="4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Investment in privately held oil and gas company</w:t>
            </w:r>
          </w:p>
        </w:tc>
        <w:tc>
          <w:tcPr>
            <w:tcW w:w="3800" w:type="dxa"/>
            <w:vAlign w:val="bottom"/>
            <w:gridSpan w:val="2"/>
            <w:shd w:val="clear" w:color="auto" w:fill="CEFFE7"/>
          </w:tcPr>
          <w:p>
            <w:pPr>
              <w:jc w:val="right"/>
              <w:ind w:right="12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1,500</w:t>
            </w:r>
          </w:p>
        </w:tc>
        <w:tc>
          <w:tcPr>
            <w:tcW w:w="54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Cash surrender value of life insurance contracts</w:t>
            </w:r>
          </w:p>
        </w:tc>
        <w:tc>
          <w:tcPr>
            <w:tcW w:w="2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12,365</w:t>
            </w:r>
          </w:p>
        </w:tc>
        <w:tc>
          <w:tcPr>
            <w:tcW w:w="5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13,628</w:t>
            </w:r>
          </w:p>
        </w:tc>
        <w:tc>
          <w:tcPr>
            <w:tcW w:w="0" w:type="dxa"/>
            <w:vAlign w:val="bottom"/>
          </w:tcPr>
          <w:p>
            <w:pPr>
              <w:spacing w:after="0"/>
              <w:rPr>
                <w:sz w:val="1"/>
                <w:szCs w:val="1"/>
                <w:color w:val="auto"/>
              </w:rPr>
            </w:pPr>
          </w:p>
        </w:tc>
      </w:tr>
      <w:tr>
        <w:trPr>
          <w:trHeight w:val="216"/>
        </w:trPr>
        <w:tc>
          <w:tcPr>
            <w:tcW w:w="4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investments</w:t>
            </w:r>
          </w:p>
        </w:tc>
        <w:tc>
          <w:tcPr>
            <w:tcW w:w="2380" w:type="dxa"/>
            <w:vAlign w:val="bottom"/>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spacing w:after="0"/>
              <w:rPr>
                <w:sz w:val="18"/>
                <w:szCs w:val="18"/>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1,616</w:t>
            </w:r>
          </w:p>
        </w:tc>
        <w:tc>
          <w:tcPr>
            <w:tcW w:w="540" w:type="dxa"/>
            <w:vAlign w:val="bottom"/>
            <w:tcBorders>
              <w:bottom w:val="single" w:sz="8" w:color="auto"/>
            </w:tcBorders>
            <w:shd w:val="clear" w:color="auto" w:fill="CEFFE7"/>
          </w:tcPr>
          <w:p>
            <w:pPr>
              <w:spacing w:after="0"/>
              <w:rPr>
                <w:sz w:val="18"/>
                <w:szCs w:val="18"/>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13"/>
        </w:trPr>
        <w:tc>
          <w:tcPr>
            <w:tcW w:w="4520" w:type="dxa"/>
            <w:vAlign w:val="bottom"/>
          </w:tcPr>
          <w:p>
            <w:pPr>
              <w:ind w:left="220"/>
              <w:spacing w:after="0"/>
              <w:rPr>
                <w:sz w:val="20"/>
                <w:szCs w:val="20"/>
                <w:color w:val="auto"/>
              </w:rPr>
            </w:pPr>
            <w:r>
              <w:rPr>
                <w:rFonts w:ascii="Arial" w:cs="Arial" w:eastAsia="Arial" w:hAnsi="Arial"/>
                <w:sz w:val="16"/>
                <w:szCs w:val="16"/>
                <w:color w:val="auto"/>
              </w:rPr>
              <w:t>Total investments</w:t>
            </w:r>
          </w:p>
        </w:tc>
        <w:tc>
          <w:tcPr>
            <w:tcW w:w="3800" w:type="dxa"/>
            <w:vAlign w:val="bottom"/>
            <w:gridSpan w:val="2"/>
          </w:tcPr>
          <w:p>
            <w:pPr>
              <w:jc w:val="right"/>
              <w:ind w:right="12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15,481</w:t>
            </w:r>
          </w:p>
        </w:tc>
        <w:tc>
          <w:tcPr>
            <w:tcW w:w="5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15,810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380" w:type="dxa"/>
            <w:vAlign w:val="bottom"/>
            <w:vMerge w:val="restart"/>
          </w:tcPr>
          <w:p>
            <w:pPr>
              <w:jc w:val="right"/>
              <w:ind w:right="1099"/>
              <w:spacing w:after="0"/>
              <w:rPr>
                <w:sz w:val="20"/>
                <w:szCs w:val="20"/>
                <w:color w:val="auto"/>
              </w:rPr>
            </w:pPr>
            <w:r>
              <w:rPr>
                <w:rFonts w:ascii="Arial" w:cs="Arial" w:eastAsia="Arial" w:hAnsi="Arial"/>
                <w:sz w:val="16"/>
                <w:szCs w:val="16"/>
                <w:color w:val="auto"/>
              </w:rPr>
              <w:t>69</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45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2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w:t>
      </w:r>
    </w:p>
    <w:p>
      <w:pPr>
        <w:spacing w:after="0" w:line="26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Additions to property, plant and equipment are recorded at cost. Included in the cost of regulated construction projects is AFUDC, when applicable, which represents the approximate composite cost of borrowed funds and a return on equity used to finance a regulated utility project. The following table presents AFUDC amounts (in thousands) for the years ended December 31:</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00" w:type="dxa"/>
            <w:vAlign w:val="bottom"/>
            <w:tcBorders>
              <w:bottom w:val="single" w:sz="8" w:color="CEFFE7"/>
            </w:tcBorders>
          </w:tcPr>
          <w:p>
            <w:pPr>
              <w:spacing w:after="0"/>
              <w:rPr>
                <w:sz w:val="17"/>
                <w:szCs w:val="17"/>
                <w:color w:val="auto"/>
              </w:rPr>
            </w:pPr>
          </w:p>
        </w:tc>
        <w:tc>
          <w:tcPr>
            <w:tcW w:w="4760" w:type="dxa"/>
            <w:vAlign w:val="bottom"/>
            <w:tcBorders>
              <w:bottom w:val="single" w:sz="8" w:color="auto"/>
            </w:tcBorders>
          </w:tcPr>
          <w:p>
            <w:pPr>
              <w:ind w:left="1520"/>
              <w:spacing w:after="0"/>
              <w:rPr>
                <w:sz w:val="20"/>
                <w:szCs w:val="20"/>
                <w:color w:val="auto"/>
              </w:rPr>
            </w:pPr>
            <w:r>
              <w:rPr>
                <w:rFonts w:ascii="Arial" w:cs="Arial" w:eastAsia="Arial" w:hAnsi="Arial"/>
                <w:sz w:val="16"/>
                <w:szCs w:val="16"/>
                <w:color w:val="auto"/>
              </w:rPr>
              <w:t>Income Statement Location</w:t>
            </w: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2019</w:t>
            </w:r>
          </w:p>
        </w:tc>
      </w:tr>
      <w:tr>
        <w:trPr>
          <w:trHeight w:val="174"/>
        </w:trPr>
        <w:tc>
          <w:tcPr>
            <w:tcW w:w="2000" w:type="dxa"/>
            <w:vAlign w:val="bottom"/>
            <w:shd w:val="clear" w:color="auto" w:fill="CEFFE7"/>
          </w:tcPr>
          <w:p>
            <w:pPr>
              <w:spacing w:after="0"/>
              <w:rPr>
                <w:sz w:val="15"/>
                <w:szCs w:val="15"/>
                <w:color w:val="auto"/>
              </w:rPr>
            </w:pPr>
          </w:p>
        </w:tc>
        <w:tc>
          <w:tcPr>
            <w:tcW w:w="4760" w:type="dxa"/>
            <w:vAlign w:val="bottom"/>
            <w:shd w:val="clear" w:color="auto" w:fill="CEFFE7"/>
          </w:tcPr>
          <w:p>
            <w:pPr>
              <w:ind w:left="20"/>
              <w:spacing w:after="0" w:line="174" w:lineRule="exact"/>
              <w:rPr>
                <w:sz w:val="20"/>
                <w:szCs w:val="20"/>
                <w:color w:val="auto"/>
              </w:rPr>
            </w:pPr>
            <w:r>
              <w:rPr>
                <w:rFonts w:ascii="Arial" w:cs="Arial" w:eastAsia="Arial" w:hAnsi="Arial"/>
                <w:sz w:val="16"/>
                <w:szCs w:val="16"/>
                <w:color w:val="auto"/>
              </w:rPr>
              <w:t>Interest expense incurred net of amounts capitalized (including</w:t>
            </w:r>
          </w:p>
        </w:tc>
        <w:tc>
          <w:tcPr>
            <w:tcW w:w="540" w:type="dxa"/>
            <w:vAlign w:val="bottom"/>
            <w:shd w:val="clear" w:color="auto" w:fill="CEFFE7"/>
          </w:tcPr>
          <w:p>
            <w:pPr>
              <w:spacing w:after="0"/>
              <w:rPr>
                <w:sz w:val="15"/>
                <w:szCs w:val="15"/>
                <w:color w:val="auto"/>
              </w:rPr>
            </w:pPr>
          </w:p>
        </w:tc>
        <w:tc>
          <w:tcPr>
            <w:tcW w:w="1080" w:type="dxa"/>
            <w:vAlign w:val="bottom"/>
            <w:shd w:val="clear" w:color="auto" w:fill="CEFFE7"/>
          </w:tcPr>
          <w:p>
            <w:pPr>
              <w:spacing w:after="0"/>
              <w:rPr>
                <w:sz w:val="15"/>
                <w:szCs w:val="15"/>
                <w:color w:val="auto"/>
              </w:rPr>
            </w:pPr>
          </w:p>
        </w:tc>
        <w:tc>
          <w:tcPr>
            <w:tcW w:w="940" w:type="dxa"/>
            <w:vAlign w:val="bottom"/>
            <w:shd w:val="clear" w:color="auto" w:fill="CEFFE7"/>
          </w:tcPr>
          <w:p>
            <w:pPr>
              <w:spacing w:after="0"/>
              <w:rPr>
                <w:sz w:val="15"/>
                <w:szCs w:val="15"/>
                <w:color w:val="auto"/>
              </w:rPr>
            </w:pPr>
          </w:p>
        </w:tc>
        <w:tc>
          <w:tcPr>
            <w:tcW w:w="48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100" w:type="dxa"/>
            <w:vAlign w:val="bottom"/>
            <w:shd w:val="clear" w:color="auto" w:fill="CEFFE7"/>
          </w:tcPr>
          <w:p>
            <w:pPr>
              <w:spacing w:after="0"/>
              <w:rPr>
                <w:sz w:val="15"/>
                <w:szCs w:val="15"/>
                <w:color w:val="auto"/>
              </w:rPr>
            </w:pPr>
          </w:p>
        </w:tc>
      </w:tr>
      <w:tr>
        <w:trPr>
          <w:trHeight w:val="201"/>
        </w:trPr>
        <w:tc>
          <w:tcPr>
            <w:tcW w:w="20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AFUDC Borrowed</w:t>
            </w:r>
          </w:p>
        </w:tc>
        <w:tc>
          <w:tcPr>
            <w:tcW w:w="4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amortization of debt issuance costs, premiums and discounts)</w:t>
            </w:r>
          </w:p>
        </w:tc>
        <w:tc>
          <w:tcPr>
            <w:tcW w:w="54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4,068</w:t>
            </w:r>
          </w:p>
        </w:tc>
        <w:tc>
          <w:tcPr>
            <w:tcW w:w="940" w:type="dxa"/>
            <w:vAlign w:val="bottom"/>
            <w:shd w:val="clear" w:color="auto" w:fill="CEFFE7"/>
          </w:tcPr>
          <w:p>
            <w:pPr>
              <w:jc w:val="right"/>
              <w:ind w:right="7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5,617</w:t>
            </w:r>
          </w:p>
        </w:tc>
        <w:tc>
          <w:tcPr>
            <w:tcW w:w="34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6,556</w:t>
            </w:r>
          </w:p>
        </w:tc>
      </w:tr>
      <w:tr>
        <w:trPr>
          <w:trHeight w:val="210"/>
        </w:trPr>
        <w:tc>
          <w:tcPr>
            <w:tcW w:w="2000" w:type="dxa"/>
            <w:vAlign w:val="bottom"/>
          </w:tcPr>
          <w:p>
            <w:pPr>
              <w:ind w:left="20"/>
              <w:spacing w:after="0"/>
              <w:rPr>
                <w:sz w:val="20"/>
                <w:szCs w:val="20"/>
                <w:color w:val="auto"/>
              </w:rPr>
            </w:pPr>
            <w:r>
              <w:rPr>
                <w:rFonts w:ascii="Arial" w:cs="Arial" w:eastAsia="Arial" w:hAnsi="Arial"/>
                <w:sz w:val="16"/>
                <w:szCs w:val="16"/>
                <w:color w:val="auto"/>
              </w:rPr>
              <w:t>AFUDC Equity</w:t>
            </w:r>
          </w:p>
        </w:tc>
        <w:tc>
          <w:tcPr>
            <w:tcW w:w="47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593</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318</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472</w:t>
            </w:r>
          </w:p>
        </w:tc>
      </w:tr>
    </w:tbl>
    <w:p>
      <w:pPr>
        <w:spacing w:after="0" w:line="34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also capitalize interest, when applicable, on undeveloped leasehold costs and certain non-regulated construction projects. In addition, asset retirement costs associated with tangible long-lived regulated utility assets are recognized as liabilities with an increase to the carrying amounts of the related long-lived regulated utility assets in the period incurred. The amounts capitalized are included in Property, plant and equipment on the accompanying Consolidated Balance Sheets. We also classify our Cushion Gas as property, plant and equipment.</w:t>
      </w:r>
    </w:p>
    <w:p>
      <w:pPr>
        <w:spacing w:after="0" w:line="229"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cost of regulated utility property, plant and equipment retired, or otherwise disposed in the ordinary course of business, less salvage plus retirement costs, is charged to accumulated depreciation. Estimated removal costs related to our regulated properties that do not have legal retirement obligations are reclassified from accumulated depreciation and reflected as regulatory liabilities. Retirement or disposal of all other assets result in gains or losses recognized as a component of operating income. Ordinary repairs and maintenance of property, except as allowed under rate regulations, are charged to operations as incurred.</w:t>
      </w:r>
    </w:p>
    <w:p>
      <w:pPr>
        <w:spacing w:after="0" w:line="230"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Depreciation provisions for property, plant and equipment are generally computed on a straight-line basis based on the applicable estimated service life of the various classes of property. The composite depreciation method is applied to regulated utility property. Capitalized mining costs and coal leases are amortized on a unit-of-production method based on volumes produced and estimated reserves. For certain non-regulated power plant components, depreciation is computed on a unit-of-production methodology based on plant hours run.</w:t>
      </w:r>
    </w:p>
    <w:p>
      <w:pPr>
        <w:spacing w:after="0" w:line="22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85">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Obligations</w:t>
      </w:r>
    </w:p>
    <w:p>
      <w:pPr>
        <w:spacing w:after="0" w:line="268"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Accounting standards for AROs associated with long-lived assets require that the present value of retirement costs for which we have a legal obligation be recorded as liabilities with an equivalent amount added to the asset cost and depreciated over an appropriate period. The associated ARO accretion expense for our non-regulated operations is included within Depreciation, depletion and amortization on the accompanying Consolidated Statements of Income. The accounting for the obligation for regulated operations has no income statement impact due to the deferral of the adjustments through the establishment of a regulatory asset or a regulatory liability.</w:t>
      </w:r>
    </w:p>
    <w:p>
      <w:pPr>
        <w:spacing w:after="0" w:line="230" w:lineRule="exact"/>
        <w:rPr>
          <w:sz w:val="20"/>
          <w:szCs w:val="20"/>
          <w:color w:val="auto"/>
        </w:rPr>
      </w:pPr>
    </w:p>
    <w:p>
      <w:pPr>
        <w:ind w:right="6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We initially record liabilities for the present value of retirement costs for which we have a legal obligation, with an equivalent amount added to the asset cost. The asset is then depreciated or depleted over the appropriate useful life and the liability is accreted over time by applying an interest method of allocation. Any difference in the actual cost of the settlement of the liability and the recorded amount is recognized as a gain or loss in the results of operations at the time of settlement for our non-regulated operations. Additional information is included in </w:t>
      </w:r>
      <w:hyperlink w:anchor="page87">
        <w:r>
          <w:rPr>
            <w:rFonts w:ascii="Arial" w:cs="Arial" w:eastAsia="Arial" w:hAnsi="Arial"/>
            <w:sz w:val="16"/>
            <w:szCs w:val="16"/>
            <w:u w:val="single" w:color="auto"/>
            <w:color w:val="0000FF"/>
          </w:rPr>
          <w:t>Note 7</w:t>
        </w:r>
      </w:hyperlink>
      <w:r>
        <w:rPr>
          <w:rFonts w:ascii="Arial" w:cs="Arial" w:eastAsia="Arial" w:hAnsi="Arial"/>
          <w:sz w:val="16"/>
          <w:szCs w:val="16"/>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Intangible Assets</w:t>
      </w:r>
    </w:p>
    <w:p>
      <w:pPr>
        <w:spacing w:after="0" w:line="268"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Goodwill and intangible assets with indefinite lives are not amortized, but the carrying values are reviewed upon an indicator of impairment or at least annually. Intangible assets with a finite life are amortized over their estimated useful lives.</w:t>
      </w:r>
    </w:p>
    <w:p>
      <w:pPr>
        <w:spacing w:after="0" w:line="222"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perform a goodwill impairment test on an annual basis or upon the occurrence of events or changes in circumstances that indicate that the asset might be impaired. Our annual goodwill impairment testing date is as of October 1, which aligns our testing date with our financial planning process.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determined that the reporting units for its goodwill impairment test are its operating segments, or components of an operating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Our goodwill impairment analysis includes an income approach and a market approach to estimate the fair value of our reporting units. This analysis requires the input of several critical assumptions, including future growth rates, cash flow projections, operating cost escalation rates, rates of return, a risk-adjusted discount rate, timing and level of success in regulatory rate proceedings, the cost of debt and equity capital, long-term earnings and merger multiples for comparable companies.</w:t>
      </w:r>
    </w:p>
    <w:p>
      <w:pPr>
        <w:spacing w:after="0" w:line="22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believe that goodwill reflects the inherent value of the relatively stable, long-lived cash flows of our Utilities businesses, considering the regulatory environment, and the long-lived cash flow and rate base growth opportunities at our Utilities, and those businesses vertically integrated. Goodwill amounts have not changed since 2016. As of December 31, 2021 and 2020, Goodwill balances were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700" w:type="dxa"/>
            <w:vAlign w:val="bottom"/>
            <w:tcBorders>
              <w:bottom w:val="single" w:sz="8" w:color="CEFFE7"/>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Electric Utilities</w:t>
            </w:r>
          </w:p>
        </w:tc>
        <w:tc>
          <w:tcPr>
            <w:tcW w:w="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Gas Utilities</w:t>
            </w:r>
          </w:p>
        </w:tc>
        <w:tc>
          <w:tcPr>
            <w:tcW w:w="5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Total</w:t>
            </w:r>
          </w:p>
        </w:tc>
      </w:tr>
      <w:tr>
        <w:trPr>
          <w:trHeight w:val="237"/>
        </w:trPr>
        <w:tc>
          <w:tcPr>
            <w:tcW w:w="47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257,244</w:t>
            </w:r>
          </w:p>
        </w:tc>
        <w:tc>
          <w:tcPr>
            <w:tcW w:w="42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1,042,210</w:t>
            </w:r>
          </w:p>
        </w:tc>
        <w:tc>
          <w:tcPr>
            <w:tcW w:w="54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1,299,454</w:t>
            </w:r>
          </w:p>
        </w:tc>
      </w:tr>
      <w:tr>
        <w:trPr>
          <w:trHeight w:val="20"/>
        </w:trPr>
        <w:tc>
          <w:tcPr>
            <w:tcW w:w="4700" w:type="dxa"/>
            <w:vAlign w:val="bottom"/>
            <w:tcBorders>
              <w:top w:val="single" w:sz="8" w:color="CEFFE7"/>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820" w:type="dxa"/>
            <w:vAlign w:val="bottom"/>
            <w:tcBorders>
              <w:top w:val="single" w:sz="8" w:color="CEFFE7"/>
              <w:bottom w:val="single" w:sz="8" w:color="auto"/>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1760" w:type="dxa"/>
            <w:vAlign w:val="bottom"/>
            <w:tcBorders>
              <w:top w:val="single" w:sz="8" w:color="CEFFE7"/>
              <w:bottom w:val="single" w:sz="8" w:color="auto"/>
            </w:tcBorders>
          </w:tcPr>
          <w:p>
            <w:pPr>
              <w:spacing w:after="0" w:line="20" w:lineRule="exact"/>
              <w:rPr>
                <w:sz w:val="1"/>
                <w:szCs w:val="1"/>
                <w:color w:val="auto"/>
              </w:rPr>
            </w:pPr>
          </w:p>
        </w:tc>
        <w:tc>
          <w:tcPr>
            <w:tcW w:w="540" w:type="dxa"/>
            <w:vAlign w:val="bottom"/>
            <w:tcBorders>
              <w:top w:val="single" w:sz="8" w:color="CEFFE7"/>
              <w:bottom w:val="single" w:sz="8" w:color="auto"/>
            </w:tcBorders>
          </w:tcPr>
          <w:p>
            <w:pPr>
              <w:spacing w:after="0" w:line="20" w:lineRule="exact"/>
              <w:rPr>
                <w:sz w:val="1"/>
                <w:szCs w:val="1"/>
                <w:color w:val="auto"/>
              </w:rPr>
            </w:pPr>
          </w:p>
        </w:tc>
        <w:tc>
          <w:tcPr>
            <w:tcW w:w="1680" w:type="dxa"/>
            <w:vAlign w:val="bottom"/>
            <w:tcBorders>
              <w:top w:val="single" w:sz="8" w:color="CEFF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Our intangible assets represent contract intangibles, easements, rights-of-way, customer listings and trademarks. The finite-lived intangible assets are amortized using a straight-line method based on estimated useful lives; these assets are currently being amortized from 2 years to 40 years. Changes to intangible assets for the years ended December 31, were as follows (in thousands):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680" w:type="dxa"/>
            <w:vAlign w:val="bottom"/>
            <w:tcBorders>
              <w:bottom w:val="single" w:sz="8" w:color="CEFFE7"/>
            </w:tcBorders>
          </w:tcPr>
          <w:p>
            <w:pPr>
              <w:spacing w:after="0"/>
              <w:rPr>
                <w:sz w:val="17"/>
                <w:szCs w:val="17"/>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2021</w:t>
            </w:r>
          </w:p>
        </w:tc>
        <w:tc>
          <w:tcPr>
            <w:tcW w:w="7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2020</w:t>
            </w:r>
          </w:p>
        </w:tc>
        <w:tc>
          <w:tcPr>
            <w:tcW w:w="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2019</w:t>
            </w:r>
          </w:p>
        </w:tc>
      </w:tr>
      <w:tr>
        <w:trPr>
          <w:trHeight w:val="212"/>
        </w:trPr>
        <w:tc>
          <w:tcPr>
            <w:tcW w:w="4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Intangible assets, net, beginning balance</w:t>
            </w:r>
          </w:p>
        </w:tc>
        <w:tc>
          <w:tcPr>
            <w:tcW w:w="1420" w:type="dxa"/>
            <w:vAlign w:val="bottom"/>
            <w:shd w:val="clear" w:color="auto" w:fill="CEFFE7"/>
          </w:tcPr>
          <w:p>
            <w:pPr>
              <w:jc w:val="right"/>
              <w:ind w:right="12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11,944</w:t>
            </w:r>
          </w:p>
        </w:tc>
        <w:tc>
          <w:tcPr>
            <w:tcW w:w="52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13,266</w:t>
            </w:r>
          </w:p>
        </w:tc>
        <w:tc>
          <w:tcPr>
            <w:tcW w:w="520" w:type="dxa"/>
            <w:vAlign w:val="bottom"/>
            <w:shd w:val="clear" w:color="auto" w:fill="CEFFE7"/>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14,337</w:t>
            </w:r>
          </w:p>
        </w:tc>
      </w:tr>
      <w:tr>
        <w:trPr>
          <w:trHeight w:val="216"/>
        </w:trPr>
        <w:tc>
          <w:tcPr>
            <w:tcW w:w="4680" w:type="dxa"/>
            <w:vAlign w:val="bottom"/>
            <w:tcBorders>
              <w:bottom w:val="single" w:sz="8" w:color="CEFFE7"/>
            </w:tcBorders>
          </w:tcPr>
          <w:p>
            <w:pPr>
              <w:ind w:left="140"/>
              <w:spacing w:after="0" w:line="216" w:lineRule="exact"/>
              <w:rPr>
                <w:sz w:val="20"/>
                <w:szCs w:val="20"/>
                <w:color w:val="auto"/>
              </w:rPr>
            </w:pPr>
            <w:r>
              <w:rPr>
                <w:rFonts w:ascii="Arial" w:cs="Arial" w:eastAsia="Arial" w:hAnsi="Arial"/>
                <w:sz w:val="16"/>
                <w:szCs w:val="16"/>
                <w:color w:val="auto"/>
              </w:rPr>
              <w:t xml:space="preserve">Amortization expense </w:t>
            </w:r>
            <w:r>
              <w:rPr>
                <w:rFonts w:ascii="Arial" w:cs="Arial" w:eastAsia="Arial" w:hAnsi="Arial"/>
                <w:sz w:val="21"/>
                <w:szCs w:val="21"/>
                <w:color w:val="auto"/>
                <w:vertAlign w:val="superscript"/>
              </w:rPr>
              <w:t>(a)</w:t>
            </w:r>
          </w:p>
        </w:tc>
        <w:tc>
          <w:tcPr>
            <w:tcW w:w="1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w:t>
            </w:r>
          </w:p>
        </w:tc>
      </w:tr>
      <w:tr>
        <w:trPr>
          <w:trHeight w:val="235"/>
        </w:trPr>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Intangible assets, net, ending balance</w:t>
            </w:r>
          </w:p>
        </w:tc>
        <w:tc>
          <w:tcPr>
            <w:tcW w:w="1420" w:type="dxa"/>
            <w:vAlign w:val="bottom"/>
            <w:tcBorders>
              <w:bottom w:val="single" w:sz="8" w:color="auto"/>
            </w:tcBorders>
            <w:shd w:val="clear" w:color="auto" w:fill="CEFFE7"/>
          </w:tcPr>
          <w:p>
            <w:pPr>
              <w:jc w:val="right"/>
              <w:ind w:right="1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10,770</w:t>
            </w:r>
          </w:p>
        </w:tc>
        <w:tc>
          <w:tcPr>
            <w:tcW w:w="52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11,944</w:t>
            </w:r>
          </w:p>
        </w:tc>
        <w:tc>
          <w:tcPr>
            <w:tcW w:w="520" w:type="dxa"/>
            <w:vAlign w:val="bottom"/>
            <w:tcBorders>
              <w:bottom w:val="single" w:sz="8" w:color="auto"/>
            </w:tcBorders>
            <w:shd w:val="clear" w:color="auto" w:fill="CEFFE7"/>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13,266</w:t>
            </w:r>
          </w:p>
        </w:tc>
      </w:tr>
      <w:tr>
        <w:trPr>
          <w:trHeight w:val="20"/>
        </w:trPr>
        <w:tc>
          <w:tcPr>
            <w:tcW w:w="4680" w:type="dxa"/>
            <w:vAlign w:val="bottom"/>
            <w:tcBorders>
              <w:top w:val="single" w:sz="8" w:color="CEFFE7"/>
            </w:tcBorders>
          </w:tcPr>
          <w:p>
            <w:pPr>
              <w:spacing w:after="0" w:line="20" w:lineRule="exact"/>
              <w:rPr>
                <w:sz w:val="1"/>
                <w:szCs w:val="1"/>
                <w:color w:val="auto"/>
              </w:rPr>
            </w:pPr>
          </w:p>
        </w:tc>
        <w:tc>
          <w:tcPr>
            <w:tcW w:w="142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520" w:type="dxa"/>
            <w:vAlign w:val="bottom"/>
            <w:tcBorders>
              <w:top w:val="single" w:sz="8" w:color="CEFFE7"/>
              <w:bottom w:val="single" w:sz="8" w:color="auto"/>
            </w:tcBorders>
          </w:tcPr>
          <w:p>
            <w:pPr>
              <w:spacing w:after="0" w:line="20" w:lineRule="exact"/>
              <w:rPr>
                <w:sz w:val="1"/>
                <w:szCs w:val="1"/>
                <w:color w:val="auto"/>
              </w:rPr>
            </w:pPr>
          </w:p>
        </w:tc>
        <w:tc>
          <w:tcPr>
            <w:tcW w:w="1660" w:type="dxa"/>
            <w:vAlign w:val="bottom"/>
            <w:tcBorders>
              <w:top w:val="single" w:sz="8" w:color="CEFFE7"/>
              <w:bottom w:val="single" w:sz="8" w:color="auto"/>
            </w:tcBorders>
          </w:tcPr>
          <w:p>
            <w:pPr>
              <w:spacing w:after="0" w:line="20" w:lineRule="exact"/>
              <w:rPr>
                <w:sz w:val="1"/>
                <w:szCs w:val="1"/>
                <w:color w:val="auto"/>
              </w:rPr>
            </w:pPr>
          </w:p>
        </w:tc>
        <w:tc>
          <w:tcPr>
            <w:tcW w:w="520" w:type="dxa"/>
            <w:vAlign w:val="bottom"/>
            <w:tcBorders>
              <w:top w:val="single" w:sz="8" w:color="CEFFE7"/>
              <w:bottom w:val="single" w:sz="8" w:color="auto"/>
            </w:tcBorders>
          </w:tcPr>
          <w:p>
            <w:pPr>
              <w:spacing w:after="0" w:line="20" w:lineRule="exact"/>
              <w:rPr>
                <w:sz w:val="1"/>
                <w:szCs w:val="1"/>
                <w:color w:val="auto"/>
              </w:rPr>
            </w:pPr>
          </w:p>
        </w:tc>
        <w:tc>
          <w:tcPr>
            <w:tcW w:w="1660" w:type="dxa"/>
            <w:vAlign w:val="bottom"/>
            <w:tcBorders>
              <w:top w:val="single" w:sz="8" w:color="CEFFE7"/>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Amortization expense for existing intangible assets is expected to be $1.2 million for each year of the next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Accrued Liabilities</w:t>
      </w:r>
    </w:p>
    <w:p>
      <w:pPr>
        <w:spacing w:after="0" w:line="26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following amounts by major classification are included in Accrued liabilities on the accompanying Consolidated Balance Sheets as of December 31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20" w:type="dxa"/>
            <w:vAlign w:val="bottom"/>
            <w:tcBorders>
              <w:bottom w:val="single" w:sz="8" w:color="CEFFE7"/>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2021</w:t>
            </w: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2020</w:t>
            </w:r>
          </w:p>
        </w:tc>
      </w:tr>
      <w:tr>
        <w:trPr>
          <w:trHeight w:val="213"/>
        </w:trPr>
        <w:tc>
          <w:tcPr>
            <w:tcW w:w="6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Accrued employee compensation, benefits and withholdings</w:t>
            </w:r>
          </w:p>
        </w:tc>
        <w:tc>
          <w:tcPr>
            <w:tcW w:w="1380" w:type="dxa"/>
            <w:vAlign w:val="bottom"/>
            <w:shd w:val="clear" w:color="auto" w:fill="CEFFE7"/>
          </w:tcPr>
          <w:p>
            <w:pPr>
              <w:jc w:val="right"/>
              <w:ind w:right="11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74,387</w:t>
            </w:r>
          </w:p>
        </w:tc>
        <w:tc>
          <w:tcPr>
            <w:tcW w:w="52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77,806</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1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50,874</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47,105</w:t>
            </w:r>
          </w:p>
        </w:tc>
      </w:tr>
      <w:tr>
        <w:trPr>
          <w:trHeight w:val="219"/>
        </w:trPr>
        <w:tc>
          <w:tcPr>
            <w:tcW w:w="6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Customer deposits and prepayments</w:t>
            </w:r>
          </w:p>
        </w:tc>
        <w:tc>
          <w:tcPr>
            <w:tcW w:w="138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48,814</w:t>
            </w:r>
          </w:p>
        </w:tc>
        <w:tc>
          <w:tcPr>
            <w:tcW w:w="520" w:type="dxa"/>
            <w:vAlign w:val="bottom"/>
            <w:shd w:val="clear" w:color="auto" w:fill="CEFFE7"/>
          </w:tcPr>
          <w:p>
            <w:pPr>
              <w:spacing w:after="0"/>
              <w:rPr>
                <w:sz w:val="19"/>
                <w:szCs w:val="19"/>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52,185</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33,680</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31,520</w:t>
            </w:r>
          </w:p>
        </w:tc>
      </w:tr>
      <w:tr>
        <w:trPr>
          <w:trHeight w:val="216"/>
        </w:trPr>
        <w:tc>
          <w:tcPr>
            <w:tcW w:w="6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(none of which is individually significant)</w:t>
            </w:r>
          </w:p>
        </w:tc>
        <w:tc>
          <w:tcPr>
            <w:tcW w:w="138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37,004</w:t>
            </w:r>
          </w:p>
        </w:tc>
        <w:tc>
          <w:tcPr>
            <w:tcW w:w="520" w:type="dxa"/>
            <w:vAlign w:val="bottom"/>
            <w:tcBorders>
              <w:bottom w:val="single" w:sz="8" w:color="auto"/>
            </w:tcBorders>
            <w:shd w:val="clear" w:color="auto" w:fill="CEFFE7"/>
          </w:tcPr>
          <w:p>
            <w:pPr>
              <w:spacing w:after="0"/>
              <w:rPr>
                <w:sz w:val="18"/>
                <w:szCs w:val="18"/>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34,996</w:t>
            </w:r>
          </w:p>
        </w:tc>
      </w:tr>
      <w:tr>
        <w:trPr>
          <w:trHeight w:val="213"/>
        </w:trPr>
        <w:tc>
          <w:tcPr>
            <w:tcW w:w="6920" w:type="dxa"/>
            <w:vAlign w:val="bottom"/>
          </w:tcPr>
          <w:p>
            <w:pPr>
              <w:ind w:left="220"/>
              <w:spacing w:after="0"/>
              <w:rPr>
                <w:sz w:val="20"/>
                <w:szCs w:val="20"/>
                <w:color w:val="auto"/>
              </w:rPr>
            </w:pPr>
            <w:r>
              <w:rPr>
                <w:rFonts w:ascii="Arial" w:cs="Arial" w:eastAsia="Arial" w:hAnsi="Arial"/>
                <w:sz w:val="16"/>
                <w:szCs w:val="16"/>
                <w:color w:val="auto"/>
              </w:rPr>
              <w:t>Total accrued liabilities</w:t>
            </w:r>
          </w:p>
        </w:tc>
        <w:tc>
          <w:tcPr>
            <w:tcW w:w="138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244,759</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243,612</w:t>
            </w:r>
          </w:p>
        </w:tc>
      </w:tr>
      <w:tr>
        <w:trPr>
          <w:trHeight w:val="20"/>
        </w:trPr>
        <w:tc>
          <w:tcPr>
            <w:tcW w:w="6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Financial Instruments</w:t>
      </w:r>
    </w:p>
    <w:p>
      <w:pPr>
        <w:spacing w:after="0" w:line="24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22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22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Valuation Methodologies for Derivatives</w:t>
      </w:r>
    </w:p>
    <w:p>
      <w:pPr>
        <w:spacing w:after="0" w:line="24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wholesale electric energy and natural gas commodity contracts for our Utilities are valued using the market approach and include forward strip pricing at liquid delivery points, exchange-traded futures, options, basis swaps and over-the-counter swaps and options (Level 2).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based on the credit spreads of the counterparties when we are in an unrealized gain position or on our own credit spread when we are in an unrealized loss position.</w:t>
      </w:r>
    </w:p>
    <w:p>
      <w:pPr>
        <w:spacing w:after="0" w:line="232"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Additional information on fair value measurements is included in </w:t>
      </w:r>
      <w:hyperlink w:anchor="page95">
        <w:r>
          <w:rPr>
            <w:rFonts w:ascii="Arial" w:cs="Arial" w:eastAsia="Arial" w:hAnsi="Arial"/>
            <w:sz w:val="16"/>
            <w:szCs w:val="16"/>
            <w:u w:val="single" w:color="auto"/>
            <w:color w:val="0000FF"/>
          </w:rPr>
          <w:t>Notes 10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98">
        <w:r>
          <w:rPr>
            <w:rFonts w:ascii="Arial" w:cs="Arial" w:eastAsia="Arial" w:hAnsi="Arial"/>
            <w:sz w:val="16"/>
            <w:szCs w:val="16"/>
            <w:u w:val="single" w:color="auto"/>
            <w:color w:val="0000FF"/>
          </w:rPr>
          <w:t>13</w:t>
        </w:r>
      </w:hyperlink>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Activities</w:t>
      </w:r>
    </w:p>
    <w:p>
      <w:pPr>
        <w:spacing w:after="0" w:line="268"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All our derivatives are measured at fair value and recognized as either assets or liabilities on the Consolidated Balance Sheets, except for derivative contracts that qualify for and are elected under the normal purchase and normal sales exception. Normal purchases and normal sales are contracts where physical delivery is probable, quantities are expected to be used or sold in the normal course of business over a reasonable amount of time and pricing is clearly and closely related to the asset being purchased or sold. Normal purchase and sales contracts are recognized when the underlying physical transaction is completed under the accrual basis of accounting.</w:t>
      </w:r>
    </w:p>
    <w:p>
      <w:pPr>
        <w:spacing w:after="0" w:line="230"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 xml:space="preserve">In addition, certain derivative contracts approved by regulatory authorities are either recovered or refunded through customer rates. Any changes in the fair value of these approved derivative contracts are deferred as a regulatory asset or regulatory liability pursuant to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w:t>
      </w:r>
    </w:p>
    <w:p>
      <w:pPr>
        <w:spacing w:after="0" w:line="22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also have some derivatives that qualify for hedge accounting and are designated as cash flow hedges. The gain or loss on these designated derivatives is deferred in AOCI and reclassified into earnings when the corresponding hedged transaction is recognized in earnings. Changes in the fair value of all other derivative contracts are recognized in earnings.</w:t>
      </w:r>
    </w:p>
    <w:p>
      <w:pPr>
        <w:spacing w:after="0" w:line="228"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offset exists, accounting standards permit the netting of receivables and payables under a legally enforceable master netting agreement between counterparties. Accounting standards also permit offsetting of fair value amounts recognized for the right to reclaim, or the obligation to return, cash collateral against fair value amounts recognized for derivative instruments executed with the same counterparty. We reflect the offsetting of net derivative positions with fair value amounts for cash collateral with the same counterparty when a legal right of offset exists. Therefore, the gross amounts are not indicative of either our actual credit or net economic exposures.</w:t>
      </w:r>
    </w:p>
    <w:p>
      <w:pPr>
        <w:spacing w:after="0" w:line="23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additional information in </w:t>
      </w:r>
      <w:hyperlink w:anchor="page92">
        <w:r>
          <w:rPr>
            <w:rFonts w:ascii="Arial" w:cs="Arial" w:eastAsia="Arial" w:hAnsi="Arial"/>
            <w:sz w:val="16"/>
            <w:szCs w:val="16"/>
            <w:u w:val="single" w:color="auto"/>
            <w:color w:val="0000FF"/>
          </w:rPr>
          <w:t>Notes 9</w:t>
        </w:r>
      </w:hyperlink>
      <w:r>
        <w:rPr>
          <w:rFonts w:ascii="Arial" w:cs="Arial" w:eastAsia="Arial" w:hAnsi="Arial"/>
          <w:sz w:val="16"/>
          <w:szCs w:val="16"/>
          <w:color w:val="auto"/>
        </w:rPr>
        <w:t xml:space="preserve">, </w:t>
      </w:r>
      <w:hyperlink w:anchor="page95">
        <w:r>
          <w:rPr>
            <w:rFonts w:ascii="Arial" w:cs="Arial" w:eastAsia="Arial" w:hAnsi="Arial"/>
            <w:sz w:val="16"/>
            <w:szCs w:val="16"/>
            <w:u w:val="single" w:color="auto"/>
            <w:color w:val="0000FF"/>
          </w:rPr>
          <w:t>10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96">
        <w:r>
          <w:rPr>
            <w:rFonts w:ascii="Arial" w:cs="Arial" w:eastAsia="Arial" w:hAnsi="Arial"/>
            <w:sz w:val="16"/>
            <w:szCs w:val="16"/>
            <w:u w:val="single" w:color="auto"/>
            <w:color w:val="0000FF"/>
          </w:rPr>
          <w:t>11</w:t>
        </w:r>
      </w:hyperlink>
      <w:r>
        <w:rPr>
          <w:rFonts w:ascii="Arial" w:cs="Arial" w:eastAsia="Arial" w:hAnsi="Arial"/>
          <w:sz w:val="16"/>
          <w:szCs w:val="16"/>
          <w:color w:val="auto"/>
        </w:rPr>
        <w:t>.</w:t>
      </w:r>
    </w:p>
    <w:p>
      <w:pPr>
        <w:spacing w:after="0" w:line="22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Deferred Financing Costs</w:t>
      </w:r>
    </w:p>
    <w:p>
      <w:pPr>
        <w:spacing w:after="0" w:line="268" w:lineRule="exact"/>
        <w:rPr>
          <w:rFonts w:ascii="Arial" w:cs="Arial" w:eastAsia="Arial" w:hAnsi="Arial"/>
          <w:sz w:val="16"/>
          <w:szCs w:val="16"/>
          <w:color w:val="auto"/>
        </w:rPr>
      </w:pPr>
    </w:p>
    <w:p>
      <w:pPr>
        <w:jc w:val="both"/>
        <w:ind w:right="34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Deferred financing costs include loan origination fees, underwriter fees, legal fees and other costs directly attributable to the issuance of debt. Deferred financing costs are amortized over the estimated useful life of the related debt. These costs are presented on the balance sheet as an adjustment to the related debt liabilities. See additional information in </w:t>
      </w:r>
      <w:hyperlink w:anchor="page88">
        <w:r>
          <w:rPr>
            <w:rFonts w:ascii="Arial" w:cs="Arial" w:eastAsia="Arial" w:hAnsi="Arial"/>
            <w:sz w:val="16"/>
            <w:szCs w:val="16"/>
            <w:u w:val="single" w:color="auto"/>
            <w:color w:val="0000FF"/>
          </w:rPr>
          <w:t>Note 8</w:t>
        </w:r>
      </w:hyperlink>
      <w:r>
        <w:rPr>
          <w:rFonts w:ascii="Arial" w:cs="Arial" w:eastAsia="Arial" w:hAnsi="Arial"/>
          <w:sz w:val="16"/>
          <w:szCs w:val="16"/>
          <w:color w:val="auto"/>
        </w:rPr>
        <w:t>.</w:t>
      </w:r>
    </w:p>
    <w:p>
      <w:pPr>
        <w:spacing w:after="0" w:line="20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Regulatory Accounting</w:t>
      </w:r>
    </w:p>
    <w:p>
      <w:pPr>
        <w:spacing w:after="0" w:line="268" w:lineRule="exact"/>
        <w:rPr>
          <w:rFonts w:ascii="Arial" w:cs="Arial" w:eastAsia="Arial" w:hAnsi="Arial"/>
          <w:sz w:val="16"/>
          <w:szCs w:val="16"/>
          <w:color w:val="auto"/>
        </w:rPr>
      </w:pPr>
    </w:p>
    <w:p>
      <w:pPr>
        <w:spacing w:after="0" w:line="253" w:lineRule="auto"/>
        <w:rPr>
          <w:sz w:val="20"/>
          <w:szCs w:val="20"/>
          <w:color w:val="auto"/>
        </w:rPr>
      </w:pPr>
      <w:r>
        <w:rPr>
          <w:rFonts w:ascii="Arial" w:cs="Arial" w:eastAsia="Arial" w:hAnsi="Arial"/>
          <w:sz w:val="16"/>
          <w:szCs w:val="16"/>
          <w:color w:val="auto"/>
        </w:rPr>
        <w:t>Our regulated Electric Utilities and Gas Utilities are subject to cost-of-service regulation and earnings oversight from federal and state regulatory commissions. Our Electric and Gas Utilities account for income and expense items in accordance with accounting standards for regulated operations. These accounting policies differ in some respects from those used by our non-regulated businesses. Under these regulated operations accounting standards:</w:t>
      </w:r>
    </w:p>
    <w:p>
      <w:pPr>
        <w:spacing w:after="0" w:line="228" w:lineRule="exact"/>
        <w:rPr>
          <w:rFonts w:ascii="Arial" w:cs="Arial" w:eastAsia="Arial" w:hAnsi="Arial"/>
          <w:sz w:val="16"/>
          <w:szCs w:val="16"/>
          <w:color w:val="auto"/>
        </w:rPr>
      </w:pPr>
    </w:p>
    <w:p>
      <w:pPr>
        <w:ind w:left="660" w:right="40" w:hanging="328"/>
        <w:spacing w:after="0" w:line="260"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Certain costs, which would otherwise be charged to expense or OCI, are deferred as regulatory assets based on the expected ability to recover the costs in future rates.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2" w:name="page73"/>
    <w:bookmarkEnd w:id="7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240" w:hanging="328"/>
        <w:spacing w:after="0" w:line="260" w:lineRule="auto"/>
        <w:tabs>
          <w:tab w:leader="none" w:pos="6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Certain credits, which would otherwise be reflected as income or OCI, are deferred as regulatory liabilities based on the expectation the amounts will be returned to customers in future rates, or because the amounts were collected in rates prior to the costs being incurred.</w:t>
      </w:r>
    </w:p>
    <w:p>
      <w:pPr>
        <w:spacing w:after="0" w:line="22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Management continually assesses the probability of future recoveries and obligations associated with regulatory assets and liabilities. Factors such as the current regulatory environment, recently issued rate orders, and historical precedents are considered. As a result, we believe that the accounting prescribed under rate-based regulation remains appropriate and our regulatory assets are probable of recovery in current rates or in future rate proceedings.</w:t>
      </w:r>
    </w:p>
    <w:p>
      <w:pPr>
        <w:spacing w:after="0" w:line="22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If changes in the regulatory environment occur, we may no longer be eligible to apply this accounting treatment, and may be required to eliminate regulatory assets and liabilities from our balance sheet. Such changes could adversely affect our results of operations, financial position or cash flows.</w:t>
      </w:r>
    </w:p>
    <w:p>
      <w:pPr>
        <w:spacing w:after="0" w:line="222" w:lineRule="exact"/>
        <w:rPr>
          <w:sz w:val="20"/>
          <w:szCs w:val="20"/>
          <w:color w:val="auto"/>
        </w:rPr>
      </w:pPr>
    </w:p>
    <w:p>
      <w:pPr>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As of December 31, 2021 and 2020, we had total regulatory assets of $797 million and $278 million respectively, and total regulatory liabilities of $503 million and $533 million respectively. See </w:t>
      </w:r>
      <w:hyperlink w:anchor="page74">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6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Company and its subsidiaries file consolidated federal income tax returns. Each entity records both federal and state income taxes as if it were a separate taxpayer and consolidating expense adjustments are allocated to the subsidiaries based on separate company computations of taxable income or loss.</w:t>
      </w:r>
    </w:p>
    <w:p>
      <w:pPr>
        <w:spacing w:after="0" w:line="22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use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22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It is our policy to apply the flow-through method of accounting for ITCs. Under the flow-through method, ITCs are reflected in net income as a reduction to income tax expense in the year they qualify. An exception to this general policy is the deferral method, which applies to our regulated businesses. Such a method results in the ITC being amortized as a reduction to income tax expense over the estimated useful lives of the underlying property that gave rise to the credit.</w:t>
      </w:r>
    </w:p>
    <w:p>
      <w:pPr>
        <w:spacing w:after="0" w:line="229"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We recognize interest income or interest expense and penalties related to income tax matters in Income tax benefit (expense) on the Consolidated Statements of Income.</w:t>
      </w:r>
    </w:p>
    <w:p>
      <w:pPr>
        <w:spacing w:after="0" w:line="222" w:lineRule="exact"/>
        <w:rPr>
          <w:sz w:val="20"/>
          <w:szCs w:val="20"/>
          <w:color w:val="auto"/>
        </w:rPr>
      </w:pPr>
    </w:p>
    <w:p>
      <w:pPr>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We account for uncertainty in income taxes recognized in the financial statements in accordance with the accounting standards for income taxes. The unrecognized tax benefit is classified in Other deferred credits and other liabilities or in Deferred income tax liabilities, net on the accompanying Consolidated Balance Sheets. See </w:t>
      </w:r>
      <w:hyperlink w:anchor="page107">
        <w:r>
          <w:rPr>
            <w:rFonts w:ascii="Arial" w:cs="Arial" w:eastAsia="Arial" w:hAnsi="Arial"/>
            <w:sz w:val="16"/>
            <w:szCs w:val="16"/>
            <w:u w:val="single" w:color="auto"/>
            <w:color w:val="0000FF"/>
          </w:rPr>
          <w:t>Note 15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of Common Stock</w:t>
      </w:r>
    </w:p>
    <w:p>
      <w:pPr>
        <w:spacing w:after="0" w:line="26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Basic earnings per share is computed by dividing Net income available for common stock by the weighted average number of common shares outstanding during each year. Diluted earnings per share is computed by including all dilutive common shares outstanding during each year. Diluted common shares are primarily due to equity units, outstanding stock options, restricted stock and performance shares under our equity compensation plans.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share amounts used to compute earnings per share is as follows for the years ended December 31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6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2019</w:t>
            </w:r>
          </w:p>
        </w:tc>
      </w:tr>
      <w:tr>
        <w:trPr>
          <w:trHeight w:val="240"/>
        </w:trPr>
        <w:tc>
          <w:tcPr>
            <w:tcW w:w="5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1"/>
        </w:trPr>
        <w:tc>
          <w:tcPr>
            <w:tcW w:w="56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1140" w:type="dxa"/>
            <w:vAlign w:val="bottom"/>
            <w:tcBorders>
              <w:bottom w:val="single" w:sz="8" w:color="auto"/>
            </w:tcBorders>
            <w:shd w:val="clear" w:color="auto" w:fill="CEFFE7"/>
          </w:tcPr>
          <w:p>
            <w:pPr>
              <w:jc w:val="right"/>
              <w:ind w:right="9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236,744</w:t>
            </w:r>
          </w:p>
        </w:tc>
        <w:tc>
          <w:tcPr>
            <w:tcW w:w="1200" w:type="dxa"/>
            <w:vAlign w:val="bottom"/>
            <w:tcBorders>
              <w:bottom w:val="single" w:sz="8" w:color="auto"/>
            </w:tcBorders>
            <w:shd w:val="clear" w:color="auto" w:fill="CEFFE7"/>
          </w:tcPr>
          <w:p>
            <w:pPr>
              <w:jc w:val="right"/>
              <w:ind w:right="9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227,608</w:t>
            </w:r>
          </w:p>
        </w:tc>
        <w:tc>
          <w:tcPr>
            <w:tcW w:w="44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199,310</w:t>
            </w:r>
          </w:p>
        </w:tc>
      </w:tr>
      <w:tr>
        <w:trPr>
          <w:trHeight w:val="20"/>
        </w:trPr>
        <w:tc>
          <w:tcPr>
            <w:tcW w:w="5660" w:type="dxa"/>
            <w:vAlign w:val="bottom"/>
            <w:tcBorders>
              <w:top w:val="single" w:sz="8" w:color="CEFFE7"/>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1440" w:type="dxa"/>
            <w:vAlign w:val="bottom"/>
            <w:tcBorders>
              <w:top w:val="single" w:sz="8" w:color="CEFFE7"/>
              <w:bottom w:val="single" w:sz="8" w:color="auto"/>
            </w:tcBorders>
          </w:tcPr>
          <w:p>
            <w:pPr>
              <w:spacing w:after="0" w:line="20" w:lineRule="exact"/>
              <w:rPr>
                <w:sz w:val="1"/>
                <w:szCs w:val="1"/>
                <w:color w:val="auto"/>
              </w:rPr>
            </w:pPr>
          </w:p>
        </w:tc>
      </w:tr>
      <w:tr>
        <w:trPr>
          <w:trHeight w:val="204"/>
        </w:trPr>
        <w:tc>
          <w:tcPr>
            <w:tcW w:w="5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5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Weighted average shares - basic</w:t>
            </w:r>
          </w:p>
        </w:tc>
        <w:tc>
          <w:tcPr>
            <w:tcW w:w="1140" w:type="dxa"/>
            <w:vAlign w:val="bottom"/>
            <w:shd w:val="clear" w:color="auto" w:fill="CEFFE7"/>
          </w:tcPr>
          <w:p>
            <w:pPr>
              <w:spacing w:after="0"/>
              <w:rPr>
                <w:sz w:val="18"/>
                <w:szCs w:val="18"/>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63,219</w:t>
            </w:r>
          </w:p>
        </w:tc>
        <w:tc>
          <w:tcPr>
            <w:tcW w:w="1200" w:type="dxa"/>
            <w:vAlign w:val="bottom"/>
            <w:shd w:val="clear" w:color="auto" w:fill="CEFFE7"/>
          </w:tcPr>
          <w:p>
            <w:pPr>
              <w:spacing w:after="0"/>
              <w:rPr>
                <w:sz w:val="18"/>
                <w:szCs w:val="18"/>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62,378</w:t>
            </w:r>
          </w:p>
        </w:tc>
        <w:tc>
          <w:tcPr>
            <w:tcW w:w="44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60,662</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Dilutive effect of:</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660" w:type="dxa"/>
            <w:vAlign w:val="bottom"/>
            <w:shd w:val="clear" w:color="auto" w:fill="CEFFE7"/>
          </w:tcPr>
          <w:p>
            <w:pPr>
              <w:ind w:left="140"/>
              <w:spacing w:after="0"/>
              <w:rPr>
                <w:sz w:val="20"/>
                <w:szCs w:val="20"/>
                <w:color w:val="auto"/>
              </w:rPr>
            </w:pPr>
            <w:r>
              <w:rPr>
                <w:rFonts w:ascii="Arial" w:cs="Arial" w:eastAsia="Arial" w:hAnsi="Arial"/>
                <w:sz w:val="16"/>
                <w:szCs w:val="16"/>
                <w:color w:val="auto"/>
              </w:rPr>
              <w:t>Equity compensation</w:t>
            </w:r>
          </w:p>
        </w:tc>
        <w:tc>
          <w:tcPr>
            <w:tcW w:w="114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106</w:t>
            </w:r>
          </w:p>
        </w:tc>
        <w:tc>
          <w:tcPr>
            <w:tcW w:w="120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61</w:t>
            </w:r>
          </w:p>
        </w:tc>
        <w:tc>
          <w:tcPr>
            <w:tcW w:w="440" w:type="dxa"/>
            <w:vAlign w:val="bottom"/>
            <w:tcBorders>
              <w:bottom w:val="single" w:sz="8" w:color="auto"/>
            </w:tcBorders>
            <w:shd w:val="clear" w:color="auto" w:fill="CEFFE7"/>
          </w:tcPr>
          <w:p>
            <w:pPr>
              <w:spacing w:after="0"/>
              <w:rPr>
                <w:sz w:val="18"/>
                <w:szCs w:val="18"/>
                <w:color w:val="auto"/>
              </w:rPr>
            </w:pP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136</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Weighted average shares - diluted</w:t>
            </w: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63,325</w:t>
            </w: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62,439</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60,798</w:t>
            </w:r>
          </w:p>
        </w:tc>
      </w:tr>
      <w:tr>
        <w:trPr>
          <w:trHeight w:val="20"/>
        </w:trPr>
        <w:tc>
          <w:tcPr>
            <w:tcW w:w="5660" w:type="dxa"/>
            <w:vAlign w:val="bottom"/>
            <w:tcBorders>
              <w:bottom w:val="single" w:sz="8" w:color="CEFFE7"/>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EFFE7"/>
          </w:tcPr>
          <w:p>
            <w:pPr>
              <w:spacing w:after="0"/>
              <w:rPr>
                <w:sz w:val="20"/>
                <w:szCs w:val="20"/>
                <w:color w:val="auto"/>
              </w:rPr>
            </w:pPr>
          </w:p>
        </w:tc>
        <w:tc>
          <w:tcPr>
            <w:tcW w:w="1140" w:type="dxa"/>
            <w:vAlign w:val="bottom"/>
            <w:shd w:val="clear" w:color="auto" w:fill="CEFFE7"/>
          </w:tcPr>
          <w:p>
            <w:pPr>
              <w:spacing w:after="0"/>
              <w:rPr>
                <w:sz w:val="20"/>
                <w:szCs w:val="20"/>
                <w:color w:val="auto"/>
              </w:rPr>
            </w:pPr>
          </w:p>
        </w:tc>
        <w:tc>
          <w:tcPr>
            <w:tcW w:w="680" w:type="dxa"/>
            <w:vAlign w:val="bottom"/>
            <w:shd w:val="clear" w:color="auto" w:fill="CEFFE7"/>
          </w:tcPr>
          <w:p>
            <w:pPr>
              <w:spacing w:after="0"/>
              <w:rPr>
                <w:sz w:val="20"/>
                <w:szCs w:val="20"/>
                <w:color w:val="auto"/>
              </w:rPr>
            </w:pPr>
          </w:p>
        </w:tc>
        <w:tc>
          <w:tcPr>
            <w:tcW w:w="1200" w:type="dxa"/>
            <w:vAlign w:val="bottom"/>
            <w:shd w:val="clear" w:color="auto" w:fill="CEFFE7"/>
          </w:tcPr>
          <w:p>
            <w:pPr>
              <w:spacing w:after="0"/>
              <w:rPr>
                <w:sz w:val="20"/>
                <w:szCs w:val="20"/>
                <w:color w:val="auto"/>
              </w:rPr>
            </w:pPr>
          </w:p>
        </w:tc>
        <w:tc>
          <w:tcPr>
            <w:tcW w:w="680" w:type="dxa"/>
            <w:vAlign w:val="bottom"/>
            <w:shd w:val="clear" w:color="auto" w:fill="CEFFE7"/>
          </w:tcPr>
          <w:p>
            <w:pPr>
              <w:spacing w:after="0"/>
              <w:rPr>
                <w:sz w:val="20"/>
                <w:szCs w:val="20"/>
                <w:color w:val="auto"/>
              </w:rPr>
            </w:pPr>
          </w:p>
        </w:tc>
        <w:tc>
          <w:tcPr>
            <w:tcW w:w="440" w:type="dxa"/>
            <w:vAlign w:val="bottom"/>
            <w:shd w:val="clear" w:color="auto" w:fill="CEFFE7"/>
          </w:tcPr>
          <w:p>
            <w:pPr>
              <w:spacing w:after="0"/>
              <w:rPr>
                <w:sz w:val="20"/>
                <w:szCs w:val="20"/>
                <w:color w:val="auto"/>
              </w:rPr>
            </w:pPr>
          </w:p>
        </w:tc>
        <w:tc>
          <w:tcPr>
            <w:tcW w:w="1440" w:type="dxa"/>
            <w:vAlign w:val="bottom"/>
            <w:shd w:val="clear" w:color="auto" w:fill="CEFFE7"/>
          </w:tcPr>
          <w:p>
            <w:pPr>
              <w:spacing w:after="0"/>
              <w:rPr>
                <w:sz w:val="20"/>
                <w:szCs w:val="20"/>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6"/>
                <w:szCs w:val="16"/>
                <w:color w:val="auto"/>
              </w:rPr>
              <w:t>Net income available for common stock, per share - Diluted</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20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r>
      <w:tr>
        <w:trPr>
          <w:trHeight w:val="21"/>
        </w:trPr>
        <w:tc>
          <w:tcPr>
            <w:tcW w:w="5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 following securities were excluded from the diluted earnings per share computation for the years ended December 31 because of their anti-dilutive nature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40" w:type="dxa"/>
            <w:vAlign w:val="bottom"/>
            <w:gridSpan w:val="2"/>
          </w:tcPr>
          <w:p>
            <w:pPr>
              <w:jc w:val="right"/>
              <w:ind w:right="240"/>
              <w:spacing w:after="0"/>
              <w:rPr>
                <w:sz w:val="20"/>
                <w:szCs w:val="20"/>
                <w:color w:val="auto"/>
              </w:rPr>
            </w:pPr>
            <w:r>
              <w:rPr>
                <w:rFonts w:ascii="Arial" w:cs="Arial" w:eastAsia="Arial" w:hAnsi="Arial"/>
                <w:sz w:val="16"/>
                <w:szCs w:val="16"/>
                <w:color w:val="auto"/>
              </w:rPr>
              <w:t>2021</w:t>
            </w:r>
          </w:p>
        </w:tc>
        <w:tc>
          <w:tcPr>
            <w:tcW w:w="840" w:type="dxa"/>
            <w:vAlign w:val="bottom"/>
          </w:tcPr>
          <w:p>
            <w:pPr>
              <w:spacing w:after="0"/>
              <w:rPr>
                <w:sz w:val="17"/>
                <w:szCs w:val="17"/>
                <w:color w:val="auto"/>
              </w:rPr>
            </w:pPr>
          </w:p>
        </w:tc>
        <w:tc>
          <w:tcPr>
            <w:tcW w:w="1840" w:type="dxa"/>
            <w:vAlign w:val="bottom"/>
          </w:tcPr>
          <w:p>
            <w:pPr>
              <w:jc w:val="right"/>
              <w:ind w:right="999"/>
              <w:spacing w:after="0"/>
              <w:rPr>
                <w:sz w:val="20"/>
                <w:szCs w:val="20"/>
                <w:color w:val="auto"/>
              </w:rPr>
            </w:pPr>
            <w:r>
              <w:rPr>
                <w:rFonts w:ascii="Arial" w:cs="Arial" w:eastAsia="Arial" w:hAnsi="Arial"/>
                <w:sz w:val="16"/>
                <w:szCs w:val="16"/>
                <w:color w:val="auto"/>
              </w:rPr>
              <w:t>2020</w:t>
            </w:r>
          </w:p>
        </w:tc>
        <w:tc>
          <w:tcPr>
            <w:tcW w:w="1520" w:type="dxa"/>
            <w:vAlign w:val="bottom"/>
          </w:tcPr>
          <w:p>
            <w:pPr>
              <w:jc w:val="right"/>
              <w:ind w:right="659"/>
              <w:spacing w:after="0"/>
              <w:rPr>
                <w:sz w:val="20"/>
                <w:szCs w:val="20"/>
                <w:color w:val="auto"/>
              </w:rPr>
            </w:pPr>
            <w:r>
              <w:rPr>
                <w:rFonts w:ascii="Arial" w:cs="Arial" w:eastAsia="Arial" w:hAnsi="Arial"/>
                <w:sz w:val="16"/>
                <w:szCs w:val="16"/>
                <w:color w:val="auto"/>
              </w:rPr>
              <w:t>2019</w:t>
            </w:r>
          </w:p>
        </w:tc>
      </w:tr>
      <w:tr>
        <w:trPr>
          <w:trHeight w:val="253"/>
        </w:trPr>
        <w:tc>
          <w:tcPr>
            <w:tcW w:w="5700" w:type="dxa"/>
            <w:vAlign w:val="bottom"/>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r>
      <w:tr>
        <w:trPr>
          <w:trHeight w:val="213"/>
        </w:trPr>
        <w:tc>
          <w:tcPr>
            <w:tcW w:w="5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Equity compensation</w:t>
            </w:r>
          </w:p>
        </w:tc>
        <w:tc>
          <w:tcPr>
            <w:tcW w:w="134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ind w:right="339"/>
              <w:spacing w:after="0"/>
              <w:rPr>
                <w:sz w:val="20"/>
                <w:szCs w:val="20"/>
                <w:color w:val="auto"/>
              </w:rPr>
            </w:pPr>
            <w:r>
              <w:rPr>
                <w:rFonts w:ascii="Arial" w:cs="Arial" w:eastAsia="Arial" w:hAnsi="Arial"/>
                <w:sz w:val="16"/>
                <w:szCs w:val="16"/>
                <w:color w:val="auto"/>
              </w:rPr>
              <w:t>13</w:t>
            </w:r>
          </w:p>
        </w:tc>
        <w:tc>
          <w:tcPr>
            <w:tcW w:w="184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60</w:t>
            </w: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Anti-dilutive shares excluded from computation of earnings per share</w:t>
            </w:r>
          </w:p>
        </w:tc>
        <w:tc>
          <w:tcPr>
            <w:tcW w:w="840" w:type="dxa"/>
            <w:vAlign w:val="bottom"/>
          </w:tcPr>
          <w:p>
            <w:pPr>
              <w:jc w:val="right"/>
              <w:ind w:right="339"/>
              <w:spacing w:after="0"/>
              <w:rPr>
                <w:sz w:val="20"/>
                <w:szCs w:val="20"/>
                <w:color w:val="auto"/>
              </w:rPr>
            </w:pPr>
            <w:r>
              <w:rPr>
                <w:rFonts w:ascii="Arial" w:cs="Arial" w:eastAsia="Arial" w:hAnsi="Arial"/>
                <w:sz w:val="16"/>
                <w:szCs w:val="16"/>
                <w:color w:val="auto"/>
              </w:rPr>
              <w:t>13</w:t>
            </w:r>
          </w:p>
        </w:tc>
        <w:tc>
          <w:tcPr>
            <w:tcW w:w="1840" w:type="dxa"/>
            <w:vAlign w:val="bottom"/>
          </w:tcPr>
          <w:p>
            <w:pPr>
              <w:jc w:val="right"/>
              <w:ind w:right="319"/>
              <w:spacing w:after="0"/>
              <w:rPr>
                <w:sz w:val="20"/>
                <w:szCs w:val="20"/>
                <w:color w:val="auto"/>
              </w:rPr>
            </w:pPr>
            <w:r>
              <w:rPr>
                <w:rFonts w:ascii="Arial" w:cs="Arial" w:eastAsia="Arial" w:hAnsi="Arial"/>
                <w:sz w:val="16"/>
                <w:szCs w:val="16"/>
                <w:color w:val="auto"/>
              </w:rPr>
              <w:t>60</w:t>
            </w: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57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Non-controlling Interests</w:t>
      </w:r>
    </w:p>
    <w:p>
      <w:pPr>
        <w:spacing w:after="0" w:line="252" w:lineRule="exact"/>
        <w:rPr>
          <w:sz w:val="20"/>
          <w:szCs w:val="20"/>
          <w:color w:val="auto"/>
        </w:rPr>
      </w:pPr>
    </w:p>
    <w:p>
      <w:pPr>
        <w:ind w:right="240"/>
        <w:spacing w:after="0" w:line="255" w:lineRule="auto"/>
        <w:rPr>
          <w:rFonts w:ascii="Arial" w:cs="Arial" w:eastAsia="Arial" w:hAnsi="Arial"/>
          <w:sz w:val="16"/>
          <w:szCs w:val="16"/>
          <w:color w:val="auto"/>
        </w:rPr>
      </w:pPr>
      <w:r>
        <w:rPr>
          <w:rFonts w:ascii="Arial" w:cs="Arial" w:eastAsia="Arial" w:hAnsi="Arial"/>
          <w:sz w:val="16"/>
          <w:szCs w:val="16"/>
          <w:color w:val="auto"/>
        </w:rPr>
        <w:t>We account for changes in our controlling interests of subsidiaries according to ASC 810</w:t>
      </w:r>
      <w:r>
        <w:rPr>
          <w:rFonts w:ascii="Arial" w:cs="Arial" w:eastAsia="Arial" w:hAnsi="Arial"/>
          <w:sz w:val="16"/>
          <w:szCs w:val="16"/>
          <w:i w:val="1"/>
          <w:iCs w:val="1"/>
          <w:color w:val="auto"/>
        </w:rPr>
        <w:t>, Consolidation.</w:t>
      </w:r>
      <w:r>
        <w:rPr>
          <w:rFonts w:ascii="Arial" w:cs="Arial" w:eastAsia="Arial" w:hAnsi="Arial"/>
          <w:sz w:val="16"/>
          <w:szCs w:val="16"/>
          <w:color w:val="auto"/>
        </w:rPr>
        <w:t xml:space="preserve"> ASC 810 requires that the Company record such changes as equity transactions, recording no gain or loss on such a sale. GAAP requires that non-controlling interests in subsidiaries and affiliates be reported in the equity section of a company’s balance sheet. In addition, the amounts attributable to the non-controlling interest net income (loss) of those subsidiaries are reported separately in the consolidated statements of income and comprehensive income. See </w:t>
      </w:r>
      <w:hyperlink w:anchor="page97">
        <w:r>
          <w:rPr>
            <w:rFonts w:ascii="Arial" w:cs="Arial" w:eastAsia="Arial" w:hAnsi="Arial"/>
            <w:sz w:val="16"/>
            <w:szCs w:val="16"/>
            <w:u w:val="single" w:color="auto"/>
            <w:color w:val="0000FF"/>
          </w:rPr>
          <w:t>Note 12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detail on non-controlling interests.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w:t>
      </w:r>
    </w:p>
    <w:p>
      <w:pPr>
        <w:spacing w:after="0" w:line="252" w:lineRule="exact"/>
        <w:rPr>
          <w:sz w:val="20"/>
          <w:szCs w:val="20"/>
          <w:color w:val="auto"/>
        </w:rPr>
      </w:pPr>
    </w:p>
    <w:p>
      <w:pPr>
        <w:ind w:right="220"/>
        <w:spacing w:after="0" w:line="255" w:lineRule="auto"/>
        <w:rPr>
          <w:rFonts w:ascii="Arial" w:cs="Arial" w:eastAsia="Arial" w:hAnsi="Arial"/>
          <w:sz w:val="16"/>
          <w:szCs w:val="16"/>
          <w:color w:val="auto"/>
        </w:rPr>
      </w:pPr>
      <w:r>
        <w:rPr>
          <w:rFonts w:ascii="Arial" w:cs="Arial" w:eastAsia="Arial" w:hAnsi="Arial"/>
          <w:sz w:val="16"/>
          <w:szCs w:val="16"/>
          <w:color w:val="auto"/>
        </w:rPr>
        <w:t xml:space="preserve">We account for our share-based compensation arrangements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by recognizing compensation costs for all share-based awards over the respective service period for employee services received in exchange for an award of equity or equity-based compensation. Awards that will be settled in stock are accounted for as equity and the compensation expense is based on the grant date fair value. Awards that are settled in cash are accounted for as liabilities and the compensation expense is re-measured each period based on the current market price and performance achievement measures. See additional information in </w:t>
      </w:r>
      <w:hyperlink w:anchor="page104">
        <w:r>
          <w:rPr>
            <w:rFonts w:ascii="Arial" w:cs="Arial" w:eastAsia="Arial" w:hAnsi="Arial"/>
            <w:sz w:val="16"/>
            <w:szCs w:val="16"/>
            <w:u w:val="single" w:color="auto"/>
            <w:color w:val="0000FF"/>
          </w:rPr>
          <w:t>Note 14</w:t>
        </w:r>
      </w:hyperlink>
      <w:r>
        <w:rPr>
          <w:rFonts w:ascii="Arial" w:cs="Arial" w:eastAsia="Arial" w:hAnsi="Arial"/>
          <w:sz w:val="16"/>
          <w:szCs w:val="16"/>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Facilitation of the Effects of Reference Rate Reform on Financial Reporting, ASU 2020-04</w:t>
      </w:r>
    </w:p>
    <w:p>
      <w:pPr>
        <w:spacing w:after="0" w:line="23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was subsequently amended by ASU 2021-01. The standard provides relief for companies preparing for discontinuation of interest rates,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LIBOR, and allows optional expedients and exceptions for applying GAAP to contracts, hedging relationships and other transactions affected by reference rate reform if certain criteria are met. The amendments in this update are elective and are effective upon the ASU issuance through December 31, 2022. We are currently evaluating if we will apply the optional guidance as we assess the impact of the discontinuance of LIBOR on our current arrangements and the potential impact on our financial position, results of operations and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Standards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Simplifying the Accounting for Income Taxes, ASU 2019-12</w:t>
      </w:r>
    </w:p>
    <w:p>
      <w:pPr>
        <w:spacing w:after="0" w:line="23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as part of its overall simplification initiative to reduce costs and complexity in applying accounting standards while maintaining or improving the usefulness of the information provided to users of the financial statements. Amendments include removal of certain exceptions to the general principles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and simplification in several other areas such as accounting for a franchise tax (or similar tax) that is partially based on income. We adopted this standard prospectively on January 1, 2021. Adoption of this standard did not have an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4"/>
        </w:trPr>
        <w:tc>
          <w:tcPr>
            <w:tcW w:w="748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84"/>
        </w:trPr>
        <w:tc>
          <w:tcPr>
            <w:tcW w:w="7480" w:type="dxa"/>
            <w:vAlign w:val="bottom"/>
            <w:gridSpan w:val="2"/>
          </w:tcPr>
          <w:p>
            <w:pPr>
              <w:spacing w:after="0"/>
              <w:rPr>
                <w:sz w:val="20"/>
                <w:szCs w:val="20"/>
                <w:color w:val="auto"/>
              </w:rPr>
            </w:pPr>
            <w:r>
              <w:rPr>
                <w:rFonts w:ascii="Arial" w:cs="Arial" w:eastAsia="Arial" w:hAnsi="Arial"/>
                <w:sz w:val="16"/>
                <w:szCs w:val="16"/>
                <w:b w:val="1"/>
                <w:bCs w:val="1"/>
                <w:color w:val="auto"/>
              </w:rPr>
              <w:t>(2)  REGULATORY MATTERS</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2"/>
        </w:trPr>
        <w:tc>
          <w:tcPr>
            <w:tcW w:w="7480" w:type="dxa"/>
            <w:vAlign w:val="bottom"/>
            <w:gridSpan w:val="2"/>
          </w:tcPr>
          <w:p>
            <w:pPr>
              <w:spacing w:after="0"/>
              <w:rPr>
                <w:sz w:val="20"/>
                <w:szCs w:val="20"/>
                <w:color w:val="auto"/>
              </w:rPr>
            </w:pPr>
            <w:r>
              <w:rPr>
                <w:rFonts w:ascii="Arial" w:cs="Arial" w:eastAsia="Arial" w:hAnsi="Arial"/>
                <w:sz w:val="16"/>
                <w:szCs w:val="16"/>
                <w:color w:val="auto"/>
              </w:rPr>
              <w:t>We had the following regulatory assets and liabilities as of December 31 (in thousands):</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2020</w:t>
            </w:r>
          </w:p>
        </w:tc>
      </w:tr>
      <w:tr>
        <w:trPr>
          <w:trHeight w:val="199"/>
        </w:trPr>
        <w:tc>
          <w:tcPr>
            <w:tcW w:w="7480" w:type="dxa"/>
            <w:vAlign w:val="bottom"/>
            <w:gridSpan w:val="2"/>
          </w:tcPr>
          <w:p>
            <w:pPr>
              <w:ind w:left="20"/>
              <w:spacing w:after="0"/>
              <w:rPr>
                <w:sz w:val="20"/>
                <w:szCs w:val="20"/>
                <w:color w:val="auto"/>
              </w:rPr>
            </w:pPr>
            <w:r>
              <w:rPr>
                <w:rFonts w:ascii="Arial" w:cs="Arial" w:eastAsia="Arial" w:hAnsi="Arial"/>
                <w:sz w:val="16"/>
                <w:szCs w:val="16"/>
                <w:b w:val="1"/>
                <w:bCs w:val="1"/>
                <w:color w:val="auto"/>
              </w:rPr>
              <w:t>Regulatory assets</w:t>
            </w: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9"/>
        </w:trPr>
        <w:tc>
          <w:tcPr>
            <w:tcW w:w="7480" w:type="dxa"/>
            <w:vAlign w:val="bottom"/>
            <w:gridSpan w:val="2"/>
            <w:shd w:val="clear" w:color="auto" w:fill="CEFFE7"/>
          </w:tcPr>
          <w:p>
            <w:pPr>
              <w:ind w:left="140"/>
              <w:spacing w:after="0" w:line="219" w:lineRule="exact"/>
              <w:rPr>
                <w:sz w:val="20"/>
                <w:szCs w:val="20"/>
                <w:color w:val="auto"/>
              </w:rPr>
            </w:pPr>
            <w:r>
              <w:rPr>
                <w:rFonts w:ascii="Arial" w:cs="Arial" w:eastAsia="Arial" w:hAnsi="Arial"/>
                <w:sz w:val="16"/>
                <w:szCs w:val="16"/>
                <w:color w:val="auto"/>
              </w:rPr>
              <w:t xml:space="preserve">Winter Storm Uri </w:t>
            </w:r>
            <w:r>
              <w:rPr>
                <w:rFonts w:ascii="Arial" w:cs="Arial" w:eastAsia="Arial" w:hAnsi="Arial"/>
                <w:sz w:val="21"/>
                <w:szCs w:val="21"/>
                <w:color w:val="auto"/>
                <w:vertAlign w:val="superscript"/>
              </w:rPr>
              <w:t>(a)</w:t>
            </w:r>
          </w:p>
        </w:tc>
        <w:tc>
          <w:tcPr>
            <w:tcW w:w="1140" w:type="dxa"/>
            <w:vAlign w:val="bottom"/>
            <w:shd w:val="clear" w:color="auto" w:fill="CEFFE7"/>
          </w:tcPr>
          <w:p>
            <w:pPr>
              <w:jc w:val="right"/>
              <w:ind w:right="9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509,025</w:t>
            </w:r>
          </w:p>
        </w:tc>
        <w:tc>
          <w:tcPr>
            <w:tcW w:w="44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4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Deferred energy and fuel cost adjustments </w:t>
            </w:r>
            <w:r>
              <w:rPr>
                <w:rFonts w:ascii="Arial" w:cs="Arial" w:eastAsia="Arial" w:hAnsi="Arial"/>
                <w:sz w:val="21"/>
                <w:szCs w:val="21"/>
                <w:color w:val="auto"/>
                <w:vertAlign w:val="superscript"/>
              </w:rPr>
              <w:t>(b)</w:t>
            </w:r>
          </w:p>
        </w:tc>
        <w:tc>
          <w:tcPr>
            <w:tcW w:w="1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59,973</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39,035</w:t>
            </w:r>
          </w:p>
        </w:tc>
      </w:tr>
      <w:tr>
        <w:trPr>
          <w:trHeight w:val="216"/>
        </w:trPr>
        <w:tc>
          <w:tcPr>
            <w:tcW w:w="74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gas cost adjustments </w:t>
            </w:r>
            <w:r>
              <w:rPr>
                <w:rFonts w:ascii="Arial" w:cs="Arial" w:eastAsia="Arial" w:hAnsi="Arial"/>
                <w:sz w:val="21"/>
                <w:szCs w:val="21"/>
                <w:color w:val="auto"/>
                <w:vertAlign w:val="superscript"/>
              </w:rPr>
              <w:t>(b)</w:t>
            </w:r>
          </w:p>
        </w:tc>
        <w:tc>
          <w:tcPr>
            <w:tcW w:w="1140" w:type="dxa"/>
            <w:vAlign w:val="bottom"/>
            <w:shd w:val="clear" w:color="auto" w:fill="CEFFE7"/>
          </w:tcPr>
          <w:p>
            <w:pPr>
              <w:spacing w:after="0"/>
              <w:rPr>
                <w:sz w:val="18"/>
                <w:szCs w:val="18"/>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9,488</w:t>
            </w:r>
          </w:p>
        </w:tc>
        <w:tc>
          <w:tcPr>
            <w:tcW w:w="44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3,200</w:t>
            </w:r>
          </w:p>
        </w:tc>
      </w:tr>
      <w:tr>
        <w:trPr>
          <w:trHeight w:val="216"/>
        </w:trPr>
        <w:tc>
          <w:tcPr>
            <w:tcW w:w="74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Gas price derivatives </w:t>
            </w:r>
            <w:r>
              <w:rPr>
                <w:rFonts w:ascii="Arial" w:cs="Arial" w:eastAsia="Arial" w:hAnsi="Arial"/>
                <w:sz w:val="21"/>
                <w:szCs w:val="21"/>
                <w:color w:val="auto"/>
                <w:vertAlign w:val="superscript"/>
              </w:rPr>
              <w:t>(b)</w:t>
            </w:r>
          </w:p>
        </w:tc>
        <w:tc>
          <w:tcPr>
            <w:tcW w:w="1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2,584</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2,226</w:t>
            </w:r>
          </w:p>
        </w:tc>
      </w:tr>
      <w:tr>
        <w:trPr>
          <w:trHeight w:val="216"/>
        </w:trPr>
        <w:tc>
          <w:tcPr>
            <w:tcW w:w="74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taxes on AFUDC </w:t>
            </w:r>
            <w:r>
              <w:rPr>
                <w:rFonts w:ascii="Arial" w:cs="Arial" w:eastAsia="Arial" w:hAnsi="Arial"/>
                <w:sz w:val="21"/>
                <w:szCs w:val="21"/>
                <w:color w:val="auto"/>
                <w:vertAlign w:val="superscript"/>
              </w:rPr>
              <w:t>(b)</w:t>
            </w:r>
          </w:p>
        </w:tc>
        <w:tc>
          <w:tcPr>
            <w:tcW w:w="1140" w:type="dxa"/>
            <w:vAlign w:val="bottom"/>
            <w:shd w:val="clear" w:color="auto" w:fill="CEFFE7"/>
          </w:tcPr>
          <w:p>
            <w:pPr>
              <w:spacing w:after="0"/>
              <w:rPr>
                <w:sz w:val="18"/>
                <w:szCs w:val="18"/>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7,457</w:t>
            </w:r>
          </w:p>
        </w:tc>
        <w:tc>
          <w:tcPr>
            <w:tcW w:w="44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7,491</w:t>
            </w:r>
          </w:p>
        </w:tc>
      </w:tr>
      <w:tr>
        <w:trPr>
          <w:trHeight w:val="216"/>
        </w:trPr>
        <w:tc>
          <w:tcPr>
            <w:tcW w:w="74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Employee benefit plans and related deferred taxes </w:t>
            </w:r>
            <w:r>
              <w:rPr>
                <w:rFonts w:ascii="Arial" w:cs="Arial" w:eastAsia="Arial" w:hAnsi="Arial"/>
                <w:sz w:val="21"/>
                <w:szCs w:val="21"/>
                <w:color w:val="auto"/>
                <w:vertAlign w:val="superscript"/>
              </w:rPr>
              <w:t>(c)</w:t>
            </w:r>
          </w:p>
        </w:tc>
        <w:tc>
          <w:tcPr>
            <w:tcW w:w="1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88,923</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116,598</w:t>
            </w:r>
          </w:p>
        </w:tc>
      </w:tr>
      <w:tr>
        <w:trPr>
          <w:trHeight w:val="216"/>
        </w:trPr>
        <w:tc>
          <w:tcPr>
            <w:tcW w:w="74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Environmental </w:t>
            </w:r>
            <w:r>
              <w:rPr>
                <w:rFonts w:ascii="Arial" w:cs="Arial" w:eastAsia="Arial" w:hAnsi="Arial"/>
                <w:sz w:val="21"/>
                <w:szCs w:val="21"/>
                <w:color w:val="auto"/>
                <w:vertAlign w:val="superscript"/>
              </w:rPr>
              <w:t>(b)</w:t>
            </w:r>
          </w:p>
        </w:tc>
        <w:tc>
          <w:tcPr>
            <w:tcW w:w="1140" w:type="dxa"/>
            <w:vAlign w:val="bottom"/>
            <w:shd w:val="clear" w:color="auto" w:fill="CEFFE7"/>
          </w:tcPr>
          <w:p>
            <w:pPr>
              <w:spacing w:after="0"/>
              <w:rPr>
                <w:sz w:val="18"/>
                <w:szCs w:val="18"/>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1,385</w:t>
            </w:r>
          </w:p>
        </w:tc>
        <w:tc>
          <w:tcPr>
            <w:tcW w:w="44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1,413</w:t>
            </w:r>
          </w:p>
        </w:tc>
      </w:tr>
      <w:tr>
        <w:trPr>
          <w:trHeight w:val="216"/>
        </w:trPr>
        <w:tc>
          <w:tcPr>
            <w:tcW w:w="74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Loss on reacquired debt </w:t>
            </w:r>
            <w:r>
              <w:rPr>
                <w:rFonts w:ascii="Arial" w:cs="Arial" w:eastAsia="Arial" w:hAnsi="Arial"/>
                <w:sz w:val="21"/>
                <w:szCs w:val="21"/>
                <w:color w:val="auto"/>
                <w:vertAlign w:val="superscript"/>
              </w:rPr>
              <w:t>(b)</w:t>
            </w:r>
          </w:p>
        </w:tc>
        <w:tc>
          <w:tcPr>
            <w:tcW w:w="1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21,011</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22,864</w:t>
            </w:r>
          </w:p>
        </w:tc>
      </w:tr>
      <w:tr>
        <w:trPr>
          <w:trHeight w:val="216"/>
        </w:trPr>
        <w:tc>
          <w:tcPr>
            <w:tcW w:w="74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taxes on flow-through accounting </w:t>
            </w:r>
            <w:r>
              <w:rPr>
                <w:rFonts w:ascii="Arial" w:cs="Arial" w:eastAsia="Arial" w:hAnsi="Arial"/>
                <w:sz w:val="21"/>
                <w:szCs w:val="21"/>
                <w:color w:val="auto"/>
                <w:vertAlign w:val="superscript"/>
              </w:rPr>
              <w:t>(b)</w:t>
            </w:r>
          </w:p>
        </w:tc>
        <w:tc>
          <w:tcPr>
            <w:tcW w:w="1140" w:type="dxa"/>
            <w:vAlign w:val="bottom"/>
            <w:shd w:val="clear" w:color="auto" w:fill="CEFFE7"/>
          </w:tcPr>
          <w:p>
            <w:pPr>
              <w:spacing w:after="0"/>
              <w:rPr>
                <w:sz w:val="18"/>
                <w:szCs w:val="18"/>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63,243</w:t>
            </w:r>
          </w:p>
        </w:tc>
        <w:tc>
          <w:tcPr>
            <w:tcW w:w="44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47,515</w:t>
            </w:r>
          </w:p>
        </w:tc>
      </w:tr>
      <w:tr>
        <w:trPr>
          <w:trHeight w:val="216"/>
        </w:trPr>
        <w:tc>
          <w:tcPr>
            <w:tcW w:w="74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Decommissioning costs </w:t>
            </w:r>
            <w:r>
              <w:rPr>
                <w:rFonts w:ascii="Arial" w:cs="Arial" w:eastAsia="Arial" w:hAnsi="Arial"/>
                <w:sz w:val="21"/>
                <w:szCs w:val="21"/>
                <w:color w:val="auto"/>
                <w:vertAlign w:val="superscript"/>
              </w:rPr>
              <w:t>(b)</w:t>
            </w:r>
          </w:p>
        </w:tc>
        <w:tc>
          <w:tcPr>
            <w:tcW w:w="1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5,961</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8,988</w:t>
            </w:r>
          </w:p>
        </w:tc>
      </w:tr>
      <w:tr>
        <w:trPr>
          <w:trHeight w:val="216"/>
        </w:trPr>
        <w:tc>
          <w:tcPr>
            <w:tcW w:w="74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Gas supply contract termination </w:t>
            </w:r>
            <w:r>
              <w:rPr>
                <w:rFonts w:ascii="Arial" w:cs="Arial" w:eastAsia="Arial" w:hAnsi="Arial"/>
                <w:sz w:val="21"/>
                <w:szCs w:val="21"/>
                <w:color w:val="auto"/>
                <w:vertAlign w:val="superscript"/>
              </w:rPr>
              <w:t>(b)</w:t>
            </w:r>
          </w:p>
        </w:tc>
        <w:tc>
          <w:tcPr>
            <w:tcW w:w="1140" w:type="dxa"/>
            <w:vAlign w:val="bottom"/>
            <w:shd w:val="clear" w:color="auto" w:fill="CEFFE7"/>
          </w:tcPr>
          <w:p>
            <w:pPr>
              <w:spacing w:after="0"/>
              <w:rPr>
                <w:sz w:val="18"/>
                <w:szCs w:val="18"/>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2,524</w:t>
            </w:r>
          </w:p>
        </w:tc>
      </w:tr>
      <w:tr>
        <w:trPr>
          <w:trHeight w:val="216"/>
        </w:trPr>
        <w:tc>
          <w:tcPr>
            <w:tcW w:w="7480" w:type="dxa"/>
            <w:vAlign w:val="bottom"/>
            <w:tcBorders>
              <w:bottom w:val="single" w:sz="8" w:color="CEFFE7"/>
            </w:tcBorders>
            <w:gridSpan w:val="2"/>
          </w:tcPr>
          <w:p>
            <w:pPr>
              <w:ind w:left="140"/>
              <w:spacing w:after="0" w:line="216" w:lineRule="exact"/>
              <w:rPr>
                <w:sz w:val="20"/>
                <w:szCs w:val="20"/>
                <w:color w:val="auto"/>
              </w:rPr>
            </w:pPr>
            <w:r>
              <w:rPr>
                <w:rFonts w:ascii="Arial" w:cs="Arial" w:eastAsia="Arial" w:hAnsi="Arial"/>
                <w:sz w:val="16"/>
                <w:szCs w:val="16"/>
                <w:color w:val="auto"/>
              </w:rPr>
              <w:t xml:space="preserve">Other regulatory assets </w:t>
            </w:r>
            <w:r>
              <w:rPr>
                <w:rFonts w:ascii="Arial" w:cs="Arial" w:eastAsia="Arial" w:hAnsi="Arial"/>
                <w:sz w:val="21"/>
                <w:szCs w:val="21"/>
                <w:color w:val="auto"/>
                <w:vertAlign w:val="superscript"/>
              </w:rPr>
              <w:t>(b)</w:t>
            </w:r>
          </w:p>
        </w:tc>
        <w:tc>
          <w:tcPr>
            <w:tcW w:w="1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27,549</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26,404</w:t>
            </w:r>
          </w:p>
        </w:tc>
      </w:tr>
      <w:tr>
        <w:trPr>
          <w:trHeight w:val="209"/>
        </w:trPr>
        <w:tc>
          <w:tcPr>
            <w:tcW w:w="74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Total regulatory assets</w:t>
            </w:r>
          </w:p>
        </w:tc>
        <w:tc>
          <w:tcPr>
            <w:tcW w:w="1140" w:type="dxa"/>
            <w:vAlign w:val="bottom"/>
            <w:shd w:val="clear" w:color="auto" w:fill="CEFFE7"/>
          </w:tcPr>
          <w:p>
            <w:pPr>
              <w:spacing w:after="0"/>
              <w:rPr>
                <w:sz w:val="18"/>
                <w:szCs w:val="18"/>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796,599</w:t>
            </w:r>
          </w:p>
        </w:tc>
        <w:tc>
          <w:tcPr>
            <w:tcW w:w="44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278,258</w:t>
            </w:r>
          </w:p>
        </w:tc>
      </w:tr>
      <w:tr>
        <w:trPr>
          <w:trHeight w:val="213"/>
        </w:trPr>
        <w:tc>
          <w:tcPr>
            <w:tcW w:w="7480" w:type="dxa"/>
            <w:vAlign w:val="bottom"/>
            <w:tcBorders>
              <w:bottom w:val="single" w:sz="8" w:color="CEFFE7"/>
            </w:tcBorders>
            <w:gridSpan w:val="2"/>
          </w:tcPr>
          <w:p>
            <w:pPr>
              <w:ind w:left="140"/>
              <w:spacing w:after="0"/>
              <w:rPr>
                <w:sz w:val="20"/>
                <w:szCs w:val="20"/>
                <w:color w:val="auto"/>
              </w:rPr>
            </w:pPr>
            <w:r>
              <w:rPr>
                <w:rFonts w:ascii="Arial" w:cs="Arial" w:eastAsia="Arial" w:hAnsi="Arial"/>
                <w:sz w:val="16"/>
                <w:szCs w:val="16"/>
                <w:color w:val="auto"/>
              </w:rPr>
              <w:t>Less current regulatory assets</w:t>
            </w:r>
          </w:p>
        </w:tc>
        <w:tc>
          <w:tcPr>
            <w:tcW w:w="1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(270,290)</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(51,676)</w:t>
            </w:r>
          </w:p>
        </w:tc>
      </w:tr>
      <w:tr>
        <w:trPr>
          <w:trHeight w:val="238"/>
        </w:trPr>
        <w:tc>
          <w:tcPr>
            <w:tcW w:w="74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Regulatory assets, non-current</w:t>
            </w:r>
          </w:p>
        </w:tc>
        <w:tc>
          <w:tcPr>
            <w:tcW w:w="1140" w:type="dxa"/>
            <w:vAlign w:val="bottom"/>
            <w:tcBorders>
              <w:bottom w:val="single" w:sz="8" w:color="auto"/>
            </w:tcBorders>
            <w:shd w:val="clear" w:color="auto" w:fill="CEFFE7"/>
          </w:tcPr>
          <w:p>
            <w:pPr>
              <w:jc w:val="right"/>
              <w:ind w:right="9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526,309</w:t>
            </w:r>
          </w:p>
        </w:tc>
        <w:tc>
          <w:tcPr>
            <w:tcW w:w="44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226,582</w:t>
            </w:r>
          </w:p>
        </w:tc>
      </w:tr>
      <w:tr>
        <w:trPr>
          <w:trHeight w:val="20"/>
        </w:trPr>
        <w:tc>
          <w:tcPr>
            <w:tcW w:w="7480" w:type="dxa"/>
            <w:vAlign w:val="bottom"/>
            <w:tcBorders>
              <w:top w:val="single" w:sz="8" w:color="CEFFE7"/>
            </w:tcBorders>
            <w:gridSpan w:val="2"/>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1440" w:type="dxa"/>
            <w:vAlign w:val="bottom"/>
            <w:tcBorders>
              <w:top w:val="single" w:sz="8" w:color="CEFFE7"/>
              <w:bottom w:val="single" w:sz="8" w:color="auto"/>
            </w:tcBorders>
          </w:tcPr>
          <w:p>
            <w:pPr>
              <w:spacing w:after="0" w:line="20" w:lineRule="exact"/>
              <w:rPr>
                <w:sz w:val="1"/>
                <w:szCs w:val="1"/>
                <w:color w:val="auto"/>
              </w:rPr>
            </w:pPr>
          </w:p>
        </w:tc>
      </w:tr>
      <w:tr>
        <w:trPr>
          <w:trHeight w:val="203"/>
        </w:trPr>
        <w:tc>
          <w:tcPr>
            <w:tcW w:w="136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7480" w:type="dxa"/>
            <w:vAlign w:val="bottom"/>
            <w:gridSpan w:val="2"/>
            <w:shd w:val="clear" w:color="auto" w:fill="CEFFE7"/>
          </w:tcPr>
          <w:p>
            <w:pPr>
              <w:ind w:left="20"/>
              <w:spacing w:after="0"/>
              <w:rPr>
                <w:sz w:val="20"/>
                <w:szCs w:val="20"/>
                <w:color w:val="auto"/>
              </w:rPr>
            </w:pPr>
            <w:r>
              <w:rPr>
                <w:rFonts w:ascii="Arial" w:cs="Arial" w:eastAsia="Arial" w:hAnsi="Arial"/>
                <w:sz w:val="16"/>
                <w:szCs w:val="16"/>
                <w:b w:val="1"/>
                <w:bCs w:val="1"/>
                <w:color w:val="auto"/>
              </w:rPr>
              <w:t>Regulatory liabilities</w:t>
            </w:r>
          </w:p>
        </w:tc>
        <w:tc>
          <w:tcPr>
            <w:tcW w:w="1140" w:type="dxa"/>
            <w:vAlign w:val="bottom"/>
            <w:shd w:val="clear" w:color="auto" w:fill="CEFFE7"/>
          </w:tcPr>
          <w:p>
            <w:pPr>
              <w:spacing w:after="0"/>
              <w:rPr>
                <w:sz w:val="18"/>
                <w:szCs w:val="18"/>
                <w:color w:val="auto"/>
              </w:rPr>
            </w:pPr>
          </w:p>
        </w:tc>
        <w:tc>
          <w:tcPr>
            <w:tcW w:w="74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1440" w:type="dxa"/>
            <w:vAlign w:val="bottom"/>
            <w:shd w:val="clear" w:color="auto" w:fill="CEFFE7"/>
          </w:tcPr>
          <w:p>
            <w:pPr>
              <w:spacing w:after="0"/>
              <w:rPr>
                <w:sz w:val="18"/>
                <w:szCs w:val="18"/>
                <w:color w:val="auto"/>
              </w:rPr>
            </w:pPr>
          </w:p>
        </w:tc>
      </w:tr>
      <w:tr>
        <w:trPr>
          <w:trHeight w:val="216"/>
        </w:trPr>
        <w:tc>
          <w:tcPr>
            <w:tcW w:w="74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Deferred energy and gas costs </w:t>
            </w:r>
            <w:r>
              <w:rPr>
                <w:rFonts w:ascii="Arial" w:cs="Arial" w:eastAsia="Arial" w:hAnsi="Arial"/>
                <w:sz w:val="21"/>
                <w:szCs w:val="21"/>
                <w:color w:val="auto"/>
                <w:vertAlign w:val="superscript"/>
              </w:rPr>
              <w:t>(b)</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6,113</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13,253</w:t>
            </w:r>
          </w:p>
        </w:tc>
      </w:tr>
      <w:tr>
        <w:trPr>
          <w:trHeight w:val="216"/>
        </w:trPr>
        <w:tc>
          <w:tcPr>
            <w:tcW w:w="74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Employee benefit plan costs and related deferred taxes </w:t>
            </w:r>
            <w:r>
              <w:rPr>
                <w:rFonts w:ascii="Arial" w:cs="Arial" w:eastAsia="Arial" w:hAnsi="Arial"/>
                <w:sz w:val="21"/>
                <w:szCs w:val="21"/>
                <w:color w:val="auto"/>
                <w:vertAlign w:val="superscript"/>
              </w:rPr>
              <w:t>(c)</w:t>
            </w:r>
          </w:p>
        </w:tc>
        <w:tc>
          <w:tcPr>
            <w:tcW w:w="1140" w:type="dxa"/>
            <w:vAlign w:val="bottom"/>
            <w:shd w:val="clear" w:color="auto" w:fill="CEFFE7"/>
          </w:tcPr>
          <w:p>
            <w:pPr>
              <w:spacing w:after="0"/>
              <w:rPr>
                <w:sz w:val="18"/>
                <w:szCs w:val="18"/>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32,241</w:t>
            </w:r>
          </w:p>
        </w:tc>
        <w:tc>
          <w:tcPr>
            <w:tcW w:w="44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40,256</w:t>
            </w:r>
          </w:p>
        </w:tc>
      </w:tr>
      <w:tr>
        <w:trPr>
          <w:trHeight w:val="216"/>
        </w:trPr>
        <w:tc>
          <w:tcPr>
            <w:tcW w:w="74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Cost of removal </w:t>
            </w:r>
            <w:r>
              <w:rPr>
                <w:rFonts w:ascii="Arial" w:cs="Arial" w:eastAsia="Arial" w:hAnsi="Arial"/>
                <w:sz w:val="21"/>
                <w:szCs w:val="21"/>
                <w:color w:val="auto"/>
                <w:vertAlign w:val="superscript"/>
              </w:rPr>
              <w:t>(b)</w:t>
            </w:r>
          </w:p>
        </w:tc>
        <w:tc>
          <w:tcPr>
            <w:tcW w:w="1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179,976</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172,902</w:t>
            </w:r>
          </w:p>
        </w:tc>
      </w:tr>
      <w:tr>
        <w:trPr>
          <w:trHeight w:val="216"/>
        </w:trPr>
        <w:tc>
          <w:tcPr>
            <w:tcW w:w="74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Excess deferred income taxes </w:t>
            </w:r>
            <w:r>
              <w:rPr>
                <w:rFonts w:ascii="Arial" w:cs="Arial" w:eastAsia="Arial" w:hAnsi="Arial"/>
                <w:sz w:val="21"/>
                <w:szCs w:val="21"/>
                <w:color w:val="auto"/>
                <w:vertAlign w:val="superscript"/>
              </w:rPr>
              <w:t>(c)</w:t>
            </w:r>
          </w:p>
        </w:tc>
        <w:tc>
          <w:tcPr>
            <w:tcW w:w="1140" w:type="dxa"/>
            <w:vAlign w:val="bottom"/>
            <w:shd w:val="clear" w:color="auto" w:fill="CEFFE7"/>
          </w:tcPr>
          <w:p>
            <w:pPr>
              <w:spacing w:after="0"/>
              <w:rPr>
                <w:sz w:val="18"/>
                <w:szCs w:val="18"/>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264,042</w:t>
            </w:r>
          </w:p>
        </w:tc>
        <w:tc>
          <w:tcPr>
            <w:tcW w:w="44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285,259</w:t>
            </w:r>
          </w:p>
        </w:tc>
      </w:tr>
      <w:tr>
        <w:trPr>
          <w:trHeight w:val="216"/>
        </w:trPr>
        <w:tc>
          <w:tcPr>
            <w:tcW w:w="7480" w:type="dxa"/>
            <w:vAlign w:val="bottom"/>
            <w:tcBorders>
              <w:bottom w:val="single" w:sz="8" w:color="CEFFE7"/>
            </w:tcBorders>
            <w:gridSpan w:val="2"/>
          </w:tcPr>
          <w:p>
            <w:pPr>
              <w:ind w:left="140"/>
              <w:spacing w:after="0" w:line="216" w:lineRule="exact"/>
              <w:rPr>
                <w:sz w:val="20"/>
                <w:szCs w:val="20"/>
                <w:color w:val="auto"/>
              </w:rPr>
            </w:pPr>
            <w:r>
              <w:rPr>
                <w:rFonts w:ascii="Arial" w:cs="Arial" w:eastAsia="Arial" w:hAnsi="Arial"/>
                <w:sz w:val="16"/>
                <w:szCs w:val="16"/>
                <w:color w:val="auto"/>
              </w:rPr>
              <w:t xml:space="preserve">Other regulatory liabilities </w:t>
            </w:r>
            <w:r>
              <w:rPr>
                <w:rFonts w:ascii="Arial" w:cs="Arial" w:eastAsia="Arial" w:hAnsi="Arial"/>
                <w:sz w:val="21"/>
                <w:szCs w:val="21"/>
                <w:color w:val="auto"/>
                <w:vertAlign w:val="superscript"/>
              </w:rPr>
              <w:t>(c)</w:t>
            </w:r>
          </w:p>
        </w:tc>
        <w:tc>
          <w:tcPr>
            <w:tcW w:w="1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20,579</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21,050</w:t>
            </w:r>
          </w:p>
        </w:tc>
      </w:tr>
      <w:tr>
        <w:trPr>
          <w:trHeight w:val="209"/>
        </w:trPr>
        <w:tc>
          <w:tcPr>
            <w:tcW w:w="74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Total regulatory liabilities</w:t>
            </w:r>
          </w:p>
        </w:tc>
        <w:tc>
          <w:tcPr>
            <w:tcW w:w="1140" w:type="dxa"/>
            <w:vAlign w:val="bottom"/>
            <w:shd w:val="clear" w:color="auto" w:fill="CEFFE7"/>
          </w:tcPr>
          <w:p>
            <w:pPr>
              <w:spacing w:after="0"/>
              <w:rPr>
                <w:sz w:val="18"/>
                <w:szCs w:val="18"/>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502,951</w:t>
            </w:r>
          </w:p>
        </w:tc>
        <w:tc>
          <w:tcPr>
            <w:tcW w:w="44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532,720</w:t>
            </w:r>
          </w:p>
        </w:tc>
      </w:tr>
      <w:tr>
        <w:trPr>
          <w:trHeight w:val="213"/>
        </w:trPr>
        <w:tc>
          <w:tcPr>
            <w:tcW w:w="7480" w:type="dxa"/>
            <w:vAlign w:val="bottom"/>
            <w:tcBorders>
              <w:bottom w:val="single" w:sz="8" w:color="CEFFE7"/>
            </w:tcBorders>
            <w:gridSpan w:val="2"/>
          </w:tcPr>
          <w:p>
            <w:pPr>
              <w:ind w:left="140"/>
              <w:spacing w:after="0"/>
              <w:rPr>
                <w:sz w:val="20"/>
                <w:szCs w:val="20"/>
                <w:color w:val="auto"/>
              </w:rPr>
            </w:pPr>
            <w:r>
              <w:rPr>
                <w:rFonts w:ascii="Arial" w:cs="Arial" w:eastAsia="Arial" w:hAnsi="Arial"/>
                <w:sz w:val="16"/>
                <w:szCs w:val="16"/>
                <w:color w:val="auto"/>
              </w:rPr>
              <w:t>Less current regulatory liabilities</w:t>
            </w:r>
          </w:p>
        </w:tc>
        <w:tc>
          <w:tcPr>
            <w:tcW w:w="1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(17,574)</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(25,061)</w:t>
            </w:r>
          </w:p>
        </w:tc>
      </w:tr>
      <w:tr>
        <w:trPr>
          <w:trHeight w:val="238"/>
        </w:trPr>
        <w:tc>
          <w:tcPr>
            <w:tcW w:w="74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Regulatory liabilities, non-current</w:t>
            </w:r>
          </w:p>
        </w:tc>
        <w:tc>
          <w:tcPr>
            <w:tcW w:w="1140" w:type="dxa"/>
            <w:vAlign w:val="bottom"/>
            <w:tcBorders>
              <w:bottom w:val="single" w:sz="8" w:color="auto"/>
            </w:tcBorders>
            <w:shd w:val="clear" w:color="auto" w:fill="CEFFE7"/>
          </w:tcPr>
          <w:p>
            <w:pPr>
              <w:jc w:val="right"/>
              <w:ind w:right="9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485,377</w:t>
            </w:r>
          </w:p>
        </w:tc>
        <w:tc>
          <w:tcPr>
            <w:tcW w:w="44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507,659</w:t>
            </w: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6120" w:type="dxa"/>
            <w:vAlign w:val="bottom"/>
            <w:tcBorders>
              <w:top w:val="single" w:sz="8" w:color="CEFFE7"/>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1440" w:type="dxa"/>
            <w:vAlign w:val="bottom"/>
            <w:tcBorders>
              <w:top w:val="single" w:sz="8" w:color="CEFFE7"/>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 w:lineRule="exact"/>
        <w:rPr>
          <w:sz w:val="20"/>
          <w:szCs w:val="20"/>
          <w:color w:val="auto"/>
        </w:rPr>
      </w:pPr>
    </w:p>
    <w:p>
      <w:pPr>
        <w:ind w:left="340" w:right="120" w:hanging="332"/>
        <w:spacing w:after="0" w:line="241" w:lineRule="auto"/>
        <w:tabs>
          <w:tab w:leader="none" w:pos="349" w:val="left"/>
        </w:tabs>
        <w:numPr>
          <w:ilvl w:val="0"/>
          <w:numId w:val="53"/>
        </w:numPr>
        <w:rPr>
          <w:rFonts w:ascii="Arial" w:cs="Arial" w:eastAsia="Arial" w:hAnsi="Arial"/>
          <w:sz w:val="14"/>
          <w:szCs w:val="14"/>
          <w:color w:val="auto"/>
        </w:rPr>
      </w:pPr>
      <w:r>
        <w:rPr>
          <w:rFonts w:ascii="Arial" w:cs="Arial" w:eastAsia="Arial" w:hAnsi="Arial"/>
          <w:sz w:val="14"/>
          <w:szCs w:val="14"/>
          <w:color w:val="auto"/>
        </w:rPr>
        <w:t>Timing of Winter Storm Uri incremental cost recovery and associated carrying costs vary by jurisdiction and some jurisdictions are still subject to pending applications with the respective utility commission. See further information below.</w:t>
      </w: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Recovery of costs, but we are not allowed a rate of return.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addition to recovery or repayment of costs, we are allowed a return on a portion of this amount or a reduction in rate base.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Regulatory assets represent items we expect to recover from customers through probable future rates.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Winter Storm Uri</w:t>
      </w:r>
      <w:r>
        <w:rPr>
          <w:rFonts w:ascii="Arial" w:cs="Arial" w:eastAsia="Arial" w:hAnsi="Arial"/>
          <w:sz w:val="16"/>
          <w:szCs w:val="16"/>
          <w:color w:val="auto"/>
        </w:rPr>
        <w:t xml:space="preserve"> - See discussion below for Winter Storm Uri regulatory asset information.</w:t>
      </w:r>
    </w:p>
    <w:p>
      <w:pPr>
        <w:spacing w:after="0" w:line="248" w:lineRule="exact"/>
        <w:rPr>
          <w:sz w:val="20"/>
          <w:szCs w:val="20"/>
          <w:color w:val="auto"/>
        </w:rPr>
      </w:pPr>
    </w:p>
    <w:p>
      <w:pPr>
        <w:ind w:left="340" w:right="840"/>
        <w:spacing w:after="0" w:line="250" w:lineRule="auto"/>
        <w:rPr>
          <w:sz w:val="20"/>
          <w:szCs w:val="20"/>
          <w:color w:val="auto"/>
        </w:rPr>
      </w:pPr>
      <w:r>
        <w:rPr>
          <w:rFonts w:ascii="Arial" w:cs="Arial" w:eastAsia="Arial" w:hAnsi="Arial"/>
          <w:sz w:val="16"/>
          <w:szCs w:val="16"/>
          <w:u w:val="single" w:color="auto"/>
          <w:color w:val="auto"/>
        </w:rPr>
        <w:t>Deferred Energy and Fuel Cost Adjustments</w:t>
      </w:r>
      <w:r>
        <w:rPr>
          <w:rFonts w:ascii="Arial" w:cs="Arial" w:eastAsia="Arial" w:hAnsi="Arial"/>
          <w:sz w:val="16"/>
          <w:szCs w:val="16"/>
          <w:color w:val="auto"/>
        </w:rPr>
        <w:t xml:space="preserve"> - Deferred energy and fuel cost adjustments represent the cost of electricity delivered to our Electric Utilities’ customers that is either higher or lower than the current rates and will be recovered or refunded in future rates. Deferred energy and fuel cost adjustments are recorded and recovered or amortized as approved by the appropriate state regulatory commission. Our Electric Utilities file periodic quarterly, semi-annual and/or annual filings to recover these costs based on the respective cost mechanisms approved by their applicable state regulatory commissions. The recovery period for these costs is less than a year.</w:t>
      </w:r>
    </w:p>
    <w:p>
      <w:pPr>
        <w:spacing w:after="0" w:line="230" w:lineRule="exact"/>
        <w:rPr>
          <w:sz w:val="20"/>
          <w:szCs w:val="20"/>
          <w:color w:val="auto"/>
        </w:rPr>
      </w:pPr>
    </w:p>
    <w:p>
      <w:pPr>
        <w:ind w:left="340" w:right="720"/>
        <w:spacing w:after="0" w:line="250" w:lineRule="auto"/>
        <w:rPr>
          <w:sz w:val="20"/>
          <w:szCs w:val="20"/>
          <w:color w:val="auto"/>
        </w:rPr>
      </w:pPr>
      <w:r>
        <w:rPr>
          <w:rFonts w:ascii="Arial" w:cs="Arial" w:eastAsia="Arial" w:hAnsi="Arial"/>
          <w:sz w:val="16"/>
          <w:szCs w:val="16"/>
          <w:u w:val="single" w:color="auto"/>
          <w:color w:val="auto"/>
        </w:rPr>
        <w:t>Deferred Gas Cost Adjustment</w:t>
      </w:r>
      <w:r>
        <w:rPr>
          <w:rFonts w:ascii="Arial" w:cs="Arial" w:eastAsia="Arial" w:hAnsi="Arial"/>
          <w:sz w:val="16"/>
          <w:szCs w:val="16"/>
          <w:color w:val="auto"/>
        </w:rPr>
        <w:t>s - Our regulated Gas Utilities have GCA provisions that allow them to pass the cost of gas on to their customers. The GCA is based on forecasts of the upcoming gas costs and recovery or refund of prior under-recovered or over-recovered costs. To the extent that gas costs are under-recovered or over-recovered, they are recorded as a regulatory asset or liability, respectively. Our Gas Utilities file periodic estimates of future gas costs based on market forecasts with state regulatory commissions. The recovery period for these costs is less than a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right="80"/>
        <w:spacing w:after="0" w:line="251" w:lineRule="auto"/>
        <w:rPr>
          <w:sz w:val="20"/>
          <w:szCs w:val="20"/>
          <w:color w:val="auto"/>
        </w:rPr>
      </w:pPr>
      <w:r>
        <w:rPr>
          <w:rFonts w:ascii="Arial" w:cs="Arial" w:eastAsia="Arial" w:hAnsi="Arial"/>
          <w:sz w:val="16"/>
          <w:szCs w:val="16"/>
          <w:u w:val="single" w:color="auto"/>
          <w:color w:val="auto"/>
        </w:rPr>
        <w:t>Gas Price Derivatives</w:t>
      </w:r>
      <w:r>
        <w:rPr>
          <w:rFonts w:ascii="Arial" w:cs="Arial" w:eastAsia="Arial" w:hAnsi="Arial"/>
          <w:sz w:val="16"/>
          <w:szCs w:val="16"/>
          <w:color w:val="auto"/>
        </w:rPr>
        <w:t xml:space="preserve"> - Our regulated Gas Utilities, as allowed or required by state regulatory commissions, have entered into certain exchange-traded natural gas futures and options to reduce our customers’ underlying exposure to fluctuations in gas prices. Gas price derivatives represent our unrealized positions on our commodity contracts supporting our utilities. Gas price derivatives at December 31, 2021 are hedged over a maximum forward term of two years.</w:t>
      </w:r>
    </w:p>
    <w:p>
      <w:pPr>
        <w:spacing w:after="0" w:line="229" w:lineRule="exact"/>
        <w:rPr>
          <w:sz w:val="20"/>
          <w:szCs w:val="20"/>
          <w:color w:val="auto"/>
        </w:rPr>
      </w:pPr>
    </w:p>
    <w:p>
      <w:pPr>
        <w:ind w:left="340" w:right="20"/>
        <w:spacing w:after="0" w:line="249" w:lineRule="auto"/>
        <w:rPr>
          <w:sz w:val="20"/>
          <w:szCs w:val="20"/>
          <w:color w:val="auto"/>
        </w:rPr>
      </w:pPr>
      <w:r>
        <w:rPr>
          <w:rFonts w:ascii="Arial" w:cs="Arial" w:eastAsia="Arial" w:hAnsi="Arial"/>
          <w:sz w:val="16"/>
          <w:szCs w:val="16"/>
          <w:u w:val="single" w:color="auto"/>
          <w:color w:val="auto"/>
        </w:rPr>
        <w:t>Deferred Taxes on AFUDC</w:t>
      </w:r>
      <w:r>
        <w:rPr>
          <w:rFonts w:ascii="Arial" w:cs="Arial" w:eastAsia="Arial" w:hAnsi="Arial"/>
          <w:sz w:val="16"/>
          <w:szCs w:val="16"/>
          <w:color w:val="auto"/>
        </w:rPr>
        <w:t xml:space="preserve"> - The equity component of AFUDC is considered a permanent difference for tax purposes with the tax benefit being flowed through to customers as prescribed or allowed by regulators. If, based on a regulator’s action, it is probable the utility will recover the future increase in taxes payable represented by this flow-through treatment through a rate revenue increase, a regulatory asset is recognized. This regulatory asset is a temporary difference for which a deferred tax liability must be recognized. Accounting standards for income taxes specifically address AFUDC-equity and require a gross-up of such amounts to reflect the revenue requirement associated with a rate-regulated environment.</w:t>
      </w:r>
    </w:p>
    <w:p>
      <w:pPr>
        <w:spacing w:after="0" w:line="232" w:lineRule="exact"/>
        <w:rPr>
          <w:sz w:val="20"/>
          <w:szCs w:val="20"/>
          <w:color w:val="auto"/>
        </w:rPr>
      </w:pPr>
    </w:p>
    <w:p>
      <w:pPr>
        <w:ind w:left="340" w:right="200"/>
        <w:spacing w:after="0" w:line="250" w:lineRule="auto"/>
        <w:rPr>
          <w:sz w:val="20"/>
          <w:szCs w:val="20"/>
          <w:color w:val="auto"/>
        </w:rPr>
      </w:pPr>
      <w:r>
        <w:rPr>
          <w:rFonts w:ascii="Arial" w:cs="Arial" w:eastAsia="Arial" w:hAnsi="Arial"/>
          <w:sz w:val="16"/>
          <w:szCs w:val="16"/>
          <w:u w:val="single" w:color="auto"/>
          <w:color w:val="auto"/>
        </w:rPr>
        <w:t>Employee Benefit Plans and Related Deferred Taxes</w:t>
      </w:r>
      <w:r>
        <w:rPr>
          <w:rFonts w:ascii="Arial" w:cs="Arial" w:eastAsia="Arial" w:hAnsi="Arial"/>
          <w:sz w:val="16"/>
          <w:szCs w:val="16"/>
          <w:color w:val="auto"/>
        </w:rPr>
        <w:t xml:space="preserve"> - Employee benefit plans include the unrecognized prior service costs and net actuarial loss associated with our defined benefit pension plan and post-retirement benefit plans in regulatory assets rather than in AOCI. In addition, this regulatory asset includes the income tax effect of the adjustment required under accounting for compensation - defined benefit plans, to record the full pension and post-retirement benefit obligations. Such income tax effect has been grossed-up to account for the revenue requirement associated with a rate regulated environment.</w:t>
      </w:r>
    </w:p>
    <w:p>
      <w:pPr>
        <w:spacing w:after="0" w:line="230" w:lineRule="exact"/>
        <w:rPr>
          <w:sz w:val="20"/>
          <w:szCs w:val="20"/>
          <w:color w:val="auto"/>
        </w:rPr>
      </w:pPr>
    </w:p>
    <w:p>
      <w:pPr>
        <w:ind w:left="340" w:right="80"/>
        <w:spacing w:after="0" w:line="251" w:lineRule="auto"/>
        <w:rPr>
          <w:sz w:val="20"/>
          <w:szCs w:val="20"/>
          <w:color w:val="auto"/>
        </w:rPr>
      </w:pPr>
      <w:r>
        <w:rPr>
          <w:rFonts w:ascii="Arial" w:cs="Arial" w:eastAsia="Arial" w:hAnsi="Arial"/>
          <w:sz w:val="16"/>
          <w:szCs w:val="16"/>
          <w:u w:val="single" w:color="auto"/>
          <w:color w:val="auto"/>
        </w:rPr>
        <w:t>Environmental</w:t>
      </w:r>
      <w:r>
        <w:rPr>
          <w:rFonts w:ascii="Arial" w:cs="Arial" w:eastAsia="Arial" w:hAnsi="Arial"/>
          <w:sz w:val="16"/>
          <w:szCs w:val="16"/>
          <w:color w:val="auto"/>
        </w:rPr>
        <w:t xml:space="preserve"> - Environmental costs associated with certain former manufactured gas plant sites. These costs are first offset by recognition of insurance proceeds and settlements with other third parties. Any remaining cost will be requested for recovery in future rate filings. Recovery for these specific environmental costs has not yet been approved by the applicable state regulatory commission and therefore, the recovery period is unknown at this time.</w:t>
      </w:r>
    </w:p>
    <w:p>
      <w:pPr>
        <w:spacing w:after="0" w:line="229"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u w:val="single" w:color="auto"/>
          <w:color w:val="auto"/>
        </w:rPr>
        <w:t>Loss on Reacquired Debt</w:t>
      </w:r>
      <w:r>
        <w:rPr>
          <w:rFonts w:ascii="Arial" w:cs="Arial" w:eastAsia="Arial" w:hAnsi="Arial"/>
          <w:sz w:val="16"/>
          <w:szCs w:val="16"/>
          <w:color w:val="auto"/>
        </w:rPr>
        <w:t xml:space="preserve"> - Loss on reacquired debt is recovered over the remaining life of the original issue or, if refinanced, over the life of the new issue.</w:t>
      </w:r>
    </w:p>
    <w:p>
      <w:pPr>
        <w:spacing w:after="0" w:line="222" w:lineRule="exact"/>
        <w:rPr>
          <w:sz w:val="20"/>
          <w:szCs w:val="20"/>
          <w:color w:val="auto"/>
        </w:rPr>
      </w:pPr>
    </w:p>
    <w:p>
      <w:pPr>
        <w:ind w:left="340" w:right="80"/>
        <w:spacing w:after="0" w:line="250" w:lineRule="auto"/>
        <w:rPr>
          <w:sz w:val="20"/>
          <w:szCs w:val="20"/>
          <w:color w:val="auto"/>
        </w:rPr>
      </w:pPr>
      <w:r>
        <w:rPr>
          <w:rFonts w:ascii="Arial" w:cs="Arial" w:eastAsia="Arial" w:hAnsi="Arial"/>
          <w:sz w:val="16"/>
          <w:szCs w:val="16"/>
          <w:u w:val="single" w:color="auto"/>
          <w:color w:val="auto"/>
        </w:rPr>
        <w:t>Deferred Taxes on Flow-Through Accounting</w:t>
      </w:r>
      <w:r>
        <w:rPr>
          <w:rFonts w:ascii="Arial" w:cs="Arial" w:eastAsia="Arial" w:hAnsi="Arial"/>
          <w:sz w:val="16"/>
          <w:szCs w:val="16"/>
          <w:color w:val="auto"/>
        </w:rPr>
        <w:t xml:space="preserve"> - Under flow-through accounting, the income tax effects of certain tax items are reflected in our cost of service for the customer and result in lower utility rates in the year in which the tax benefits are realized. A regulatory asset was established to reflect that future increases in income taxes payable will be recovered from customers as the temporary differences reverse. As a result of this regulatory treatment, we continue to record a tax benefit for costs considered currently deductible for tax purposes, but are capitalized for book purposes.</w:t>
      </w:r>
    </w:p>
    <w:p>
      <w:pPr>
        <w:spacing w:after="0" w:line="230" w:lineRule="exact"/>
        <w:rPr>
          <w:sz w:val="20"/>
          <w:szCs w:val="20"/>
          <w:color w:val="auto"/>
        </w:rPr>
      </w:pPr>
    </w:p>
    <w:p>
      <w:pPr>
        <w:ind w:left="340" w:right="20"/>
        <w:spacing w:after="0" w:line="253" w:lineRule="auto"/>
        <w:rPr>
          <w:sz w:val="20"/>
          <w:szCs w:val="20"/>
          <w:color w:val="auto"/>
        </w:rPr>
      </w:pPr>
      <w:r>
        <w:rPr>
          <w:rFonts w:ascii="Arial" w:cs="Arial" w:eastAsia="Arial" w:hAnsi="Arial"/>
          <w:sz w:val="16"/>
          <w:szCs w:val="16"/>
          <w:u w:val="single" w:color="auto"/>
          <w:color w:val="auto"/>
        </w:rPr>
        <w:t>Decommissioning Costs</w:t>
      </w:r>
      <w:r>
        <w:rPr>
          <w:rFonts w:ascii="Arial" w:cs="Arial" w:eastAsia="Arial" w:hAnsi="Arial"/>
          <w:sz w:val="16"/>
          <w:szCs w:val="16"/>
          <w:color w:val="auto"/>
        </w:rPr>
        <w:t xml:space="preserve"> - South Dakota Electric and Colorado Electric received approval in 2014 for recovery of the remaining net book values and decommissioning costs of their decommissioned coal plants. In 2018, Arkansas Gas received approval to record Liquefied Natural Gas Plant decommissioning costs as a regulatory asset and received approval in 2020 to begin recovering those costs over three years.</w:t>
      </w:r>
    </w:p>
    <w:p>
      <w:pPr>
        <w:spacing w:after="0" w:line="228" w:lineRule="exact"/>
        <w:rPr>
          <w:sz w:val="20"/>
          <w:szCs w:val="20"/>
          <w:color w:val="auto"/>
        </w:rPr>
      </w:pPr>
    </w:p>
    <w:p>
      <w:pPr>
        <w:ind w:left="340" w:right="100"/>
        <w:spacing w:after="0" w:line="250" w:lineRule="auto"/>
        <w:rPr>
          <w:sz w:val="20"/>
          <w:szCs w:val="20"/>
          <w:color w:val="auto"/>
        </w:rPr>
      </w:pPr>
      <w:r>
        <w:rPr>
          <w:rFonts w:ascii="Arial" w:cs="Arial" w:eastAsia="Arial" w:hAnsi="Arial"/>
          <w:sz w:val="16"/>
          <w:szCs w:val="16"/>
          <w:u w:val="single" w:color="auto"/>
          <w:color w:val="auto"/>
        </w:rPr>
        <w:t>Gas Supply Contract Termination</w:t>
      </w:r>
      <w:r>
        <w:rPr>
          <w:rFonts w:ascii="Arial" w:cs="Arial" w:eastAsia="Arial" w:hAnsi="Arial"/>
          <w:sz w:val="16"/>
          <w:szCs w:val="16"/>
          <w:color w:val="auto"/>
        </w:rPr>
        <w:t xml:space="preserve"> - With the 2016 SourceGas acquisition, we assumed agreements requiring the Company to purchase all of the natural gas produced over the productive life of specific leaseholds in the Bowdoin Field in Montana. The prices to be paid under these agreements exceeded market prices at the time of acquisition. We received state utility commission approvals to terminate these agreements and Orders allowing us to create a regulatory asset for the net contract buyout costs with recovery over five years. We terminated the contract and settled the liability on April 29, 2016.</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Regulatory liabilities represent items we expect to refund to customers through probable future decreases in rates.</w:t>
      </w:r>
    </w:p>
    <w:p>
      <w:pPr>
        <w:spacing w:after="0" w:line="228" w:lineRule="exact"/>
        <w:rPr>
          <w:sz w:val="20"/>
          <w:szCs w:val="20"/>
          <w:color w:val="auto"/>
        </w:rPr>
      </w:pPr>
    </w:p>
    <w:p>
      <w:pPr>
        <w:ind w:left="340" w:right="160"/>
        <w:spacing w:after="0" w:line="286" w:lineRule="auto"/>
        <w:rPr>
          <w:sz w:val="20"/>
          <w:szCs w:val="20"/>
          <w:color w:val="auto"/>
        </w:rPr>
      </w:pPr>
      <w:r>
        <w:rPr>
          <w:rFonts w:ascii="Arial" w:cs="Arial" w:eastAsia="Arial" w:hAnsi="Arial"/>
          <w:sz w:val="16"/>
          <w:szCs w:val="16"/>
          <w:u w:val="single" w:color="auto"/>
          <w:color w:val="auto"/>
        </w:rPr>
        <w:t>Deferred Energy and Gas Costs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Deferred energy and gas costs that have been over-recovered through customer rates and will be returned to customers in future periods.</w:t>
      </w:r>
    </w:p>
    <w:p>
      <w:pPr>
        <w:spacing w:after="0" w:line="183" w:lineRule="exact"/>
        <w:rPr>
          <w:sz w:val="20"/>
          <w:szCs w:val="20"/>
          <w:color w:val="auto"/>
        </w:rPr>
      </w:pPr>
    </w:p>
    <w:p>
      <w:pPr>
        <w:ind w:left="340"/>
        <w:spacing w:after="0" w:line="256" w:lineRule="auto"/>
        <w:rPr>
          <w:sz w:val="20"/>
          <w:szCs w:val="20"/>
          <w:color w:val="auto"/>
        </w:rPr>
      </w:pPr>
      <w:r>
        <w:rPr>
          <w:rFonts w:ascii="Arial" w:cs="Arial" w:eastAsia="Arial" w:hAnsi="Arial"/>
          <w:sz w:val="16"/>
          <w:szCs w:val="16"/>
          <w:u w:val="single" w:color="auto"/>
          <w:color w:val="auto"/>
        </w:rPr>
        <w:t>Employee Benefit Plan Costs and Related Deferred Taxes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Employee benefit plans represent the cumulative excess of pension and retiree healthcare costs recovered in rates over pension expense recorded in accordance with accounting standards for compensation - retirement benefits. In addition, this regulatory liability includes the income tax effect of the adjustment required under accounting for compensation - defined benefit plans, to record the full pension and post-retirement benefit obligations. Such income tax effect has been grossed-up to account for the revenue requirement associated with a rate regulated environment.</w:t>
      </w:r>
    </w:p>
    <w:p>
      <w:pPr>
        <w:spacing w:after="0" w:line="207" w:lineRule="exact"/>
        <w:rPr>
          <w:sz w:val="20"/>
          <w:szCs w:val="20"/>
          <w:color w:val="auto"/>
        </w:rPr>
      </w:pPr>
    </w:p>
    <w:p>
      <w:pPr>
        <w:ind w:left="340" w:right="460"/>
        <w:spacing w:after="0" w:line="286" w:lineRule="auto"/>
        <w:rPr>
          <w:sz w:val="20"/>
          <w:szCs w:val="20"/>
          <w:color w:val="auto"/>
        </w:rPr>
      </w:pPr>
      <w:r>
        <w:rPr>
          <w:rFonts w:ascii="Arial" w:cs="Arial" w:eastAsia="Arial" w:hAnsi="Arial"/>
          <w:sz w:val="16"/>
          <w:szCs w:val="16"/>
          <w:u w:val="single" w:color="auto"/>
          <w:color w:val="auto"/>
        </w:rPr>
        <w:t>Cost of Removal</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Cost of removal represents the estimated cumulative net provisions for future removal costs for which there is no legal obligation for removal included in depreciation expense.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21" w:right="999" w:bottom="1440" w:gutter="0" w:footer="0" w:header="0"/>
        </w:sectPr>
      </w:pPr>
    </w:p>
    <w:bookmarkStart w:id="76" w:name="page77"/>
    <w:bookmarkEnd w:id="7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right="820"/>
        <w:spacing w:after="0" w:line="253" w:lineRule="auto"/>
        <w:rPr>
          <w:rFonts w:ascii="Arial" w:cs="Arial" w:eastAsia="Arial" w:hAnsi="Arial"/>
          <w:sz w:val="16"/>
          <w:szCs w:val="16"/>
          <w:color w:val="auto"/>
        </w:rPr>
      </w:pPr>
      <w:r>
        <w:rPr>
          <w:rFonts w:ascii="Arial" w:cs="Arial" w:eastAsia="Arial" w:hAnsi="Arial"/>
          <w:sz w:val="16"/>
          <w:szCs w:val="16"/>
          <w:u w:val="single" w:color="auto"/>
          <w:color w:val="auto"/>
        </w:rPr>
        <w:t>Excess Deferred Income Taxes</w:t>
      </w:r>
      <w:r>
        <w:rPr>
          <w:rFonts w:ascii="Arial" w:cs="Arial" w:eastAsia="Arial" w:hAnsi="Arial"/>
          <w:sz w:val="16"/>
          <w:szCs w:val="16"/>
          <w:color w:val="auto"/>
        </w:rPr>
        <w:t xml:space="preserve"> - The revaluation of the regulated utilities' deferred tax assets and liabilities due to the passage of the TCJA was recorded as an excess deferred income tax to be refunded to customers primarily using the normalization principles as prescribed in the TCJA. See </w:t>
      </w:r>
      <w:hyperlink w:anchor="page107">
        <w:r>
          <w:rPr>
            <w:rFonts w:ascii="Arial" w:cs="Arial" w:eastAsia="Arial" w:hAnsi="Arial"/>
            <w:sz w:val="16"/>
            <w:szCs w:val="16"/>
            <w:u w:val="single" w:color="auto"/>
            <w:color w:val="0000FF"/>
          </w:rPr>
          <w:t>Note 15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Recent Regulatory Activity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Winter Storm Uri</w:t>
      </w:r>
    </w:p>
    <w:p>
      <w:pPr>
        <w:spacing w:after="0" w:line="264"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In February 2021, a prolonged period of historic cold temperatures across the central United States covered all of our Utilities’ service territories, caused a substantial increase in heating and energy demand and contributed to unforeseeable and unprecedented market prices for natural gas and electricity. As a result of Winter Storm Uri, we incurred significant incremental fuel, purchased power and natural gas costs.</w:t>
      </w:r>
    </w:p>
    <w:p>
      <w:pPr>
        <w:spacing w:after="0" w:line="22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Utilities submitted Winter Storm Uri cost recovery applications in our state jurisdictions seeking to recover $546 million of these incremental costs through separate tracking mechanisms over a weighted-average recovery period of 3.5 years. These incremental cost estimates are subject to adjustments as final decisions are issued by the respective utility commissions. In these applications, we sought approval to recover carrying costs. For the year ended December 31, 2021, $4.1 million of carrying costs were accrued and recorded to a regulatory asset. We are also seeking recovery of $13 million of previously disclosed Winter Storm Uri incremental costs through our existing regulatory mechanisms.</w:t>
      </w:r>
    </w:p>
    <w:p>
      <w:pPr>
        <w:spacing w:after="0" w:line="230"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To date, Iowa Gas, Kansas Gas, Nebraska Gas and South Dakota Electric received commission approval for Winter Storm Uri cost recovery. Additionally, Arkansas Gas and Wyoming Gas received approval for interim cost recovery subject to a final decision on carrying costs and recovery periods at a later date. Colorado Gas and Colorado Electric filed settlement agreements for their applications with final rates to be implemented in 2022. These settlements are subject to final approval by the CPUC. For the year ended December 31, 2021, our Utilities collected $40 million of Winter Storm Uri incremental costs and carrying costs from customers.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TCJA</w:t>
      </w: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TCJA. The TCJA reduced the U.S. federal corporate tax rate from 35% to 21%. As such, the Company remeasured our deferred income taxes at the 21% federal tax rate as of December 31, 2017. In 2018 and 2019, the Company successfully delivered several of these tax benefits from the TCJA to its utility customers.</w:t>
      </w:r>
    </w:p>
    <w:p>
      <w:pPr>
        <w:spacing w:after="0" w:line="22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In 2020, regulatory proceedings resolved the last of the Company’s open dockets seeking approval of its TCJA plans. As a result, the Company relieved certain TCJA-related liabilities, which resulted in an increase to net income for the year ended December 31, 2020 of $4.0 million.</w:t>
      </w:r>
    </w:p>
    <w:p>
      <w:pPr>
        <w:spacing w:after="0" w:line="22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On December 30, 2020, an administrative law judge approved a settlement of Colorado Electric’s plan to provide $9.3 million of TCJA-related bill credits to its customers. The bill credits, which represent a disposition of excess deferred income tax benefits resulting from the TCJA, were delivered to customers in February 2021. The settlement agreement further provided for Colorado Electric to deliver annual bill credits to customers, starting in April 2021, until remaining excess deferred income tax regulatory liabilities associated with the TCJA are fully amortized. In April 2021, Colorado Electric delivered $0.9 million of TCJA-related bill credits to customers.</w:t>
      </w:r>
    </w:p>
    <w:p>
      <w:pPr>
        <w:spacing w:after="0" w:line="230"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On January 26, 2021, the NPSC approved Nebraska Gas’s plan to provide $2.9 million of TCJA-related bill credits to its customers. The bill credits, which represent a disposition of excess deferred income tax benefits resulting from the TCJA, were delivered to customers in June 2021.</w:t>
      </w:r>
    </w:p>
    <w:p>
      <w:pPr>
        <w:spacing w:after="0" w:line="222"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These Colorado Electric and Nebraska Gas bill credits, which resulted in a reduction in revenue, were offset by a reduction in income tax expense and resulted in a minimal impact to Net income for the year ended December 31, 2021.</w:t>
      </w:r>
    </w:p>
    <w:p>
      <w:pPr>
        <w:spacing w:after="0" w:line="22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As part of the 2021 rate review settlement agreement discussed further below, Kansas Gas will deliver $3.0 million of TCJA and state tax reform benefits to customers, annually, for each of the next three years starting in 2022 (approximately $9.1 million of total benefits expected to be delivered).</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7" w:name="page78"/>
    <w:bookmarkEnd w:id="7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Arkansas Gas</w:t>
      </w:r>
    </w:p>
    <w:p>
      <w:pPr>
        <w:spacing w:after="0" w:line="26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On December 10, 2021, Arkansas Gas filed a rate review with the APSC seeking recovery of significant infrastructure investments in its 7,200-mile natural gas pipeline system. The rate review requests $22 million in new annual revenue with a capital structure of 50.9% equity and 49.1% debt and a return on equity of 10.2%. The request seeks to finalize rates in the fourth quarter of 2022.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Gas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Rate Reviews and SSIR</w:t>
      </w:r>
    </w:p>
    <w:p>
      <w:pPr>
        <w:spacing w:after="0" w:line="26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On June 1, 2021, Colorado Gas filed a rate review with the CPUC seeking recovery of significant infrastructure investments in its 7,000-mile natural gas pipeline system. In the fourth quarter of 2021, Colorado Gas reached a settlement agreement with the CPUC staff and various intervenors for a general rate increase, which was subsequently approved by an administrative law judge. N</w:t>
      </w:r>
      <w:r>
        <w:rPr>
          <w:rFonts w:ascii="Arial" w:cs="Arial" w:eastAsia="Arial" w:hAnsi="Arial"/>
          <w:sz w:val="16"/>
          <w:szCs w:val="16"/>
          <w:color w:val="242424"/>
        </w:rPr>
        <w:t>ew rates were effective January 1, 2022, and the settlement is expected to</w:t>
      </w:r>
      <w:r>
        <w:rPr>
          <w:rFonts w:ascii="Arial" w:cs="Arial" w:eastAsia="Arial" w:hAnsi="Arial"/>
          <w:sz w:val="16"/>
          <w:szCs w:val="16"/>
          <w:color w:val="auto"/>
        </w:rPr>
        <w:t xml:space="preserve"> </w:t>
      </w:r>
      <w:r>
        <w:rPr>
          <w:rFonts w:ascii="Arial" w:cs="Arial" w:eastAsia="Arial" w:hAnsi="Arial"/>
          <w:sz w:val="16"/>
          <w:szCs w:val="16"/>
          <w:color w:val="242424"/>
        </w:rPr>
        <w:t>generate $6.5 million of new annual revenue. The new revenue is based on a return on equity of 9.2% and a capital structure of 50.3% equity and 49.7% debt.</w:t>
      </w:r>
    </w:p>
    <w:p>
      <w:pPr>
        <w:spacing w:after="0" w:line="230"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On September 11, 2020, in accordance with the final Order from the rate review filed on February 1, 2019, Colorado Gas filed a SSIR proposal with the CPUC that would recover safety and integrity focused investments in its system for five years. On July 6, 2021, Colorado Gas received approval from the CPUC for its SSIR proposal to recover these investments for three years effective January 1, 2022. The return on SSIR investments will be the current weighted-average cost of long-term debt.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Iowa Gas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Rate Review</w:t>
      </w:r>
    </w:p>
    <w:p>
      <w:pPr>
        <w:spacing w:after="0" w:line="264" w:lineRule="exact"/>
        <w:rPr>
          <w:sz w:val="20"/>
          <w:szCs w:val="20"/>
          <w:color w:val="auto"/>
        </w:rPr>
      </w:pPr>
    </w:p>
    <w:p>
      <w:pPr>
        <w:jc w:val="both"/>
        <w:ind w:right="160"/>
        <w:spacing w:after="0" w:line="251" w:lineRule="auto"/>
        <w:rPr>
          <w:sz w:val="20"/>
          <w:szCs w:val="20"/>
          <w:color w:val="auto"/>
        </w:rPr>
      </w:pPr>
      <w:r>
        <w:rPr>
          <w:rFonts w:ascii="Arial" w:cs="Arial" w:eastAsia="Arial" w:hAnsi="Arial"/>
          <w:sz w:val="16"/>
          <w:szCs w:val="16"/>
          <w:color w:val="auto"/>
        </w:rPr>
        <w:t xml:space="preserve">On June 1, 2021, Iowa Gas filed a rate review with the IUB seeking recovery of significant infrastructure investments in its 5,000-mile natural gas pipeline system. On December 28, 2021, the IUB approved a settlement agreement with all intervening parties for a general rate increase. The settlement will shift $2.2 million of rider revenue to base rates and is expected to generate $3.7 million in new annual revenue with a </w:t>
      </w:r>
      <w:r>
        <w:rPr>
          <w:rFonts w:ascii="Arial" w:cs="Arial" w:eastAsia="Arial" w:hAnsi="Arial"/>
          <w:sz w:val="16"/>
          <w:szCs w:val="16"/>
          <w:color w:val="242424"/>
        </w:rPr>
        <w:t>capital structure of 50% equity and 50%</w:t>
      </w:r>
      <w:r>
        <w:rPr>
          <w:rFonts w:ascii="Arial" w:cs="Arial" w:eastAsia="Arial" w:hAnsi="Arial"/>
          <w:sz w:val="16"/>
          <w:szCs w:val="16"/>
          <w:color w:val="auto"/>
        </w:rPr>
        <w:t xml:space="preserve"> </w:t>
      </w:r>
      <w:r>
        <w:rPr>
          <w:rFonts w:ascii="Arial" w:cs="Arial" w:eastAsia="Arial" w:hAnsi="Arial"/>
          <w:sz w:val="16"/>
          <w:szCs w:val="16"/>
          <w:color w:val="242424"/>
        </w:rPr>
        <w:t xml:space="preserve">debt and a return on equity of 9.6%. Final rates were enacted on January 1, 2022, and replaced </w:t>
      </w:r>
      <w:r>
        <w:rPr>
          <w:rFonts w:ascii="Arial" w:cs="Arial" w:eastAsia="Arial" w:hAnsi="Arial"/>
          <w:sz w:val="16"/>
          <w:szCs w:val="16"/>
          <w:color w:val="000000"/>
        </w:rPr>
        <w:t>interim rates effective June 11, 2021.</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Kansas Gas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Rate Review</w:t>
      </w:r>
    </w:p>
    <w:p>
      <w:pPr>
        <w:spacing w:after="0" w:line="26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On May 7, 2021, Kansas Gas filed a rate review and rider renewal with the KCC seeking recovery of significant infrastructure investments in its 4,600-mile natural gas pipeline system. On December 30, 2021, Kansas Gas received approval from the KCC on its Global Settlement agreement with KCC staff and various intervenors for a general rate increase and renewal of its safety and integrity rider. The settlement shifted $6.6 million of rider revenue to base rates, effective January 1, 2022, and also allowed rider renewal for at least five more years.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Nebraska Gas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Jurisdictional Consolidation and Rate Review</w:t>
      </w:r>
    </w:p>
    <w:p>
      <w:pPr>
        <w:spacing w:after="0" w:line="26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 January 26, 2021, Nebraska Gas received approval from the NPSC to consolidate rate schedules into a new, single statewide structure and recover significant infrastructure investments in its 13,000-mile natural gas pipeline system. Final rates were enacted on March 1, 2021, which replaced interim rates effective September 1, 2020. The approval shifted $4.6 million of SSIR revenue to base rates and is expected to generate $6.5 million in new annual revenue with a capital structure of 50% equity and 50% debt and a return on equity of 9.5%. The approval also included an extension of the SSIR for five years and an expansion of this mechanism across the consolidated jurisdictions.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South Dakota Electric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FERC Formula Rate</w:t>
      </w:r>
    </w:p>
    <w:p>
      <w:pPr>
        <w:spacing w:after="0" w:line="264"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The annual rate determination process is governed by the FERC formula rate protocols established in the filed FERC joint-access transmission tariff. Effective January 1, 2021, the annual revenue requirement for the FERC Transmission Formula Rate was $26 million and included estimated weighted average capital additions of $5.0 million for 2020 and 2021 combined.</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8" w:name="page79"/>
    <w:bookmarkEnd w:id="7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Black Hills Wyoming and Wyoming Electric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Wygen I FERC Filing</w:t>
      </w:r>
    </w:p>
    <w:p>
      <w:pPr>
        <w:spacing w:after="0" w:line="26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On October 15, 2020, the FERC approved a settlement agreement that represents a resolution of all issues in the joint application filed by Wyoming Electric and Black Hills Wyoming on August 2, 2019 for approval of a new 60 MW PPA. Under the terms of the settlement, Wyoming Electric will continue to receive 60 MW of capacity and energy from the Wygen I power plant. The new agreement commenced on January 1, 2022, replaced the existing PPA and will continue for 11 years.</w:t>
      </w:r>
    </w:p>
    <w:p>
      <w:pPr>
        <w:spacing w:after="0" w:line="200" w:lineRule="exact"/>
        <w:rPr>
          <w:sz w:val="20"/>
          <w:szCs w:val="20"/>
          <w:color w:val="auto"/>
        </w:rPr>
      </w:pPr>
    </w:p>
    <w:p>
      <w:pPr>
        <w:spacing w:after="0" w:line="252" w:lineRule="exact"/>
        <w:rPr>
          <w:sz w:val="20"/>
          <w:szCs w:val="20"/>
          <w:color w:val="auto"/>
        </w:rPr>
      </w:pPr>
    </w:p>
    <w:p>
      <w:pPr>
        <w:ind w:right="6620" w:firstLine="8"/>
        <w:spacing w:after="0" w:line="576" w:lineRule="auto"/>
        <w:tabs>
          <w:tab w:leader="none" w:pos="378"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 Power Purchase and Transmission Services Agreements</w:t>
      </w:r>
    </w:p>
    <w:p>
      <w:pPr>
        <w:spacing w:after="0" w:line="1"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Through our subsidiaries, we have the following significant long-term power purchase contracts and transmission services agreement with non-affiliated third-parties: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Subsidiary</w:t>
            </w:r>
          </w:p>
        </w:tc>
        <w:tc>
          <w:tcPr>
            <w:tcW w:w="17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rPr>
              <w:t>Contract Type</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Counterparty</w:t>
            </w:r>
          </w:p>
        </w:tc>
        <w:tc>
          <w:tcPr>
            <w:tcW w:w="12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w w:val="98"/>
              </w:rPr>
              <w:t>Fuel Type</w:t>
            </w:r>
          </w:p>
        </w:tc>
        <w:tc>
          <w:tcPr>
            <w:tcW w:w="14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Quantity (MW)</w:t>
            </w:r>
          </w:p>
        </w:tc>
        <w:tc>
          <w:tcPr>
            <w:tcW w:w="2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Expiration Date</w:t>
            </w:r>
          </w:p>
        </w:tc>
        <w:tc>
          <w:tcPr>
            <w:tcW w:w="0" w:type="dxa"/>
            <w:vAlign w:val="bottom"/>
          </w:tcPr>
          <w:p>
            <w:pPr>
              <w:spacing w:after="0"/>
              <w:rPr>
                <w:sz w:val="1"/>
                <w:szCs w:val="1"/>
                <w:color w:val="auto"/>
              </w:rPr>
            </w:pPr>
          </w:p>
        </w:tc>
      </w:tr>
      <w:tr>
        <w:trPr>
          <w:trHeight w:val="213"/>
        </w:trPr>
        <w:tc>
          <w:tcPr>
            <w:tcW w:w="2160" w:type="dxa"/>
            <w:vAlign w:val="bottom"/>
            <w:shd w:val="clear" w:color="auto" w:fill="CEFFE7"/>
          </w:tcPr>
          <w:p>
            <w:pPr>
              <w:ind w:left="40"/>
              <w:spacing w:after="0" w:line="213" w:lineRule="exact"/>
              <w:rPr>
                <w:sz w:val="20"/>
                <w:szCs w:val="20"/>
                <w:color w:val="auto"/>
              </w:rPr>
            </w:pPr>
            <w:r>
              <w:rPr>
                <w:rFonts w:ascii="Arial" w:cs="Arial" w:eastAsia="Arial" w:hAnsi="Arial"/>
                <w:sz w:val="16"/>
                <w:szCs w:val="16"/>
                <w:color w:val="auto"/>
              </w:rPr>
              <w:t xml:space="preserve">Colorado Electric </w:t>
            </w:r>
            <w:r>
              <w:rPr>
                <w:rFonts w:ascii="Arial" w:cs="Arial" w:eastAsia="Arial" w:hAnsi="Arial"/>
                <w:sz w:val="21"/>
                <w:szCs w:val="21"/>
                <w:color w:val="auto"/>
                <w:vertAlign w:val="superscript"/>
              </w:rPr>
              <w:t>(a)</w:t>
            </w:r>
          </w:p>
        </w:tc>
        <w:tc>
          <w:tcPr>
            <w:tcW w:w="172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w w:val="93"/>
              </w:rPr>
              <w:t>PPA</w:t>
            </w:r>
          </w:p>
        </w:tc>
        <w:tc>
          <w:tcPr>
            <w:tcW w:w="23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6"/>
              </w:rPr>
              <w:t>PRPA</w:t>
            </w:r>
          </w:p>
        </w:tc>
        <w:tc>
          <w:tcPr>
            <w:tcW w:w="1240" w:type="dxa"/>
            <w:vAlign w:val="bottom"/>
            <w:shd w:val="clear" w:color="auto" w:fill="CEFFE7"/>
          </w:tcPr>
          <w:p>
            <w:pPr>
              <w:jc w:val="center"/>
              <w:ind w:left="99"/>
              <w:spacing w:after="0"/>
              <w:rPr>
                <w:sz w:val="20"/>
                <w:szCs w:val="20"/>
                <w:color w:val="auto"/>
              </w:rPr>
            </w:pPr>
            <w:r>
              <w:rPr>
                <w:rFonts w:ascii="Arial" w:cs="Arial" w:eastAsia="Arial" w:hAnsi="Arial"/>
                <w:sz w:val="16"/>
                <w:szCs w:val="16"/>
                <w:color w:val="auto"/>
              </w:rPr>
              <w:t>Wind</w:t>
            </w:r>
          </w:p>
        </w:tc>
        <w:tc>
          <w:tcPr>
            <w:tcW w:w="14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60</w:t>
            </w:r>
          </w:p>
        </w:tc>
        <w:tc>
          <w:tcPr>
            <w:tcW w:w="2320" w:type="dxa"/>
            <w:vAlign w:val="bottom"/>
            <w:shd w:val="clear" w:color="auto" w:fill="CEFFE7"/>
          </w:tcPr>
          <w:p>
            <w:pPr>
              <w:jc w:val="center"/>
              <w:ind w:right="99"/>
              <w:spacing w:after="0"/>
              <w:rPr>
                <w:sz w:val="20"/>
                <w:szCs w:val="20"/>
                <w:color w:val="auto"/>
              </w:rPr>
            </w:pPr>
            <w:r>
              <w:rPr>
                <w:rFonts w:ascii="Arial" w:cs="Arial" w:eastAsia="Arial" w:hAnsi="Arial"/>
                <w:sz w:val="16"/>
                <w:szCs w:val="16"/>
                <w:color w:val="auto"/>
              </w:rPr>
              <w:t>May 31, 2030</w:t>
            </w:r>
          </w:p>
        </w:tc>
        <w:tc>
          <w:tcPr>
            <w:tcW w:w="0" w:type="dxa"/>
            <w:vAlign w:val="bottom"/>
          </w:tcPr>
          <w:p>
            <w:pPr>
              <w:spacing w:after="0"/>
              <w:rPr>
                <w:sz w:val="1"/>
                <w:szCs w:val="1"/>
                <w:color w:val="auto"/>
              </w:rPr>
            </w:pPr>
          </w:p>
        </w:tc>
      </w:tr>
      <w:tr>
        <w:trPr>
          <w:trHeight w:val="213"/>
        </w:trPr>
        <w:tc>
          <w:tcPr>
            <w:tcW w:w="2160" w:type="dxa"/>
            <w:vAlign w:val="bottom"/>
          </w:tcPr>
          <w:p>
            <w:pPr>
              <w:ind w:left="40"/>
              <w:spacing w:after="0"/>
              <w:rPr>
                <w:sz w:val="20"/>
                <w:szCs w:val="20"/>
                <w:color w:val="auto"/>
              </w:rPr>
            </w:pPr>
            <w:r>
              <w:rPr>
                <w:rFonts w:ascii="Arial" w:cs="Arial" w:eastAsia="Arial" w:hAnsi="Arial"/>
                <w:sz w:val="16"/>
                <w:szCs w:val="16"/>
                <w:color w:val="auto"/>
              </w:rPr>
              <w:t>Colorado Electric</w:t>
            </w:r>
          </w:p>
        </w:tc>
        <w:tc>
          <w:tcPr>
            <w:tcW w:w="1720" w:type="dxa"/>
            <w:vAlign w:val="bottom"/>
          </w:tcPr>
          <w:p>
            <w:pPr>
              <w:jc w:val="center"/>
              <w:ind w:left="19"/>
              <w:spacing w:after="0"/>
              <w:rPr>
                <w:sz w:val="20"/>
                <w:szCs w:val="20"/>
                <w:color w:val="auto"/>
              </w:rPr>
            </w:pPr>
            <w:r>
              <w:rPr>
                <w:rFonts w:ascii="Arial" w:cs="Arial" w:eastAsia="Arial" w:hAnsi="Arial"/>
                <w:sz w:val="16"/>
                <w:szCs w:val="16"/>
                <w:color w:val="auto"/>
                <w:w w:val="93"/>
              </w:rPr>
              <w:t>PPA</w:t>
            </w:r>
          </w:p>
        </w:tc>
        <w:tc>
          <w:tcPr>
            <w:tcW w:w="2360" w:type="dxa"/>
            <w:vAlign w:val="bottom"/>
          </w:tcPr>
          <w:p>
            <w:pPr>
              <w:jc w:val="center"/>
              <w:spacing w:after="0"/>
              <w:rPr>
                <w:sz w:val="20"/>
                <w:szCs w:val="20"/>
                <w:color w:val="auto"/>
              </w:rPr>
            </w:pPr>
            <w:r>
              <w:rPr>
                <w:rFonts w:ascii="Arial" w:cs="Arial" w:eastAsia="Arial" w:hAnsi="Arial"/>
                <w:sz w:val="16"/>
                <w:szCs w:val="16"/>
                <w:color w:val="auto"/>
                <w:w w:val="96"/>
              </w:rPr>
              <w:t>PRPA</w:t>
            </w:r>
          </w:p>
        </w:tc>
        <w:tc>
          <w:tcPr>
            <w:tcW w:w="1240" w:type="dxa"/>
            <w:vAlign w:val="bottom"/>
          </w:tcPr>
          <w:p>
            <w:pPr>
              <w:jc w:val="center"/>
              <w:ind w:left="99"/>
              <w:spacing w:after="0"/>
              <w:rPr>
                <w:sz w:val="20"/>
                <w:szCs w:val="20"/>
                <w:color w:val="auto"/>
              </w:rPr>
            </w:pPr>
            <w:r>
              <w:rPr>
                <w:rFonts w:ascii="Arial" w:cs="Arial" w:eastAsia="Arial" w:hAnsi="Arial"/>
                <w:sz w:val="16"/>
                <w:szCs w:val="16"/>
                <w:color w:val="auto"/>
              </w:rPr>
              <w:t>Coal</w:t>
            </w:r>
          </w:p>
        </w:tc>
        <w:tc>
          <w:tcPr>
            <w:tcW w:w="1440" w:type="dxa"/>
            <w:vAlign w:val="bottom"/>
          </w:tcPr>
          <w:p>
            <w:pPr>
              <w:jc w:val="center"/>
              <w:spacing w:after="0"/>
              <w:rPr>
                <w:sz w:val="20"/>
                <w:szCs w:val="20"/>
                <w:color w:val="auto"/>
              </w:rPr>
            </w:pPr>
            <w:r>
              <w:rPr>
                <w:rFonts w:ascii="Arial" w:cs="Arial" w:eastAsia="Arial" w:hAnsi="Arial"/>
                <w:sz w:val="16"/>
                <w:szCs w:val="16"/>
                <w:color w:val="auto"/>
              </w:rPr>
              <w:t>25</w:t>
            </w:r>
          </w:p>
        </w:tc>
        <w:tc>
          <w:tcPr>
            <w:tcW w:w="2320" w:type="dxa"/>
            <w:vAlign w:val="bottom"/>
          </w:tcPr>
          <w:p>
            <w:pPr>
              <w:jc w:val="center"/>
              <w:ind w:right="99"/>
              <w:spacing w:after="0"/>
              <w:rPr>
                <w:sz w:val="20"/>
                <w:szCs w:val="20"/>
                <w:color w:val="auto"/>
              </w:rPr>
            </w:pPr>
            <w:r>
              <w:rPr>
                <w:rFonts w:ascii="Arial" w:cs="Arial" w:eastAsia="Arial" w:hAnsi="Arial"/>
                <w:sz w:val="16"/>
                <w:szCs w:val="16"/>
                <w:color w:val="auto"/>
              </w:rPr>
              <w:t>June 30, 2024</w:t>
            </w:r>
          </w:p>
        </w:tc>
        <w:tc>
          <w:tcPr>
            <w:tcW w:w="0" w:type="dxa"/>
            <w:vAlign w:val="bottom"/>
          </w:tcPr>
          <w:p>
            <w:pPr>
              <w:spacing w:after="0"/>
              <w:rPr>
                <w:sz w:val="1"/>
                <w:szCs w:val="1"/>
                <w:color w:val="auto"/>
              </w:rPr>
            </w:pPr>
          </w:p>
        </w:tc>
      </w:tr>
      <w:tr>
        <w:trPr>
          <w:trHeight w:val="219"/>
        </w:trPr>
        <w:tc>
          <w:tcPr>
            <w:tcW w:w="2160" w:type="dxa"/>
            <w:vAlign w:val="bottom"/>
            <w:shd w:val="clear" w:color="auto" w:fill="CEFFE7"/>
          </w:tcPr>
          <w:p>
            <w:pPr>
              <w:ind w:left="40"/>
              <w:spacing w:after="0"/>
              <w:rPr>
                <w:sz w:val="20"/>
                <w:szCs w:val="20"/>
                <w:color w:val="auto"/>
              </w:rPr>
            </w:pPr>
            <w:r>
              <w:rPr>
                <w:rFonts w:ascii="Arial" w:cs="Arial" w:eastAsia="Arial" w:hAnsi="Arial"/>
                <w:sz w:val="16"/>
                <w:szCs w:val="16"/>
                <w:color w:val="auto"/>
              </w:rPr>
              <w:t>Colorado Electric</w:t>
            </w:r>
          </w:p>
        </w:tc>
        <w:tc>
          <w:tcPr>
            <w:tcW w:w="172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w w:val="93"/>
              </w:rPr>
              <w:t>PPA</w:t>
            </w:r>
          </w:p>
        </w:tc>
        <w:tc>
          <w:tcPr>
            <w:tcW w:w="23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TC Colorado Solar, LLC</w:t>
            </w:r>
          </w:p>
        </w:tc>
        <w:tc>
          <w:tcPr>
            <w:tcW w:w="1240" w:type="dxa"/>
            <w:vAlign w:val="bottom"/>
            <w:shd w:val="clear" w:color="auto" w:fill="CEFFE7"/>
          </w:tcPr>
          <w:p>
            <w:pPr>
              <w:jc w:val="center"/>
              <w:ind w:left="99"/>
              <w:spacing w:after="0"/>
              <w:rPr>
                <w:sz w:val="20"/>
                <w:szCs w:val="20"/>
                <w:color w:val="auto"/>
              </w:rPr>
            </w:pPr>
            <w:r>
              <w:rPr>
                <w:rFonts w:ascii="Arial" w:cs="Arial" w:eastAsia="Arial" w:hAnsi="Arial"/>
                <w:sz w:val="16"/>
                <w:szCs w:val="16"/>
                <w:color w:val="auto"/>
              </w:rPr>
              <w:t>Solar</w:t>
            </w:r>
          </w:p>
        </w:tc>
        <w:tc>
          <w:tcPr>
            <w:tcW w:w="14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7"/>
              </w:rPr>
              <w:t>200</w:t>
            </w:r>
          </w:p>
        </w:tc>
        <w:tc>
          <w:tcPr>
            <w:tcW w:w="2320" w:type="dxa"/>
            <w:vAlign w:val="bottom"/>
            <w:shd w:val="clear" w:color="auto" w:fill="CEFFE7"/>
          </w:tcPr>
          <w:p>
            <w:pPr>
              <w:jc w:val="center"/>
              <w:ind w:right="119"/>
              <w:spacing w:after="0" w:line="219" w:lineRule="exact"/>
              <w:rPr>
                <w:sz w:val="20"/>
                <w:szCs w:val="20"/>
                <w:color w:val="auto"/>
              </w:rPr>
            </w:pPr>
            <w:r>
              <w:rPr>
                <w:rFonts w:ascii="Arial" w:cs="Arial" w:eastAsia="Arial" w:hAnsi="Arial"/>
                <w:sz w:val="16"/>
                <w:szCs w:val="16"/>
                <w:color w:val="auto"/>
                <w:w w:val="98"/>
              </w:rPr>
              <w:t xml:space="preserve">Pending Completion </w:t>
            </w:r>
            <w:r>
              <w:rPr>
                <w:rFonts w:ascii="Arial" w:cs="Arial" w:eastAsia="Arial" w:hAnsi="Arial"/>
                <w:sz w:val="21"/>
                <w:szCs w:val="21"/>
                <w:color w:val="auto"/>
                <w:w w:val="98"/>
                <w:vertAlign w:val="superscript"/>
              </w:rPr>
              <w:t>(b)</w:t>
            </w:r>
          </w:p>
        </w:tc>
        <w:tc>
          <w:tcPr>
            <w:tcW w:w="0" w:type="dxa"/>
            <w:vAlign w:val="bottom"/>
          </w:tcPr>
          <w:p>
            <w:pPr>
              <w:spacing w:after="0"/>
              <w:rPr>
                <w:sz w:val="1"/>
                <w:szCs w:val="1"/>
                <w:color w:val="auto"/>
              </w:rPr>
            </w:pPr>
          </w:p>
        </w:tc>
      </w:tr>
      <w:tr>
        <w:trPr>
          <w:trHeight w:val="213"/>
        </w:trPr>
        <w:tc>
          <w:tcPr>
            <w:tcW w:w="2160" w:type="dxa"/>
            <w:vAlign w:val="bottom"/>
          </w:tcPr>
          <w:p>
            <w:pPr>
              <w:ind w:left="40"/>
              <w:spacing w:after="0"/>
              <w:rPr>
                <w:sz w:val="20"/>
                <w:szCs w:val="20"/>
                <w:color w:val="auto"/>
              </w:rPr>
            </w:pPr>
            <w:r>
              <w:rPr>
                <w:rFonts w:ascii="Arial" w:cs="Arial" w:eastAsia="Arial" w:hAnsi="Arial"/>
                <w:sz w:val="16"/>
                <w:szCs w:val="16"/>
                <w:color w:val="auto"/>
              </w:rPr>
              <w:t>South Dakota Electric</w:t>
            </w:r>
          </w:p>
        </w:tc>
        <w:tc>
          <w:tcPr>
            <w:tcW w:w="1720" w:type="dxa"/>
            <w:vAlign w:val="bottom"/>
          </w:tcPr>
          <w:p>
            <w:pPr>
              <w:jc w:val="center"/>
              <w:ind w:left="19"/>
              <w:spacing w:after="0"/>
              <w:rPr>
                <w:sz w:val="20"/>
                <w:szCs w:val="20"/>
                <w:color w:val="auto"/>
              </w:rPr>
            </w:pPr>
            <w:r>
              <w:rPr>
                <w:rFonts w:ascii="Arial" w:cs="Arial" w:eastAsia="Arial" w:hAnsi="Arial"/>
                <w:sz w:val="16"/>
                <w:szCs w:val="16"/>
                <w:color w:val="auto"/>
                <w:w w:val="93"/>
              </w:rPr>
              <w:t>PPA</w:t>
            </w:r>
          </w:p>
        </w:tc>
        <w:tc>
          <w:tcPr>
            <w:tcW w:w="2360" w:type="dxa"/>
            <w:vAlign w:val="bottom"/>
          </w:tcPr>
          <w:p>
            <w:pPr>
              <w:jc w:val="center"/>
              <w:spacing w:after="0"/>
              <w:rPr>
                <w:sz w:val="20"/>
                <w:szCs w:val="20"/>
                <w:color w:val="auto"/>
              </w:rPr>
            </w:pPr>
            <w:r>
              <w:rPr>
                <w:rFonts w:ascii="Arial" w:cs="Arial" w:eastAsia="Arial" w:hAnsi="Arial"/>
                <w:sz w:val="16"/>
                <w:szCs w:val="16"/>
                <w:color w:val="auto"/>
              </w:rPr>
              <w:t>PacifiCorp</w:t>
            </w:r>
          </w:p>
        </w:tc>
        <w:tc>
          <w:tcPr>
            <w:tcW w:w="1240" w:type="dxa"/>
            <w:vAlign w:val="bottom"/>
          </w:tcPr>
          <w:p>
            <w:pPr>
              <w:jc w:val="center"/>
              <w:ind w:left="99"/>
              <w:spacing w:after="0"/>
              <w:rPr>
                <w:sz w:val="20"/>
                <w:szCs w:val="20"/>
                <w:color w:val="auto"/>
              </w:rPr>
            </w:pPr>
            <w:r>
              <w:rPr>
                <w:rFonts w:ascii="Arial" w:cs="Arial" w:eastAsia="Arial" w:hAnsi="Arial"/>
                <w:sz w:val="16"/>
                <w:szCs w:val="16"/>
                <w:color w:val="auto"/>
              </w:rPr>
              <w:t>Coal</w:t>
            </w:r>
          </w:p>
        </w:tc>
        <w:tc>
          <w:tcPr>
            <w:tcW w:w="1440" w:type="dxa"/>
            <w:vAlign w:val="bottom"/>
          </w:tcPr>
          <w:p>
            <w:pPr>
              <w:jc w:val="center"/>
              <w:spacing w:after="0"/>
              <w:rPr>
                <w:sz w:val="20"/>
                <w:szCs w:val="20"/>
                <w:color w:val="auto"/>
              </w:rPr>
            </w:pPr>
            <w:r>
              <w:rPr>
                <w:rFonts w:ascii="Arial" w:cs="Arial" w:eastAsia="Arial" w:hAnsi="Arial"/>
                <w:sz w:val="16"/>
                <w:szCs w:val="16"/>
                <w:color w:val="auto"/>
              </w:rPr>
              <w:t>50</w:t>
            </w:r>
          </w:p>
        </w:tc>
        <w:tc>
          <w:tcPr>
            <w:tcW w:w="2320" w:type="dxa"/>
            <w:vAlign w:val="bottom"/>
          </w:tcPr>
          <w:p>
            <w:pPr>
              <w:jc w:val="center"/>
              <w:ind w:right="99"/>
              <w:spacing w:after="0"/>
              <w:rPr>
                <w:sz w:val="20"/>
                <w:szCs w:val="20"/>
                <w:color w:val="auto"/>
              </w:rPr>
            </w:pPr>
            <w:r>
              <w:rPr>
                <w:rFonts w:ascii="Arial" w:cs="Arial" w:eastAsia="Arial" w:hAnsi="Arial"/>
                <w:sz w:val="16"/>
                <w:szCs w:val="16"/>
                <w:color w:val="auto"/>
              </w:rPr>
              <w:t>December 31, 2023</w:t>
            </w:r>
          </w:p>
        </w:tc>
        <w:tc>
          <w:tcPr>
            <w:tcW w:w="0" w:type="dxa"/>
            <w:vAlign w:val="bottom"/>
          </w:tcPr>
          <w:p>
            <w:pPr>
              <w:spacing w:after="0"/>
              <w:rPr>
                <w:sz w:val="1"/>
                <w:szCs w:val="1"/>
                <w:color w:val="auto"/>
              </w:rPr>
            </w:pPr>
          </w:p>
        </w:tc>
      </w:tr>
      <w:tr>
        <w:trPr>
          <w:trHeight w:val="180"/>
        </w:trPr>
        <w:tc>
          <w:tcPr>
            <w:tcW w:w="2160" w:type="dxa"/>
            <w:vAlign w:val="bottom"/>
            <w:shd w:val="clear" w:color="auto" w:fill="CEFFE7"/>
          </w:tcPr>
          <w:p>
            <w:pPr>
              <w:spacing w:after="0"/>
              <w:rPr>
                <w:sz w:val="15"/>
                <w:szCs w:val="15"/>
                <w:color w:val="auto"/>
              </w:rPr>
            </w:pPr>
          </w:p>
        </w:tc>
        <w:tc>
          <w:tcPr>
            <w:tcW w:w="1720" w:type="dxa"/>
            <w:vAlign w:val="bottom"/>
            <w:shd w:val="clear" w:color="auto" w:fill="CEFFE7"/>
          </w:tcPr>
          <w:p>
            <w:pPr>
              <w:jc w:val="center"/>
              <w:ind w:left="39"/>
              <w:spacing w:after="0" w:line="181" w:lineRule="exact"/>
              <w:rPr>
                <w:sz w:val="20"/>
                <w:szCs w:val="20"/>
                <w:color w:val="auto"/>
              </w:rPr>
            </w:pPr>
            <w:r>
              <w:rPr>
                <w:rFonts w:ascii="Arial" w:cs="Arial" w:eastAsia="Arial" w:hAnsi="Arial"/>
                <w:sz w:val="16"/>
                <w:szCs w:val="16"/>
                <w:color w:val="auto"/>
              </w:rPr>
              <w:t>Transmission</w:t>
            </w:r>
          </w:p>
        </w:tc>
        <w:tc>
          <w:tcPr>
            <w:tcW w:w="2360" w:type="dxa"/>
            <w:vAlign w:val="bottom"/>
            <w:shd w:val="clear" w:color="auto" w:fill="CEFFE7"/>
          </w:tcPr>
          <w:p>
            <w:pPr>
              <w:spacing w:after="0"/>
              <w:rPr>
                <w:sz w:val="15"/>
                <w:szCs w:val="15"/>
                <w:color w:val="auto"/>
              </w:rPr>
            </w:pPr>
          </w:p>
        </w:tc>
        <w:tc>
          <w:tcPr>
            <w:tcW w:w="1240" w:type="dxa"/>
            <w:vAlign w:val="bottom"/>
            <w:shd w:val="clear" w:color="auto" w:fill="CEFFE7"/>
          </w:tcPr>
          <w:p>
            <w:pPr>
              <w:spacing w:after="0"/>
              <w:rPr>
                <w:sz w:val="15"/>
                <w:szCs w:val="15"/>
                <w:color w:val="auto"/>
              </w:rPr>
            </w:pPr>
          </w:p>
        </w:tc>
        <w:tc>
          <w:tcPr>
            <w:tcW w:w="1440" w:type="dxa"/>
            <w:vAlign w:val="bottom"/>
            <w:shd w:val="clear" w:color="auto" w:fill="CEFFE7"/>
          </w:tcPr>
          <w:p>
            <w:pPr>
              <w:spacing w:after="0"/>
              <w:rPr>
                <w:sz w:val="15"/>
                <w:szCs w:val="15"/>
                <w:color w:val="auto"/>
              </w:rPr>
            </w:pPr>
          </w:p>
        </w:tc>
        <w:tc>
          <w:tcPr>
            <w:tcW w:w="232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vMerge w:val="restart"/>
            <w:shd w:val="clear" w:color="auto" w:fill="CEFFE7"/>
          </w:tcPr>
          <w:p>
            <w:pPr>
              <w:ind w:left="40"/>
              <w:spacing w:after="0"/>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(c)</w:t>
            </w:r>
          </w:p>
        </w:tc>
        <w:tc>
          <w:tcPr>
            <w:tcW w:w="1720" w:type="dxa"/>
            <w:vAlign w:val="bottom"/>
            <w:shd w:val="clear" w:color="auto" w:fill="CEFFE7"/>
          </w:tcPr>
          <w:p>
            <w:pPr>
              <w:jc w:val="center"/>
              <w:ind w:left="19"/>
              <w:spacing w:after="0" w:line="162" w:lineRule="exact"/>
              <w:rPr>
                <w:sz w:val="20"/>
                <w:szCs w:val="20"/>
                <w:color w:val="auto"/>
              </w:rPr>
            </w:pPr>
            <w:r>
              <w:rPr>
                <w:rFonts w:ascii="Arial" w:cs="Arial" w:eastAsia="Arial" w:hAnsi="Arial"/>
                <w:sz w:val="16"/>
                <w:szCs w:val="16"/>
                <w:color w:val="auto"/>
              </w:rPr>
              <w:t>Services</w:t>
            </w:r>
          </w:p>
        </w:tc>
        <w:tc>
          <w:tcPr>
            <w:tcW w:w="2360" w:type="dxa"/>
            <w:vAlign w:val="bottom"/>
            <w:shd w:val="clear" w:color="auto" w:fill="CEFFE7"/>
          </w:tcPr>
          <w:p>
            <w:pPr>
              <w:spacing w:after="0"/>
              <w:rPr>
                <w:sz w:val="14"/>
                <w:szCs w:val="14"/>
                <w:color w:val="auto"/>
              </w:rPr>
            </w:pPr>
          </w:p>
        </w:tc>
        <w:tc>
          <w:tcPr>
            <w:tcW w:w="1240" w:type="dxa"/>
            <w:vAlign w:val="bottom"/>
            <w:shd w:val="clear" w:color="auto" w:fill="CEFFE7"/>
          </w:tcPr>
          <w:p>
            <w:pPr>
              <w:spacing w:after="0"/>
              <w:rPr>
                <w:sz w:val="14"/>
                <w:szCs w:val="14"/>
                <w:color w:val="auto"/>
              </w:rPr>
            </w:pPr>
          </w:p>
        </w:tc>
        <w:tc>
          <w:tcPr>
            <w:tcW w:w="1440" w:type="dxa"/>
            <w:vAlign w:val="bottom"/>
            <w:shd w:val="clear" w:color="auto" w:fill="CEFFE7"/>
          </w:tcPr>
          <w:p>
            <w:pPr>
              <w:spacing w:after="0"/>
              <w:rPr>
                <w:sz w:val="14"/>
                <w:szCs w:val="14"/>
                <w:color w:val="auto"/>
              </w:rPr>
            </w:pPr>
          </w:p>
        </w:tc>
        <w:tc>
          <w:tcPr>
            <w:tcW w:w="2320" w:type="dxa"/>
            <w:vAlign w:val="bottom"/>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160" w:type="dxa"/>
            <w:vAlign w:val="bottom"/>
            <w:vMerge w:val="continue"/>
            <w:shd w:val="clear" w:color="auto" w:fill="CEFFE7"/>
          </w:tcPr>
          <w:p>
            <w:pPr>
              <w:spacing w:after="0"/>
              <w:rPr>
                <w:sz w:val="17"/>
                <w:szCs w:val="17"/>
                <w:color w:val="auto"/>
              </w:rPr>
            </w:pPr>
          </w:p>
        </w:tc>
        <w:tc>
          <w:tcPr>
            <w:tcW w:w="172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w w:val="99"/>
              </w:rPr>
              <w:t>Agreement</w:t>
            </w:r>
          </w:p>
        </w:tc>
        <w:tc>
          <w:tcPr>
            <w:tcW w:w="23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PacifiCorp</w:t>
            </w:r>
          </w:p>
        </w:tc>
        <w:tc>
          <w:tcPr>
            <w:tcW w:w="1240" w:type="dxa"/>
            <w:vAlign w:val="bottom"/>
            <w:shd w:val="clear" w:color="auto" w:fill="CEFFE7"/>
          </w:tcPr>
          <w:p>
            <w:pPr>
              <w:jc w:val="center"/>
              <w:ind w:left="99"/>
              <w:spacing w:after="0"/>
              <w:rPr>
                <w:sz w:val="20"/>
                <w:szCs w:val="20"/>
                <w:color w:val="auto"/>
              </w:rPr>
            </w:pPr>
            <w:r>
              <w:rPr>
                <w:rFonts w:ascii="Arial" w:cs="Arial" w:eastAsia="Arial" w:hAnsi="Arial"/>
                <w:sz w:val="16"/>
                <w:szCs w:val="16"/>
                <w:color w:val="auto"/>
                <w:w w:val="97"/>
              </w:rPr>
              <w:t>N/A</w:t>
            </w:r>
          </w:p>
        </w:tc>
        <w:tc>
          <w:tcPr>
            <w:tcW w:w="14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50</w:t>
            </w:r>
          </w:p>
        </w:tc>
        <w:tc>
          <w:tcPr>
            <w:tcW w:w="2320" w:type="dxa"/>
            <w:vAlign w:val="bottom"/>
            <w:shd w:val="clear" w:color="auto" w:fill="CEFFE7"/>
          </w:tcPr>
          <w:p>
            <w:pPr>
              <w:jc w:val="center"/>
              <w:ind w:right="99"/>
              <w:spacing w:after="0"/>
              <w:rPr>
                <w:sz w:val="20"/>
                <w:szCs w:val="20"/>
                <w:color w:val="auto"/>
              </w:rPr>
            </w:pPr>
            <w:r>
              <w:rPr>
                <w:rFonts w:ascii="Arial" w:cs="Arial" w:eastAsia="Arial" w:hAnsi="Arial"/>
                <w:sz w:val="16"/>
                <w:szCs w:val="16"/>
                <w:color w:val="auto"/>
              </w:rPr>
              <w:t>December 31, 2023</w:t>
            </w:r>
          </w:p>
        </w:tc>
        <w:tc>
          <w:tcPr>
            <w:tcW w:w="0" w:type="dxa"/>
            <w:vAlign w:val="bottom"/>
          </w:tcPr>
          <w:p>
            <w:pPr>
              <w:spacing w:after="0"/>
              <w:rPr>
                <w:sz w:val="1"/>
                <w:szCs w:val="1"/>
                <w:color w:val="auto"/>
              </w:rPr>
            </w:pPr>
          </w:p>
        </w:tc>
      </w:tr>
      <w:tr>
        <w:trPr>
          <w:trHeight w:val="213"/>
        </w:trPr>
        <w:tc>
          <w:tcPr>
            <w:tcW w:w="2160" w:type="dxa"/>
            <w:vAlign w:val="bottom"/>
          </w:tcPr>
          <w:p>
            <w:pPr>
              <w:ind w:left="40"/>
              <w:spacing w:after="0"/>
              <w:rPr>
                <w:sz w:val="20"/>
                <w:szCs w:val="20"/>
                <w:color w:val="auto"/>
              </w:rPr>
            </w:pPr>
            <w:r>
              <w:rPr>
                <w:rFonts w:ascii="Arial" w:cs="Arial" w:eastAsia="Arial" w:hAnsi="Arial"/>
                <w:sz w:val="16"/>
                <w:szCs w:val="16"/>
                <w:color w:val="auto"/>
              </w:rPr>
              <w:t>South Dakota Electric</w:t>
            </w:r>
          </w:p>
        </w:tc>
        <w:tc>
          <w:tcPr>
            <w:tcW w:w="1720" w:type="dxa"/>
            <w:vAlign w:val="bottom"/>
          </w:tcPr>
          <w:p>
            <w:pPr>
              <w:jc w:val="center"/>
              <w:ind w:left="19"/>
              <w:spacing w:after="0"/>
              <w:rPr>
                <w:sz w:val="20"/>
                <w:szCs w:val="20"/>
                <w:color w:val="auto"/>
              </w:rPr>
            </w:pPr>
            <w:r>
              <w:rPr>
                <w:rFonts w:ascii="Arial" w:cs="Arial" w:eastAsia="Arial" w:hAnsi="Arial"/>
                <w:sz w:val="16"/>
                <w:szCs w:val="16"/>
                <w:color w:val="auto"/>
                <w:w w:val="93"/>
              </w:rPr>
              <w:t>PPA</w:t>
            </w:r>
          </w:p>
        </w:tc>
        <w:tc>
          <w:tcPr>
            <w:tcW w:w="2360" w:type="dxa"/>
            <w:vAlign w:val="bottom"/>
          </w:tcPr>
          <w:p>
            <w:pPr>
              <w:jc w:val="center"/>
              <w:spacing w:after="0"/>
              <w:rPr>
                <w:sz w:val="20"/>
                <w:szCs w:val="20"/>
                <w:color w:val="auto"/>
              </w:rPr>
            </w:pPr>
            <w:r>
              <w:rPr>
                <w:rFonts w:ascii="Arial" w:cs="Arial" w:eastAsia="Arial" w:hAnsi="Arial"/>
                <w:sz w:val="16"/>
                <w:szCs w:val="16"/>
                <w:color w:val="auto"/>
                <w:w w:val="96"/>
              </w:rPr>
              <w:t>PRPA</w:t>
            </w:r>
          </w:p>
        </w:tc>
        <w:tc>
          <w:tcPr>
            <w:tcW w:w="1240" w:type="dxa"/>
            <w:vAlign w:val="bottom"/>
          </w:tcPr>
          <w:p>
            <w:pPr>
              <w:jc w:val="center"/>
              <w:ind w:left="99"/>
              <w:spacing w:after="0"/>
              <w:rPr>
                <w:sz w:val="20"/>
                <w:szCs w:val="20"/>
                <w:color w:val="auto"/>
              </w:rPr>
            </w:pPr>
            <w:r>
              <w:rPr>
                <w:rFonts w:ascii="Arial" w:cs="Arial" w:eastAsia="Arial" w:hAnsi="Arial"/>
                <w:sz w:val="16"/>
                <w:szCs w:val="16"/>
                <w:color w:val="auto"/>
              </w:rPr>
              <w:t>Wind</w:t>
            </w:r>
          </w:p>
        </w:tc>
        <w:tc>
          <w:tcPr>
            <w:tcW w:w="1440" w:type="dxa"/>
            <w:vAlign w:val="bottom"/>
          </w:tcPr>
          <w:p>
            <w:pPr>
              <w:jc w:val="center"/>
              <w:spacing w:after="0"/>
              <w:rPr>
                <w:sz w:val="20"/>
                <w:szCs w:val="20"/>
                <w:color w:val="auto"/>
              </w:rPr>
            </w:pPr>
            <w:r>
              <w:rPr>
                <w:rFonts w:ascii="Arial" w:cs="Arial" w:eastAsia="Arial" w:hAnsi="Arial"/>
                <w:sz w:val="16"/>
                <w:szCs w:val="16"/>
                <w:color w:val="auto"/>
              </w:rPr>
              <w:t>12</w:t>
            </w:r>
          </w:p>
        </w:tc>
        <w:tc>
          <w:tcPr>
            <w:tcW w:w="2320" w:type="dxa"/>
            <w:vAlign w:val="bottom"/>
          </w:tcPr>
          <w:p>
            <w:pPr>
              <w:jc w:val="center"/>
              <w:ind w:right="99"/>
              <w:spacing w:after="0"/>
              <w:rPr>
                <w:sz w:val="20"/>
                <w:szCs w:val="20"/>
                <w:color w:val="auto"/>
              </w:rPr>
            </w:pPr>
            <w:r>
              <w:rPr>
                <w:rFonts w:ascii="Arial" w:cs="Arial" w:eastAsia="Arial" w:hAnsi="Arial"/>
                <w:sz w:val="16"/>
                <w:szCs w:val="16"/>
                <w:color w:val="auto"/>
              </w:rPr>
              <w:t>September 30, 2029</w:t>
            </w:r>
          </w:p>
        </w:tc>
        <w:tc>
          <w:tcPr>
            <w:tcW w:w="0" w:type="dxa"/>
            <w:vAlign w:val="bottom"/>
          </w:tcPr>
          <w:p>
            <w:pPr>
              <w:spacing w:after="0"/>
              <w:rPr>
                <w:sz w:val="1"/>
                <w:szCs w:val="1"/>
                <w:color w:val="auto"/>
              </w:rPr>
            </w:pPr>
          </w:p>
        </w:tc>
      </w:tr>
      <w:tr>
        <w:trPr>
          <w:trHeight w:val="219"/>
        </w:trPr>
        <w:tc>
          <w:tcPr>
            <w:tcW w:w="2160" w:type="dxa"/>
            <w:vAlign w:val="bottom"/>
            <w:shd w:val="clear" w:color="auto" w:fill="CEFFE7"/>
          </w:tcPr>
          <w:p>
            <w:pPr>
              <w:ind w:left="40"/>
              <w:spacing w:after="0"/>
              <w:rPr>
                <w:sz w:val="20"/>
                <w:szCs w:val="20"/>
                <w:color w:val="auto"/>
              </w:rPr>
            </w:pPr>
            <w:r>
              <w:rPr>
                <w:rFonts w:ascii="Arial" w:cs="Arial" w:eastAsia="Arial" w:hAnsi="Arial"/>
                <w:sz w:val="16"/>
                <w:szCs w:val="16"/>
                <w:color w:val="auto"/>
              </w:rPr>
              <w:t>South Dakota Electric</w:t>
            </w:r>
          </w:p>
        </w:tc>
        <w:tc>
          <w:tcPr>
            <w:tcW w:w="172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w w:val="93"/>
              </w:rPr>
              <w:t>PPA</w:t>
            </w:r>
          </w:p>
        </w:tc>
        <w:tc>
          <w:tcPr>
            <w:tcW w:w="23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Fall River Solar, LLC</w:t>
            </w:r>
          </w:p>
        </w:tc>
        <w:tc>
          <w:tcPr>
            <w:tcW w:w="1240" w:type="dxa"/>
            <w:vAlign w:val="bottom"/>
            <w:shd w:val="clear" w:color="auto" w:fill="CEFFE7"/>
          </w:tcPr>
          <w:p>
            <w:pPr>
              <w:jc w:val="center"/>
              <w:ind w:left="99"/>
              <w:spacing w:after="0"/>
              <w:rPr>
                <w:sz w:val="20"/>
                <w:szCs w:val="20"/>
                <w:color w:val="auto"/>
              </w:rPr>
            </w:pPr>
            <w:r>
              <w:rPr>
                <w:rFonts w:ascii="Arial" w:cs="Arial" w:eastAsia="Arial" w:hAnsi="Arial"/>
                <w:sz w:val="16"/>
                <w:szCs w:val="16"/>
                <w:color w:val="auto"/>
              </w:rPr>
              <w:t>Solar</w:t>
            </w:r>
          </w:p>
        </w:tc>
        <w:tc>
          <w:tcPr>
            <w:tcW w:w="14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80</w:t>
            </w:r>
          </w:p>
        </w:tc>
        <w:tc>
          <w:tcPr>
            <w:tcW w:w="2320" w:type="dxa"/>
            <w:vAlign w:val="bottom"/>
            <w:shd w:val="clear" w:color="auto" w:fill="CEFFE7"/>
          </w:tcPr>
          <w:p>
            <w:pPr>
              <w:jc w:val="center"/>
              <w:ind w:right="119"/>
              <w:spacing w:after="0" w:line="219" w:lineRule="exact"/>
              <w:rPr>
                <w:sz w:val="20"/>
                <w:szCs w:val="20"/>
                <w:color w:val="auto"/>
              </w:rPr>
            </w:pPr>
            <w:r>
              <w:rPr>
                <w:rFonts w:ascii="Arial" w:cs="Arial" w:eastAsia="Arial" w:hAnsi="Arial"/>
                <w:sz w:val="16"/>
                <w:szCs w:val="16"/>
                <w:color w:val="auto"/>
                <w:w w:val="98"/>
              </w:rPr>
              <w:t xml:space="preserve">Pending Completion </w:t>
            </w:r>
            <w:r>
              <w:rPr>
                <w:rFonts w:ascii="Arial" w:cs="Arial" w:eastAsia="Arial" w:hAnsi="Arial"/>
                <w:sz w:val="21"/>
                <w:szCs w:val="21"/>
                <w:color w:val="auto"/>
                <w:w w:val="98"/>
                <w:vertAlign w:val="superscript"/>
              </w:rPr>
              <w:t>(d)</w:t>
            </w:r>
          </w:p>
        </w:tc>
        <w:tc>
          <w:tcPr>
            <w:tcW w:w="0" w:type="dxa"/>
            <w:vAlign w:val="bottom"/>
          </w:tcPr>
          <w:p>
            <w:pPr>
              <w:spacing w:after="0"/>
              <w:rPr>
                <w:sz w:val="1"/>
                <w:szCs w:val="1"/>
                <w:color w:val="auto"/>
              </w:rPr>
            </w:pPr>
          </w:p>
        </w:tc>
      </w:tr>
      <w:tr>
        <w:trPr>
          <w:trHeight w:val="216"/>
        </w:trPr>
        <w:tc>
          <w:tcPr>
            <w:tcW w:w="2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Wyoming Electric </w:t>
            </w:r>
            <w:r>
              <w:rPr>
                <w:rFonts w:ascii="Arial" w:cs="Arial" w:eastAsia="Arial" w:hAnsi="Arial"/>
                <w:sz w:val="21"/>
                <w:szCs w:val="21"/>
                <w:color w:val="auto"/>
                <w:vertAlign w:val="superscript"/>
              </w:rPr>
              <w:t>(e)</w:t>
            </w:r>
          </w:p>
        </w:tc>
        <w:tc>
          <w:tcPr>
            <w:tcW w:w="1720" w:type="dxa"/>
            <w:vAlign w:val="bottom"/>
          </w:tcPr>
          <w:p>
            <w:pPr>
              <w:jc w:val="center"/>
              <w:ind w:left="19"/>
              <w:spacing w:after="0"/>
              <w:rPr>
                <w:sz w:val="20"/>
                <w:szCs w:val="20"/>
                <w:color w:val="auto"/>
              </w:rPr>
            </w:pPr>
            <w:r>
              <w:rPr>
                <w:rFonts w:ascii="Arial" w:cs="Arial" w:eastAsia="Arial" w:hAnsi="Arial"/>
                <w:sz w:val="16"/>
                <w:szCs w:val="16"/>
                <w:color w:val="auto"/>
                <w:w w:val="93"/>
              </w:rPr>
              <w:t>PPA</w:t>
            </w:r>
          </w:p>
        </w:tc>
        <w:tc>
          <w:tcPr>
            <w:tcW w:w="2360" w:type="dxa"/>
            <w:vAlign w:val="bottom"/>
          </w:tcPr>
          <w:p>
            <w:pPr>
              <w:jc w:val="center"/>
              <w:spacing w:after="0"/>
              <w:rPr>
                <w:sz w:val="20"/>
                <w:szCs w:val="20"/>
                <w:color w:val="auto"/>
              </w:rPr>
            </w:pPr>
            <w:r>
              <w:rPr>
                <w:rFonts w:ascii="Arial" w:cs="Arial" w:eastAsia="Arial" w:hAnsi="Arial"/>
                <w:sz w:val="16"/>
                <w:szCs w:val="16"/>
                <w:color w:val="auto"/>
              </w:rPr>
              <w:t>Happy Jack</w:t>
            </w:r>
          </w:p>
        </w:tc>
        <w:tc>
          <w:tcPr>
            <w:tcW w:w="1240" w:type="dxa"/>
            <w:vAlign w:val="bottom"/>
          </w:tcPr>
          <w:p>
            <w:pPr>
              <w:jc w:val="center"/>
              <w:ind w:left="99"/>
              <w:spacing w:after="0"/>
              <w:rPr>
                <w:sz w:val="20"/>
                <w:szCs w:val="20"/>
                <w:color w:val="auto"/>
              </w:rPr>
            </w:pPr>
            <w:r>
              <w:rPr>
                <w:rFonts w:ascii="Arial" w:cs="Arial" w:eastAsia="Arial" w:hAnsi="Arial"/>
                <w:sz w:val="16"/>
                <w:szCs w:val="16"/>
                <w:color w:val="auto"/>
              </w:rPr>
              <w:t>Wind</w:t>
            </w:r>
          </w:p>
        </w:tc>
        <w:tc>
          <w:tcPr>
            <w:tcW w:w="1440" w:type="dxa"/>
            <w:vAlign w:val="bottom"/>
          </w:tcPr>
          <w:p>
            <w:pPr>
              <w:jc w:val="center"/>
              <w:spacing w:after="0"/>
              <w:rPr>
                <w:sz w:val="20"/>
                <w:szCs w:val="20"/>
                <w:color w:val="auto"/>
              </w:rPr>
            </w:pPr>
            <w:r>
              <w:rPr>
                <w:rFonts w:ascii="Arial" w:cs="Arial" w:eastAsia="Arial" w:hAnsi="Arial"/>
                <w:sz w:val="16"/>
                <w:szCs w:val="16"/>
                <w:color w:val="auto"/>
              </w:rPr>
              <w:t>30</w:t>
            </w:r>
          </w:p>
        </w:tc>
        <w:tc>
          <w:tcPr>
            <w:tcW w:w="2320" w:type="dxa"/>
            <w:vAlign w:val="bottom"/>
          </w:tcPr>
          <w:p>
            <w:pPr>
              <w:jc w:val="center"/>
              <w:ind w:right="99"/>
              <w:spacing w:after="0"/>
              <w:rPr>
                <w:sz w:val="20"/>
                <w:szCs w:val="20"/>
                <w:color w:val="auto"/>
              </w:rPr>
            </w:pPr>
            <w:r>
              <w:rPr>
                <w:rFonts w:ascii="Arial" w:cs="Arial" w:eastAsia="Arial" w:hAnsi="Arial"/>
                <w:sz w:val="16"/>
                <w:szCs w:val="16"/>
                <w:color w:val="auto"/>
              </w:rPr>
              <w:t>September 3, 2028</w:t>
            </w:r>
          </w:p>
        </w:tc>
        <w:tc>
          <w:tcPr>
            <w:tcW w:w="0" w:type="dxa"/>
            <w:vAlign w:val="bottom"/>
          </w:tcPr>
          <w:p>
            <w:pPr>
              <w:spacing w:after="0"/>
              <w:rPr>
                <w:sz w:val="1"/>
                <w:szCs w:val="1"/>
                <w:color w:val="auto"/>
              </w:rPr>
            </w:pPr>
          </w:p>
        </w:tc>
      </w:tr>
      <w:tr>
        <w:trPr>
          <w:trHeight w:val="216"/>
        </w:trPr>
        <w:tc>
          <w:tcPr>
            <w:tcW w:w="216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Wyoming Electric </w:t>
            </w:r>
            <w:r>
              <w:rPr>
                <w:rFonts w:ascii="Arial" w:cs="Arial" w:eastAsia="Arial" w:hAnsi="Arial"/>
                <w:sz w:val="21"/>
                <w:szCs w:val="21"/>
                <w:color w:val="auto"/>
                <w:vertAlign w:val="superscript"/>
              </w:rPr>
              <w:t>(f)</w:t>
            </w:r>
          </w:p>
        </w:tc>
        <w:tc>
          <w:tcPr>
            <w:tcW w:w="172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w w:val="93"/>
              </w:rPr>
              <w:t>PPA</w:t>
            </w:r>
          </w:p>
        </w:tc>
        <w:tc>
          <w:tcPr>
            <w:tcW w:w="23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Silver Sage</w:t>
            </w:r>
          </w:p>
        </w:tc>
        <w:tc>
          <w:tcPr>
            <w:tcW w:w="1240" w:type="dxa"/>
            <w:vAlign w:val="bottom"/>
            <w:shd w:val="clear" w:color="auto" w:fill="CEFFE7"/>
          </w:tcPr>
          <w:p>
            <w:pPr>
              <w:jc w:val="center"/>
              <w:ind w:left="99"/>
              <w:spacing w:after="0"/>
              <w:rPr>
                <w:sz w:val="20"/>
                <w:szCs w:val="20"/>
                <w:color w:val="auto"/>
              </w:rPr>
            </w:pPr>
            <w:r>
              <w:rPr>
                <w:rFonts w:ascii="Arial" w:cs="Arial" w:eastAsia="Arial" w:hAnsi="Arial"/>
                <w:sz w:val="16"/>
                <w:szCs w:val="16"/>
                <w:color w:val="auto"/>
              </w:rPr>
              <w:t>Wind</w:t>
            </w:r>
          </w:p>
        </w:tc>
        <w:tc>
          <w:tcPr>
            <w:tcW w:w="14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30</w:t>
            </w:r>
          </w:p>
        </w:tc>
        <w:tc>
          <w:tcPr>
            <w:tcW w:w="2320" w:type="dxa"/>
            <w:vAlign w:val="bottom"/>
            <w:shd w:val="clear" w:color="auto" w:fill="CEFFE7"/>
          </w:tcPr>
          <w:p>
            <w:pPr>
              <w:jc w:val="center"/>
              <w:ind w:right="99"/>
              <w:spacing w:after="0"/>
              <w:rPr>
                <w:sz w:val="20"/>
                <w:szCs w:val="20"/>
                <w:color w:val="auto"/>
              </w:rPr>
            </w:pPr>
            <w:r>
              <w:rPr>
                <w:rFonts w:ascii="Arial" w:cs="Arial" w:eastAsia="Arial" w:hAnsi="Arial"/>
                <w:sz w:val="16"/>
                <w:szCs w:val="16"/>
                <w:color w:val="auto"/>
              </w:rPr>
              <w:t>September 30, 2029</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ind w:left="340" w:hanging="332"/>
        <w:spacing w:after="0" w:line="222"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Colorado Electric sells the wind energy purchased under this PPA to City of Colorado Springs as discussed below.</w:t>
      </w:r>
    </w:p>
    <w:p>
      <w:pPr>
        <w:jc w:val="both"/>
        <w:ind w:left="340" w:right="240" w:hanging="332"/>
        <w:spacing w:after="0" w:line="228" w:lineRule="auto"/>
        <w:tabs>
          <w:tab w:leader="none" w:pos="352" w:val="left"/>
        </w:tabs>
        <w:numPr>
          <w:ilvl w:val="0"/>
          <w:numId w:val="55"/>
        </w:numPr>
        <w:rPr>
          <w:rFonts w:ascii="Arial" w:cs="Arial" w:eastAsia="Arial" w:hAnsi="Arial"/>
          <w:sz w:val="14"/>
          <w:szCs w:val="14"/>
          <w:color w:val="auto"/>
        </w:rPr>
      </w:pPr>
      <w:r>
        <w:rPr>
          <w:rFonts w:ascii="Arial" w:cs="Arial" w:eastAsia="Arial" w:hAnsi="Arial"/>
          <w:sz w:val="14"/>
          <w:szCs w:val="14"/>
          <w:color w:val="auto"/>
        </w:rPr>
        <w:t>On January 31, 2022, TC Colorado Solar, LLC (TC Solar) provided termination notice of the PPA to Colorado Electric. Colorado Electric has disputed TC Solar’s right to termination and pursuant to the agreement, has initiated discussions with TC Solar. This agreement relates to a new solar facility to be constructed and would expire 15 years after construction completion.</w:t>
      </w: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is a firm point-to-point transmission service agreement providing the ability to deliver a maximum of 50 MW of capacity and associated energy.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agreement relates to a new solar facility currently being constructed and will expire 20 years after construction completion, which is expected by the end of 2022.</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Under a separate intercompany PSA, Wyoming Electric sells 50% of the facility output to South Dakota Electric.</w:t>
      </w:r>
    </w:p>
    <w:p>
      <w:pPr>
        <w:spacing w:after="0" w:line="1" w:lineRule="exact"/>
        <w:rPr>
          <w:rFonts w:ascii="Arial" w:cs="Arial" w:eastAsia="Arial" w:hAnsi="Arial"/>
          <w:sz w:val="14"/>
          <w:szCs w:val="14"/>
          <w:color w:val="auto"/>
        </w:rPr>
      </w:pPr>
    </w:p>
    <w:p>
      <w:pPr>
        <w:ind w:left="300" w:hanging="292"/>
        <w:spacing w:after="0"/>
        <w:tabs>
          <w:tab w:leader="none" w:pos="3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Under a separate intercompany PSA, Wyoming Electric sells 67% of the facility output to South Dakota Electric.</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Costs under these agreements for the years ended December 31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Subsidiary</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Contract Type</w:t>
            </w:r>
          </w:p>
        </w:tc>
        <w:tc>
          <w:tcPr>
            <w:tcW w:w="134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color w:val="auto"/>
              </w:rPr>
              <w:t>Counterparty</w:t>
            </w:r>
          </w:p>
        </w:tc>
        <w:tc>
          <w:tcPr>
            <w:tcW w:w="186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rPr>
              <w:t>Fuel Type</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2019</w:t>
            </w:r>
          </w:p>
        </w:tc>
      </w:tr>
      <w:tr>
        <w:trPr>
          <w:trHeight w:val="213"/>
        </w:trPr>
        <w:tc>
          <w:tcPr>
            <w:tcW w:w="1980" w:type="dxa"/>
            <w:vAlign w:val="bottom"/>
            <w:shd w:val="clear" w:color="auto" w:fill="CEFFE7"/>
          </w:tcPr>
          <w:p>
            <w:pPr>
              <w:ind w:left="40"/>
              <w:spacing w:after="0"/>
              <w:rPr>
                <w:sz w:val="20"/>
                <w:szCs w:val="20"/>
                <w:color w:val="auto"/>
              </w:rPr>
            </w:pPr>
            <w:r>
              <w:rPr>
                <w:rFonts w:ascii="Arial" w:cs="Arial" w:eastAsia="Arial" w:hAnsi="Arial"/>
                <w:sz w:val="16"/>
                <w:szCs w:val="16"/>
                <w:color w:val="auto"/>
              </w:rPr>
              <w:t>Colorado Electric</w:t>
            </w:r>
          </w:p>
        </w:tc>
        <w:tc>
          <w:tcPr>
            <w:tcW w:w="21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PPA</w:t>
            </w:r>
          </w:p>
        </w:tc>
        <w:tc>
          <w:tcPr>
            <w:tcW w:w="1340" w:type="dxa"/>
            <w:vAlign w:val="bottom"/>
            <w:shd w:val="clear" w:color="auto" w:fill="CEFFE7"/>
          </w:tcPr>
          <w:p>
            <w:pPr>
              <w:jc w:val="center"/>
              <w:ind w:left="219"/>
              <w:spacing w:after="0"/>
              <w:rPr>
                <w:sz w:val="20"/>
                <w:szCs w:val="20"/>
                <w:color w:val="auto"/>
              </w:rPr>
            </w:pPr>
            <w:r>
              <w:rPr>
                <w:rFonts w:ascii="Arial" w:cs="Arial" w:eastAsia="Arial" w:hAnsi="Arial"/>
                <w:sz w:val="16"/>
                <w:szCs w:val="16"/>
                <w:color w:val="auto"/>
              </w:rPr>
              <w:t>PRPA</w:t>
            </w:r>
          </w:p>
        </w:tc>
        <w:tc>
          <w:tcPr>
            <w:tcW w:w="1860" w:type="dxa"/>
            <w:vAlign w:val="bottom"/>
            <w:shd w:val="clear" w:color="auto" w:fill="CEFFE7"/>
          </w:tcPr>
          <w:p>
            <w:pPr>
              <w:jc w:val="center"/>
              <w:ind w:left="499"/>
              <w:spacing w:after="0"/>
              <w:rPr>
                <w:sz w:val="20"/>
                <w:szCs w:val="20"/>
                <w:color w:val="auto"/>
              </w:rPr>
            </w:pPr>
            <w:r>
              <w:rPr>
                <w:rFonts w:ascii="Arial" w:cs="Arial" w:eastAsia="Arial" w:hAnsi="Arial"/>
                <w:sz w:val="16"/>
                <w:szCs w:val="16"/>
                <w:color w:val="auto"/>
                <w:w w:val="98"/>
              </w:rPr>
              <w:t>Wind</w:t>
            </w:r>
          </w:p>
        </w:tc>
        <w:tc>
          <w:tcPr>
            <w:tcW w:w="52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4,246</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2,791</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1980" w:type="dxa"/>
            <w:vAlign w:val="bottom"/>
          </w:tcPr>
          <w:p>
            <w:pPr>
              <w:ind w:left="40"/>
              <w:spacing w:after="0"/>
              <w:rPr>
                <w:sz w:val="20"/>
                <w:szCs w:val="20"/>
                <w:color w:val="auto"/>
              </w:rPr>
            </w:pPr>
            <w:r>
              <w:rPr>
                <w:rFonts w:ascii="Arial" w:cs="Arial" w:eastAsia="Arial" w:hAnsi="Arial"/>
                <w:sz w:val="16"/>
                <w:szCs w:val="16"/>
                <w:color w:val="auto"/>
              </w:rPr>
              <w:t>Colorado Electric</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PPA</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rPr>
              <w:t>PRPA</w:t>
            </w:r>
          </w:p>
        </w:tc>
        <w:tc>
          <w:tcPr>
            <w:tcW w:w="1860" w:type="dxa"/>
            <w:vAlign w:val="bottom"/>
          </w:tcPr>
          <w:p>
            <w:pPr>
              <w:jc w:val="center"/>
              <w:ind w:left="499"/>
              <w:spacing w:after="0"/>
              <w:rPr>
                <w:sz w:val="20"/>
                <w:szCs w:val="20"/>
                <w:color w:val="auto"/>
              </w:rPr>
            </w:pPr>
            <w:r>
              <w:rPr>
                <w:rFonts w:ascii="Arial" w:cs="Arial" w:eastAsia="Arial" w:hAnsi="Arial"/>
                <w:sz w:val="16"/>
                <w:szCs w:val="16"/>
                <w:color w:val="auto"/>
                <w:w w:val="97"/>
              </w:rPr>
              <w:t>Coal</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4,447</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4,524</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1,802</w:t>
            </w:r>
          </w:p>
        </w:tc>
      </w:tr>
      <w:tr>
        <w:trPr>
          <w:trHeight w:val="219"/>
        </w:trPr>
        <w:tc>
          <w:tcPr>
            <w:tcW w:w="1980" w:type="dxa"/>
            <w:vAlign w:val="bottom"/>
            <w:shd w:val="clear" w:color="auto" w:fill="CEFFE7"/>
          </w:tcPr>
          <w:p>
            <w:pPr>
              <w:ind w:left="40"/>
              <w:spacing w:after="0"/>
              <w:rPr>
                <w:sz w:val="20"/>
                <w:szCs w:val="20"/>
                <w:color w:val="auto"/>
              </w:rPr>
            </w:pPr>
            <w:r>
              <w:rPr>
                <w:rFonts w:ascii="Arial" w:cs="Arial" w:eastAsia="Arial" w:hAnsi="Arial"/>
                <w:sz w:val="16"/>
                <w:szCs w:val="16"/>
                <w:color w:val="auto"/>
              </w:rPr>
              <w:t>South Dakota Electric</w:t>
            </w:r>
          </w:p>
        </w:tc>
        <w:tc>
          <w:tcPr>
            <w:tcW w:w="21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PPA</w:t>
            </w:r>
          </w:p>
        </w:tc>
        <w:tc>
          <w:tcPr>
            <w:tcW w:w="1340" w:type="dxa"/>
            <w:vAlign w:val="bottom"/>
            <w:shd w:val="clear" w:color="auto" w:fill="CEFFE7"/>
          </w:tcPr>
          <w:p>
            <w:pPr>
              <w:jc w:val="center"/>
              <w:ind w:left="219"/>
              <w:spacing w:after="0"/>
              <w:rPr>
                <w:sz w:val="20"/>
                <w:szCs w:val="20"/>
                <w:color w:val="auto"/>
              </w:rPr>
            </w:pPr>
            <w:r>
              <w:rPr>
                <w:rFonts w:ascii="Arial" w:cs="Arial" w:eastAsia="Arial" w:hAnsi="Arial"/>
                <w:sz w:val="16"/>
                <w:szCs w:val="16"/>
                <w:color w:val="auto"/>
              </w:rPr>
              <w:t>PacifiCorp</w:t>
            </w:r>
          </w:p>
        </w:tc>
        <w:tc>
          <w:tcPr>
            <w:tcW w:w="1860" w:type="dxa"/>
            <w:vAlign w:val="bottom"/>
            <w:shd w:val="clear" w:color="auto" w:fill="CEFFE7"/>
          </w:tcPr>
          <w:p>
            <w:pPr>
              <w:jc w:val="center"/>
              <w:ind w:left="499"/>
              <w:spacing w:after="0"/>
              <w:rPr>
                <w:sz w:val="20"/>
                <w:szCs w:val="20"/>
                <w:color w:val="auto"/>
              </w:rPr>
            </w:pPr>
            <w:r>
              <w:rPr>
                <w:rFonts w:ascii="Arial" w:cs="Arial" w:eastAsia="Arial" w:hAnsi="Arial"/>
                <w:sz w:val="16"/>
                <w:szCs w:val="16"/>
                <w:color w:val="auto"/>
                <w:w w:val="97"/>
              </w:rPr>
              <w:t>Coal</w:t>
            </w:r>
          </w:p>
        </w:tc>
        <w:tc>
          <w:tcPr>
            <w:tcW w:w="52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8,923</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5,897</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7,477</w:t>
            </w:r>
          </w:p>
        </w:tc>
      </w:tr>
      <w:tr>
        <w:trPr>
          <w:trHeight w:val="177"/>
        </w:trPr>
        <w:tc>
          <w:tcPr>
            <w:tcW w:w="1980" w:type="dxa"/>
            <w:vAlign w:val="bottom"/>
          </w:tcPr>
          <w:p>
            <w:pPr>
              <w:spacing w:after="0"/>
              <w:rPr>
                <w:sz w:val="15"/>
                <w:szCs w:val="15"/>
                <w:color w:val="auto"/>
              </w:rPr>
            </w:pPr>
          </w:p>
        </w:tc>
        <w:tc>
          <w:tcPr>
            <w:tcW w:w="2160" w:type="dxa"/>
            <w:vAlign w:val="bottom"/>
          </w:tcPr>
          <w:p>
            <w:pPr>
              <w:jc w:val="center"/>
              <w:spacing w:after="0" w:line="178" w:lineRule="exact"/>
              <w:rPr>
                <w:sz w:val="20"/>
                <w:szCs w:val="20"/>
                <w:color w:val="auto"/>
              </w:rPr>
            </w:pPr>
            <w:r>
              <w:rPr>
                <w:rFonts w:ascii="Arial" w:cs="Arial" w:eastAsia="Arial" w:hAnsi="Arial"/>
                <w:sz w:val="16"/>
                <w:szCs w:val="16"/>
                <w:color w:val="auto"/>
              </w:rPr>
              <w:t>Transmission</w:t>
            </w:r>
          </w:p>
        </w:tc>
        <w:tc>
          <w:tcPr>
            <w:tcW w:w="1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8"/>
        </w:trPr>
        <w:tc>
          <w:tcPr>
            <w:tcW w:w="1980" w:type="dxa"/>
            <w:vAlign w:val="bottom"/>
          </w:tcPr>
          <w:p>
            <w:pPr>
              <w:ind w:left="40"/>
              <w:spacing w:after="0"/>
              <w:rPr>
                <w:sz w:val="20"/>
                <w:szCs w:val="20"/>
                <w:color w:val="auto"/>
              </w:rPr>
            </w:pPr>
            <w:r>
              <w:rPr>
                <w:rFonts w:ascii="Arial" w:cs="Arial" w:eastAsia="Arial" w:hAnsi="Arial"/>
                <w:sz w:val="16"/>
                <w:szCs w:val="16"/>
                <w:color w:val="auto"/>
              </w:rPr>
              <w:t>South Dakota Electric</w:t>
            </w:r>
          </w:p>
        </w:tc>
        <w:tc>
          <w:tcPr>
            <w:tcW w:w="2160" w:type="dxa"/>
            <w:vAlign w:val="bottom"/>
          </w:tcPr>
          <w:p>
            <w:pPr>
              <w:jc w:val="center"/>
              <w:spacing w:after="0"/>
              <w:rPr>
                <w:sz w:val="20"/>
                <w:szCs w:val="20"/>
                <w:color w:val="auto"/>
              </w:rPr>
            </w:pPr>
            <w:r>
              <w:rPr>
                <w:rFonts w:ascii="Arial" w:cs="Arial" w:eastAsia="Arial" w:hAnsi="Arial"/>
                <w:sz w:val="16"/>
                <w:szCs w:val="16"/>
                <w:color w:val="auto"/>
              </w:rPr>
              <w:t>Services Agreement</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rPr>
              <w:t>PacifiCorp</w:t>
            </w:r>
          </w:p>
        </w:tc>
        <w:tc>
          <w:tcPr>
            <w:tcW w:w="1860" w:type="dxa"/>
            <w:vAlign w:val="bottom"/>
          </w:tcPr>
          <w:p>
            <w:pPr>
              <w:jc w:val="center"/>
              <w:ind w:left="499"/>
              <w:spacing w:after="0"/>
              <w:rPr>
                <w:sz w:val="20"/>
                <w:szCs w:val="20"/>
                <w:color w:val="auto"/>
              </w:rPr>
            </w:pPr>
            <w:r>
              <w:rPr>
                <w:rFonts w:ascii="Arial" w:cs="Arial" w:eastAsia="Arial" w:hAnsi="Arial"/>
                <w:sz w:val="16"/>
                <w:szCs w:val="16"/>
                <w:color w:val="auto"/>
              </w:rPr>
              <w:t>N/A</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1,783</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1,776</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1,741</w:t>
            </w:r>
          </w:p>
        </w:tc>
      </w:tr>
      <w:tr>
        <w:trPr>
          <w:trHeight w:val="219"/>
        </w:trPr>
        <w:tc>
          <w:tcPr>
            <w:tcW w:w="1980" w:type="dxa"/>
            <w:vAlign w:val="bottom"/>
            <w:shd w:val="clear" w:color="auto" w:fill="CEFFE7"/>
          </w:tcPr>
          <w:p>
            <w:pPr>
              <w:ind w:left="40"/>
              <w:spacing w:after="0"/>
              <w:rPr>
                <w:sz w:val="20"/>
                <w:szCs w:val="20"/>
                <w:color w:val="auto"/>
              </w:rPr>
            </w:pPr>
            <w:r>
              <w:rPr>
                <w:rFonts w:ascii="Arial" w:cs="Arial" w:eastAsia="Arial" w:hAnsi="Arial"/>
                <w:sz w:val="16"/>
                <w:szCs w:val="16"/>
                <w:color w:val="auto"/>
              </w:rPr>
              <w:t>South Dakota Electric</w:t>
            </w:r>
          </w:p>
        </w:tc>
        <w:tc>
          <w:tcPr>
            <w:tcW w:w="21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PPA</w:t>
            </w:r>
          </w:p>
        </w:tc>
        <w:tc>
          <w:tcPr>
            <w:tcW w:w="1340" w:type="dxa"/>
            <w:vAlign w:val="bottom"/>
            <w:shd w:val="clear" w:color="auto" w:fill="CEFFE7"/>
          </w:tcPr>
          <w:p>
            <w:pPr>
              <w:jc w:val="center"/>
              <w:ind w:left="219"/>
              <w:spacing w:after="0"/>
              <w:rPr>
                <w:sz w:val="20"/>
                <w:szCs w:val="20"/>
                <w:color w:val="auto"/>
              </w:rPr>
            </w:pPr>
            <w:r>
              <w:rPr>
                <w:rFonts w:ascii="Arial" w:cs="Arial" w:eastAsia="Arial" w:hAnsi="Arial"/>
                <w:sz w:val="16"/>
                <w:szCs w:val="16"/>
                <w:color w:val="auto"/>
              </w:rPr>
              <w:t>PRPA</w:t>
            </w:r>
          </w:p>
        </w:tc>
        <w:tc>
          <w:tcPr>
            <w:tcW w:w="1860" w:type="dxa"/>
            <w:vAlign w:val="bottom"/>
            <w:shd w:val="clear" w:color="auto" w:fill="CEFFE7"/>
          </w:tcPr>
          <w:p>
            <w:pPr>
              <w:jc w:val="center"/>
              <w:ind w:left="499"/>
              <w:spacing w:after="0"/>
              <w:rPr>
                <w:sz w:val="20"/>
                <w:szCs w:val="20"/>
                <w:color w:val="auto"/>
              </w:rPr>
            </w:pPr>
            <w:r>
              <w:rPr>
                <w:rFonts w:ascii="Arial" w:cs="Arial" w:eastAsia="Arial" w:hAnsi="Arial"/>
                <w:sz w:val="16"/>
                <w:szCs w:val="16"/>
                <w:color w:val="auto"/>
                <w:w w:val="98"/>
              </w:rPr>
              <w:t>Wind</w:t>
            </w:r>
          </w:p>
        </w:tc>
        <w:tc>
          <w:tcPr>
            <w:tcW w:w="52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596</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715</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688</w:t>
            </w: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Wyoming Electric</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PPA</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rPr>
              <w:t>Happy Jack</w:t>
            </w:r>
          </w:p>
        </w:tc>
        <w:tc>
          <w:tcPr>
            <w:tcW w:w="1860" w:type="dxa"/>
            <w:vAlign w:val="bottom"/>
          </w:tcPr>
          <w:p>
            <w:pPr>
              <w:jc w:val="center"/>
              <w:ind w:left="499"/>
              <w:spacing w:after="0"/>
              <w:rPr>
                <w:sz w:val="20"/>
                <w:szCs w:val="20"/>
                <w:color w:val="auto"/>
              </w:rPr>
            </w:pPr>
            <w:r>
              <w:rPr>
                <w:rFonts w:ascii="Arial" w:cs="Arial" w:eastAsia="Arial" w:hAnsi="Arial"/>
                <w:sz w:val="16"/>
                <w:szCs w:val="16"/>
                <w:color w:val="auto"/>
                <w:w w:val="98"/>
              </w:rPr>
              <w:t>Wind</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3,544</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4,531</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3,936</w:t>
            </w:r>
          </w:p>
        </w:tc>
      </w:tr>
      <w:tr>
        <w:trPr>
          <w:trHeight w:val="219"/>
        </w:trPr>
        <w:tc>
          <w:tcPr>
            <w:tcW w:w="198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Wyoming Electric</w:t>
            </w:r>
          </w:p>
        </w:tc>
        <w:tc>
          <w:tcPr>
            <w:tcW w:w="21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PPA</w:t>
            </w:r>
          </w:p>
        </w:tc>
        <w:tc>
          <w:tcPr>
            <w:tcW w:w="1340" w:type="dxa"/>
            <w:vAlign w:val="bottom"/>
            <w:shd w:val="clear" w:color="auto" w:fill="CEFFE7"/>
          </w:tcPr>
          <w:p>
            <w:pPr>
              <w:jc w:val="center"/>
              <w:ind w:left="219"/>
              <w:spacing w:after="0"/>
              <w:rPr>
                <w:sz w:val="20"/>
                <w:szCs w:val="20"/>
                <w:color w:val="auto"/>
              </w:rPr>
            </w:pPr>
            <w:r>
              <w:rPr>
                <w:rFonts w:ascii="Arial" w:cs="Arial" w:eastAsia="Arial" w:hAnsi="Arial"/>
                <w:sz w:val="16"/>
                <w:szCs w:val="16"/>
                <w:color w:val="auto"/>
              </w:rPr>
              <w:t>Silver Sage</w:t>
            </w:r>
          </w:p>
        </w:tc>
        <w:tc>
          <w:tcPr>
            <w:tcW w:w="1860" w:type="dxa"/>
            <w:vAlign w:val="bottom"/>
            <w:shd w:val="clear" w:color="auto" w:fill="CEFFE7"/>
          </w:tcPr>
          <w:p>
            <w:pPr>
              <w:jc w:val="center"/>
              <w:ind w:left="499"/>
              <w:spacing w:after="0"/>
              <w:rPr>
                <w:sz w:val="20"/>
                <w:szCs w:val="20"/>
                <w:color w:val="auto"/>
              </w:rPr>
            </w:pPr>
            <w:r>
              <w:rPr>
                <w:rFonts w:ascii="Arial" w:cs="Arial" w:eastAsia="Arial" w:hAnsi="Arial"/>
                <w:sz w:val="16"/>
                <w:szCs w:val="16"/>
                <w:color w:val="auto"/>
                <w:w w:val="98"/>
              </w:rPr>
              <w:t>Wind</w:t>
            </w:r>
          </w:p>
        </w:tc>
        <w:tc>
          <w:tcPr>
            <w:tcW w:w="52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4,717</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6,203</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5,366</w:t>
            </w:r>
          </w:p>
        </w:tc>
      </w:tr>
      <w:tr>
        <w:trPr>
          <w:trHeight w:val="871"/>
        </w:trPr>
        <w:tc>
          <w:tcPr>
            <w:tcW w:w="1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jc w:val="right"/>
              <w:ind w:right="1539"/>
              <w:spacing w:after="0"/>
              <w:rPr>
                <w:sz w:val="20"/>
                <w:szCs w:val="20"/>
                <w:color w:val="auto"/>
              </w:rPr>
            </w:pPr>
            <w:r>
              <w:rPr>
                <w:rFonts w:ascii="Arial" w:cs="Arial" w:eastAsia="Arial" w:hAnsi="Arial"/>
                <w:sz w:val="16"/>
                <w:szCs w:val="16"/>
                <w:color w:val="auto"/>
              </w:rPr>
              <w:t>79</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8"/>
        </w:trPr>
        <w:tc>
          <w:tcPr>
            <w:tcW w:w="198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 Purchase Agreements - Related Parties</w:t>
      </w:r>
    </w:p>
    <w:p>
      <w:pPr>
        <w:spacing w:after="0" w:line="26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Wyoming Electric had a PPA with Black Hills Wyoming scheduled to expire on December 31, 2022, which provided 60 MW of unit-contingent capacity and energy from Black Hills Wyoming’s Wygen I facility. On October 15, 2020, the FERC approved a settlement agreement in the joint application filed by Wyoming Electric and Black Hills Wyoming on August 2, 2019 for approval of a new 60 MW PPA. Under the terms of the settlement, Wyoming Electric will continue to receive 60 MW of capacity and energy from the Wygen I facility. The new agreement commenced on January 1, 2022, replaced the existing PPA and will continue for 11 years.</w:t>
      </w:r>
    </w:p>
    <w:p>
      <w:pPr>
        <w:spacing w:after="0" w:line="230"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Black Hills Electric Generation provides the wind energy generated from Busch Ranch II to Colorado Electric through a PPA, which expires in November 2044.</w:t>
      </w:r>
    </w:p>
    <w:p>
      <w:pPr>
        <w:spacing w:after="0" w:line="22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Black Hills Electric Generation provides its 14.5 MW share of energy generated from Busch Ranch I to Colorado Electric through a PPA, which expires in October 2037.</w:t>
      </w:r>
    </w:p>
    <w:p>
      <w:pPr>
        <w:spacing w:after="0" w:line="222"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Colorado Electric’s PPA with Black Hills Colorado IPP, expiring on December 31, 2031, provides 200 MW of power to Colorado Electric from Black Hills Colorado IPP’s combined-cycle turbines.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Commitments</w:t>
      </w:r>
    </w:p>
    <w:p>
      <w:pPr>
        <w:spacing w:after="0" w:line="26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maintain natural gas supply contracts with several vendors that generally cover a period of up to one year. Commitments for estimated baseload gas volumes are established prior to the beginning of the month under these contracts on a monthly basis at contractually negotiated prices. Commitments for incremental daily purchases are made as necessary during the month based on requirements in accordance with the terms of the individual contract.</w:t>
      </w:r>
    </w:p>
    <w:p>
      <w:pPr>
        <w:spacing w:after="0" w:line="22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Our Gas Utilities segment has commitments to purchase physical quantities of natural gas under contracts indexed to various forward natural gas price curves. A portion of our gas purchases are purchased under evergreen contracts and are therefore, for purposes of this disclosure, carried out for 60 days. At December 31, 2021, the long-term commitments to purchase quantities of natural gas under contracts indexed to the following forward indices were as follows (in MMBtus):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3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2022</w:t>
            </w: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2023</w:t>
            </w: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2024</w:t>
            </w: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2025</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2026</w:t>
            </w: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Thereafter</w:t>
            </w:r>
          </w:p>
        </w:tc>
      </w:tr>
      <w:tr>
        <w:trPr>
          <w:trHeight w:val="212"/>
        </w:trPr>
        <w:tc>
          <w:tcPr>
            <w:tcW w:w="3180" w:type="dxa"/>
            <w:vAlign w:val="bottom"/>
            <w:shd w:val="clear" w:color="auto" w:fill="CEFFE7"/>
          </w:tcPr>
          <w:p>
            <w:pPr>
              <w:ind w:left="20"/>
              <w:spacing w:after="0"/>
              <w:rPr>
                <w:sz w:val="20"/>
                <w:szCs w:val="20"/>
                <w:color w:val="auto"/>
              </w:rPr>
            </w:pPr>
            <w:r>
              <w:rPr>
                <w:rFonts w:ascii="Arial" w:cs="Arial" w:eastAsia="Arial" w:hAnsi="Arial"/>
                <w:sz w:val="16"/>
                <w:szCs w:val="16"/>
                <w:color w:val="auto"/>
              </w:rPr>
              <w:t>El Paso - Bondad Station</w:t>
            </w:r>
          </w:p>
        </w:tc>
        <w:tc>
          <w:tcPr>
            <w:tcW w:w="15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31,000</w:t>
            </w:r>
          </w:p>
        </w:tc>
        <w:tc>
          <w:tcPr>
            <w:tcW w:w="134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EFFE7"/>
          </w:tcPr>
          <w:p>
            <w:pPr>
              <w:ind w:left="9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ind w:left="1020"/>
              <w:spacing w:after="0"/>
              <w:rPr>
                <w:sz w:val="20"/>
                <w:szCs w:val="20"/>
                <w:color w:val="auto"/>
              </w:rPr>
            </w:pPr>
            <w:r>
              <w:rPr>
                <w:rFonts w:ascii="Arial" w:cs="Arial" w:eastAsia="Arial" w:hAnsi="Arial"/>
                <w:sz w:val="16"/>
                <w:szCs w:val="16"/>
                <w:color w:val="auto"/>
                <w:w w:val="99"/>
              </w:rPr>
              <w:t>—</w:t>
            </w: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Kern River - Opal</w:t>
            </w: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9,300</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ind w:left="940"/>
              <w:spacing w:after="0"/>
              <w:rPr>
                <w:sz w:val="20"/>
                <w:szCs w:val="20"/>
                <w:color w:val="auto"/>
              </w:rPr>
            </w:pPr>
            <w:r>
              <w:rPr>
                <w:rFonts w:ascii="Arial" w:cs="Arial" w:eastAsia="Arial" w:hAnsi="Arial"/>
                <w:sz w:val="16"/>
                <w:szCs w:val="16"/>
                <w:color w:val="auto"/>
              </w:rPr>
              <w:t>—</w:t>
            </w:r>
          </w:p>
        </w:tc>
        <w:tc>
          <w:tcPr>
            <w:tcW w:w="1200" w:type="dxa"/>
            <w:vAlign w:val="bottom"/>
          </w:tcPr>
          <w:p>
            <w:pPr>
              <w:ind w:left="1020"/>
              <w:spacing w:after="0"/>
              <w:rPr>
                <w:sz w:val="20"/>
                <w:szCs w:val="20"/>
                <w:color w:val="auto"/>
              </w:rPr>
            </w:pPr>
            <w:r>
              <w:rPr>
                <w:rFonts w:ascii="Arial" w:cs="Arial" w:eastAsia="Arial" w:hAnsi="Arial"/>
                <w:sz w:val="16"/>
                <w:szCs w:val="16"/>
                <w:color w:val="auto"/>
                <w:w w:val="99"/>
              </w:rPr>
              <w:t>—</w:t>
            </w:r>
          </w:p>
        </w:tc>
      </w:tr>
      <w:tr>
        <w:trPr>
          <w:trHeight w:val="219"/>
        </w:trPr>
        <w:tc>
          <w:tcPr>
            <w:tcW w:w="3180" w:type="dxa"/>
            <w:vAlign w:val="bottom"/>
            <w:shd w:val="clear" w:color="auto" w:fill="CEFFE7"/>
          </w:tcPr>
          <w:p>
            <w:pPr>
              <w:ind w:left="20"/>
              <w:spacing w:after="0"/>
              <w:rPr>
                <w:sz w:val="20"/>
                <w:szCs w:val="20"/>
                <w:color w:val="auto"/>
              </w:rPr>
            </w:pPr>
            <w:r>
              <w:rPr>
                <w:rFonts w:ascii="Arial" w:cs="Arial" w:eastAsia="Arial" w:hAnsi="Arial"/>
                <w:sz w:val="16"/>
                <w:szCs w:val="16"/>
                <w:color w:val="auto"/>
              </w:rPr>
              <w:t>El Paso - San Juan Basin</w:t>
            </w:r>
          </w:p>
        </w:tc>
        <w:tc>
          <w:tcPr>
            <w:tcW w:w="15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182,550</w:t>
            </w:r>
          </w:p>
        </w:tc>
        <w:tc>
          <w:tcPr>
            <w:tcW w:w="134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EFFE7"/>
          </w:tcPr>
          <w:p>
            <w:pPr>
              <w:ind w:left="9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ind w:left="1020"/>
              <w:spacing w:after="0"/>
              <w:rPr>
                <w:sz w:val="20"/>
                <w:szCs w:val="20"/>
                <w:color w:val="auto"/>
              </w:rPr>
            </w:pPr>
            <w:r>
              <w:rPr>
                <w:rFonts w:ascii="Arial" w:cs="Arial" w:eastAsia="Arial" w:hAnsi="Arial"/>
                <w:sz w:val="16"/>
                <w:szCs w:val="16"/>
                <w:color w:val="auto"/>
                <w:w w:val="99"/>
              </w:rPr>
              <w:t>—</w:t>
            </w: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Enable East Pipeline</w:t>
            </w: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1,825,000</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450,000</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ind w:left="940"/>
              <w:spacing w:after="0"/>
              <w:rPr>
                <w:sz w:val="20"/>
                <w:szCs w:val="20"/>
                <w:color w:val="auto"/>
              </w:rPr>
            </w:pPr>
            <w:r>
              <w:rPr>
                <w:rFonts w:ascii="Arial" w:cs="Arial" w:eastAsia="Arial" w:hAnsi="Arial"/>
                <w:sz w:val="16"/>
                <w:szCs w:val="16"/>
                <w:color w:val="auto"/>
              </w:rPr>
              <w:t>—</w:t>
            </w:r>
          </w:p>
        </w:tc>
        <w:tc>
          <w:tcPr>
            <w:tcW w:w="1200" w:type="dxa"/>
            <w:vAlign w:val="bottom"/>
          </w:tcPr>
          <w:p>
            <w:pPr>
              <w:ind w:left="1020"/>
              <w:spacing w:after="0"/>
              <w:rPr>
                <w:sz w:val="20"/>
                <w:szCs w:val="20"/>
                <w:color w:val="auto"/>
              </w:rPr>
            </w:pPr>
            <w:r>
              <w:rPr>
                <w:rFonts w:ascii="Arial" w:cs="Arial" w:eastAsia="Arial" w:hAnsi="Arial"/>
                <w:sz w:val="16"/>
                <w:szCs w:val="16"/>
                <w:color w:val="auto"/>
                <w:w w:val="99"/>
              </w:rPr>
              <w:t>—</w:t>
            </w:r>
          </w:p>
        </w:tc>
      </w:tr>
      <w:tr>
        <w:trPr>
          <w:trHeight w:val="219"/>
        </w:trPr>
        <w:tc>
          <w:tcPr>
            <w:tcW w:w="3180" w:type="dxa"/>
            <w:vAlign w:val="bottom"/>
            <w:shd w:val="clear" w:color="auto" w:fill="CEFFE7"/>
          </w:tcPr>
          <w:p>
            <w:pPr>
              <w:ind w:left="20"/>
              <w:spacing w:after="0"/>
              <w:rPr>
                <w:sz w:val="20"/>
                <w:szCs w:val="20"/>
                <w:color w:val="auto"/>
              </w:rPr>
            </w:pPr>
            <w:r>
              <w:rPr>
                <w:rFonts w:ascii="Arial" w:cs="Arial" w:eastAsia="Arial" w:hAnsi="Arial"/>
                <w:sz w:val="16"/>
                <w:szCs w:val="16"/>
                <w:color w:val="auto"/>
              </w:rPr>
              <w:t>Northern Natural Gas - Demarc</w:t>
            </w:r>
          </w:p>
        </w:tc>
        <w:tc>
          <w:tcPr>
            <w:tcW w:w="15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1,614</w:t>
            </w:r>
          </w:p>
        </w:tc>
        <w:tc>
          <w:tcPr>
            <w:tcW w:w="134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EFFE7"/>
          </w:tcPr>
          <w:p>
            <w:pPr>
              <w:ind w:left="9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ind w:left="1020"/>
              <w:spacing w:after="0"/>
              <w:rPr>
                <w:sz w:val="20"/>
                <w:szCs w:val="20"/>
                <w:color w:val="auto"/>
              </w:rPr>
            </w:pPr>
            <w:r>
              <w:rPr>
                <w:rFonts w:ascii="Arial" w:cs="Arial" w:eastAsia="Arial" w:hAnsi="Arial"/>
                <w:sz w:val="16"/>
                <w:szCs w:val="16"/>
                <w:color w:val="auto"/>
                <w:w w:val="99"/>
              </w:rPr>
              <w:t>—</w:t>
            </w: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Northern Natural Gas - Ventura</w:t>
            </w: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1,810,000</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1,840,000</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1,820,000</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ind w:left="940"/>
              <w:spacing w:after="0"/>
              <w:rPr>
                <w:sz w:val="20"/>
                <w:szCs w:val="20"/>
                <w:color w:val="auto"/>
              </w:rPr>
            </w:pPr>
            <w:r>
              <w:rPr>
                <w:rFonts w:ascii="Arial" w:cs="Arial" w:eastAsia="Arial" w:hAnsi="Arial"/>
                <w:sz w:val="16"/>
                <w:szCs w:val="16"/>
                <w:color w:val="auto"/>
              </w:rPr>
              <w:t>—</w:t>
            </w:r>
          </w:p>
        </w:tc>
        <w:tc>
          <w:tcPr>
            <w:tcW w:w="1200" w:type="dxa"/>
            <w:vAlign w:val="bottom"/>
          </w:tcPr>
          <w:p>
            <w:pPr>
              <w:ind w:left="1020"/>
              <w:spacing w:after="0"/>
              <w:rPr>
                <w:sz w:val="20"/>
                <w:szCs w:val="20"/>
                <w:color w:val="auto"/>
              </w:rPr>
            </w:pPr>
            <w:r>
              <w:rPr>
                <w:rFonts w:ascii="Arial" w:cs="Arial" w:eastAsia="Arial" w:hAnsi="Arial"/>
                <w:sz w:val="16"/>
                <w:szCs w:val="16"/>
                <w:color w:val="auto"/>
                <w:w w:val="99"/>
              </w:rPr>
              <w:t>—</w:t>
            </w:r>
          </w:p>
        </w:tc>
      </w:tr>
      <w:tr>
        <w:trPr>
          <w:trHeight w:val="219"/>
        </w:trPr>
        <w:tc>
          <w:tcPr>
            <w:tcW w:w="3180" w:type="dxa"/>
            <w:vAlign w:val="bottom"/>
            <w:shd w:val="clear" w:color="auto" w:fill="CEFFE7"/>
          </w:tcPr>
          <w:p>
            <w:pPr>
              <w:ind w:left="20"/>
              <w:spacing w:after="0"/>
              <w:rPr>
                <w:sz w:val="20"/>
                <w:szCs w:val="20"/>
                <w:color w:val="auto"/>
              </w:rPr>
            </w:pPr>
            <w:r>
              <w:rPr>
                <w:rFonts w:ascii="Arial" w:cs="Arial" w:eastAsia="Arial" w:hAnsi="Arial"/>
                <w:sz w:val="16"/>
                <w:szCs w:val="16"/>
                <w:color w:val="auto"/>
              </w:rPr>
              <w:t>Northwest Pipeline - Wyoming</w:t>
            </w:r>
          </w:p>
        </w:tc>
        <w:tc>
          <w:tcPr>
            <w:tcW w:w="15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1,531,700</w:t>
            </w:r>
          </w:p>
        </w:tc>
        <w:tc>
          <w:tcPr>
            <w:tcW w:w="134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1,510,000</w:t>
            </w:r>
          </w:p>
        </w:tc>
        <w:tc>
          <w:tcPr>
            <w:tcW w:w="134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910,000</w:t>
            </w:r>
          </w:p>
        </w:tc>
        <w:tc>
          <w:tcPr>
            <w:tcW w:w="132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EFFE7"/>
          </w:tcPr>
          <w:p>
            <w:pPr>
              <w:ind w:left="9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ind w:left="1020"/>
              <w:spacing w:after="0"/>
              <w:rPr>
                <w:sz w:val="20"/>
                <w:szCs w:val="20"/>
                <w:color w:val="auto"/>
              </w:rPr>
            </w:pPr>
            <w:r>
              <w:rPr>
                <w:rFonts w:ascii="Arial" w:cs="Arial" w:eastAsia="Arial" w:hAnsi="Arial"/>
                <w:sz w:val="16"/>
                <w:szCs w:val="16"/>
                <w:color w:val="auto"/>
                <w:w w:val="99"/>
              </w:rPr>
              <w:t>—</w:t>
            </w: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ONEOK - Oklahoma</w:t>
            </w: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5,475,000</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5,475,000</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5,490,000</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4,560,000</w:t>
            </w:r>
          </w:p>
        </w:tc>
        <w:tc>
          <w:tcPr>
            <w:tcW w:w="1240" w:type="dxa"/>
            <w:vAlign w:val="bottom"/>
          </w:tcPr>
          <w:p>
            <w:pPr>
              <w:ind w:left="940"/>
              <w:spacing w:after="0"/>
              <w:rPr>
                <w:sz w:val="20"/>
                <w:szCs w:val="20"/>
                <w:color w:val="auto"/>
              </w:rPr>
            </w:pPr>
            <w:r>
              <w:rPr>
                <w:rFonts w:ascii="Arial" w:cs="Arial" w:eastAsia="Arial" w:hAnsi="Arial"/>
                <w:sz w:val="16"/>
                <w:szCs w:val="16"/>
                <w:color w:val="auto"/>
              </w:rPr>
              <w:t>—</w:t>
            </w:r>
          </w:p>
        </w:tc>
        <w:tc>
          <w:tcPr>
            <w:tcW w:w="1200" w:type="dxa"/>
            <w:vAlign w:val="bottom"/>
          </w:tcPr>
          <w:p>
            <w:pPr>
              <w:ind w:left="1020"/>
              <w:spacing w:after="0"/>
              <w:rPr>
                <w:sz w:val="20"/>
                <w:szCs w:val="20"/>
                <w:color w:val="auto"/>
              </w:rPr>
            </w:pPr>
            <w:r>
              <w:rPr>
                <w:rFonts w:ascii="Arial" w:cs="Arial" w:eastAsia="Arial" w:hAnsi="Arial"/>
                <w:sz w:val="16"/>
                <w:szCs w:val="16"/>
                <w:color w:val="auto"/>
                <w:w w:val="99"/>
              </w:rPr>
              <w:t>—</w:t>
            </w:r>
          </w:p>
        </w:tc>
      </w:tr>
      <w:tr>
        <w:trPr>
          <w:trHeight w:val="219"/>
        </w:trPr>
        <w:tc>
          <w:tcPr>
            <w:tcW w:w="3180" w:type="dxa"/>
            <w:vAlign w:val="bottom"/>
            <w:shd w:val="clear" w:color="auto" w:fill="CEFFE7"/>
          </w:tcPr>
          <w:p>
            <w:pPr>
              <w:ind w:left="20"/>
              <w:spacing w:after="0"/>
              <w:rPr>
                <w:sz w:val="20"/>
                <w:szCs w:val="20"/>
                <w:color w:val="auto"/>
              </w:rPr>
            </w:pPr>
            <w:r>
              <w:rPr>
                <w:rFonts w:ascii="Arial" w:cs="Arial" w:eastAsia="Arial" w:hAnsi="Arial"/>
                <w:sz w:val="16"/>
                <w:szCs w:val="16"/>
                <w:color w:val="auto"/>
              </w:rPr>
              <w:t>Southern Star Central Gas Pipeline</w:t>
            </w:r>
          </w:p>
        </w:tc>
        <w:tc>
          <w:tcPr>
            <w:tcW w:w="15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113,130</w:t>
            </w:r>
          </w:p>
        </w:tc>
        <w:tc>
          <w:tcPr>
            <w:tcW w:w="134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EFFE7"/>
          </w:tcPr>
          <w:p>
            <w:pPr>
              <w:ind w:left="9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ind w:left="1020"/>
              <w:spacing w:after="0"/>
              <w:rPr>
                <w:sz w:val="20"/>
                <w:szCs w:val="20"/>
                <w:color w:val="auto"/>
              </w:rPr>
            </w:pPr>
            <w:r>
              <w:rPr>
                <w:rFonts w:ascii="Arial" w:cs="Arial" w:eastAsia="Arial" w:hAnsi="Arial"/>
                <w:sz w:val="16"/>
                <w:szCs w:val="16"/>
                <w:color w:val="auto"/>
                <w:w w:val="99"/>
              </w:rPr>
              <w:t>—</w:t>
            </w:r>
          </w:p>
        </w:tc>
      </w:tr>
      <w:tr>
        <w:trPr>
          <w:trHeight w:val="213"/>
        </w:trPr>
        <w:tc>
          <w:tcPr>
            <w:tcW w:w="31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Panhandle Eastern Pipe Line</w:t>
            </w: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1,609,680</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2,737,500</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w w:val="99"/>
              </w:rPr>
              <w:t>—</w:t>
            </w:r>
          </w:p>
        </w:tc>
      </w:tr>
      <w:tr>
        <w:trPr>
          <w:trHeight w:val="234"/>
        </w:trPr>
        <w:tc>
          <w:tcPr>
            <w:tcW w:w="3180" w:type="dxa"/>
            <w:vAlign w:val="bottom"/>
            <w:tcBorders>
              <w:bottom w:val="single" w:sz="8" w:color="CEFFE7"/>
            </w:tcBorders>
            <w:shd w:val="clear" w:color="auto" w:fill="CEFFE7"/>
          </w:tcPr>
          <w:p>
            <w:pPr>
              <w:spacing w:after="0"/>
              <w:rPr>
                <w:sz w:val="19"/>
                <w:szCs w:val="19"/>
                <w:color w:val="auto"/>
              </w:rPr>
            </w:pPr>
          </w:p>
        </w:tc>
        <w:tc>
          <w:tcPr>
            <w:tcW w:w="158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12,588,974</w:t>
            </w:r>
          </w:p>
        </w:tc>
        <w:tc>
          <w:tcPr>
            <w:tcW w:w="134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12,012,500</w:t>
            </w:r>
          </w:p>
        </w:tc>
        <w:tc>
          <w:tcPr>
            <w:tcW w:w="134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8,220,000</w:t>
            </w:r>
          </w:p>
        </w:tc>
        <w:tc>
          <w:tcPr>
            <w:tcW w:w="132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4,560,000</w:t>
            </w:r>
          </w:p>
        </w:tc>
        <w:tc>
          <w:tcPr>
            <w:tcW w:w="1240" w:type="dxa"/>
            <w:vAlign w:val="bottom"/>
            <w:tcBorders>
              <w:bottom w:val="single" w:sz="8" w:color="auto"/>
            </w:tcBorders>
            <w:shd w:val="clear" w:color="auto" w:fill="CEFFE7"/>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EFFE7"/>
          </w:tcPr>
          <w:p>
            <w:pPr>
              <w:ind w:left="1020"/>
              <w:spacing w:after="0"/>
              <w:rPr>
                <w:sz w:val="20"/>
                <w:szCs w:val="20"/>
                <w:color w:val="auto"/>
              </w:rPr>
            </w:pPr>
            <w:r>
              <w:rPr>
                <w:rFonts w:ascii="Arial" w:cs="Arial" w:eastAsia="Arial" w:hAnsi="Arial"/>
                <w:sz w:val="16"/>
                <w:szCs w:val="16"/>
                <w:color w:val="auto"/>
                <w:w w:val="99"/>
              </w:rPr>
              <w:t>—</w:t>
            </w:r>
          </w:p>
        </w:tc>
      </w:tr>
      <w:tr>
        <w:trPr>
          <w:trHeight w:val="20"/>
        </w:trPr>
        <w:tc>
          <w:tcPr>
            <w:tcW w:w="3180" w:type="dxa"/>
            <w:vAlign w:val="bottom"/>
            <w:tcBorders>
              <w:top w:val="single" w:sz="8" w:color="CEFFE7"/>
            </w:tcBorders>
          </w:tcPr>
          <w:p>
            <w:pPr>
              <w:spacing w:after="0" w:line="20" w:lineRule="exact"/>
              <w:rPr>
                <w:sz w:val="1"/>
                <w:szCs w:val="1"/>
                <w:color w:val="auto"/>
              </w:rPr>
            </w:pPr>
          </w:p>
        </w:tc>
        <w:tc>
          <w:tcPr>
            <w:tcW w:w="1580" w:type="dxa"/>
            <w:vAlign w:val="bottom"/>
            <w:tcBorders>
              <w:top w:val="single" w:sz="8" w:color="CEFFE7"/>
              <w:bottom w:val="single" w:sz="8" w:color="auto"/>
            </w:tcBorders>
          </w:tcPr>
          <w:p>
            <w:pPr>
              <w:spacing w:after="0" w:line="20" w:lineRule="exact"/>
              <w:rPr>
                <w:sz w:val="1"/>
                <w:szCs w:val="1"/>
                <w:color w:val="auto"/>
              </w:rPr>
            </w:pPr>
          </w:p>
        </w:tc>
        <w:tc>
          <w:tcPr>
            <w:tcW w:w="1340" w:type="dxa"/>
            <w:vAlign w:val="bottom"/>
            <w:tcBorders>
              <w:top w:val="single" w:sz="8" w:color="CEFFE7"/>
              <w:bottom w:val="single" w:sz="8" w:color="auto"/>
            </w:tcBorders>
          </w:tcPr>
          <w:p>
            <w:pPr>
              <w:spacing w:after="0" w:line="20" w:lineRule="exact"/>
              <w:rPr>
                <w:sz w:val="1"/>
                <w:szCs w:val="1"/>
                <w:color w:val="auto"/>
              </w:rPr>
            </w:pPr>
          </w:p>
        </w:tc>
        <w:tc>
          <w:tcPr>
            <w:tcW w:w="134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Purchases under these contracts totaled $61 million, $25 million and $7 million for 2021, 2020 and 2019,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Gas Supply Agreements</w:t>
      </w:r>
    </w:p>
    <w:p>
      <w:pPr>
        <w:spacing w:after="0" w:line="26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Our Utilities also purchase natural gas, including transportation and storage capacity to meet customers’ needs, under short-term and long-term purchase contracts. These contracts extend to 2044.</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following is a schedule of unconditional purchase obligations required under the power purchase, transmission services and natural gas transportation and storage agreements (in thousands):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160" w:type="dxa"/>
            <w:vAlign w:val="bottom"/>
          </w:tcPr>
          <w:p>
            <w:pPr>
              <w:jc w:val="right"/>
              <w:spacing w:after="0"/>
              <w:rPr>
                <w:sz w:val="20"/>
                <w:szCs w:val="20"/>
                <w:color w:val="auto"/>
              </w:rPr>
            </w:pPr>
            <w:r>
              <w:rPr>
                <w:rFonts w:ascii="Arial" w:cs="Arial" w:eastAsia="Arial" w:hAnsi="Arial"/>
                <w:sz w:val="16"/>
                <w:szCs w:val="16"/>
                <w:color w:val="auto"/>
              </w:rPr>
              <w:t>Power purchase and transmission services</w:t>
            </w:r>
          </w:p>
        </w:tc>
        <w:tc>
          <w:tcPr>
            <w:tcW w:w="220" w:type="dxa"/>
            <w:vAlign w:val="bottom"/>
          </w:tcPr>
          <w:p>
            <w:pPr>
              <w:spacing w:after="0"/>
              <w:rPr>
                <w:sz w:val="16"/>
                <w:szCs w:val="16"/>
                <w:color w:val="auto"/>
              </w:rPr>
            </w:pPr>
          </w:p>
        </w:tc>
        <w:tc>
          <w:tcPr>
            <w:tcW w:w="3100" w:type="dxa"/>
            <w:vAlign w:val="bottom"/>
          </w:tcPr>
          <w:p>
            <w:pPr>
              <w:jc w:val="right"/>
              <w:ind w:right="179"/>
              <w:spacing w:after="0"/>
              <w:rPr>
                <w:sz w:val="20"/>
                <w:szCs w:val="20"/>
                <w:color w:val="auto"/>
              </w:rPr>
            </w:pPr>
            <w:r>
              <w:rPr>
                <w:rFonts w:ascii="Arial" w:cs="Arial" w:eastAsia="Arial" w:hAnsi="Arial"/>
                <w:sz w:val="16"/>
                <w:szCs w:val="16"/>
                <w:color w:val="auto"/>
              </w:rPr>
              <w:t>Natural gas transportation and storage</w:t>
            </w:r>
          </w:p>
        </w:tc>
      </w:tr>
      <w:tr>
        <w:trPr>
          <w:trHeight w:val="216"/>
        </w:trPr>
        <w:tc>
          <w:tcPr>
            <w:tcW w:w="27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jc w:val="right"/>
              <w:ind w:right="1019"/>
              <w:spacing w:after="0" w:line="216" w:lineRule="exact"/>
              <w:rPr>
                <w:sz w:val="20"/>
                <w:szCs w:val="20"/>
                <w:color w:val="auto"/>
              </w:rPr>
            </w:pPr>
            <w:r>
              <w:rPr>
                <w:rFonts w:ascii="Arial" w:cs="Arial" w:eastAsia="Arial" w:hAnsi="Arial"/>
                <w:sz w:val="16"/>
                <w:szCs w:val="16"/>
                <w:color w:val="auto"/>
              </w:rPr>
              <w:t xml:space="preserve">agreements </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color w:val="auto"/>
              </w:rPr>
              <w:t>agreements</w:t>
            </w:r>
          </w:p>
        </w:tc>
      </w:tr>
      <w:tr>
        <w:trPr>
          <w:trHeight w:val="210"/>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2022</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23,985</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143,750</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2023</w:t>
            </w: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c>
          <w:tcPr>
            <w:tcW w:w="3160" w:type="dxa"/>
            <w:vAlign w:val="bottom"/>
          </w:tcPr>
          <w:p>
            <w:pPr>
              <w:jc w:val="right"/>
              <w:spacing w:after="0"/>
              <w:rPr>
                <w:sz w:val="20"/>
                <w:szCs w:val="20"/>
                <w:color w:val="auto"/>
              </w:rPr>
            </w:pPr>
            <w:r>
              <w:rPr>
                <w:rFonts w:ascii="Arial" w:cs="Arial" w:eastAsia="Arial" w:hAnsi="Arial"/>
                <w:sz w:val="16"/>
                <w:szCs w:val="16"/>
                <w:color w:val="auto"/>
              </w:rPr>
              <w:t>11,678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jc w:val="right"/>
              <w:spacing w:after="0"/>
              <w:rPr>
                <w:sz w:val="20"/>
                <w:szCs w:val="20"/>
                <w:color w:val="auto"/>
              </w:rPr>
            </w:pPr>
            <w:r>
              <w:rPr>
                <w:rFonts w:ascii="Arial" w:cs="Arial" w:eastAsia="Arial" w:hAnsi="Arial"/>
                <w:sz w:val="16"/>
                <w:szCs w:val="16"/>
                <w:color w:val="auto"/>
              </w:rPr>
              <w:t>119,923</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2024</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2,738</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82,428</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2025</w:t>
            </w: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c>
          <w:tcPr>
            <w:tcW w:w="33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3100" w:type="dxa"/>
            <w:vAlign w:val="bottom"/>
          </w:tcPr>
          <w:p>
            <w:pPr>
              <w:jc w:val="right"/>
              <w:spacing w:after="0"/>
              <w:rPr>
                <w:sz w:val="20"/>
                <w:szCs w:val="20"/>
                <w:color w:val="auto"/>
              </w:rPr>
            </w:pPr>
            <w:r>
              <w:rPr>
                <w:rFonts w:ascii="Arial" w:cs="Arial" w:eastAsia="Arial" w:hAnsi="Arial"/>
                <w:sz w:val="16"/>
                <w:szCs w:val="16"/>
                <w:color w:val="auto"/>
              </w:rPr>
              <w:t>58,669</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2026</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3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3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36,503</w:t>
            </w: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c>
          <w:tcPr>
            <w:tcW w:w="33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3100" w:type="dxa"/>
            <w:vAlign w:val="bottom"/>
          </w:tcPr>
          <w:p>
            <w:pPr>
              <w:jc w:val="right"/>
              <w:spacing w:after="0"/>
              <w:rPr>
                <w:sz w:val="20"/>
                <w:szCs w:val="20"/>
                <w:color w:val="auto"/>
              </w:rPr>
            </w:pPr>
            <w:r>
              <w:rPr>
                <w:rFonts w:ascii="Arial" w:cs="Arial" w:eastAsia="Arial" w:hAnsi="Arial"/>
                <w:sz w:val="16"/>
                <w:szCs w:val="16"/>
                <w:color w:val="auto"/>
              </w:rPr>
              <w:t>60,429</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schedule does not reflect renewable energy PPA obligations since these agreements vary based on weather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 Sales Agreements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Through our subsidiaries, we have the following significant long-term power sales contracts with non-affiliated third-parties:</w:t>
      </w:r>
    </w:p>
    <w:p>
      <w:pPr>
        <w:spacing w:after="0" w:line="248" w:lineRule="exact"/>
        <w:rPr>
          <w:sz w:val="20"/>
          <w:szCs w:val="20"/>
          <w:color w:val="auto"/>
        </w:rPr>
      </w:pPr>
    </w:p>
    <w:p>
      <w:pPr>
        <w:ind w:left="660" w:right="160" w:hanging="328"/>
        <w:spacing w:after="0" w:line="260" w:lineRule="auto"/>
        <w:tabs>
          <w:tab w:leader="none" w:pos="6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 July 1, 2020, Colorado Electric entered into a PSA with the City of Colorado Springs to sell up to 60 MW of wind energy purchased from PRPA under a separate 60 MW PPA discussed above. This PSA with the City of Colorado Springs expires June 30, 2025.</w:t>
      </w:r>
    </w:p>
    <w:p>
      <w:pPr>
        <w:spacing w:after="0" w:line="222" w:lineRule="exact"/>
        <w:rPr>
          <w:rFonts w:ascii="Arial" w:cs="Arial" w:eastAsia="Arial" w:hAnsi="Arial"/>
          <w:sz w:val="16"/>
          <w:szCs w:val="16"/>
          <w:color w:val="auto"/>
        </w:rPr>
      </w:pPr>
    </w:p>
    <w:p>
      <w:pPr>
        <w:ind w:left="660" w:right="140" w:hanging="328"/>
        <w:spacing w:after="0" w:line="253" w:lineRule="auto"/>
        <w:tabs>
          <w:tab w:leader="none" w:pos="6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During periods of reduced production at Wygen III in which MDU owns a portion of the capacity, or during periods when Wygen III is off-line, South Dakota Electric will provide MDU with 25 MW from our other generation facilities or from system purchases with reimbursement of costs by MDU. This agreement expires January 31, 2023.</w:t>
      </w:r>
    </w:p>
    <w:p>
      <w:pPr>
        <w:spacing w:after="0" w:line="228" w:lineRule="exact"/>
        <w:rPr>
          <w:rFonts w:ascii="Arial" w:cs="Arial" w:eastAsia="Arial" w:hAnsi="Arial"/>
          <w:sz w:val="16"/>
          <w:szCs w:val="16"/>
          <w:color w:val="auto"/>
        </w:rPr>
      </w:pPr>
    </w:p>
    <w:p>
      <w:pPr>
        <w:ind w:left="660" w:right="180" w:hanging="328"/>
        <w:spacing w:after="0" w:line="260" w:lineRule="auto"/>
        <w:tabs>
          <w:tab w:leader="none" w:pos="6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South Dakota Electric has an agreement to provide MDU capacity and energy up to a maximum of 50 MW in excess of Wygen III ownership. This agreement expires December 31, 2023.</w:t>
      </w:r>
    </w:p>
    <w:p>
      <w:pPr>
        <w:spacing w:after="0" w:line="222" w:lineRule="exact"/>
        <w:rPr>
          <w:rFonts w:ascii="Arial" w:cs="Arial" w:eastAsia="Arial" w:hAnsi="Arial"/>
          <w:sz w:val="16"/>
          <w:szCs w:val="16"/>
          <w:color w:val="auto"/>
        </w:rPr>
      </w:pPr>
    </w:p>
    <w:p>
      <w:pPr>
        <w:jc w:val="both"/>
        <w:ind w:left="660" w:right="200" w:hanging="328"/>
        <w:spacing w:after="0" w:line="251" w:lineRule="auto"/>
        <w:tabs>
          <w:tab w:leader="none" w:pos="6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During periods of reduced production at Wygen III in which the City of Gillette owns a portion of the capacity, or during periods when Wygen III is off-line, South Dakota Electric will provide the City of Gillette with its first 23 MW from its other generating facilities or from system purchases with reimbursement of costs by the City of Gillette. Under this agreement, which has an initial term through September 3, 2034 and would be renewed annually on September 3 thereafter, South Dakota Electric will also provide the City of Gillette their operating component of spinning reserves.</w:t>
      </w:r>
    </w:p>
    <w:p>
      <w:pPr>
        <w:spacing w:after="0" w:line="229" w:lineRule="exact"/>
        <w:rPr>
          <w:rFonts w:ascii="Arial" w:cs="Arial" w:eastAsia="Arial" w:hAnsi="Arial"/>
          <w:sz w:val="16"/>
          <w:szCs w:val="16"/>
          <w:color w:val="auto"/>
        </w:rPr>
      </w:pPr>
    </w:p>
    <w:p>
      <w:pPr>
        <w:ind w:left="660" w:right="620" w:hanging="328"/>
        <w:spacing w:after="0" w:line="251" w:lineRule="auto"/>
        <w:tabs>
          <w:tab w:leader="none" w:pos="6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South Dakota Electric has an amended agreement, effective January 1, 2019, to supply up to 20 MW of energy and capacity to MEAN under a contract that expires May 31, 2028. The contract terms are from June 1 through May 31 for each interval listed below. This contract is unit-contingent based on the availability of our Neil Simpson II and Wygen III plants, with decreasing capacity purchased over the term of the agreement. The unit-contingent capacity amounts from Wygen III and Neil Simpson II are as follows:</w:t>
      </w:r>
    </w:p>
    <w:p>
      <w:pPr>
        <w:spacing w:after="0" w:line="99"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80" w:type="dxa"/>
            <w:vAlign w:val="bottom"/>
            <w:gridSpan w:val="2"/>
          </w:tcPr>
          <w:p>
            <w:pPr>
              <w:jc w:val="center"/>
              <w:spacing w:after="0"/>
              <w:rPr>
                <w:sz w:val="20"/>
                <w:szCs w:val="20"/>
                <w:color w:val="auto"/>
              </w:rPr>
            </w:pPr>
            <w:r>
              <w:rPr>
                <w:rFonts w:ascii="Arial" w:cs="Arial" w:eastAsia="Arial" w:hAnsi="Arial"/>
                <w:sz w:val="16"/>
                <w:szCs w:val="16"/>
                <w:color w:val="auto"/>
              </w:rPr>
              <w:t>Contingent Capacity</w:t>
            </w:r>
          </w:p>
        </w:tc>
      </w:tr>
      <w:tr>
        <w:trPr>
          <w:trHeight w:val="162"/>
        </w:trPr>
        <w:tc>
          <w:tcPr>
            <w:tcW w:w="3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4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Contingent Capacity</w:t>
            </w:r>
          </w:p>
        </w:tc>
        <w:tc>
          <w:tcPr>
            <w:tcW w:w="198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Amounts on Neil</w:t>
            </w:r>
          </w:p>
        </w:tc>
      </w:tr>
      <w:tr>
        <w:trPr>
          <w:trHeight w:val="198"/>
        </w:trPr>
        <w:tc>
          <w:tcPr>
            <w:tcW w:w="306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rPr>
              <w:t>Contract Years</w:t>
            </w:r>
          </w:p>
        </w:tc>
        <w:tc>
          <w:tcPr>
            <w:tcW w:w="260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color w:val="auto"/>
              </w:rPr>
              <w:t>Total Contract Capacity</w:t>
            </w: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Amounts on Wygen III</w:t>
            </w:r>
          </w:p>
        </w:tc>
        <w:tc>
          <w:tcPr>
            <w:tcW w:w="19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Simpson II</w:t>
            </w:r>
          </w:p>
        </w:tc>
      </w:tr>
      <w:tr>
        <w:trPr>
          <w:trHeight w:val="213"/>
        </w:trPr>
        <w:tc>
          <w:tcPr>
            <w:tcW w:w="3060" w:type="dxa"/>
            <w:vAlign w:val="bottom"/>
            <w:shd w:val="clear" w:color="auto" w:fill="CEFFE7"/>
          </w:tcPr>
          <w:p>
            <w:pPr>
              <w:jc w:val="center"/>
              <w:ind w:left="499"/>
              <w:spacing w:after="0"/>
              <w:rPr>
                <w:sz w:val="20"/>
                <w:szCs w:val="20"/>
                <w:color w:val="auto"/>
              </w:rPr>
            </w:pPr>
            <w:r>
              <w:rPr>
                <w:rFonts w:ascii="Arial" w:cs="Arial" w:eastAsia="Arial" w:hAnsi="Arial"/>
                <w:sz w:val="16"/>
                <w:szCs w:val="16"/>
                <w:color w:val="auto"/>
                <w:w w:val="99"/>
              </w:rPr>
              <w:t>2020-2022</w:t>
            </w: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w:t>
            </w:r>
          </w:p>
        </w:tc>
        <w:tc>
          <w:tcPr>
            <w:tcW w:w="1100" w:type="dxa"/>
            <w:vAlign w:val="bottom"/>
            <w:shd w:val="clear" w:color="auto" w:fill="CEFFE7"/>
          </w:tcPr>
          <w:p>
            <w:pPr>
              <w:ind w:left="40"/>
              <w:spacing w:after="0"/>
              <w:rPr>
                <w:sz w:val="20"/>
                <w:szCs w:val="20"/>
                <w:color w:val="auto"/>
              </w:rPr>
            </w:pPr>
            <w:r>
              <w:rPr>
                <w:rFonts w:ascii="Arial" w:cs="Arial" w:eastAsia="Arial" w:hAnsi="Arial"/>
                <w:sz w:val="16"/>
                <w:szCs w:val="16"/>
                <w:color w:val="auto"/>
              </w:rPr>
              <w:t>MW</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w:t>
            </w:r>
          </w:p>
        </w:tc>
        <w:tc>
          <w:tcPr>
            <w:tcW w:w="1120" w:type="dxa"/>
            <w:vAlign w:val="bottom"/>
            <w:shd w:val="clear" w:color="auto" w:fill="CEFFE7"/>
          </w:tcPr>
          <w:p>
            <w:pPr>
              <w:ind w:left="40"/>
              <w:spacing w:after="0"/>
              <w:rPr>
                <w:sz w:val="20"/>
                <w:szCs w:val="20"/>
                <w:color w:val="auto"/>
              </w:rPr>
            </w:pPr>
            <w:r>
              <w:rPr>
                <w:rFonts w:ascii="Arial" w:cs="Arial" w:eastAsia="Arial" w:hAnsi="Arial"/>
                <w:sz w:val="16"/>
                <w:szCs w:val="16"/>
                <w:color w:val="auto"/>
              </w:rPr>
              <w:t>MW</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w:t>
            </w:r>
          </w:p>
        </w:tc>
        <w:tc>
          <w:tcPr>
            <w:tcW w:w="980" w:type="dxa"/>
            <w:vAlign w:val="bottom"/>
            <w:shd w:val="clear" w:color="auto" w:fill="CEFFE7"/>
          </w:tcPr>
          <w:p>
            <w:pPr>
              <w:ind w:left="40"/>
              <w:spacing w:after="0"/>
              <w:rPr>
                <w:sz w:val="20"/>
                <w:szCs w:val="20"/>
                <w:color w:val="auto"/>
              </w:rPr>
            </w:pPr>
            <w:r>
              <w:rPr>
                <w:rFonts w:ascii="Arial" w:cs="Arial" w:eastAsia="Arial" w:hAnsi="Arial"/>
                <w:sz w:val="16"/>
                <w:szCs w:val="16"/>
                <w:color w:val="auto"/>
              </w:rPr>
              <w:t>MW</w:t>
            </w:r>
          </w:p>
        </w:tc>
      </w:tr>
      <w:tr>
        <w:trPr>
          <w:trHeight w:val="213"/>
        </w:trPr>
        <w:tc>
          <w:tcPr>
            <w:tcW w:w="3060" w:type="dxa"/>
            <w:vAlign w:val="bottom"/>
          </w:tcPr>
          <w:p>
            <w:pPr>
              <w:jc w:val="center"/>
              <w:ind w:left="499"/>
              <w:spacing w:after="0"/>
              <w:rPr>
                <w:sz w:val="20"/>
                <w:szCs w:val="20"/>
                <w:color w:val="auto"/>
              </w:rPr>
            </w:pPr>
            <w:r>
              <w:rPr>
                <w:rFonts w:ascii="Arial" w:cs="Arial" w:eastAsia="Arial" w:hAnsi="Arial"/>
                <w:sz w:val="16"/>
                <w:szCs w:val="16"/>
                <w:color w:val="auto"/>
                <w:w w:val="99"/>
              </w:rPr>
              <w:t>2022-2023</w:t>
            </w:r>
          </w:p>
        </w:tc>
        <w:tc>
          <w:tcPr>
            <w:tcW w:w="1500" w:type="dxa"/>
            <w:vAlign w:val="bottom"/>
          </w:tcPr>
          <w:p>
            <w:pPr>
              <w:jc w:val="right"/>
              <w:spacing w:after="0"/>
              <w:rPr>
                <w:sz w:val="20"/>
                <w:szCs w:val="20"/>
                <w:color w:val="auto"/>
              </w:rPr>
            </w:pPr>
            <w:r>
              <w:rPr>
                <w:rFonts w:ascii="Arial" w:cs="Arial" w:eastAsia="Arial" w:hAnsi="Arial"/>
                <w:sz w:val="16"/>
                <w:szCs w:val="16"/>
                <w:color w:val="auto"/>
              </w:rPr>
              <w:t>15</w:t>
            </w:r>
          </w:p>
        </w:tc>
        <w:tc>
          <w:tcPr>
            <w:tcW w:w="1100" w:type="dxa"/>
            <w:vAlign w:val="bottom"/>
          </w:tcPr>
          <w:p>
            <w:pPr>
              <w:ind w:left="40"/>
              <w:spacing w:after="0"/>
              <w:rPr>
                <w:sz w:val="20"/>
                <w:szCs w:val="20"/>
                <w:color w:val="auto"/>
              </w:rPr>
            </w:pPr>
            <w:r>
              <w:rPr>
                <w:rFonts w:ascii="Arial" w:cs="Arial" w:eastAsia="Arial" w:hAnsi="Arial"/>
                <w:sz w:val="16"/>
                <w:szCs w:val="16"/>
                <w:color w:val="auto"/>
              </w:rPr>
              <w:t>MW</w:t>
            </w: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1120" w:type="dxa"/>
            <w:vAlign w:val="bottom"/>
          </w:tcPr>
          <w:p>
            <w:pPr>
              <w:ind w:left="40"/>
              <w:spacing w:after="0"/>
              <w:rPr>
                <w:sz w:val="20"/>
                <w:szCs w:val="20"/>
                <w:color w:val="auto"/>
              </w:rPr>
            </w:pPr>
            <w:r>
              <w:rPr>
                <w:rFonts w:ascii="Arial" w:cs="Arial" w:eastAsia="Arial" w:hAnsi="Arial"/>
                <w:sz w:val="16"/>
                <w:szCs w:val="16"/>
                <w:color w:val="auto"/>
              </w:rPr>
              <w:t>MW</w:t>
            </w: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980" w:type="dxa"/>
            <w:vAlign w:val="bottom"/>
          </w:tcPr>
          <w:p>
            <w:pPr>
              <w:ind w:left="40"/>
              <w:spacing w:after="0"/>
              <w:rPr>
                <w:sz w:val="20"/>
                <w:szCs w:val="20"/>
                <w:color w:val="auto"/>
              </w:rPr>
            </w:pPr>
            <w:r>
              <w:rPr>
                <w:rFonts w:ascii="Arial" w:cs="Arial" w:eastAsia="Arial" w:hAnsi="Arial"/>
                <w:sz w:val="16"/>
                <w:szCs w:val="16"/>
                <w:color w:val="auto"/>
              </w:rPr>
              <w:t>MW</w:t>
            </w:r>
          </w:p>
        </w:tc>
      </w:tr>
      <w:tr>
        <w:trPr>
          <w:trHeight w:val="219"/>
        </w:trPr>
        <w:tc>
          <w:tcPr>
            <w:tcW w:w="3060" w:type="dxa"/>
            <w:vAlign w:val="bottom"/>
            <w:shd w:val="clear" w:color="auto" w:fill="CEFFE7"/>
          </w:tcPr>
          <w:p>
            <w:pPr>
              <w:jc w:val="center"/>
              <w:ind w:left="499"/>
              <w:spacing w:after="0"/>
              <w:rPr>
                <w:sz w:val="20"/>
                <w:szCs w:val="20"/>
                <w:color w:val="auto"/>
              </w:rPr>
            </w:pPr>
            <w:r>
              <w:rPr>
                <w:rFonts w:ascii="Arial" w:cs="Arial" w:eastAsia="Arial" w:hAnsi="Arial"/>
                <w:sz w:val="16"/>
                <w:szCs w:val="16"/>
                <w:color w:val="auto"/>
                <w:w w:val="99"/>
              </w:rPr>
              <w:t>2023-2028</w:t>
            </w: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w:t>
            </w:r>
          </w:p>
        </w:tc>
        <w:tc>
          <w:tcPr>
            <w:tcW w:w="1100" w:type="dxa"/>
            <w:vAlign w:val="bottom"/>
            <w:shd w:val="clear" w:color="auto" w:fill="CEFFE7"/>
          </w:tcPr>
          <w:p>
            <w:pPr>
              <w:ind w:left="40"/>
              <w:spacing w:after="0"/>
              <w:rPr>
                <w:sz w:val="20"/>
                <w:szCs w:val="20"/>
                <w:color w:val="auto"/>
              </w:rPr>
            </w:pPr>
            <w:r>
              <w:rPr>
                <w:rFonts w:ascii="Arial" w:cs="Arial" w:eastAsia="Arial" w:hAnsi="Arial"/>
                <w:sz w:val="16"/>
                <w:szCs w:val="16"/>
                <w:color w:val="auto"/>
              </w:rPr>
              <w:t>MW</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w:t>
            </w:r>
          </w:p>
        </w:tc>
        <w:tc>
          <w:tcPr>
            <w:tcW w:w="1120" w:type="dxa"/>
            <w:vAlign w:val="bottom"/>
            <w:shd w:val="clear" w:color="auto" w:fill="CEFFE7"/>
          </w:tcPr>
          <w:p>
            <w:pPr>
              <w:ind w:left="40"/>
              <w:spacing w:after="0"/>
              <w:rPr>
                <w:sz w:val="20"/>
                <w:szCs w:val="20"/>
                <w:color w:val="auto"/>
              </w:rPr>
            </w:pPr>
            <w:r>
              <w:rPr>
                <w:rFonts w:ascii="Arial" w:cs="Arial" w:eastAsia="Arial" w:hAnsi="Arial"/>
                <w:sz w:val="16"/>
                <w:szCs w:val="16"/>
                <w:color w:val="auto"/>
              </w:rPr>
              <w:t>MW</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w:t>
            </w:r>
          </w:p>
        </w:tc>
        <w:tc>
          <w:tcPr>
            <w:tcW w:w="980" w:type="dxa"/>
            <w:vAlign w:val="bottom"/>
            <w:shd w:val="clear" w:color="auto" w:fill="CEFFE7"/>
          </w:tcPr>
          <w:p>
            <w:pPr>
              <w:ind w:left="40"/>
              <w:spacing w:after="0"/>
              <w:rPr>
                <w:sz w:val="20"/>
                <w:szCs w:val="20"/>
                <w:color w:val="auto"/>
              </w:rPr>
            </w:pPr>
            <w:r>
              <w:rPr>
                <w:rFonts w:ascii="Arial" w:cs="Arial" w:eastAsia="Arial" w:hAnsi="Arial"/>
                <w:sz w:val="16"/>
                <w:szCs w:val="16"/>
                <w:color w:val="auto"/>
              </w:rPr>
              <w:t>MW</w:t>
            </w:r>
          </w:p>
        </w:tc>
      </w:tr>
    </w:tbl>
    <w:p>
      <w:pPr>
        <w:spacing w:after="0" w:line="339" w:lineRule="exact"/>
        <w:rPr>
          <w:sz w:val="20"/>
          <w:szCs w:val="20"/>
          <w:color w:val="auto"/>
        </w:rPr>
      </w:pPr>
    </w:p>
    <w:p>
      <w:pPr>
        <w:ind w:left="660" w:right="80" w:hanging="328"/>
        <w:spacing w:after="0" w:line="260"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South Dakota Electric had an agreement that expired December 31, 2021 to provide 50 MW of energy to Macquarie Energy, LLC during heavy and light load timing intervals.</w:t>
      </w:r>
    </w:p>
    <w:p>
      <w:pPr>
        <w:spacing w:after="0" w:line="222" w:lineRule="exact"/>
        <w:rPr>
          <w:rFonts w:ascii="Arial" w:cs="Arial" w:eastAsia="Arial" w:hAnsi="Arial"/>
          <w:sz w:val="16"/>
          <w:szCs w:val="16"/>
          <w:color w:val="auto"/>
        </w:rPr>
      </w:pPr>
    </w:p>
    <w:p>
      <w:pPr>
        <w:ind w:left="660" w:hanging="328"/>
        <w:spacing w:after="0" w:line="251"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Black Hills Wyoming sold its CTII 40 MW natural gas-fired generating unit to the City of Gillette, Wyoming on September 3, 2014. Under the terms of the sale, Black Hills Wyoming entered into ancillary agreements to operate CTII, provide use of shared facilities including a ground lease and dispatch generation services. In addition, the agreement includes a 20-year Economy Energy PSA that contains a sharing arrangement in which the parties share the savings of wholesale power purchases made when market power prices are less than the cost of operating the generating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Agreements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Lessee</w:t>
      </w:r>
    </w:p>
    <w:p>
      <w:pPr>
        <w:spacing w:after="0" w:line="248"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auto"/>
        </w:rPr>
        <w:t>We lease from third parties certain office and operation center facilities, communication tower sites, equipment and materials storage. Our leases have remaining terms ranging from less than one year to 34 years, including options to extend that are reasonably certain to be exercised. Our operating and finance leases were not material to the Company’s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Lessor</w:t>
      </w:r>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lease to third parties certain generating station ground leases, communication tower sites and a natural gas pipeline. These leases have remaining terms ranging from less than one year to 34 years. Lease revenue was not material for the years ended December 31, 2021, 2020 and 2019.</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scheduled maturities of operating lease payments to be received in future years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000" w:type="dxa"/>
            <w:vAlign w:val="bottom"/>
            <w:tcBorders>
              <w:bottom w:val="single" w:sz="8" w:color="CEFFE7"/>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Operating Leases</w:t>
            </w:r>
          </w:p>
        </w:tc>
      </w:tr>
      <w:tr>
        <w:trPr>
          <w:trHeight w:val="213"/>
        </w:trPr>
        <w:tc>
          <w:tcPr>
            <w:tcW w:w="900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2022</w:t>
            </w:r>
          </w:p>
        </w:tc>
        <w:tc>
          <w:tcPr>
            <w:tcW w:w="30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2,173</w:t>
            </w:r>
          </w:p>
        </w:tc>
      </w:tr>
      <w:tr>
        <w:trPr>
          <w:trHeight w:val="213"/>
        </w:trPr>
        <w:tc>
          <w:tcPr>
            <w:tcW w:w="9000" w:type="dxa"/>
            <w:vAlign w:val="bottom"/>
          </w:tcPr>
          <w:p>
            <w:pPr>
              <w:ind w:left="20"/>
              <w:spacing w:after="0"/>
              <w:rPr>
                <w:sz w:val="20"/>
                <w:szCs w:val="20"/>
                <w:color w:val="auto"/>
              </w:rPr>
            </w:pPr>
            <w:r>
              <w:rPr>
                <w:rFonts w:ascii="Arial" w:cs="Arial" w:eastAsia="Arial" w:hAnsi="Arial"/>
                <w:sz w:val="16"/>
                <w:szCs w:val="16"/>
                <w:color w:val="auto"/>
              </w:rPr>
              <w:t>2023</w:t>
            </w: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2,204</w:t>
            </w:r>
          </w:p>
        </w:tc>
      </w:tr>
      <w:tr>
        <w:trPr>
          <w:trHeight w:val="219"/>
        </w:trPr>
        <w:tc>
          <w:tcPr>
            <w:tcW w:w="900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2024</w:t>
            </w:r>
          </w:p>
        </w:tc>
        <w:tc>
          <w:tcPr>
            <w:tcW w:w="300" w:type="dxa"/>
            <w:vAlign w:val="bottom"/>
            <w:shd w:val="clear" w:color="auto" w:fill="CEFFE7"/>
          </w:tcPr>
          <w:p>
            <w:pPr>
              <w:spacing w:after="0"/>
              <w:rPr>
                <w:sz w:val="19"/>
                <w:szCs w:val="19"/>
                <w:color w:val="auto"/>
              </w:rPr>
            </w:pP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2,125</w:t>
            </w:r>
          </w:p>
        </w:tc>
      </w:tr>
      <w:tr>
        <w:trPr>
          <w:trHeight w:val="213"/>
        </w:trPr>
        <w:tc>
          <w:tcPr>
            <w:tcW w:w="9000" w:type="dxa"/>
            <w:vAlign w:val="bottom"/>
          </w:tcPr>
          <w:p>
            <w:pPr>
              <w:ind w:left="20"/>
              <w:spacing w:after="0"/>
              <w:rPr>
                <w:sz w:val="20"/>
                <w:szCs w:val="20"/>
                <w:color w:val="auto"/>
              </w:rPr>
            </w:pPr>
            <w:r>
              <w:rPr>
                <w:rFonts w:ascii="Arial" w:cs="Arial" w:eastAsia="Arial" w:hAnsi="Arial"/>
                <w:sz w:val="16"/>
                <w:szCs w:val="16"/>
                <w:color w:val="auto"/>
              </w:rPr>
              <w:t>2025</w:t>
            </w: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2,070</w:t>
            </w:r>
          </w:p>
        </w:tc>
      </w:tr>
      <w:tr>
        <w:trPr>
          <w:trHeight w:val="219"/>
        </w:trPr>
        <w:tc>
          <w:tcPr>
            <w:tcW w:w="900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2026</w:t>
            </w:r>
          </w:p>
        </w:tc>
        <w:tc>
          <w:tcPr>
            <w:tcW w:w="300" w:type="dxa"/>
            <w:vAlign w:val="bottom"/>
            <w:shd w:val="clear" w:color="auto" w:fill="CEFFE7"/>
          </w:tcPr>
          <w:p>
            <w:pPr>
              <w:spacing w:after="0"/>
              <w:rPr>
                <w:sz w:val="19"/>
                <w:szCs w:val="19"/>
                <w:color w:val="auto"/>
              </w:rPr>
            </w:pP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1,881</w:t>
            </w:r>
          </w:p>
        </w:tc>
      </w:tr>
      <w:tr>
        <w:trPr>
          <w:trHeight w:val="213"/>
        </w:trPr>
        <w:tc>
          <w:tcPr>
            <w:tcW w:w="90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51,233</w:t>
            </w:r>
          </w:p>
        </w:tc>
      </w:tr>
      <w:tr>
        <w:trPr>
          <w:trHeight w:val="238"/>
        </w:trPr>
        <w:tc>
          <w:tcPr>
            <w:tcW w:w="90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lease receivables</w:t>
            </w:r>
          </w:p>
        </w:tc>
        <w:tc>
          <w:tcPr>
            <w:tcW w:w="30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61,686</w:t>
            </w:r>
          </w:p>
        </w:tc>
      </w:tr>
      <w:tr>
        <w:trPr>
          <w:trHeight w:val="20"/>
        </w:trPr>
        <w:tc>
          <w:tcPr>
            <w:tcW w:w="900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940" w:type="dxa"/>
            <w:vAlign w:val="bottom"/>
            <w:tcBorders>
              <w:top w:val="single" w:sz="8" w:color="CEFFE7"/>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26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are subject to costs resulting from a number of federal, state and local laws and regulations which affect future planning and existing operations. Laws and regulations can result in increased capital expenditures, operating and other costs as a result of compliance, remediation and monitoring obligations. Due to the environmental issues discussed below, we may be required to modify, curtail, replace or cease operating certain facilities or operations to comply with statutes, regulations and other requirements of regulatory bodies.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Reclamation Liability</w:t>
      </w:r>
    </w:p>
    <w:p>
      <w:pPr>
        <w:spacing w:after="0" w:line="26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For our Pueblo Airport Generation site, we posted a bond of $4.1 million with the State of Colorado to cover the costs of remediation for a waste water containment pond permitted to provide wastewater storage and processing for this zero discharge facility. The reclamation liability is recorded at the present value of the estimated future cost to reclaim the land.</w:t>
      </w:r>
    </w:p>
    <w:p>
      <w:pPr>
        <w:spacing w:after="0" w:line="22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Under our land leases for our wind generation facilities, we are required to reclaim land where we have placed wind turbines. The reclamation liabilities are recorded at the present value of the estimated future cost to reclaim the land.</w:t>
      </w:r>
    </w:p>
    <w:p>
      <w:pPr>
        <w:spacing w:after="0" w:line="222"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Under its mining permit, WRDC is required to reclaim all land where it has mined reserves. The reclamation liability is recorded at the present value of the estimated future cost to reclaim the land.</w:t>
      </w:r>
    </w:p>
    <w:p>
      <w:pPr>
        <w:spacing w:after="0" w:line="222"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87">
        <w:r>
          <w:rPr>
            <w:rFonts w:ascii="Arial" w:cs="Arial" w:eastAsia="Arial" w:hAnsi="Arial"/>
            <w:sz w:val="16"/>
            <w:szCs w:val="16"/>
            <w:u w:val="single" w:color="auto"/>
            <w:color w:val="0000FF"/>
          </w:rPr>
          <w:t>Note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Manufactured Gas Processing</w:t>
      </w:r>
    </w:p>
    <w:p>
      <w:pPr>
        <w:spacing w:after="0" w:line="264" w:lineRule="exact"/>
        <w:rPr>
          <w:sz w:val="20"/>
          <w:szCs w:val="20"/>
          <w:color w:val="auto"/>
        </w:rPr>
      </w:pPr>
    </w:p>
    <w:p>
      <w:pPr>
        <w:jc w:val="both"/>
        <w:ind w:right="20"/>
        <w:spacing w:after="0" w:line="251" w:lineRule="auto"/>
        <w:rPr>
          <w:rFonts w:ascii="Arial" w:cs="Arial" w:eastAsia="Arial" w:hAnsi="Arial"/>
          <w:sz w:val="16"/>
          <w:szCs w:val="16"/>
          <w:color w:val="0000FF"/>
        </w:rPr>
      </w:pPr>
      <w:r>
        <w:rPr>
          <w:rFonts w:ascii="Arial" w:cs="Arial" w:eastAsia="Arial" w:hAnsi="Arial"/>
          <w:sz w:val="16"/>
          <w:szCs w:val="16"/>
          <w:color w:val="auto"/>
        </w:rPr>
        <w:t xml:space="preserve">In 2008, we acquired whole and partial liabilities for former manufactured gas processing sites in Nebraska and Iowa, which were previously used to convert coal to natural gas. The acquisition provided for an insurance recovery, now valued at $1.2 million recorded in Other assets, non-current on our Consolidated Balance Sheets, which will be used to help offset remediation costs. We also have a $1.4 million regulatory asset for manufactured gas processing sites; see </w:t>
      </w:r>
      <w:hyperlink w:anchor="page74">
        <w:r>
          <w:rPr>
            <w:rFonts w:ascii="Arial" w:cs="Arial" w:eastAsia="Arial" w:hAnsi="Arial"/>
            <w:sz w:val="16"/>
            <w:szCs w:val="16"/>
            <w:u w:val="single" w:color="auto"/>
            <w:color w:val="0000FF"/>
          </w:rPr>
          <w:t>Note 2</w:t>
        </w:r>
        <w:r>
          <w:rPr>
            <w:rFonts w:ascii="Arial" w:cs="Arial" w:eastAsia="Arial" w:hAnsi="Arial"/>
            <w:sz w:val="16"/>
            <w:szCs w:val="16"/>
            <w:color w:val="0000FF"/>
          </w:rPr>
          <w:t xml:space="preserve"> </w:t>
        </w:r>
      </w:hyperlink>
      <w:r>
        <w:rPr>
          <w:rFonts w:ascii="Arial" w:cs="Arial" w:eastAsia="Arial" w:hAnsi="Arial"/>
          <w:sz w:val="16"/>
          <w:szCs w:val="16"/>
          <w:color w:val="000000"/>
        </w:rPr>
        <w:t>for</w:t>
      </w:r>
      <w:r>
        <w:rPr>
          <w:rFonts w:ascii="Arial" w:cs="Arial" w:eastAsia="Arial" w:hAnsi="Arial"/>
          <w:sz w:val="16"/>
          <w:szCs w:val="16"/>
          <w:color w:val="0000FF"/>
        </w:rPr>
        <w:t xml:space="preserve"> </w:t>
      </w:r>
      <w:r>
        <w:rPr>
          <w:rFonts w:ascii="Arial" w:cs="Arial" w:eastAsia="Arial" w:hAnsi="Arial"/>
          <w:sz w:val="16"/>
          <w:szCs w:val="16"/>
          <w:color w:val="000000"/>
        </w:rPr>
        <w:t>additional information.</w:t>
      </w:r>
    </w:p>
    <w:p>
      <w:pPr>
        <w:spacing w:after="0" w:line="22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As of December 31, 2021, we had $2.6 million accrued for remediation of Iowa’s manufactured gas processing site as the landowner. As of December 31, 2021, we had $0.6 million accrued for remediation of Nebraska’s manufactured gas processing site as the land owner. These liabilities are included in Other deferred credits and other liabilities on our Consolidated Balance Sheets. The remediation cost estimate could change materially due to results of further investigations, actions of environmental agencies or the financial viability of other responsible parties.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6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In the normal course of business, we are subject to various lawsuits, actions, proceedings, claims and other matters asserted under laws and regulations. We believe the amounts provided in the consolidated financial statements to satisfy alleged liabilities are adequate in light of the probable and estimable contingencies. However, there can be no assurance that the actual amounts required to satisfy alleged liabilities from various legal proceedings, claims and other matters discussed, and to comply with applicable laws and regulations will not exceed the amounts reflected in the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record gain contingencies when realized, and expected recoveries under applicable insurance contracts when we are assured of recovery.</w:t>
      </w:r>
    </w:p>
    <w:p>
      <w:pPr>
        <w:spacing w:after="0" w:line="24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In the normal course of business, we enter into agreements that include indemnification in favor of third parties, such as information technology agreements, purchase and sale agreements and lease contracts. We have also agreed to indemnify our directors, officers and employees in accordance with our articles of incorporation, as amended. Certain agreements do not contain any limits on our liability and therefore, it is not possible to estimate our potential liability under these indemnifications. In certain cases, we have recourse against third parties with respect to these indemnities. Further, we maintain insurance policies that may provide coverage against certain claims under these indemnities.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268"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We have entered into various parent company-level guarantees providing financial or performance assurance to third parties on behalf of certain of our subsidiaries. These guarantees do not represent incremental consolidated obligations, but rather, represent guarantees of subsidiary obligations to allow those subsidiaries to conduct business without posting other forms of assurance. The agreements, which are off-balance sheet commitments, include support for business operations, indemnification for reclamation and surety bonds. The guarantees were entered into in the normal course of business. To the extent liabilities are incurred as a result of activities covered by these guarantees, such liabilities are included in our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00" w:type="dxa"/>
            <w:vAlign w:val="bottom"/>
          </w:tcPr>
          <w:p>
            <w:pPr>
              <w:spacing w:after="0"/>
              <w:rPr>
                <w:sz w:val="20"/>
                <w:szCs w:val="20"/>
                <w:color w:val="auto"/>
              </w:rPr>
            </w:pPr>
            <w:r>
              <w:rPr>
                <w:rFonts w:ascii="Arial" w:cs="Arial" w:eastAsia="Arial" w:hAnsi="Arial"/>
                <w:sz w:val="16"/>
                <w:szCs w:val="16"/>
                <w:color w:val="auto"/>
              </w:rPr>
              <w:t>See Note 8 for additional information on our off-balance sheet Letters of Credit commitment.</w:t>
            </w: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432"/>
        </w:trPr>
        <w:tc>
          <w:tcPr>
            <w:tcW w:w="9000" w:type="dxa"/>
            <w:vAlign w:val="bottom"/>
          </w:tcPr>
          <w:p>
            <w:pPr>
              <w:spacing w:after="0"/>
              <w:rPr>
                <w:sz w:val="20"/>
                <w:szCs w:val="20"/>
                <w:color w:val="auto"/>
              </w:rPr>
            </w:pPr>
            <w:r>
              <w:rPr>
                <w:rFonts w:ascii="Arial" w:cs="Arial" w:eastAsia="Arial" w:hAnsi="Arial"/>
                <w:sz w:val="16"/>
                <w:szCs w:val="16"/>
                <w:color w:val="auto"/>
              </w:rPr>
              <w:t>We had the following guarantees in place as of (in thousands):</w:t>
            </w: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24"/>
        </w:trPr>
        <w:tc>
          <w:tcPr>
            <w:tcW w:w="9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jc w:val="right"/>
              <w:ind w:right="239"/>
              <w:spacing w:after="0"/>
              <w:rPr>
                <w:sz w:val="20"/>
                <w:szCs w:val="20"/>
                <w:color w:val="auto"/>
              </w:rPr>
            </w:pPr>
            <w:r>
              <w:rPr>
                <w:rFonts w:ascii="Arial" w:cs="Arial" w:eastAsia="Arial" w:hAnsi="Arial"/>
                <w:sz w:val="16"/>
                <w:szCs w:val="16"/>
                <w:color w:val="auto"/>
              </w:rPr>
              <w:t>Maximum Exposure at</w:t>
            </w:r>
          </w:p>
        </w:tc>
      </w:tr>
      <w:tr>
        <w:trPr>
          <w:trHeight w:val="219"/>
        </w:trPr>
        <w:tc>
          <w:tcPr>
            <w:tcW w:w="9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Nature of Guarantee</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December 31, 2021</w:t>
            </w:r>
          </w:p>
        </w:tc>
      </w:tr>
      <w:tr>
        <w:trPr>
          <w:trHeight w:val="213"/>
        </w:trPr>
        <w:tc>
          <w:tcPr>
            <w:tcW w:w="9000" w:type="dxa"/>
            <w:vAlign w:val="bottom"/>
            <w:shd w:val="clear" w:color="auto" w:fill="CEFEE7"/>
          </w:tcPr>
          <w:p>
            <w:pPr>
              <w:ind w:left="20"/>
              <w:spacing w:after="0"/>
              <w:rPr>
                <w:sz w:val="20"/>
                <w:szCs w:val="20"/>
                <w:color w:val="auto"/>
              </w:rPr>
            </w:pPr>
            <w:r>
              <w:rPr>
                <w:rFonts w:ascii="Arial" w:cs="Arial" w:eastAsia="Arial" w:hAnsi="Arial"/>
                <w:sz w:val="16"/>
                <w:szCs w:val="16"/>
                <w:color w:val="auto"/>
              </w:rPr>
              <w:t>Indemnification for reclamation/surety bonds</w:t>
            </w:r>
          </w:p>
        </w:tc>
        <w:tc>
          <w:tcPr>
            <w:tcW w:w="220" w:type="dxa"/>
            <w:vAlign w:val="bottom"/>
            <w:shd w:val="clear" w:color="auto" w:fill="CEFEE7"/>
          </w:tcPr>
          <w:p>
            <w:pPr>
              <w:jc w:val="right"/>
              <w:ind w:right="39"/>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55,867</w:t>
            </w:r>
          </w:p>
        </w:tc>
      </w:tr>
      <w:tr>
        <w:trPr>
          <w:trHeight w:val="213"/>
        </w:trPr>
        <w:tc>
          <w:tcPr>
            <w:tcW w:w="9000" w:type="dxa"/>
            <w:vAlign w:val="bottom"/>
            <w:tcBorders>
              <w:bottom w:val="single" w:sz="8" w:color="CEFEE7"/>
            </w:tcBorders>
          </w:tcPr>
          <w:p>
            <w:pPr>
              <w:ind w:left="20"/>
              <w:spacing w:after="0"/>
              <w:rPr>
                <w:sz w:val="20"/>
                <w:szCs w:val="20"/>
                <w:color w:val="auto"/>
              </w:rPr>
            </w:pPr>
            <w:r>
              <w:rPr>
                <w:rFonts w:ascii="Arial" w:cs="Arial" w:eastAsia="Arial" w:hAnsi="Arial"/>
                <w:sz w:val="16"/>
                <w:szCs w:val="16"/>
                <w:color w:val="auto"/>
              </w:rPr>
              <w:t>Guarantees supporting business transactions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370,558</w:t>
            </w:r>
          </w:p>
        </w:tc>
      </w:tr>
      <w:tr>
        <w:trPr>
          <w:trHeight w:val="234"/>
        </w:trPr>
        <w:tc>
          <w:tcPr>
            <w:tcW w:w="9000" w:type="dxa"/>
            <w:vAlign w:val="bottom"/>
            <w:tcBorders>
              <w:bottom w:val="single" w:sz="8" w:color="CEFEE7"/>
            </w:tcBorders>
            <w:shd w:val="clear" w:color="auto" w:fill="CEFEE7"/>
          </w:tcPr>
          <w:p>
            <w:pPr>
              <w:spacing w:after="0"/>
              <w:rPr>
                <w:sz w:val="19"/>
                <w:szCs w:val="19"/>
                <w:color w:val="auto"/>
              </w:rPr>
            </w:pPr>
          </w:p>
        </w:tc>
        <w:tc>
          <w:tcPr>
            <w:tcW w:w="220" w:type="dxa"/>
            <w:vAlign w:val="bottom"/>
            <w:tcBorders>
              <w:bottom w:val="single" w:sz="8" w:color="auto"/>
            </w:tcBorders>
            <w:shd w:val="clear" w:color="auto" w:fill="CEFEE7"/>
          </w:tcPr>
          <w:p>
            <w:pPr>
              <w:jc w:val="right"/>
              <w:ind w:right="3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426,425</w:t>
            </w:r>
          </w:p>
        </w:tc>
      </w:tr>
      <w:tr>
        <w:trPr>
          <w:trHeight w:val="20"/>
        </w:trPr>
        <w:tc>
          <w:tcPr>
            <w:tcW w:w="9000" w:type="dxa"/>
            <w:vAlign w:val="bottom"/>
            <w:tcBorders>
              <w:top w:val="single" w:sz="8" w:color="CEFEE7"/>
            </w:tcBorders>
          </w:tcPr>
          <w:p>
            <w:pPr>
              <w:spacing w:after="0" w:line="20" w:lineRule="exact"/>
              <w:rPr>
                <w:sz w:val="1"/>
                <w:szCs w:val="1"/>
                <w:color w:val="auto"/>
              </w:rPr>
            </w:pPr>
          </w:p>
        </w:tc>
        <w:tc>
          <w:tcPr>
            <w:tcW w:w="220" w:type="dxa"/>
            <w:vAlign w:val="bottom"/>
            <w:tcBorders>
              <w:top w:val="single" w:sz="8" w:color="CEFEE7"/>
              <w:bottom w:val="single" w:sz="8" w:color="auto"/>
            </w:tcBorders>
          </w:tcPr>
          <w:p>
            <w:pPr>
              <w:spacing w:after="0" w:line="20" w:lineRule="exact"/>
              <w:rPr>
                <w:sz w:val="1"/>
                <w:szCs w:val="1"/>
                <w:color w:val="auto"/>
              </w:rPr>
            </w:pPr>
          </w:p>
        </w:tc>
        <w:tc>
          <w:tcPr>
            <w:tcW w:w="2020" w:type="dxa"/>
            <w:vAlign w:val="bottom"/>
            <w:tcBorders>
              <w:top w:val="single" w:sz="8" w:color="CEFE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268"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years ended December 31, 2021, 2020 and 2019. Sales tax and other similar taxes are excluded from revenues.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color w:val="auto"/>
              </w:rPr>
              <w:t>Inter-company</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8"/>
        </w:trPr>
        <w:tc>
          <w:tcPr>
            <w:tcW w:w="43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Year ended December 31, 2021</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Electric Utilities</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Gas Utilities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9"/>
              </w:rPr>
              <w:t>Revenues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Total</w:t>
            </w:r>
          </w:p>
        </w:tc>
      </w:tr>
      <w:tr>
        <w:trPr>
          <w:trHeight w:val="172"/>
        </w:trPr>
        <w:tc>
          <w:tcPr>
            <w:tcW w:w="4340" w:type="dxa"/>
            <w:vAlign w:val="bottom"/>
            <w:gridSpan w:val="4"/>
          </w:tcPr>
          <w:p>
            <w:pPr>
              <w:ind w:left="20"/>
              <w:spacing w:after="0" w:line="172" w:lineRule="exact"/>
              <w:rPr>
                <w:sz w:val="20"/>
                <w:szCs w:val="20"/>
                <w:color w:val="auto"/>
              </w:rPr>
            </w:pPr>
            <w:r>
              <w:rPr>
                <w:rFonts w:ascii="Arial" w:cs="Arial" w:eastAsia="Arial" w:hAnsi="Arial"/>
                <w:sz w:val="16"/>
                <w:szCs w:val="16"/>
                <w:color w:val="auto"/>
              </w:rPr>
              <w:t>Customer types:</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3"/>
          </w:tcPr>
          <w:p>
            <w:pPr>
              <w:jc w:val="right"/>
              <w:ind w:right="1119"/>
              <w:spacing w:after="0" w:line="172" w:lineRule="exact"/>
              <w:rPr>
                <w:sz w:val="20"/>
                <w:szCs w:val="20"/>
                <w:color w:val="auto"/>
              </w:rPr>
            </w:pPr>
            <w:r>
              <w:rPr>
                <w:rFonts w:ascii="Arial" w:cs="Arial" w:eastAsia="Arial" w:hAnsi="Arial"/>
                <w:sz w:val="16"/>
                <w:szCs w:val="16"/>
                <w:color w:val="auto"/>
              </w:rPr>
              <w:t>(in thousands)</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711,448</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913,725</w:t>
            </w:r>
          </w:p>
        </w:tc>
        <w:tc>
          <w:tcPr>
            <w:tcW w:w="2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EFFE7"/>
          </w:tcPr>
          <w:p>
            <w:pPr>
              <w:ind w:left="1260"/>
              <w:spacing w:after="0"/>
              <w:rPr>
                <w:sz w:val="20"/>
                <w:szCs w:val="20"/>
                <w:color w:val="auto"/>
              </w:rPr>
            </w:pPr>
            <w:r>
              <w:rPr>
                <w:rFonts w:ascii="Arial" w:cs="Arial" w:eastAsia="Arial" w:hAnsi="Arial"/>
                <w:sz w:val="16"/>
                <w:szCs w:val="16"/>
                <w:color w:val="auto"/>
              </w:rPr>
              <w:t>— $</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1,625,173</w:t>
            </w:r>
          </w:p>
        </w:tc>
      </w:tr>
      <w:tr>
        <w:trPr>
          <w:trHeight w:val="213"/>
        </w:trPr>
        <w:tc>
          <w:tcPr>
            <w:tcW w:w="2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158,053</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(428)</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157,625</w:t>
            </w:r>
          </w:p>
        </w:tc>
      </w:tr>
      <w:tr>
        <w:trPr>
          <w:trHeight w:val="219"/>
        </w:trPr>
        <w:tc>
          <w:tcPr>
            <w:tcW w:w="20" w:type="dxa"/>
            <w:vAlign w:val="bottom"/>
            <w:shd w:val="clear" w:color="auto" w:fill="CEFFE7"/>
          </w:tcPr>
          <w:p>
            <w:pPr>
              <w:spacing w:after="0"/>
              <w:rPr>
                <w:sz w:val="19"/>
                <w:szCs w:val="19"/>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shd w:val="clear" w:color="auto" w:fill="CEFFE7"/>
          </w:tcPr>
          <w:p>
            <w:pPr>
              <w:spacing w:after="0"/>
              <w:rPr>
                <w:sz w:val="19"/>
                <w:szCs w:val="19"/>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30,848</w:t>
            </w:r>
          </w:p>
        </w:tc>
        <w:tc>
          <w:tcPr>
            <w:tcW w:w="300" w:type="dxa"/>
            <w:vAlign w:val="bottom"/>
            <w:shd w:val="clear" w:color="auto" w:fill="CEFFE7"/>
          </w:tcPr>
          <w:p>
            <w:pPr>
              <w:spacing w:after="0"/>
              <w:rPr>
                <w:sz w:val="19"/>
                <w:szCs w:val="19"/>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19"/>
                <w:szCs w:val="19"/>
                <w:color w:val="auto"/>
              </w:rPr>
            </w:pPr>
          </w:p>
        </w:tc>
        <w:tc>
          <w:tcPr>
            <w:tcW w:w="1500" w:type="dxa"/>
            <w:vAlign w:val="bottom"/>
            <w:shd w:val="clear" w:color="auto" w:fill="CEFFE7"/>
          </w:tcPr>
          <w:p>
            <w:pPr>
              <w:ind w:left="1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EFFE7"/>
          </w:tcPr>
          <w:p>
            <w:pPr>
              <w:spacing w:after="0"/>
              <w:rPr>
                <w:sz w:val="19"/>
                <w:szCs w:val="19"/>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30,848</w:t>
            </w:r>
          </w:p>
        </w:tc>
      </w:tr>
      <w:tr>
        <w:trPr>
          <w:trHeight w:val="213"/>
        </w:trPr>
        <w:tc>
          <w:tcPr>
            <w:tcW w:w="2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41,682</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396</w:t>
            </w:r>
          </w:p>
        </w:tc>
        <w:tc>
          <w:tcPr>
            <w:tcW w:w="24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42,078</w:t>
            </w:r>
          </w:p>
        </w:tc>
      </w:tr>
      <w:tr>
        <w:trPr>
          <w:trHeight w:val="216"/>
        </w:trPr>
        <w:tc>
          <w:tcPr>
            <w:tcW w:w="20" w:type="dxa"/>
            <w:vAlign w:val="bottom"/>
            <w:shd w:val="clear" w:color="auto" w:fill="CEFFE7"/>
          </w:tcPr>
          <w:p>
            <w:pPr>
              <w:spacing w:after="0"/>
              <w:rPr>
                <w:sz w:val="18"/>
                <w:szCs w:val="18"/>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52,945</w:t>
            </w:r>
          </w:p>
        </w:tc>
        <w:tc>
          <w:tcPr>
            <w:tcW w:w="30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39,365</w:t>
            </w:r>
          </w:p>
        </w:tc>
        <w:tc>
          <w:tcPr>
            <w:tcW w:w="240" w:type="dxa"/>
            <w:vAlign w:val="bottom"/>
            <w:tcBorders>
              <w:bottom w:val="single" w:sz="8" w:color="auto"/>
            </w:tcBorders>
            <w:shd w:val="clear" w:color="auto" w:fill="CEFFE7"/>
          </w:tcPr>
          <w:p>
            <w:pPr>
              <w:spacing w:after="0"/>
              <w:rPr>
                <w:sz w:val="18"/>
                <w:szCs w:val="18"/>
                <w:color w:val="auto"/>
              </w:rPr>
            </w:pP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(17,200)</w:t>
            </w:r>
          </w:p>
        </w:tc>
        <w:tc>
          <w:tcPr>
            <w:tcW w:w="40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75,110</w:t>
            </w:r>
          </w:p>
        </w:tc>
      </w:tr>
      <w:tr>
        <w:trPr>
          <w:trHeight w:val="210"/>
        </w:trPr>
        <w:tc>
          <w:tcPr>
            <w:tcW w:w="2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836,923</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1,111,539</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(17,628)</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1,930,834</w:t>
            </w:r>
          </w:p>
        </w:tc>
      </w:tr>
      <w:tr>
        <w:trPr>
          <w:trHeight w:val="216"/>
        </w:trPr>
        <w:tc>
          <w:tcPr>
            <w:tcW w:w="20" w:type="dxa"/>
            <w:vAlign w:val="bottom"/>
            <w:shd w:val="clear" w:color="auto" w:fill="CEFFE7"/>
          </w:tcPr>
          <w:p>
            <w:pPr>
              <w:spacing w:after="0"/>
              <w:rPr>
                <w:sz w:val="18"/>
                <w:szCs w:val="18"/>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5,335</w:t>
            </w:r>
          </w:p>
        </w:tc>
        <w:tc>
          <w:tcPr>
            <w:tcW w:w="30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13,326</w:t>
            </w:r>
          </w:p>
        </w:tc>
        <w:tc>
          <w:tcPr>
            <w:tcW w:w="240" w:type="dxa"/>
            <w:vAlign w:val="bottom"/>
            <w:tcBorders>
              <w:bottom w:val="single" w:sz="8" w:color="auto"/>
            </w:tcBorders>
            <w:shd w:val="clear" w:color="auto" w:fill="CEFFE7"/>
          </w:tcPr>
          <w:p>
            <w:pPr>
              <w:spacing w:after="0"/>
              <w:rPr>
                <w:sz w:val="18"/>
                <w:szCs w:val="18"/>
                <w:color w:val="auto"/>
              </w:rPr>
            </w:pP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(393)</w:t>
            </w:r>
          </w:p>
        </w:tc>
        <w:tc>
          <w:tcPr>
            <w:tcW w:w="40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18,268</w:t>
            </w:r>
          </w:p>
        </w:tc>
      </w:tr>
      <w:tr>
        <w:trPr>
          <w:trHeight w:val="213"/>
        </w:trPr>
        <w:tc>
          <w:tcPr>
            <w:tcW w:w="4340" w:type="dxa"/>
            <w:vAlign w:val="bottom"/>
            <w:gridSpan w:val="4"/>
          </w:tcPr>
          <w:p>
            <w:pPr>
              <w:ind w:left="2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842,258</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1,124,865</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(18,021)</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1,949,102</w:t>
            </w:r>
          </w:p>
        </w:tc>
      </w:tr>
      <w:tr>
        <w:trPr>
          <w:trHeight w:val="20"/>
        </w:trPr>
        <w:tc>
          <w:tcPr>
            <w:tcW w:w="20" w:type="dxa"/>
            <w:vAlign w:val="bottom"/>
            <w:tcBorders>
              <w:bottom w:val="single" w:sz="8" w:color="CEFFE7"/>
            </w:tcBorders>
          </w:tcPr>
          <w:p>
            <w:pPr>
              <w:spacing w:after="0" w:line="20" w:lineRule="exact"/>
              <w:rPr>
                <w:sz w:val="1"/>
                <w:szCs w:val="1"/>
                <w:color w:val="auto"/>
              </w:rPr>
            </w:pPr>
          </w:p>
        </w:tc>
        <w:tc>
          <w:tcPr>
            <w:tcW w:w="1180" w:type="dxa"/>
            <w:vAlign w:val="bottom"/>
            <w:tcBorders>
              <w:bottom w:val="single" w:sz="8" w:color="CEFFE7"/>
            </w:tcBorders>
          </w:tcPr>
          <w:p>
            <w:pPr>
              <w:spacing w:after="0" w:line="20" w:lineRule="exact"/>
              <w:rPr>
                <w:sz w:val="1"/>
                <w:szCs w:val="1"/>
                <w:color w:val="auto"/>
              </w:rPr>
            </w:pPr>
          </w:p>
        </w:tc>
        <w:tc>
          <w:tcPr>
            <w:tcW w:w="1000" w:type="dxa"/>
            <w:vAlign w:val="bottom"/>
            <w:tcBorders>
              <w:bottom w:val="single" w:sz="8" w:color="CEFFE7"/>
            </w:tcBorders>
          </w:tcPr>
          <w:p>
            <w:pPr>
              <w:spacing w:after="0" w:line="20" w:lineRule="exact"/>
              <w:rPr>
                <w:sz w:val="1"/>
                <w:szCs w:val="1"/>
                <w:color w:val="auto"/>
              </w:rPr>
            </w:pPr>
          </w:p>
        </w:tc>
        <w:tc>
          <w:tcPr>
            <w:tcW w:w="214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EFFE7"/>
          </w:tcPr>
          <w:p>
            <w:pPr>
              <w:spacing w:after="0"/>
              <w:rPr>
                <w:sz w:val="20"/>
                <w:szCs w:val="20"/>
                <w:color w:val="auto"/>
              </w:rPr>
            </w:pPr>
          </w:p>
        </w:tc>
        <w:tc>
          <w:tcPr>
            <w:tcW w:w="1180" w:type="dxa"/>
            <w:vAlign w:val="bottom"/>
            <w:shd w:val="clear" w:color="auto" w:fill="CEFFE7"/>
          </w:tcPr>
          <w:p>
            <w:pPr>
              <w:spacing w:after="0"/>
              <w:rPr>
                <w:sz w:val="20"/>
                <w:szCs w:val="20"/>
                <w:color w:val="auto"/>
              </w:rPr>
            </w:pPr>
          </w:p>
        </w:tc>
        <w:tc>
          <w:tcPr>
            <w:tcW w:w="1000" w:type="dxa"/>
            <w:vAlign w:val="bottom"/>
            <w:shd w:val="clear" w:color="auto" w:fill="CEFFE7"/>
          </w:tcPr>
          <w:p>
            <w:pPr>
              <w:spacing w:after="0"/>
              <w:rPr>
                <w:sz w:val="20"/>
                <w:szCs w:val="20"/>
                <w:color w:val="auto"/>
              </w:rPr>
            </w:pPr>
          </w:p>
        </w:tc>
        <w:tc>
          <w:tcPr>
            <w:tcW w:w="2140" w:type="dxa"/>
            <w:vAlign w:val="bottom"/>
            <w:shd w:val="clear" w:color="auto" w:fill="CEFFE7"/>
          </w:tcPr>
          <w:p>
            <w:pPr>
              <w:spacing w:after="0"/>
              <w:rPr>
                <w:sz w:val="20"/>
                <w:szCs w:val="20"/>
                <w:color w:val="auto"/>
              </w:rPr>
            </w:pPr>
          </w:p>
        </w:tc>
        <w:tc>
          <w:tcPr>
            <w:tcW w:w="220" w:type="dxa"/>
            <w:vAlign w:val="bottom"/>
            <w:shd w:val="clear" w:color="auto" w:fill="CEFFE7"/>
          </w:tcPr>
          <w:p>
            <w:pPr>
              <w:spacing w:after="0"/>
              <w:rPr>
                <w:sz w:val="20"/>
                <w:szCs w:val="20"/>
                <w:color w:val="auto"/>
              </w:rPr>
            </w:pPr>
          </w:p>
        </w:tc>
        <w:tc>
          <w:tcPr>
            <w:tcW w:w="1460" w:type="dxa"/>
            <w:vAlign w:val="bottom"/>
            <w:shd w:val="clear" w:color="auto" w:fill="CEFFE7"/>
          </w:tcPr>
          <w:p>
            <w:pPr>
              <w:spacing w:after="0"/>
              <w:rPr>
                <w:sz w:val="20"/>
                <w:szCs w:val="20"/>
                <w:color w:val="auto"/>
              </w:rPr>
            </w:pPr>
          </w:p>
        </w:tc>
        <w:tc>
          <w:tcPr>
            <w:tcW w:w="300" w:type="dxa"/>
            <w:vAlign w:val="bottom"/>
            <w:shd w:val="clear" w:color="auto" w:fill="CEFFE7"/>
          </w:tcPr>
          <w:p>
            <w:pPr>
              <w:spacing w:after="0"/>
              <w:rPr>
                <w:sz w:val="20"/>
                <w:szCs w:val="20"/>
                <w:color w:val="auto"/>
              </w:rPr>
            </w:pPr>
          </w:p>
        </w:tc>
        <w:tc>
          <w:tcPr>
            <w:tcW w:w="1420" w:type="dxa"/>
            <w:vAlign w:val="bottom"/>
            <w:shd w:val="clear" w:color="auto" w:fill="CEFFE7"/>
          </w:tcPr>
          <w:p>
            <w:pPr>
              <w:spacing w:after="0"/>
              <w:rPr>
                <w:sz w:val="20"/>
                <w:szCs w:val="20"/>
                <w:color w:val="auto"/>
              </w:rPr>
            </w:pPr>
          </w:p>
        </w:tc>
        <w:tc>
          <w:tcPr>
            <w:tcW w:w="240" w:type="dxa"/>
            <w:vAlign w:val="bottom"/>
            <w:shd w:val="clear" w:color="auto" w:fill="CEFFE7"/>
          </w:tcPr>
          <w:p>
            <w:pPr>
              <w:spacing w:after="0"/>
              <w:rPr>
                <w:sz w:val="20"/>
                <w:szCs w:val="20"/>
                <w:color w:val="auto"/>
              </w:rPr>
            </w:pPr>
          </w:p>
        </w:tc>
        <w:tc>
          <w:tcPr>
            <w:tcW w:w="1500" w:type="dxa"/>
            <w:vAlign w:val="bottom"/>
            <w:shd w:val="clear" w:color="auto" w:fill="CEFFE7"/>
          </w:tcPr>
          <w:p>
            <w:pPr>
              <w:spacing w:after="0"/>
              <w:rPr>
                <w:sz w:val="20"/>
                <w:szCs w:val="20"/>
                <w:color w:val="auto"/>
              </w:rPr>
            </w:pPr>
          </w:p>
        </w:tc>
        <w:tc>
          <w:tcPr>
            <w:tcW w:w="400" w:type="dxa"/>
            <w:vAlign w:val="bottom"/>
            <w:shd w:val="clear" w:color="auto" w:fill="CEFFE7"/>
          </w:tcPr>
          <w:p>
            <w:pPr>
              <w:spacing w:after="0"/>
              <w:rPr>
                <w:sz w:val="20"/>
                <w:szCs w:val="20"/>
                <w:color w:val="auto"/>
              </w:rPr>
            </w:pPr>
          </w:p>
        </w:tc>
        <w:tc>
          <w:tcPr>
            <w:tcW w:w="1320" w:type="dxa"/>
            <w:vAlign w:val="bottom"/>
            <w:shd w:val="clear" w:color="auto" w:fill="CEFFE7"/>
          </w:tcPr>
          <w:p>
            <w:pPr>
              <w:spacing w:after="0"/>
              <w:rPr>
                <w:sz w:val="20"/>
                <w:szCs w:val="20"/>
                <w:color w:val="auto"/>
              </w:rPr>
            </w:pPr>
          </w:p>
        </w:tc>
      </w:tr>
      <w:tr>
        <w:trPr>
          <w:trHeight w:val="175"/>
        </w:trPr>
        <w:tc>
          <w:tcPr>
            <w:tcW w:w="4340" w:type="dxa"/>
            <w:vAlign w:val="bottom"/>
            <w:gridSpan w:val="4"/>
          </w:tcPr>
          <w:p>
            <w:pPr>
              <w:ind w:left="20"/>
              <w:spacing w:after="0" w:line="175" w:lineRule="exact"/>
              <w:rPr>
                <w:sz w:val="20"/>
                <w:szCs w:val="20"/>
                <w:color w:val="auto"/>
              </w:rPr>
            </w:pPr>
            <w:r>
              <w:rPr>
                <w:rFonts w:ascii="Arial" w:cs="Arial" w:eastAsia="Arial" w:hAnsi="Arial"/>
                <w:sz w:val="16"/>
                <w:szCs w:val="16"/>
                <w:color w:val="auto"/>
              </w:rPr>
              <w:t>Timing of revenue recognition:</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Services transferred at a point in time</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27,141</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EFFE7"/>
          </w:tcPr>
          <w:p>
            <w:pPr>
              <w:ind w:left="1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27,141</w:t>
            </w:r>
          </w:p>
        </w:tc>
      </w:tr>
      <w:tr>
        <w:trPr>
          <w:trHeight w:val="213"/>
        </w:trPr>
        <w:tc>
          <w:tcPr>
            <w:tcW w:w="20" w:type="dxa"/>
            <w:vAlign w:val="bottom"/>
            <w:tcBorders>
              <w:bottom w:val="single" w:sz="8" w:color="CEFFE7"/>
            </w:tcBorders>
          </w:tcPr>
          <w:p>
            <w:pPr>
              <w:spacing w:after="0"/>
              <w:rPr>
                <w:sz w:val="18"/>
                <w:szCs w:val="18"/>
                <w:color w:val="auto"/>
              </w:rPr>
            </w:pPr>
          </w:p>
        </w:tc>
        <w:tc>
          <w:tcPr>
            <w:tcW w:w="4320" w:type="dxa"/>
            <w:vAlign w:val="bottom"/>
            <w:tcBorders>
              <w:bottom w:val="single" w:sz="8" w:color="CEFFE7"/>
            </w:tcBorders>
            <w:gridSpan w:val="3"/>
          </w:tcPr>
          <w:p>
            <w:pPr>
              <w:ind w:left="120"/>
              <w:spacing w:after="0"/>
              <w:rPr>
                <w:sz w:val="20"/>
                <w:szCs w:val="20"/>
                <w:color w:val="auto"/>
              </w:rPr>
            </w:pPr>
            <w:r>
              <w:rPr>
                <w:rFonts w:ascii="Arial" w:cs="Arial" w:eastAsia="Arial" w:hAnsi="Arial"/>
                <w:sz w:val="16"/>
                <w:szCs w:val="16"/>
                <w:color w:val="auto"/>
              </w:rPr>
              <w:t>Services transferred over time</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809,782</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1,111,539</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(17,628)</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1,903,693</w:t>
            </w:r>
          </w:p>
        </w:tc>
      </w:tr>
      <w:tr>
        <w:trPr>
          <w:trHeight w:val="238"/>
        </w:trPr>
        <w:tc>
          <w:tcPr>
            <w:tcW w:w="20" w:type="dxa"/>
            <w:vAlign w:val="bottom"/>
            <w:tcBorders>
              <w:bottom w:val="single" w:sz="8" w:color="CEFFE7"/>
            </w:tcBorders>
            <w:shd w:val="clear" w:color="auto" w:fill="CEFFE7"/>
          </w:tcPr>
          <w:p>
            <w:pPr>
              <w:spacing w:after="0"/>
              <w:rPr>
                <w:sz w:val="20"/>
                <w:szCs w:val="20"/>
                <w:color w:val="auto"/>
              </w:rPr>
            </w:pPr>
          </w:p>
        </w:tc>
        <w:tc>
          <w:tcPr>
            <w:tcW w:w="4320" w:type="dxa"/>
            <w:vAlign w:val="bottom"/>
            <w:tcBorders>
              <w:bottom w:val="single" w:sz="8" w:color="CEFFE7"/>
            </w:tcBorders>
            <w:gridSpan w:val="3"/>
            <w:shd w:val="clear" w:color="auto" w:fill="CEFFE7"/>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836,923</w:t>
            </w:r>
          </w:p>
        </w:tc>
        <w:tc>
          <w:tcPr>
            <w:tcW w:w="30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1,111,539</w:t>
            </w:r>
          </w:p>
        </w:tc>
        <w:tc>
          <w:tcPr>
            <w:tcW w:w="2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(17,628)</w:t>
            </w:r>
          </w:p>
        </w:tc>
        <w:tc>
          <w:tcPr>
            <w:tcW w:w="40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1,930,834</w:t>
            </w: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180" w:type="dxa"/>
            <w:vAlign w:val="bottom"/>
            <w:tcBorders>
              <w:top w:val="single" w:sz="8" w:color="CEFFE7"/>
            </w:tcBorders>
          </w:tcPr>
          <w:p>
            <w:pPr>
              <w:spacing w:after="0" w:line="20" w:lineRule="exact"/>
              <w:rPr>
                <w:sz w:val="1"/>
                <w:szCs w:val="1"/>
                <w:color w:val="auto"/>
              </w:rPr>
            </w:pPr>
          </w:p>
        </w:tc>
        <w:tc>
          <w:tcPr>
            <w:tcW w:w="1000" w:type="dxa"/>
            <w:vAlign w:val="bottom"/>
            <w:tcBorders>
              <w:top w:val="single" w:sz="8" w:color="CEFFE7"/>
            </w:tcBorders>
          </w:tcPr>
          <w:p>
            <w:pPr>
              <w:spacing w:after="0" w:line="20" w:lineRule="exact"/>
              <w:rPr>
                <w:sz w:val="1"/>
                <w:szCs w:val="1"/>
                <w:color w:val="auto"/>
              </w:rPr>
            </w:pPr>
          </w:p>
        </w:tc>
        <w:tc>
          <w:tcPr>
            <w:tcW w:w="214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46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42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150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color w:val="auto"/>
              </w:rPr>
              <w:t>Inter-company</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198"/>
        </w:trPr>
        <w:tc>
          <w:tcPr>
            <w:tcW w:w="43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Year ended December 31, 2020</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Electric Utilities</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Gas Utilities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9"/>
              </w:rPr>
              <w:t>Revenues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Total</w:t>
            </w:r>
          </w:p>
        </w:tc>
      </w:tr>
      <w:tr>
        <w:trPr>
          <w:trHeight w:val="172"/>
        </w:trPr>
        <w:tc>
          <w:tcPr>
            <w:tcW w:w="4340" w:type="dxa"/>
            <w:vAlign w:val="bottom"/>
            <w:gridSpan w:val="4"/>
          </w:tcPr>
          <w:p>
            <w:pPr>
              <w:ind w:left="20"/>
              <w:spacing w:after="0" w:line="172" w:lineRule="exact"/>
              <w:rPr>
                <w:sz w:val="20"/>
                <w:szCs w:val="20"/>
                <w:color w:val="auto"/>
              </w:rPr>
            </w:pPr>
            <w:r>
              <w:rPr>
                <w:rFonts w:ascii="Arial" w:cs="Arial" w:eastAsia="Arial" w:hAnsi="Arial"/>
                <w:sz w:val="16"/>
                <w:szCs w:val="16"/>
                <w:color w:val="auto"/>
              </w:rPr>
              <w:t>Customer types:</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3"/>
          </w:tcPr>
          <w:p>
            <w:pPr>
              <w:jc w:val="right"/>
              <w:ind w:right="1119"/>
              <w:spacing w:after="0" w:line="172" w:lineRule="exact"/>
              <w:rPr>
                <w:sz w:val="20"/>
                <w:szCs w:val="20"/>
                <w:color w:val="auto"/>
              </w:rPr>
            </w:pPr>
            <w:r>
              <w:rPr>
                <w:rFonts w:ascii="Arial" w:cs="Arial" w:eastAsia="Arial" w:hAnsi="Arial"/>
                <w:sz w:val="16"/>
                <w:szCs w:val="16"/>
                <w:color w:val="auto"/>
              </w:rPr>
              <w:t>(in thousands)</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636,902</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765,922</w:t>
            </w:r>
          </w:p>
        </w:tc>
        <w:tc>
          <w:tcPr>
            <w:tcW w:w="2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EFFE7"/>
          </w:tcPr>
          <w:p>
            <w:pPr>
              <w:ind w:left="1260"/>
              <w:spacing w:after="0"/>
              <w:rPr>
                <w:sz w:val="20"/>
                <w:szCs w:val="20"/>
                <w:color w:val="auto"/>
              </w:rPr>
            </w:pPr>
            <w:r>
              <w:rPr>
                <w:rFonts w:ascii="Arial" w:cs="Arial" w:eastAsia="Arial" w:hAnsi="Arial"/>
                <w:sz w:val="16"/>
                <w:szCs w:val="16"/>
                <w:color w:val="auto"/>
              </w:rPr>
              <w:t>— $</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1,402,824</w:t>
            </w:r>
          </w:p>
        </w:tc>
      </w:tr>
      <w:tr>
        <w:trPr>
          <w:trHeight w:val="213"/>
        </w:trPr>
        <w:tc>
          <w:tcPr>
            <w:tcW w:w="2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154,581</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(526)</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154,055</w:t>
            </w:r>
          </w:p>
        </w:tc>
      </w:tr>
      <w:tr>
        <w:trPr>
          <w:trHeight w:val="219"/>
        </w:trPr>
        <w:tc>
          <w:tcPr>
            <w:tcW w:w="20" w:type="dxa"/>
            <w:vAlign w:val="bottom"/>
            <w:shd w:val="clear" w:color="auto" w:fill="CEFFE7"/>
          </w:tcPr>
          <w:p>
            <w:pPr>
              <w:spacing w:after="0"/>
              <w:rPr>
                <w:sz w:val="19"/>
                <w:szCs w:val="19"/>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shd w:val="clear" w:color="auto" w:fill="CEFFE7"/>
          </w:tcPr>
          <w:p>
            <w:pPr>
              <w:spacing w:after="0"/>
              <w:rPr>
                <w:sz w:val="19"/>
                <w:szCs w:val="19"/>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24,845</w:t>
            </w:r>
          </w:p>
        </w:tc>
        <w:tc>
          <w:tcPr>
            <w:tcW w:w="300" w:type="dxa"/>
            <w:vAlign w:val="bottom"/>
            <w:shd w:val="clear" w:color="auto" w:fill="CEFFE7"/>
          </w:tcPr>
          <w:p>
            <w:pPr>
              <w:spacing w:after="0"/>
              <w:rPr>
                <w:sz w:val="19"/>
                <w:szCs w:val="19"/>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19"/>
                <w:szCs w:val="19"/>
                <w:color w:val="auto"/>
              </w:rPr>
            </w:pPr>
          </w:p>
        </w:tc>
        <w:tc>
          <w:tcPr>
            <w:tcW w:w="1500" w:type="dxa"/>
            <w:vAlign w:val="bottom"/>
            <w:shd w:val="clear" w:color="auto" w:fill="CEFFE7"/>
          </w:tcPr>
          <w:p>
            <w:pPr>
              <w:ind w:left="1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EFFE7"/>
          </w:tcPr>
          <w:p>
            <w:pPr>
              <w:spacing w:after="0"/>
              <w:rPr>
                <w:sz w:val="19"/>
                <w:szCs w:val="19"/>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24,845</w:t>
            </w:r>
          </w:p>
        </w:tc>
      </w:tr>
      <w:tr>
        <w:trPr>
          <w:trHeight w:val="213"/>
        </w:trPr>
        <w:tc>
          <w:tcPr>
            <w:tcW w:w="2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15,512</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260</w:t>
            </w:r>
          </w:p>
        </w:tc>
        <w:tc>
          <w:tcPr>
            <w:tcW w:w="24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15,772</w:t>
            </w:r>
          </w:p>
        </w:tc>
      </w:tr>
      <w:tr>
        <w:trPr>
          <w:trHeight w:val="216"/>
        </w:trPr>
        <w:tc>
          <w:tcPr>
            <w:tcW w:w="20" w:type="dxa"/>
            <w:vAlign w:val="bottom"/>
            <w:shd w:val="clear" w:color="auto" w:fill="CEFFE7"/>
          </w:tcPr>
          <w:p>
            <w:pPr>
              <w:spacing w:after="0"/>
              <w:rPr>
                <w:sz w:val="18"/>
                <w:szCs w:val="18"/>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55,422</w:t>
            </w:r>
          </w:p>
        </w:tc>
        <w:tc>
          <w:tcPr>
            <w:tcW w:w="30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43,658</w:t>
            </w:r>
          </w:p>
        </w:tc>
        <w:tc>
          <w:tcPr>
            <w:tcW w:w="240" w:type="dxa"/>
            <w:vAlign w:val="bottom"/>
            <w:tcBorders>
              <w:bottom w:val="single" w:sz="8" w:color="auto"/>
            </w:tcBorders>
            <w:shd w:val="clear" w:color="auto" w:fill="CEFFE7"/>
          </w:tcPr>
          <w:p>
            <w:pPr>
              <w:spacing w:after="0"/>
              <w:rPr>
                <w:sz w:val="18"/>
                <w:szCs w:val="18"/>
                <w:color w:val="auto"/>
              </w:rPr>
            </w:pP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(15,772)</w:t>
            </w:r>
          </w:p>
        </w:tc>
        <w:tc>
          <w:tcPr>
            <w:tcW w:w="40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83,308</w:t>
            </w:r>
          </w:p>
        </w:tc>
      </w:tr>
      <w:tr>
        <w:trPr>
          <w:trHeight w:val="210"/>
        </w:trPr>
        <w:tc>
          <w:tcPr>
            <w:tcW w:w="2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732,681</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964,421</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(16,298)</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1,680,804</w:t>
            </w:r>
          </w:p>
        </w:tc>
      </w:tr>
      <w:tr>
        <w:trPr>
          <w:trHeight w:val="216"/>
        </w:trPr>
        <w:tc>
          <w:tcPr>
            <w:tcW w:w="20" w:type="dxa"/>
            <w:vAlign w:val="bottom"/>
            <w:shd w:val="clear" w:color="auto" w:fill="CEFFE7"/>
          </w:tcPr>
          <w:p>
            <w:pPr>
              <w:spacing w:after="0"/>
              <w:rPr>
                <w:sz w:val="18"/>
                <w:szCs w:val="18"/>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6,176</w:t>
            </w:r>
          </w:p>
        </w:tc>
        <w:tc>
          <w:tcPr>
            <w:tcW w:w="30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10,249</w:t>
            </w:r>
          </w:p>
        </w:tc>
        <w:tc>
          <w:tcPr>
            <w:tcW w:w="240" w:type="dxa"/>
            <w:vAlign w:val="bottom"/>
            <w:tcBorders>
              <w:bottom w:val="single" w:sz="8" w:color="auto"/>
            </w:tcBorders>
            <w:shd w:val="clear" w:color="auto" w:fill="CEFFE7"/>
          </w:tcPr>
          <w:p>
            <w:pPr>
              <w:spacing w:after="0"/>
              <w:rPr>
                <w:sz w:val="18"/>
                <w:szCs w:val="18"/>
                <w:color w:val="auto"/>
              </w:rPr>
            </w:pP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(288)</w:t>
            </w:r>
          </w:p>
        </w:tc>
        <w:tc>
          <w:tcPr>
            <w:tcW w:w="40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16,137</w:t>
            </w:r>
          </w:p>
        </w:tc>
      </w:tr>
      <w:tr>
        <w:trPr>
          <w:trHeight w:val="212"/>
        </w:trPr>
        <w:tc>
          <w:tcPr>
            <w:tcW w:w="4340" w:type="dxa"/>
            <w:vAlign w:val="bottom"/>
            <w:gridSpan w:val="4"/>
          </w:tcPr>
          <w:p>
            <w:pPr>
              <w:ind w:left="2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738,857</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974,670</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(16,586)</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1,696,941</w:t>
            </w:r>
          </w:p>
        </w:tc>
      </w:tr>
      <w:tr>
        <w:trPr>
          <w:trHeight w:val="20"/>
        </w:trPr>
        <w:tc>
          <w:tcPr>
            <w:tcW w:w="20" w:type="dxa"/>
            <w:vAlign w:val="bottom"/>
            <w:tcBorders>
              <w:bottom w:val="single" w:sz="8" w:color="CEFFE7"/>
            </w:tcBorders>
          </w:tcPr>
          <w:p>
            <w:pPr>
              <w:spacing w:after="0" w:line="20" w:lineRule="exact"/>
              <w:rPr>
                <w:sz w:val="1"/>
                <w:szCs w:val="1"/>
                <w:color w:val="auto"/>
              </w:rPr>
            </w:pPr>
          </w:p>
        </w:tc>
        <w:tc>
          <w:tcPr>
            <w:tcW w:w="1180" w:type="dxa"/>
            <w:vAlign w:val="bottom"/>
            <w:tcBorders>
              <w:bottom w:val="single" w:sz="8" w:color="CEFFE7"/>
            </w:tcBorders>
          </w:tcPr>
          <w:p>
            <w:pPr>
              <w:spacing w:after="0" w:line="20" w:lineRule="exact"/>
              <w:rPr>
                <w:sz w:val="1"/>
                <w:szCs w:val="1"/>
                <w:color w:val="auto"/>
              </w:rPr>
            </w:pPr>
          </w:p>
        </w:tc>
        <w:tc>
          <w:tcPr>
            <w:tcW w:w="1000" w:type="dxa"/>
            <w:vAlign w:val="bottom"/>
            <w:tcBorders>
              <w:bottom w:val="single" w:sz="8" w:color="CEFFE7"/>
            </w:tcBorders>
          </w:tcPr>
          <w:p>
            <w:pPr>
              <w:spacing w:after="0" w:line="20" w:lineRule="exact"/>
              <w:rPr>
                <w:sz w:val="1"/>
                <w:szCs w:val="1"/>
                <w:color w:val="auto"/>
              </w:rPr>
            </w:pPr>
          </w:p>
        </w:tc>
        <w:tc>
          <w:tcPr>
            <w:tcW w:w="214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EFFE7"/>
          </w:tcPr>
          <w:p>
            <w:pPr>
              <w:spacing w:after="0"/>
              <w:rPr>
                <w:sz w:val="20"/>
                <w:szCs w:val="20"/>
                <w:color w:val="auto"/>
              </w:rPr>
            </w:pPr>
          </w:p>
        </w:tc>
        <w:tc>
          <w:tcPr>
            <w:tcW w:w="1180" w:type="dxa"/>
            <w:vAlign w:val="bottom"/>
            <w:shd w:val="clear" w:color="auto" w:fill="CEFFE7"/>
          </w:tcPr>
          <w:p>
            <w:pPr>
              <w:spacing w:after="0"/>
              <w:rPr>
                <w:sz w:val="20"/>
                <w:szCs w:val="20"/>
                <w:color w:val="auto"/>
              </w:rPr>
            </w:pPr>
          </w:p>
        </w:tc>
        <w:tc>
          <w:tcPr>
            <w:tcW w:w="1000" w:type="dxa"/>
            <w:vAlign w:val="bottom"/>
            <w:shd w:val="clear" w:color="auto" w:fill="CEFFE7"/>
          </w:tcPr>
          <w:p>
            <w:pPr>
              <w:spacing w:after="0"/>
              <w:rPr>
                <w:sz w:val="20"/>
                <w:szCs w:val="20"/>
                <w:color w:val="auto"/>
              </w:rPr>
            </w:pPr>
          </w:p>
        </w:tc>
        <w:tc>
          <w:tcPr>
            <w:tcW w:w="2140" w:type="dxa"/>
            <w:vAlign w:val="bottom"/>
            <w:shd w:val="clear" w:color="auto" w:fill="CEFFE7"/>
          </w:tcPr>
          <w:p>
            <w:pPr>
              <w:spacing w:after="0"/>
              <w:rPr>
                <w:sz w:val="20"/>
                <w:szCs w:val="20"/>
                <w:color w:val="auto"/>
              </w:rPr>
            </w:pPr>
          </w:p>
        </w:tc>
        <w:tc>
          <w:tcPr>
            <w:tcW w:w="220" w:type="dxa"/>
            <w:vAlign w:val="bottom"/>
            <w:shd w:val="clear" w:color="auto" w:fill="CEFFE7"/>
          </w:tcPr>
          <w:p>
            <w:pPr>
              <w:spacing w:after="0"/>
              <w:rPr>
                <w:sz w:val="20"/>
                <w:szCs w:val="20"/>
                <w:color w:val="auto"/>
              </w:rPr>
            </w:pPr>
          </w:p>
        </w:tc>
        <w:tc>
          <w:tcPr>
            <w:tcW w:w="1460" w:type="dxa"/>
            <w:vAlign w:val="bottom"/>
            <w:shd w:val="clear" w:color="auto" w:fill="CEFFE7"/>
          </w:tcPr>
          <w:p>
            <w:pPr>
              <w:spacing w:after="0"/>
              <w:rPr>
                <w:sz w:val="20"/>
                <w:szCs w:val="20"/>
                <w:color w:val="auto"/>
              </w:rPr>
            </w:pPr>
          </w:p>
        </w:tc>
        <w:tc>
          <w:tcPr>
            <w:tcW w:w="300" w:type="dxa"/>
            <w:vAlign w:val="bottom"/>
            <w:shd w:val="clear" w:color="auto" w:fill="CEFFE7"/>
          </w:tcPr>
          <w:p>
            <w:pPr>
              <w:spacing w:after="0"/>
              <w:rPr>
                <w:sz w:val="20"/>
                <w:szCs w:val="20"/>
                <w:color w:val="auto"/>
              </w:rPr>
            </w:pPr>
          </w:p>
        </w:tc>
        <w:tc>
          <w:tcPr>
            <w:tcW w:w="1420" w:type="dxa"/>
            <w:vAlign w:val="bottom"/>
            <w:shd w:val="clear" w:color="auto" w:fill="CEFFE7"/>
          </w:tcPr>
          <w:p>
            <w:pPr>
              <w:spacing w:after="0"/>
              <w:rPr>
                <w:sz w:val="20"/>
                <w:szCs w:val="20"/>
                <w:color w:val="auto"/>
              </w:rPr>
            </w:pPr>
          </w:p>
        </w:tc>
        <w:tc>
          <w:tcPr>
            <w:tcW w:w="240" w:type="dxa"/>
            <w:vAlign w:val="bottom"/>
            <w:shd w:val="clear" w:color="auto" w:fill="CEFFE7"/>
          </w:tcPr>
          <w:p>
            <w:pPr>
              <w:spacing w:after="0"/>
              <w:rPr>
                <w:sz w:val="20"/>
                <w:szCs w:val="20"/>
                <w:color w:val="auto"/>
              </w:rPr>
            </w:pPr>
          </w:p>
        </w:tc>
        <w:tc>
          <w:tcPr>
            <w:tcW w:w="1500" w:type="dxa"/>
            <w:vAlign w:val="bottom"/>
            <w:shd w:val="clear" w:color="auto" w:fill="CEFFE7"/>
          </w:tcPr>
          <w:p>
            <w:pPr>
              <w:spacing w:after="0"/>
              <w:rPr>
                <w:sz w:val="20"/>
                <w:szCs w:val="20"/>
                <w:color w:val="auto"/>
              </w:rPr>
            </w:pPr>
          </w:p>
        </w:tc>
        <w:tc>
          <w:tcPr>
            <w:tcW w:w="400" w:type="dxa"/>
            <w:vAlign w:val="bottom"/>
            <w:shd w:val="clear" w:color="auto" w:fill="CEFFE7"/>
          </w:tcPr>
          <w:p>
            <w:pPr>
              <w:spacing w:after="0"/>
              <w:rPr>
                <w:sz w:val="20"/>
                <w:szCs w:val="20"/>
                <w:color w:val="auto"/>
              </w:rPr>
            </w:pPr>
          </w:p>
        </w:tc>
        <w:tc>
          <w:tcPr>
            <w:tcW w:w="1320" w:type="dxa"/>
            <w:vAlign w:val="bottom"/>
            <w:shd w:val="clear" w:color="auto" w:fill="CEFFE7"/>
          </w:tcPr>
          <w:p>
            <w:pPr>
              <w:spacing w:after="0"/>
              <w:rPr>
                <w:sz w:val="20"/>
                <w:szCs w:val="20"/>
                <w:color w:val="auto"/>
              </w:rPr>
            </w:pPr>
          </w:p>
        </w:tc>
      </w:tr>
    </w:tbl>
    <w:p>
      <w:pPr>
        <w:spacing w:after="0" w:line="15" w:lineRule="exact"/>
        <w:rPr>
          <w:sz w:val="20"/>
          <w:szCs w:val="20"/>
          <w:color w:val="auto"/>
        </w:rPr>
      </w:pPr>
    </w:p>
    <w:p>
      <w:pPr>
        <w:sectPr>
          <w:pgSz w:w="11900" w:h="16838" w:orient="portrait"/>
          <w:cols w:equalWidth="0" w:num="1">
            <w:col w:w="11220"/>
          </w:cols>
          <w:pgMar w:left="320" w:top="121" w:right="359" w:bottom="1440" w:gutter="0" w:footer="0" w:header="0"/>
        </w:sectPr>
      </w:pPr>
    </w:p>
    <w:p>
      <w:pPr>
        <w:ind w:left="40"/>
        <w:spacing w:after="0"/>
        <w:rPr>
          <w:sz w:val="20"/>
          <w:szCs w:val="20"/>
          <w:color w:val="auto"/>
        </w:rPr>
      </w:pPr>
      <w:r>
        <w:rPr>
          <w:rFonts w:ascii="Arial" w:cs="Arial" w:eastAsia="Arial" w:hAnsi="Arial"/>
          <w:sz w:val="16"/>
          <w:szCs w:val="16"/>
          <w:u w:val="single" w:color="auto"/>
          <w:color w:val="auto"/>
        </w:rPr>
        <w:t>Timing of revenue recognition:</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Services transferred over time</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27,089</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399"/>
              <w:spacing w:after="0"/>
              <w:rPr>
                <w:sz w:val="20"/>
                <w:szCs w:val="20"/>
                <w:color w:val="auto"/>
              </w:rPr>
            </w:pPr>
            <w:r>
              <w:rPr>
                <w:rFonts w:ascii="Arial" w:cs="Arial" w:eastAsia="Arial" w:hAnsi="Arial"/>
                <w:sz w:val="16"/>
                <w:szCs w:val="16"/>
                <w:color w:val="auto"/>
              </w:rPr>
              <w:t>— $</w:t>
            </w:r>
          </w:p>
        </w:tc>
        <w:tc>
          <w:tcPr>
            <w:tcW w:w="1640" w:type="dxa"/>
            <w:vAlign w:val="bottom"/>
            <w:gridSpan w:val="2"/>
          </w:tcPr>
          <w:p>
            <w:pPr>
              <w:jc w:val="right"/>
              <w:ind w:right="339"/>
              <w:spacing w:after="0"/>
              <w:rPr>
                <w:sz w:val="20"/>
                <w:szCs w:val="20"/>
                <w:color w:val="auto"/>
              </w:rPr>
            </w:pPr>
            <w:r>
              <w:rPr>
                <w:rFonts w:ascii="Arial" w:cs="Arial" w:eastAsia="Arial" w:hAnsi="Arial"/>
                <w:sz w:val="16"/>
                <w:szCs w:val="16"/>
                <w:color w:val="auto"/>
              </w:rPr>
              <w:t>— $</w:t>
            </w:r>
          </w:p>
        </w:tc>
        <w:tc>
          <w:tcPr>
            <w:tcW w:w="1200" w:type="dxa"/>
            <w:vAlign w:val="bottom"/>
          </w:tcPr>
          <w:p>
            <w:pPr>
              <w:jc w:val="right"/>
              <w:spacing w:after="0"/>
              <w:rPr>
                <w:sz w:val="20"/>
                <w:szCs w:val="20"/>
                <w:color w:val="auto"/>
              </w:rPr>
            </w:pPr>
            <w:r>
              <w:rPr>
                <w:rFonts w:ascii="Arial" w:cs="Arial" w:eastAsia="Arial" w:hAnsi="Arial"/>
                <w:sz w:val="16"/>
                <w:szCs w:val="16"/>
                <w:color w:val="auto"/>
              </w:rPr>
              <w:t>27,089</w:t>
            </w:r>
          </w:p>
        </w:tc>
      </w:tr>
      <w:tr>
        <w:trPr>
          <w:trHeight w:val="219"/>
        </w:trPr>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705,592</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964,421</w:t>
            </w: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(16,298)</w:t>
            </w: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1,653,715</w:t>
            </w:r>
          </w:p>
        </w:tc>
      </w:tr>
      <w:tr>
        <w:trPr>
          <w:trHeight w:val="209"/>
        </w:trPr>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732,681</w:t>
            </w: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964,421</w:t>
            </w: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(16,298)</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1,680,804</w:t>
            </w:r>
          </w:p>
        </w:tc>
      </w:tr>
      <w:tr>
        <w:trPr>
          <w:trHeight w:val="24"/>
        </w:trPr>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-453390</wp:posOffset>
            </wp:positionV>
            <wp:extent cx="711517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-179705</wp:posOffset>
            </wp:positionV>
            <wp:extent cx="7115175"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60"/>
          </w:cols>
          <w:pgMar w:left="320" w:top="121" w:right="35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84"/>
        </w:trPr>
        <w:tc>
          <w:tcPr>
            <w:tcW w:w="4340" w:type="dxa"/>
            <w:vAlign w:val="bottom"/>
            <w:gridSpan w:val="5"/>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792"/>
        </w:trPr>
        <w:tc>
          <w:tcPr>
            <w:tcW w:w="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color w:val="auto"/>
              </w:rPr>
              <w:t>Inter-company</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Year ended December 31, 2019</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Electric Utilities</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Gas Utilities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Total</w:t>
            </w:r>
          </w:p>
        </w:tc>
      </w:tr>
      <w:tr>
        <w:trPr>
          <w:trHeight w:val="172"/>
        </w:trPr>
        <w:tc>
          <w:tcPr>
            <w:tcW w:w="20" w:type="dxa"/>
            <w:vAlign w:val="bottom"/>
          </w:tcPr>
          <w:p>
            <w:pPr>
              <w:spacing w:after="0"/>
              <w:rPr>
                <w:sz w:val="14"/>
                <w:szCs w:val="14"/>
                <w:color w:val="auto"/>
              </w:rPr>
            </w:pPr>
          </w:p>
        </w:tc>
        <w:tc>
          <w:tcPr>
            <w:tcW w:w="4320" w:type="dxa"/>
            <w:vAlign w:val="bottom"/>
            <w:gridSpan w:val="4"/>
          </w:tcPr>
          <w:p>
            <w:pPr>
              <w:spacing w:after="0" w:line="172" w:lineRule="exact"/>
              <w:rPr>
                <w:sz w:val="20"/>
                <w:szCs w:val="20"/>
                <w:color w:val="auto"/>
              </w:rPr>
            </w:pPr>
            <w:r>
              <w:rPr>
                <w:rFonts w:ascii="Arial" w:cs="Arial" w:eastAsia="Arial" w:hAnsi="Arial"/>
                <w:sz w:val="16"/>
                <w:szCs w:val="16"/>
                <w:color w:val="auto"/>
              </w:rPr>
              <w:t>Customer types:</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40" w:type="dxa"/>
            <w:vAlign w:val="bottom"/>
            <w:gridSpan w:val="3"/>
          </w:tcPr>
          <w:p>
            <w:pPr>
              <w:jc w:val="right"/>
              <w:ind w:right="1099"/>
              <w:spacing w:after="0" w:line="172" w:lineRule="exact"/>
              <w:rPr>
                <w:sz w:val="20"/>
                <w:szCs w:val="20"/>
                <w:color w:val="auto"/>
              </w:rPr>
            </w:pPr>
            <w:r>
              <w:rPr>
                <w:rFonts w:ascii="Arial" w:cs="Arial" w:eastAsia="Arial" w:hAnsi="Arial"/>
                <w:sz w:val="16"/>
                <w:szCs w:val="16"/>
                <w:color w:val="auto"/>
              </w:rPr>
              <w:t>(in thousands)</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320" w:type="dxa"/>
            <w:vAlign w:val="bottom"/>
            <w:gridSpan w:val="4"/>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632,936</w:t>
            </w:r>
          </w:p>
        </w:tc>
        <w:tc>
          <w:tcPr>
            <w:tcW w:w="32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817,840</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EFFE7"/>
          </w:tcPr>
          <w:p>
            <w:pPr>
              <w:ind w:left="1260"/>
              <w:spacing w:after="0"/>
              <w:rPr>
                <w:sz w:val="20"/>
                <w:szCs w:val="20"/>
                <w:color w:val="auto"/>
              </w:rPr>
            </w:pPr>
            <w:r>
              <w:rPr>
                <w:rFonts w:ascii="Arial" w:cs="Arial" w:eastAsia="Arial" w:hAnsi="Arial"/>
                <w:sz w:val="16"/>
                <w:szCs w:val="16"/>
                <w:color w:val="auto"/>
              </w:rPr>
              <w:t>— $</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1,450,776</w:t>
            </w:r>
          </w:p>
        </w:tc>
      </w:tr>
      <w:tr>
        <w:trPr>
          <w:trHeight w:val="213"/>
        </w:trPr>
        <w:tc>
          <w:tcPr>
            <w:tcW w:w="20" w:type="dxa"/>
            <w:vAlign w:val="bottom"/>
          </w:tcPr>
          <w:p>
            <w:pPr>
              <w:spacing w:after="0"/>
              <w:rPr>
                <w:sz w:val="18"/>
                <w:szCs w:val="18"/>
                <w:color w:val="auto"/>
              </w:rPr>
            </w:pPr>
          </w:p>
        </w:tc>
        <w:tc>
          <w:tcPr>
            <w:tcW w:w="4320" w:type="dxa"/>
            <w:vAlign w:val="bottom"/>
            <w:gridSpan w:val="4"/>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143,390</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(1,042)</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142,348</w:t>
            </w:r>
          </w:p>
        </w:tc>
      </w:tr>
      <w:tr>
        <w:trPr>
          <w:trHeight w:val="219"/>
        </w:trPr>
        <w:tc>
          <w:tcPr>
            <w:tcW w:w="20" w:type="dxa"/>
            <w:vAlign w:val="bottom"/>
            <w:shd w:val="clear" w:color="auto" w:fill="CEFFE7"/>
          </w:tcPr>
          <w:p>
            <w:pPr>
              <w:spacing w:after="0"/>
              <w:rPr>
                <w:sz w:val="19"/>
                <w:szCs w:val="19"/>
                <w:color w:val="auto"/>
              </w:rPr>
            </w:pPr>
          </w:p>
        </w:tc>
        <w:tc>
          <w:tcPr>
            <w:tcW w:w="4320" w:type="dxa"/>
            <w:vAlign w:val="bottom"/>
            <w:gridSpan w:val="4"/>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shd w:val="clear" w:color="auto" w:fill="CEFFE7"/>
          </w:tcPr>
          <w:p>
            <w:pPr>
              <w:spacing w:after="0"/>
              <w:rPr>
                <w:sz w:val="19"/>
                <w:szCs w:val="19"/>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28,464</w:t>
            </w:r>
          </w:p>
        </w:tc>
        <w:tc>
          <w:tcPr>
            <w:tcW w:w="32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spacing w:after="0"/>
              <w:rPr>
                <w:sz w:val="19"/>
                <w:szCs w:val="19"/>
                <w:color w:val="auto"/>
              </w:rPr>
            </w:pPr>
          </w:p>
        </w:tc>
        <w:tc>
          <w:tcPr>
            <w:tcW w:w="1480" w:type="dxa"/>
            <w:vAlign w:val="bottom"/>
            <w:shd w:val="clear" w:color="auto" w:fill="CEFFE7"/>
          </w:tcPr>
          <w:p>
            <w:pPr>
              <w:ind w:left="1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28,464</w:t>
            </w:r>
          </w:p>
        </w:tc>
      </w:tr>
      <w:tr>
        <w:trPr>
          <w:trHeight w:val="213"/>
        </w:trPr>
        <w:tc>
          <w:tcPr>
            <w:tcW w:w="20" w:type="dxa"/>
            <w:vAlign w:val="bottom"/>
          </w:tcPr>
          <w:p>
            <w:pPr>
              <w:spacing w:after="0"/>
              <w:rPr>
                <w:sz w:val="18"/>
                <w:szCs w:val="18"/>
                <w:color w:val="auto"/>
              </w:rPr>
            </w:pPr>
          </w:p>
        </w:tc>
        <w:tc>
          <w:tcPr>
            <w:tcW w:w="4320" w:type="dxa"/>
            <w:vAlign w:val="bottom"/>
            <w:gridSpan w:val="4"/>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16,081</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691</w:t>
            </w:r>
          </w:p>
        </w:tc>
        <w:tc>
          <w:tcPr>
            <w:tcW w:w="260" w:type="dxa"/>
            <w:vAlign w:val="bottom"/>
          </w:tcPr>
          <w:p>
            <w:pPr>
              <w:spacing w:after="0"/>
              <w:rPr>
                <w:sz w:val="18"/>
                <w:szCs w:val="18"/>
                <w:color w:val="auto"/>
              </w:rPr>
            </w:pPr>
          </w:p>
        </w:tc>
        <w:tc>
          <w:tcPr>
            <w:tcW w:w="1480" w:type="dxa"/>
            <w:vAlign w:val="bottom"/>
          </w:tcPr>
          <w:p>
            <w:pPr>
              <w:ind w:left="1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16,772</w:t>
            </w:r>
          </w:p>
        </w:tc>
      </w:tr>
      <w:tr>
        <w:trPr>
          <w:trHeight w:val="216"/>
        </w:trPr>
        <w:tc>
          <w:tcPr>
            <w:tcW w:w="20" w:type="dxa"/>
            <w:vAlign w:val="bottom"/>
            <w:shd w:val="clear" w:color="auto" w:fill="CEFFE7"/>
          </w:tcPr>
          <w:p>
            <w:pPr>
              <w:spacing w:after="0"/>
              <w:rPr>
                <w:sz w:val="18"/>
                <w:szCs w:val="18"/>
                <w:color w:val="auto"/>
              </w:rPr>
            </w:pPr>
          </w:p>
        </w:tc>
        <w:tc>
          <w:tcPr>
            <w:tcW w:w="4320" w:type="dxa"/>
            <w:vAlign w:val="bottom"/>
            <w:gridSpan w:val="4"/>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53,750</w:t>
            </w:r>
          </w:p>
        </w:tc>
        <w:tc>
          <w:tcPr>
            <w:tcW w:w="32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47,725</w:t>
            </w:r>
          </w:p>
        </w:tc>
        <w:tc>
          <w:tcPr>
            <w:tcW w:w="260" w:type="dxa"/>
            <w:vAlign w:val="bottom"/>
            <w:tcBorders>
              <w:bottom w:val="single" w:sz="8" w:color="auto"/>
            </w:tcBorders>
            <w:shd w:val="clear" w:color="auto" w:fill="CEFFE7"/>
          </w:tcPr>
          <w:p>
            <w:pPr>
              <w:spacing w:after="0"/>
              <w:rPr>
                <w:sz w:val="18"/>
                <w:szCs w:val="18"/>
                <w:color w:val="auto"/>
              </w:rPr>
            </w:pP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(13,443)</w:t>
            </w:r>
          </w:p>
        </w:tc>
        <w:tc>
          <w:tcPr>
            <w:tcW w:w="40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88,032</w:t>
            </w:r>
          </w:p>
        </w:tc>
      </w:tr>
      <w:tr>
        <w:trPr>
          <w:trHeight w:val="210"/>
        </w:trPr>
        <w:tc>
          <w:tcPr>
            <w:tcW w:w="20" w:type="dxa"/>
            <w:vAlign w:val="bottom"/>
          </w:tcPr>
          <w:p>
            <w:pPr>
              <w:spacing w:after="0"/>
              <w:rPr>
                <w:sz w:val="18"/>
                <w:szCs w:val="18"/>
                <w:color w:val="auto"/>
              </w:rPr>
            </w:pPr>
          </w:p>
        </w:tc>
        <w:tc>
          <w:tcPr>
            <w:tcW w:w="4320" w:type="dxa"/>
            <w:vAlign w:val="bottom"/>
            <w:gridSpan w:val="4"/>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731,231</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1,009,646</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(14,485)</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1,726,392</w:t>
            </w:r>
          </w:p>
        </w:tc>
      </w:tr>
      <w:tr>
        <w:trPr>
          <w:trHeight w:val="216"/>
        </w:trPr>
        <w:tc>
          <w:tcPr>
            <w:tcW w:w="20" w:type="dxa"/>
            <w:vAlign w:val="bottom"/>
            <w:shd w:val="clear" w:color="auto" w:fill="CEFFE7"/>
          </w:tcPr>
          <w:p>
            <w:pPr>
              <w:spacing w:after="0"/>
              <w:rPr>
                <w:sz w:val="18"/>
                <w:szCs w:val="18"/>
                <w:color w:val="auto"/>
              </w:rPr>
            </w:pPr>
          </w:p>
        </w:tc>
        <w:tc>
          <w:tcPr>
            <w:tcW w:w="4320" w:type="dxa"/>
            <w:vAlign w:val="bottom"/>
            <w:gridSpan w:val="4"/>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8,124</w:t>
            </w:r>
          </w:p>
        </w:tc>
        <w:tc>
          <w:tcPr>
            <w:tcW w:w="32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384</w:t>
            </w:r>
          </w:p>
        </w:tc>
        <w:tc>
          <w:tcPr>
            <w:tcW w:w="260" w:type="dxa"/>
            <w:vAlign w:val="bottom"/>
            <w:tcBorders>
              <w:bottom w:val="single" w:sz="8" w:color="auto"/>
            </w:tcBorders>
            <w:shd w:val="clear" w:color="auto" w:fill="CEFFE7"/>
          </w:tcPr>
          <w:p>
            <w:pPr>
              <w:spacing w:after="0"/>
              <w:rPr>
                <w:sz w:val="18"/>
                <w:szCs w:val="18"/>
                <w:color w:val="auto"/>
              </w:rPr>
            </w:pPr>
          </w:p>
        </w:tc>
        <w:tc>
          <w:tcPr>
            <w:tcW w:w="1480" w:type="dxa"/>
            <w:vAlign w:val="bottom"/>
            <w:tcBorders>
              <w:bottom w:val="single" w:sz="8" w:color="auto"/>
            </w:tcBorders>
            <w:shd w:val="clear" w:color="auto" w:fill="CEFFE7"/>
          </w:tcPr>
          <w:p>
            <w:pPr>
              <w:ind w:left="1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8,508</w:t>
            </w:r>
          </w:p>
        </w:tc>
      </w:tr>
      <w:tr>
        <w:trPr>
          <w:trHeight w:val="213"/>
        </w:trPr>
        <w:tc>
          <w:tcPr>
            <w:tcW w:w="20" w:type="dxa"/>
            <w:vAlign w:val="bottom"/>
          </w:tcPr>
          <w:p>
            <w:pPr>
              <w:spacing w:after="0"/>
              <w:rPr>
                <w:sz w:val="18"/>
                <w:szCs w:val="18"/>
                <w:color w:val="auto"/>
              </w:rPr>
            </w:pPr>
          </w:p>
        </w:tc>
        <w:tc>
          <w:tcPr>
            <w:tcW w:w="4320" w:type="dxa"/>
            <w:vAlign w:val="bottom"/>
            <w:gridSpan w:val="4"/>
          </w:tcPr>
          <w:p>
            <w:pPr>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739,355</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1,010,030</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(14,485)</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1,734,900</w:t>
            </w:r>
          </w:p>
        </w:tc>
      </w:tr>
      <w:tr>
        <w:trPr>
          <w:trHeight w:val="20"/>
        </w:trPr>
        <w:tc>
          <w:tcPr>
            <w:tcW w:w="20" w:type="dxa"/>
            <w:vAlign w:val="bottom"/>
            <w:tcBorders>
              <w:bottom w:val="single" w:sz="8" w:color="CEFFE7"/>
            </w:tcBorders>
          </w:tcPr>
          <w:p>
            <w:pPr>
              <w:spacing w:after="0" w:line="20" w:lineRule="exact"/>
              <w:rPr>
                <w:sz w:val="1"/>
                <w:szCs w:val="1"/>
                <w:color w:val="auto"/>
              </w:rPr>
            </w:pPr>
          </w:p>
        </w:tc>
        <w:tc>
          <w:tcPr>
            <w:tcW w:w="1180" w:type="dxa"/>
            <w:vAlign w:val="bottom"/>
            <w:tcBorders>
              <w:bottom w:val="single" w:sz="8" w:color="CEFFE7"/>
            </w:tcBorders>
          </w:tcPr>
          <w:p>
            <w:pPr>
              <w:spacing w:after="0" w:line="20" w:lineRule="exact"/>
              <w:rPr>
                <w:sz w:val="1"/>
                <w:szCs w:val="1"/>
                <w:color w:val="auto"/>
              </w:rPr>
            </w:pPr>
          </w:p>
        </w:tc>
        <w:tc>
          <w:tcPr>
            <w:tcW w:w="160" w:type="dxa"/>
            <w:vAlign w:val="bottom"/>
            <w:tcBorders>
              <w:bottom w:val="single" w:sz="8" w:color="CEFFE7"/>
            </w:tcBorders>
          </w:tcPr>
          <w:p>
            <w:pPr>
              <w:spacing w:after="0" w:line="20" w:lineRule="exact"/>
              <w:rPr>
                <w:sz w:val="1"/>
                <w:szCs w:val="1"/>
                <w:color w:val="auto"/>
              </w:rPr>
            </w:pPr>
          </w:p>
        </w:tc>
        <w:tc>
          <w:tcPr>
            <w:tcW w:w="840" w:type="dxa"/>
            <w:vAlign w:val="bottom"/>
            <w:tcBorders>
              <w:bottom w:val="single" w:sz="8" w:color="CEFFE7"/>
            </w:tcBorders>
          </w:tcPr>
          <w:p>
            <w:pPr>
              <w:spacing w:after="0" w:line="20" w:lineRule="exact"/>
              <w:rPr>
                <w:sz w:val="1"/>
                <w:szCs w:val="1"/>
                <w:color w:val="auto"/>
              </w:rPr>
            </w:pPr>
          </w:p>
        </w:tc>
        <w:tc>
          <w:tcPr>
            <w:tcW w:w="214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EFFE7"/>
          </w:tcPr>
          <w:p>
            <w:pPr>
              <w:spacing w:after="0"/>
              <w:rPr>
                <w:sz w:val="20"/>
                <w:szCs w:val="20"/>
                <w:color w:val="auto"/>
              </w:rPr>
            </w:pPr>
          </w:p>
        </w:tc>
        <w:tc>
          <w:tcPr>
            <w:tcW w:w="118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840" w:type="dxa"/>
            <w:vAlign w:val="bottom"/>
            <w:shd w:val="clear" w:color="auto" w:fill="CEFFE7"/>
          </w:tcPr>
          <w:p>
            <w:pPr>
              <w:spacing w:after="0"/>
              <w:rPr>
                <w:sz w:val="20"/>
                <w:szCs w:val="20"/>
                <w:color w:val="auto"/>
              </w:rPr>
            </w:pPr>
          </w:p>
        </w:tc>
        <w:tc>
          <w:tcPr>
            <w:tcW w:w="2140" w:type="dxa"/>
            <w:vAlign w:val="bottom"/>
            <w:shd w:val="clear" w:color="auto" w:fill="CEFFE7"/>
          </w:tcPr>
          <w:p>
            <w:pPr>
              <w:spacing w:after="0"/>
              <w:rPr>
                <w:sz w:val="20"/>
                <w:szCs w:val="20"/>
                <w:color w:val="auto"/>
              </w:rPr>
            </w:pPr>
          </w:p>
        </w:tc>
        <w:tc>
          <w:tcPr>
            <w:tcW w:w="220" w:type="dxa"/>
            <w:vAlign w:val="bottom"/>
            <w:shd w:val="clear" w:color="auto" w:fill="CEFFE7"/>
          </w:tcPr>
          <w:p>
            <w:pPr>
              <w:spacing w:after="0"/>
              <w:rPr>
                <w:sz w:val="20"/>
                <w:szCs w:val="20"/>
                <w:color w:val="auto"/>
              </w:rPr>
            </w:pPr>
          </w:p>
        </w:tc>
        <w:tc>
          <w:tcPr>
            <w:tcW w:w="1460" w:type="dxa"/>
            <w:vAlign w:val="bottom"/>
            <w:shd w:val="clear" w:color="auto" w:fill="CEFFE7"/>
          </w:tcPr>
          <w:p>
            <w:pPr>
              <w:spacing w:after="0"/>
              <w:rPr>
                <w:sz w:val="20"/>
                <w:szCs w:val="20"/>
                <w:color w:val="auto"/>
              </w:rPr>
            </w:pPr>
          </w:p>
        </w:tc>
        <w:tc>
          <w:tcPr>
            <w:tcW w:w="320" w:type="dxa"/>
            <w:vAlign w:val="bottom"/>
            <w:shd w:val="clear" w:color="auto" w:fill="CEFFE7"/>
          </w:tcPr>
          <w:p>
            <w:pPr>
              <w:spacing w:after="0"/>
              <w:rPr>
                <w:sz w:val="20"/>
                <w:szCs w:val="20"/>
                <w:color w:val="auto"/>
              </w:rPr>
            </w:pPr>
          </w:p>
        </w:tc>
        <w:tc>
          <w:tcPr>
            <w:tcW w:w="1400" w:type="dxa"/>
            <w:vAlign w:val="bottom"/>
            <w:shd w:val="clear" w:color="auto" w:fill="CEFFE7"/>
          </w:tcPr>
          <w:p>
            <w:pPr>
              <w:spacing w:after="0"/>
              <w:rPr>
                <w:sz w:val="20"/>
                <w:szCs w:val="20"/>
                <w:color w:val="auto"/>
              </w:rPr>
            </w:pPr>
          </w:p>
        </w:tc>
        <w:tc>
          <w:tcPr>
            <w:tcW w:w="260" w:type="dxa"/>
            <w:vAlign w:val="bottom"/>
            <w:shd w:val="clear" w:color="auto" w:fill="CEFFE7"/>
          </w:tcPr>
          <w:p>
            <w:pPr>
              <w:spacing w:after="0"/>
              <w:rPr>
                <w:sz w:val="20"/>
                <w:szCs w:val="20"/>
                <w:color w:val="auto"/>
              </w:rPr>
            </w:pPr>
          </w:p>
        </w:tc>
        <w:tc>
          <w:tcPr>
            <w:tcW w:w="1480" w:type="dxa"/>
            <w:vAlign w:val="bottom"/>
            <w:shd w:val="clear" w:color="auto" w:fill="CEFFE7"/>
          </w:tcPr>
          <w:p>
            <w:pPr>
              <w:spacing w:after="0"/>
              <w:rPr>
                <w:sz w:val="20"/>
                <w:szCs w:val="20"/>
                <w:color w:val="auto"/>
              </w:rPr>
            </w:pPr>
          </w:p>
        </w:tc>
        <w:tc>
          <w:tcPr>
            <w:tcW w:w="400" w:type="dxa"/>
            <w:vAlign w:val="bottom"/>
            <w:shd w:val="clear" w:color="auto" w:fill="CEFFE7"/>
          </w:tcPr>
          <w:p>
            <w:pPr>
              <w:spacing w:after="0"/>
              <w:rPr>
                <w:sz w:val="20"/>
                <w:szCs w:val="20"/>
                <w:color w:val="auto"/>
              </w:rPr>
            </w:pPr>
          </w:p>
        </w:tc>
        <w:tc>
          <w:tcPr>
            <w:tcW w:w="1340" w:type="dxa"/>
            <w:vAlign w:val="bottom"/>
            <w:shd w:val="clear" w:color="auto" w:fill="CEFFE7"/>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4320" w:type="dxa"/>
            <w:vAlign w:val="bottom"/>
            <w:gridSpan w:val="4"/>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320" w:type="dxa"/>
            <w:vAlign w:val="bottom"/>
            <w:gridSpan w:val="4"/>
            <w:shd w:val="clear" w:color="auto" w:fill="CEFFE7"/>
          </w:tcPr>
          <w:p>
            <w:pPr>
              <w:ind w:left="120"/>
              <w:spacing w:after="0"/>
              <w:rPr>
                <w:sz w:val="20"/>
                <w:szCs w:val="20"/>
                <w:color w:val="auto"/>
              </w:rPr>
            </w:pPr>
            <w:r>
              <w:rPr>
                <w:rFonts w:ascii="Arial" w:cs="Arial" w:eastAsia="Arial" w:hAnsi="Arial"/>
                <w:sz w:val="16"/>
                <w:szCs w:val="16"/>
                <w:color w:val="auto"/>
              </w:rPr>
              <w:t>Services transferred at a point in time</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27,180</w:t>
            </w:r>
          </w:p>
        </w:tc>
        <w:tc>
          <w:tcPr>
            <w:tcW w:w="32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EFFE7"/>
          </w:tcPr>
          <w:p>
            <w:pPr>
              <w:ind w:left="1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27,180</w:t>
            </w:r>
          </w:p>
        </w:tc>
      </w:tr>
      <w:tr>
        <w:trPr>
          <w:trHeight w:val="213"/>
        </w:trPr>
        <w:tc>
          <w:tcPr>
            <w:tcW w:w="20" w:type="dxa"/>
            <w:vAlign w:val="bottom"/>
            <w:tcBorders>
              <w:bottom w:val="single" w:sz="8" w:color="CEFFE7"/>
            </w:tcBorders>
          </w:tcPr>
          <w:p>
            <w:pPr>
              <w:spacing w:after="0"/>
              <w:rPr>
                <w:sz w:val="18"/>
                <w:szCs w:val="18"/>
                <w:color w:val="auto"/>
              </w:rPr>
            </w:pPr>
          </w:p>
        </w:tc>
        <w:tc>
          <w:tcPr>
            <w:tcW w:w="4320" w:type="dxa"/>
            <w:vAlign w:val="bottom"/>
            <w:tcBorders>
              <w:bottom w:val="single" w:sz="8" w:color="CEFFE7"/>
            </w:tcBorders>
            <w:gridSpan w:val="4"/>
          </w:tcPr>
          <w:p>
            <w:pPr>
              <w:ind w:left="120"/>
              <w:spacing w:after="0"/>
              <w:rPr>
                <w:sz w:val="20"/>
                <w:szCs w:val="20"/>
                <w:color w:val="auto"/>
              </w:rPr>
            </w:pPr>
            <w:r>
              <w:rPr>
                <w:rFonts w:ascii="Arial" w:cs="Arial" w:eastAsia="Arial" w:hAnsi="Arial"/>
                <w:sz w:val="16"/>
                <w:szCs w:val="16"/>
                <w:color w:val="auto"/>
              </w:rPr>
              <w:t>Services transferred over time</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704,051</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1,009,646</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(14,485)</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1,699,212</w:t>
            </w:r>
          </w:p>
        </w:tc>
      </w:tr>
      <w:tr>
        <w:trPr>
          <w:trHeight w:val="238"/>
        </w:trPr>
        <w:tc>
          <w:tcPr>
            <w:tcW w:w="20" w:type="dxa"/>
            <w:vAlign w:val="bottom"/>
            <w:tcBorders>
              <w:bottom w:val="single" w:sz="8" w:color="CEFFE7"/>
            </w:tcBorders>
            <w:shd w:val="clear" w:color="auto" w:fill="CEFFE7"/>
          </w:tcPr>
          <w:p>
            <w:pPr>
              <w:spacing w:after="0"/>
              <w:rPr>
                <w:sz w:val="20"/>
                <w:szCs w:val="20"/>
                <w:color w:val="auto"/>
              </w:rPr>
            </w:pPr>
          </w:p>
        </w:tc>
        <w:tc>
          <w:tcPr>
            <w:tcW w:w="4320" w:type="dxa"/>
            <w:vAlign w:val="bottom"/>
            <w:tcBorders>
              <w:bottom w:val="single" w:sz="8" w:color="CEFFE7"/>
            </w:tcBorders>
            <w:gridSpan w:val="4"/>
            <w:shd w:val="clear" w:color="auto" w:fill="CEFFE7"/>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731,231</w:t>
            </w:r>
          </w:p>
        </w:tc>
        <w:tc>
          <w:tcPr>
            <w:tcW w:w="32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1,009,646</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(14,485)</w:t>
            </w:r>
          </w:p>
        </w:tc>
        <w:tc>
          <w:tcPr>
            <w:tcW w:w="40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1,726,392</w:t>
            </w: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18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tcBorders>
          </w:tcPr>
          <w:p>
            <w:pPr>
              <w:spacing w:after="0" w:line="20" w:lineRule="exact"/>
              <w:rPr>
                <w:sz w:val="1"/>
                <w:szCs w:val="1"/>
                <w:color w:val="auto"/>
              </w:rPr>
            </w:pPr>
          </w:p>
        </w:tc>
        <w:tc>
          <w:tcPr>
            <w:tcW w:w="840" w:type="dxa"/>
            <w:vAlign w:val="bottom"/>
            <w:tcBorders>
              <w:top w:val="single" w:sz="8" w:color="CEFFE7"/>
            </w:tcBorders>
          </w:tcPr>
          <w:p>
            <w:pPr>
              <w:spacing w:after="0" w:line="20" w:lineRule="exact"/>
              <w:rPr>
                <w:sz w:val="1"/>
                <w:szCs w:val="1"/>
                <w:color w:val="auto"/>
              </w:rPr>
            </w:pPr>
          </w:p>
        </w:tc>
        <w:tc>
          <w:tcPr>
            <w:tcW w:w="214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46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48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34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380" w:hanging="372"/>
        <w:spacing w:after="0"/>
        <w:tabs>
          <w:tab w:leader="none" w:pos="38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 AND EQUIPMENT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at December 31 consisted of the following (dollars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right"/>
              <w:ind w:right="93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2"/>
          </w:tcPr>
          <w:p>
            <w:pPr>
              <w:jc w:val="right"/>
              <w:ind w:right="1139"/>
              <w:spacing w:after="0"/>
              <w:rPr>
                <w:sz w:val="20"/>
                <w:szCs w:val="20"/>
                <w:color w:val="auto"/>
              </w:rPr>
            </w:pPr>
            <w:r>
              <w:rPr>
                <w:rFonts w:ascii="Arial" w:cs="Arial" w:eastAsia="Arial" w:hAnsi="Arial"/>
                <w:sz w:val="16"/>
                <w:szCs w:val="16"/>
                <w:color w:val="auto"/>
              </w:rPr>
              <w:t>2020</w:t>
            </w:r>
          </w:p>
        </w:tc>
        <w:tc>
          <w:tcPr>
            <w:tcW w:w="234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color w:val="auto"/>
              </w:rPr>
              <w:t>Lives (in years)</w:t>
            </w:r>
          </w:p>
        </w:tc>
        <w:tc>
          <w:tcPr>
            <w:tcW w:w="0" w:type="dxa"/>
            <w:vAlign w:val="bottom"/>
          </w:tcPr>
          <w:p>
            <w:pPr>
              <w:spacing w:after="0"/>
              <w:rPr>
                <w:sz w:val="1"/>
                <w:szCs w:val="1"/>
                <w:color w:val="auto"/>
              </w:rPr>
            </w:pPr>
          </w:p>
        </w:tc>
      </w:tr>
      <w:tr>
        <w:trPr>
          <w:trHeight w:val="174"/>
        </w:trPr>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jc w:val="center"/>
              <w:spacing w:after="0" w:line="174" w:lineRule="exact"/>
              <w:rPr>
                <w:sz w:val="20"/>
                <w:szCs w:val="20"/>
                <w:color w:val="auto"/>
              </w:rPr>
            </w:pPr>
            <w:r>
              <w:rPr>
                <w:rFonts w:ascii="Arial" w:cs="Arial" w:eastAsia="Arial" w:hAnsi="Arial"/>
                <w:sz w:val="16"/>
                <w:szCs w:val="16"/>
                <w:color w:val="auto"/>
              </w:rPr>
              <w:t>Weighted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jc w:val="center"/>
              <w:ind w:right="19"/>
              <w:spacing w:after="0" w:line="174" w:lineRule="exact"/>
              <w:rPr>
                <w:sz w:val="20"/>
                <w:szCs w:val="20"/>
                <w:color w:val="auto"/>
              </w:rPr>
            </w:pPr>
            <w:r>
              <w:rPr>
                <w:rFonts w:ascii="Arial" w:cs="Arial" w:eastAsia="Arial" w:hAnsi="Arial"/>
                <w:sz w:val="16"/>
                <w:szCs w:val="16"/>
                <w:color w:val="auto"/>
              </w:rPr>
              <w:t>Weighted</w:t>
            </w: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2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Property, Plant</w:t>
            </w:r>
          </w:p>
        </w:tc>
        <w:tc>
          <w:tcPr>
            <w:tcW w:w="1200" w:type="dxa"/>
            <w:vAlign w:val="bottom"/>
          </w:tcPr>
          <w:p>
            <w:pPr>
              <w:jc w:val="center"/>
              <w:spacing w:after="0" w:line="162" w:lineRule="exact"/>
              <w:rPr>
                <w:sz w:val="20"/>
                <w:szCs w:val="20"/>
                <w:color w:val="auto"/>
              </w:rPr>
            </w:pPr>
            <w:r>
              <w:rPr>
                <w:rFonts w:ascii="Arial" w:cs="Arial" w:eastAsia="Arial" w:hAnsi="Arial"/>
                <w:sz w:val="16"/>
                <w:szCs w:val="16"/>
                <w:color w:val="auto"/>
              </w:rPr>
              <w:t>Average Useful</w:t>
            </w:r>
          </w:p>
        </w:tc>
        <w:tc>
          <w:tcPr>
            <w:tcW w:w="120" w:type="dxa"/>
            <w:vAlign w:val="bottom"/>
          </w:tcPr>
          <w:p>
            <w:pPr>
              <w:spacing w:after="0"/>
              <w:rPr>
                <w:sz w:val="14"/>
                <w:szCs w:val="14"/>
                <w:color w:val="auto"/>
              </w:rPr>
            </w:pPr>
          </w:p>
        </w:tc>
        <w:tc>
          <w:tcPr>
            <w:tcW w:w="1240" w:type="dxa"/>
            <w:vAlign w:val="bottom"/>
          </w:tcPr>
          <w:p>
            <w:pPr>
              <w:jc w:val="right"/>
              <w:ind w:right="79"/>
              <w:spacing w:after="0" w:line="162" w:lineRule="exact"/>
              <w:rPr>
                <w:sz w:val="20"/>
                <w:szCs w:val="20"/>
                <w:color w:val="auto"/>
              </w:rPr>
            </w:pPr>
            <w:r>
              <w:rPr>
                <w:rFonts w:ascii="Arial" w:cs="Arial" w:eastAsia="Arial" w:hAnsi="Arial"/>
                <w:sz w:val="16"/>
                <w:szCs w:val="16"/>
                <w:color w:val="auto"/>
              </w:rPr>
              <w:t>Property, Plant</w:t>
            </w:r>
          </w:p>
        </w:tc>
        <w:tc>
          <w:tcPr>
            <w:tcW w:w="134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Average Useful</w:t>
            </w: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Electric Utilities</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and Equipment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Life (in years)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and Equipment</w:t>
            </w:r>
          </w:p>
        </w:tc>
        <w:tc>
          <w:tcPr>
            <w:tcW w:w="13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Life (in years)</w:t>
            </w: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Minimum</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Maximum</w:t>
            </w:r>
          </w:p>
        </w:tc>
        <w:tc>
          <w:tcPr>
            <w:tcW w:w="0" w:type="dxa"/>
            <w:vAlign w:val="bottom"/>
          </w:tcPr>
          <w:p>
            <w:pPr>
              <w:spacing w:after="0"/>
              <w:rPr>
                <w:sz w:val="1"/>
                <w:szCs w:val="1"/>
                <w:color w:val="auto"/>
              </w:rPr>
            </w:pPr>
          </w:p>
        </w:tc>
      </w:tr>
      <w:tr>
        <w:trPr>
          <w:trHeight w:val="304"/>
        </w:trPr>
        <w:tc>
          <w:tcPr>
            <w:tcW w:w="3780" w:type="dxa"/>
            <w:vAlign w:val="bottom"/>
          </w:tcPr>
          <w:p>
            <w:pPr>
              <w:ind w:left="20"/>
              <w:spacing w:after="0"/>
              <w:rPr>
                <w:sz w:val="20"/>
                <w:szCs w:val="20"/>
                <w:color w:val="auto"/>
              </w:rPr>
            </w:pPr>
            <w:r>
              <w:rPr>
                <w:rFonts w:ascii="Arial" w:cs="Arial" w:eastAsia="Arial" w:hAnsi="Arial"/>
                <w:sz w:val="16"/>
                <w:szCs w:val="16"/>
                <w:color w:val="auto"/>
              </w:rPr>
              <w:t>Electric plant:</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Production</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1,452,055</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1,417,951</w:t>
            </w:r>
          </w:p>
        </w:tc>
        <w:tc>
          <w:tcPr>
            <w:tcW w:w="134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40</w:t>
            </w:r>
          </w:p>
        </w:tc>
        <w:tc>
          <w:tcPr>
            <w:tcW w:w="110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32</w:t>
            </w:r>
          </w:p>
        </w:tc>
        <w:tc>
          <w:tcPr>
            <w:tcW w:w="12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color w:val="auto"/>
              </w:rPr>
              <w:t>Electric transmission</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546,126</w:t>
            </w:r>
          </w:p>
        </w:tc>
        <w:tc>
          <w:tcPr>
            <w:tcW w:w="1200" w:type="dxa"/>
            <w:vAlign w:val="bottom"/>
          </w:tcPr>
          <w:p>
            <w:pPr>
              <w:jc w:val="center"/>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517,794</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49</w:t>
            </w:r>
          </w:p>
        </w:tc>
        <w:tc>
          <w:tcPr>
            <w:tcW w:w="1100" w:type="dxa"/>
            <w:vAlign w:val="bottom"/>
          </w:tcPr>
          <w:p>
            <w:pPr>
              <w:jc w:val="center"/>
              <w:ind w:right="39"/>
              <w:spacing w:after="0"/>
              <w:rPr>
                <w:sz w:val="20"/>
                <w:szCs w:val="20"/>
                <w:color w:val="auto"/>
              </w:rPr>
            </w:pPr>
            <w:r>
              <w:rPr>
                <w:rFonts w:ascii="Arial" w:cs="Arial" w:eastAsia="Arial" w:hAnsi="Arial"/>
                <w:sz w:val="16"/>
                <w:szCs w:val="16"/>
                <w:color w:val="auto"/>
              </w:rPr>
              <w:t>43</w:t>
            </w:r>
          </w:p>
        </w:tc>
        <w:tc>
          <w:tcPr>
            <w:tcW w:w="1240" w:type="dxa"/>
            <w:vAlign w:val="bottom"/>
          </w:tcPr>
          <w:p>
            <w:pPr>
              <w:jc w:val="center"/>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9"/>
        </w:trPr>
        <w:tc>
          <w:tcPr>
            <w:tcW w:w="37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Electric distribution</w:t>
            </w:r>
          </w:p>
        </w:tc>
        <w:tc>
          <w:tcPr>
            <w:tcW w:w="24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1,000,619</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EFFE7"/>
          </w:tcPr>
          <w:p>
            <w:pPr>
              <w:spacing w:after="0"/>
              <w:rPr>
                <w:sz w:val="19"/>
                <w:szCs w:val="19"/>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959,453</w:t>
            </w:r>
          </w:p>
        </w:tc>
        <w:tc>
          <w:tcPr>
            <w:tcW w:w="134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46</w:t>
            </w:r>
          </w:p>
        </w:tc>
        <w:tc>
          <w:tcPr>
            <w:tcW w:w="110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45</w:t>
            </w:r>
          </w:p>
        </w:tc>
        <w:tc>
          <w:tcPr>
            <w:tcW w:w="12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color w:val="auto"/>
              </w:rPr>
              <w:t>Integrated Generation</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720,490</w:t>
            </w:r>
          </w:p>
        </w:tc>
        <w:tc>
          <w:tcPr>
            <w:tcW w:w="1200" w:type="dxa"/>
            <w:vAlign w:val="bottom"/>
          </w:tcPr>
          <w:p>
            <w:pPr>
              <w:jc w:val="center"/>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716,479</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31</w:t>
            </w: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89"/>
              </w:rPr>
              <w:t>2</w:t>
            </w:r>
          </w:p>
        </w:tc>
        <w:tc>
          <w:tcPr>
            <w:tcW w:w="1240" w:type="dxa"/>
            <w:vAlign w:val="bottom"/>
          </w:tcPr>
          <w:p>
            <w:pPr>
              <w:jc w:val="center"/>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9"/>
        </w:trPr>
        <w:tc>
          <w:tcPr>
            <w:tcW w:w="3780" w:type="dxa"/>
            <w:vAlign w:val="bottom"/>
            <w:shd w:val="clear" w:color="auto" w:fill="CEFFE7"/>
          </w:tcPr>
          <w:p>
            <w:pPr>
              <w:ind w:left="140"/>
              <w:spacing w:after="0" w:line="219" w:lineRule="exact"/>
              <w:rPr>
                <w:sz w:val="20"/>
                <w:szCs w:val="20"/>
                <w:color w:val="auto"/>
              </w:rPr>
            </w:pPr>
            <w:r>
              <w:rPr>
                <w:rFonts w:ascii="Arial" w:cs="Arial" w:eastAsia="Arial" w:hAnsi="Arial"/>
                <w:sz w:val="16"/>
                <w:szCs w:val="16"/>
                <w:color w:val="auto"/>
              </w:rPr>
              <w:t xml:space="preserve">Plant acquisition adjustment </w:t>
            </w:r>
            <w:r>
              <w:rPr>
                <w:rFonts w:ascii="Arial" w:cs="Arial" w:eastAsia="Arial" w:hAnsi="Arial"/>
                <w:sz w:val="21"/>
                <w:szCs w:val="21"/>
                <w:color w:val="auto"/>
                <w:vertAlign w:val="superscript"/>
              </w:rPr>
              <w:t>(a)</w:t>
            </w:r>
          </w:p>
        </w:tc>
        <w:tc>
          <w:tcPr>
            <w:tcW w:w="24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4,870</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EFFE7"/>
          </w:tcPr>
          <w:p>
            <w:pPr>
              <w:spacing w:after="0"/>
              <w:rPr>
                <w:sz w:val="19"/>
                <w:szCs w:val="19"/>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4,870</w:t>
            </w:r>
          </w:p>
        </w:tc>
        <w:tc>
          <w:tcPr>
            <w:tcW w:w="134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32</w:t>
            </w:r>
          </w:p>
        </w:tc>
        <w:tc>
          <w:tcPr>
            <w:tcW w:w="110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32</w:t>
            </w:r>
          </w:p>
        </w:tc>
        <w:tc>
          <w:tcPr>
            <w:tcW w:w="12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37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General</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266,935</w:t>
            </w:r>
          </w:p>
        </w:tc>
        <w:tc>
          <w:tcPr>
            <w:tcW w:w="1200" w:type="dxa"/>
            <w:vAlign w:val="bottom"/>
            <w:tcBorders>
              <w:bottom w:val="single" w:sz="8" w:color="CEFFE7"/>
            </w:tcBorders>
          </w:tcPr>
          <w:p>
            <w:pPr>
              <w:jc w:val="center"/>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259,010</w:t>
            </w:r>
          </w:p>
        </w:tc>
        <w:tc>
          <w:tcPr>
            <w:tcW w:w="1340" w:type="dxa"/>
            <w:vAlign w:val="bottom"/>
            <w:tcBorders>
              <w:bottom w:val="single" w:sz="8" w:color="CEFFE7"/>
            </w:tcBorders>
          </w:tcPr>
          <w:p>
            <w:pPr>
              <w:jc w:val="center"/>
              <w:ind w:right="39"/>
              <w:spacing w:after="0"/>
              <w:rPr>
                <w:sz w:val="20"/>
                <w:szCs w:val="20"/>
                <w:color w:val="auto"/>
              </w:rPr>
            </w:pPr>
            <w:r>
              <w:rPr>
                <w:rFonts w:ascii="Arial" w:cs="Arial" w:eastAsia="Arial" w:hAnsi="Arial"/>
                <w:sz w:val="16"/>
                <w:szCs w:val="16"/>
                <w:color w:val="auto"/>
              </w:rPr>
              <w:t>28</w:t>
            </w:r>
          </w:p>
        </w:tc>
        <w:tc>
          <w:tcPr>
            <w:tcW w:w="1100" w:type="dxa"/>
            <w:vAlign w:val="bottom"/>
            <w:tcBorders>
              <w:bottom w:val="single" w:sz="8" w:color="CEFFE7"/>
            </w:tcBorders>
          </w:tcPr>
          <w:p>
            <w:pPr>
              <w:jc w:val="center"/>
              <w:ind w:right="39"/>
              <w:spacing w:after="0"/>
              <w:rPr>
                <w:sz w:val="20"/>
                <w:szCs w:val="20"/>
                <w:color w:val="auto"/>
              </w:rPr>
            </w:pPr>
            <w:r>
              <w:rPr>
                <w:rFonts w:ascii="Arial" w:cs="Arial" w:eastAsia="Arial" w:hAnsi="Arial"/>
                <w:sz w:val="16"/>
                <w:szCs w:val="16"/>
                <w:color w:val="auto"/>
              </w:rPr>
              <w:t>25</w:t>
            </w:r>
          </w:p>
        </w:tc>
        <w:tc>
          <w:tcPr>
            <w:tcW w:w="1240" w:type="dxa"/>
            <w:vAlign w:val="bottom"/>
            <w:tcBorders>
              <w:bottom w:val="single" w:sz="8" w:color="CEFFE7"/>
            </w:tcBorders>
          </w:tcPr>
          <w:p>
            <w:pPr>
              <w:jc w:val="center"/>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37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Total electric plant in service</w:t>
            </w:r>
          </w:p>
        </w:tc>
        <w:tc>
          <w:tcPr>
            <w:tcW w:w="24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3,991,095</w:t>
            </w:r>
          </w:p>
        </w:tc>
        <w:tc>
          <w:tcPr>
            <w:tcW w:w="12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3,875,557</w:t>
            </w:r>
          </w:p>
        </w:tc>
        <w:tc>
          <w:tcPr>
            <w:tcW w:w="134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Construction work in progress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181,451</w:t>
            </w:r>
          </w:p>
        </w:tc>
        <w:tc>
          <w:tcPr>
            <w:tcW w:w="120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95,266</w:t>
            </w:r>
          </w:p>
        </w:tc>
        <w:tc>
          <w:tcPr>
            <w:tcW w:w="1340" w:type="dxa"/>
            <w:vAlign w:val="bottom"/>
            <w:tcBorders>
              <w:bottom w:val="single" w:sz="8" w:color="CEFFE7"/>
            </w:tcBorders>
          </w:tcPr>
          <w:p>
            <w:pPr>
              <w:spacing w:after="0"/>
              <w:rPr>
                <w:sz w:val="18"/>
                <w:szCs w:val="18"/>
                <w:color w:val="auto"/>
              </w:rPr>
            </w:pPr>
          </w:p>
        </w:tc>
        <w:tc>
          <w:tcPr>
            <w:tcW w:w="1100" w:type="dxa"/>
            <w:vAlign w:val="bottom"/>
            <w:tcBorders>
              <w:bottom w:val="single" w:sz="8" w:color="CEFFE7"/>
            </w:tcBorders>
          </w:tcPr>
          <w:p>
            <w:pPr>
              <w:spacing w:after="0"/>
              <w:rPr>
                <w:sz w:val="18"/>
                <w:szCs w:val="18"/>
                <w:color w:val="auto"/>
              </w:rPr>
            </w:pPr>
          </w:p>
        </w:tc>
        <w:tc>
          <w:tcPr>
            <w:tcW w:w="1240" w:type="dxa"/>
            <w:vAlign w:val="bottom"/>
            <w:tcBorders>
              <w:bottom w:val="single" w:sz="8" w:color="CEFFE7"/>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shd w:val="clear" w:color="auto" w:fill="CEFFE7"/>
          </w:tcPr>
          <w:p>
            <w:pPr>
              <w:ind w:left="220"/>
              <w:spacing w:after="0"/>
              <w:rPr>
                <w:sz w:val="20"/>
                <w:szCs w:val="20"/>
                <w:color w:val="auto"/>
              </w:rPr>
            </w:pPr>
            <w:r>
              <w:rPr>
                <w:rFonts w:ascii="Arial" w:cs="Arial" w:eastAsia="Arial" w:hAnsi="Arial"/>
                <w:sz w:val="16"/>
                <w:szCs w:val="16"/>
                <w:color w:val="auto"/>
              </w:rPr>
              <w:t>Total electric plant</w:t>
            </w:r>
          </w:p>
        </w:tc>
        <w:tc>
          <w:tcPr>
            <w:tcW w:w="24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4,172,546</w:t>
            </w:r>
          </w:p>
        </w:tc>
        <w:tc>
          <w:tcPr>
            <w:tcW w:w="12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3,970,823</w:t>
            </w:r>
          </w:p>
        </w:tc>
        <w:tc>
          <w:tcPr>
            <w:tcW w:w="134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Less accumulated depreciation and depletion</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(1,016,738)</w:t>
            </w:r>
          </w:p>
        </w:tc>
        <w:tc>
          <w:tcPr>
            <w:tcW w:w="120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(960,993)</w:t>
            </w:r>
          </w:p>
        </w:tc>
        <w:tc>
          <w:tcPr>
            <w:tcW w:w="1340" w:type="dxa"/>
            <w:vAlign w:val="bottom"/>
            <w:tcBorders>
              <w:bottom w:val="single" w:sz="8" w:color="CEFFE7"/>
            </w:tcBorders>
          </w:tcPr>
          <w:p>
            <w:pPr>
              <w:spacing w:after="0"/>
              <w:rPr>
                <w:sz w:val="18"/>
                <w:szCs w:val="18"/>
                <w:color w:val="auto"/>
              </w:rPr>
            </w:pPr>
          </w:p>
        </w:tc>
        <w:tc>
          <w:tcPr>
            <w:tcW w:w="1100" w:type="dxa"/>
            <w:vAlign w:val="bottom"/>
            <w:tcBorders>
              <w:bottom w:val="single" w:sz="8" w:color="CEFFE7"/>
            </w:tcBorders>
          </w:tcPr>
          <w:p>
            <w:pPr>
              <w:spacing w:after="0"/>
              <w:rPr>
                <w:sz w:val="18"/>
                <w:szCs w:val="18"/>
                <w:color w:val="auto"/>
              </w:rPr>
            </w:pPr>
          </w:p>
        </w:tc>
        <w:tc>
          <w:tcPr>
            <w:tcW w:w="1240" w:type="dxa"/>
            <w:vAlign w:val="bottom"/>
            <w:tcBorders>
              <w:bottom w:val="single" w:sz="8" w:color="CEFFE7"/>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780" w:type="dxa"/>
            <w:vAlign w:val="bottom"/>
            <w:shd w:val="clear" w:color="auto" w:fill="CEFFE7"/>
          </w:tcPr>
          <w:p>
            <w:pPr>
              <w:ind w:left="140"/>
              <w:spacing w:after="0" w:line="161" w:lineRule="exact"/>
              <w:rPr>
                <w:sz w:val="20"/>
                <w:szCs w:val="20"/>
                <w:color w:val="auto"/>
              </w:rPr>
            </w:pPr>
            <w:r>
              <w:rPr>
                <w:rFonts w:ascii="Arial" w:cs="Arial" w:eastAsia="Arial" w:hAnsi="Arial"/>
                <w:sz w:val="16"/>
                <w:szCs w:val="16"/>
                <w:color w:val="auto"/>
              </w:rPr>
              <w:t>Electric plant net of accumulated depreciation and</w:t>
            </w:r>
          </w:p>
        </w:tc>
        <w:tc>
          <w:tcPr>
            <w:tcW w:w="24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3,155,808</w:t>
            </w:r>
          </w:p>
        </w:tc>
        <w:tc>
          <w:tcPr>
            <w:tcW w:w="1200" w:type="dxa"/>
            <w:vAlign w:val="bottom"/>
            <w:shd w:val="clear" w:color="auto" w:fill="CEFFE7"/>
          </w:tcPr>
          <w:p>
            <w:pPr>
              <w:spacing w:after="0"/>
              <w:rPr>
                <w:sz w:val="13"/>
                <w:szCs w:val="13"/>
                <w:color w:val="auto"/>
              </w:rPr>
            </w:pPr>
          </w:p>
        </w:tc>
        <w:tc>
          <w:tcPr>
            <w:tcW w:w="1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3,009,830</w:t>
            </w:r>
          </w:p>
        </w:tc>
        <w:tc>
          <w:tcPr>
            <w:tcW w:w="1340" w:type="dxa"/>
            <w:vAlign w:val="bottom"/>
            <w:shd w:val="clear" w:color="auto" w:fill="CEFFE7"/>
          </w:tcPr>
          <w:p>
            <w:pPr>
              <w:spacing w:after="0"/>
              <w:rPr>
                <w:sz w:val="13"/>
                <w:szCs w:val="13"/>
                <w:color w:val="auto"/>
              </w:rPr>
            </w:pPr>
          </w:p>
        </w:tc>
        <w:tc>
          <w:tcPr>
            <w:tcW w:w="1100" w:type="dxa"/>
            <w:vAlign w:val="bottom"/>
            <w:shd w:val="clear" w:color="auto" w:fill="CEFFE7"/>
          </w:tcPr>
          <w:p>
            <w:pPr>
              <w:spacing w:after="0"/>
              <w:rPr>
                <w:sz w:val="13"/>
                <w:szCs w:val="13"/>
                <w:color w:val="auto"/>
              </w:rPr>
            </w:pPr>
          </w:p>
        </w:tc>
        <w:tc>
          <w:tcPr>
            <w:tcW w:w="1240" w:type="dxa"/>
            <w:vAlign w:val="bottom"/>
            <w:shd w:val="clear" w:color="auto" w:fill="CEFFE7"/>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780" w:type="dxa"/>
            <w:vAlign w:val="bottom"/>
            <w:tcBorders>
              <w:bottom w:val="single" w:sz="8" w:color="CEFFE7"/>
            </w:tcBorders>
            <w:shd w:val="clear" w:color="auto" w:fill="CEFFE7"/>
          </w:tcPr>
          <w:p>
            <w:pPr>
              <w:ind w:left="140"/>
              <w:spacing w:after="0" w:line="174" w:lineRule="exact"/>
              <w:rPr>
                <w:sz w:val="20"/>
                <w:szCs w:val="20"/>
                <w:color w:val="auto"/>
              </w:rPr>
            </w:pPr>
            <w:r>
              <w:rPr>
                <w:rFonts w:ascii="Arial" w:cs="Arial" w:eastAsia="Arial" w:hAnsi="Arial"/>
                <w:sz w:val="16"/>
                <w:szCs w:val="16"/>
                <w:color w:val="auto"/>
              </w:rPr>
              <w:t>depletion</w:t>
            </w:r>
          </w:p>
        </w:tc>
        <w:tc>
          <w:tcPr>
            <w:tcW w:w="240" w:type="dxa"/>
            <w:vAlign w:val="bottom"/>
            <w:tcBorders>
              <w:bottom w:val="single" w:sz="8" w:color="auto"/>
            </w:tcBorders>
            <w:vMerge w:val="continue"/>
            <w:shd w:val="clear" w:color="auto" w:fill="CEFFE7"/>
          </w:tcPr>
          <w:p>
            <w:pPr>
              <w:spacing w:after="0"/>
              <w:rPr>
                <w:sz w:val="16"/>
                <w:szCs w:val="16"/>
                <w:color w:val="auto"/>
              </w:rPr>
            </w:pPr>
          </w:p>
        </w:tc>
        <w:tc>
          <w:tcPr>
            <w:tcW w:w="980" w:type="dxa"/>
            <w:vAlign w:val="bottom"/>
            <w:tcBorders>
              <w:bottom w:val="single" w:sz="8" w:color="auto"/>
            </w:tcBorders>
            <w:vMerge w:val="continue"/>
            <w:shd w:val="clear" w:color="auto" w:fill="CEFFE7"/>
          </w:tcPr>
          <w:p>
            <w:pPr>
              <w:spacing w:after="0"/>
              <w:rPr>
                <w:sz w:val="16"/>
                <w:szCs w:val="16"/>
                <w:color w:val="auto"/>
              </w:rPr>
            </w:pPr>
          </w:p>
        </w:tc>
        <w:tc>
          <w:tcPr>
            <w:tcW w:w="1200" w:type="dxa"/>
            <w:vAlign w:val="bottom"/>
            <w:tcBorders>
              <w:bottom w:val="single" w:sz="8" w:color="CEFFE7"/>
            </w:tcBorders>
            <w:shd w:val="clear" w:color="auto" w:fill="CEFFE7"/>
          </w:tcPr>
          <w:p>
            <w:pPr>
              <w:spacing w:after="0"/>
              <w:rPr>
                <w:sz w:val="16"/>
                <w:szCs w:val="16"/>
                <w:color w:val="auto"/>
              </w:rPr>
            </w:pPr>
          </w:p>
        </w:tc>
        <w:tc>
          <w:tcPr>
            <w:tcW w:w="120" w:type="dxa"/>
            <w:vAlign w:val="bottom"/>
            <w:tcBorders>
              <w:bottom w:val="single" w:sz="8" w:color="auto"/>
            </w:tcBorders>
            <w:vMerge w:val="continue"/>
            <w:shd w:val="clear" w:color="auto" w:fill="CEFFE7"/>
          </w:tcPr>
          <w:p>
            <w:pPr>
              <w:spacing w:after="0"/>
              <w:rPr>
                <w:sz w:val="16"/>
                <w:szCs w:val="16"/>
                <w:color w:val="auto"/>
              </w:rPr>
            </w:pPr>
          </w:p>
        </w:tc>
        <w:tc>
          <w:tcPr>
            <w:tcW w:w="1240" w:type="dxa"/>
            <w:vAlign w:val="bottom"/>
            <w:tcBorders>
              <w:bottom w:val="single" w:sz="8" w:color="auto"/>
            </w:tcBorders>
            <w:vMerge w:val="continue"/>
            <w:shd w:val="clear" w:color="auto" w:fill="CEFFE7"/>
          </w:tcPr>
          <w:p>
            <w:pPr>
              <w:spacing w:after="0"/>
              <w:rPr>
                <w:sz w:val="16"/>
                <w:szCs w:val="16"/>
                <w:color w:val="auto"/>
              </w:rPr>
            </w:pPr>
          </w:p>
        </w:tc>
        <w:tc>
          <w:tcPr>
            <w:tcW w:w="1340" w:type="dxa"/>
            <w:vAlign w:val="bottom"/>
            <w:tcBorders>
              <w:bottom w:val="single" w:sz="8" w:color="CEFFE7"/>
            </w:tcBorders>
            <w:shd w:val="clear" w:color="auto" w:fill="CEFFE7"/>
          </w:tcPr>
          <w:p>
            <w:pPr>
              <w:spacing w:after="0"/>
              <w:rPr>
                <w:sz w:val="16"/>
                <w:szCs w:val="16"/>
                <w:color w:val="auto"/>
              </w:rPr>
            </w:pPr>
          </w:p>
        </w:tc>
        <w:tc>
          <w:tcPr>
            <w:tcW w:w="1100" w:type="dxa"/>
            <w:vAlign w:val="bottom"/>
            <w:tcBorders>
              <w:bottom w:val="single" w:sz="8" w:color="CEFFE7"/>
            </w:tcBorders>
            <w:shd w:val="clear" w:color="auto" w:fill="CEFFE7"/>
          </w:tcPr>
          <w:p>
            <w:pPr>
              <w:spacing w:after="0"/>
              <w:rPr>
                <w:sz w:val="16"/>
                <w:szCs w:val="16"/>
                <w:color w:val="auto"/>
              </w:rPr>
            </w:pPr>
          </w:p>
        </w:tc>
        <w:tc>
          <w:tcPr>
            <w:tcW w:w="1240" w:type="dxa"/>
            <w:vAlign w:val="bottom"/>
            <w:tcBorders>
              <w:bottom w:val="single" w:sz="8" w:color="CEFFE7"/>
            </w:tcBorders>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c>
          <w:tcPr>
            <w:tcW w:w="1340" w:type="dxa"/>
            <w:vAlign w:val="bottom"/>
            <w:tcBorders>
              <w:top w:val="single" w:sz="8" w:color="CEFFE7"/>
            </w:tcBorders>
          </w:tcPr>
          <w:p>
            <w:pPr>
              <w:spacing w:after="0" w:line="20" w:lineRule="exact"/>
              <w:rPr>
                <w:sz w:val="1"/>
                <w:szCs w:val="1"/>
                <w:color w:val="auto"/>
              </w:rPr>
            </w:pPr>
          </w:p>
        </w:tc>
        <w:tc>
          <w:tcPr>
            <w:tcW w:w="1100" w:type="dxa"/>
            <w:vAlign w:val="bottom"/>
            <w:tcBorders>
              <w:top w:val="single" w:sz="8" w:color="CEFFE7"/>
            </w:tcBorders>
          </w:tcPr>
          <w:p>
            <w:pPr>
              <w:spacing w:after="0" w:line="20" w:lineRule="exact"/>
              <w:rPr>
                <w:sz w:val="1"/>
                <w:szCs w:val="1"/>
                <w:color w:val="auto"/>
              </w:rPr>
            </w:pPr>
          </w:p>
        </w:tc>
        <w:tc>
          <w:tcPr>
            <w:tcW w:w="1240" w:type="dxa"/>
            <w:vAlign w:val="bottom"/>
            <w:tcBorders>
              <w:top w:val="single" w:sz="8" w:color="CEFF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plant acquisition adjustment is included in rate base and is being recovered with 9 years remaining.</w:t>
      </w:r>
    </w:p>
    <w:p>
      <w:pPr>
        <w:spacing w:after="0" w:line="200" w:lineRule="exact"/>
        <w:rPr>
          <w:rFonts w:ascii="Arial" w:cs="Arial" w:eastAsia="Arial" w:hAnsi="Arial"/>
          <w:sz w:val="14"/>
          <w:szCs w:val="14"/>
          <w:color w:val="auto"/>
        </w:rPr>
      </w:pPr>
    </w:p>
    <w:p>
      <w:pPr>
        <w:spacing w:after="0" w:line="378"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right"/>
              <w:ind w:right="95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jc w:val="right"/>
              <w:ind w:right="1079"/>
              <w:spacing w:after="0"/>
              <w:rPr>
                <w:sz w:val="20"/>
                <w:szCs w:val="20"/>
                <w:color w:val="auto"/>
              </w:rPr>
            </w:pPr>
            <w:r>
              <w:rPr>
                <w:rFonts w:ascii="Arial" w:cs="Arial" w:eastAsia="Arial" w:hAnsi="Arial"/>
                <w:sz w:val="16"/>
                <w:szCs w:val="16"/>
                <w:color w:val="auto"/>
              </w:rPr>
              <w:t>2020</w:t>
            </w:r>
          </w:p>
        </w:tc>
        <w:tc>
          <w:tcPr>
            <w:tcW w:w="232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color w:val="auto"/>
              </w:rPr>
              <w:t>Lives (in years)</w:t>
            </w:r>
          </w:p>
        </w:tc>
      </w:tr>
      <w:tr>
        <w:trPr>
          <w:trHeight w:val="174"/>
        </w:trPr>
        <w:tc>
          <w:tcPr>
            <w:tcW w:w="3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jc w:val="center"/>
              <w:spacing w:after="0" w:line="174" w:lineRule="exact"/>
              <w:rPr>
                <w:sz w:val="20"/>
                <w:szCs w:val="20"/>
                <w:color w:val="auto"/>
              </w:rPr>
            </w:pPr>
            <w:r>
              <w:rPr>
                <w:rFonts w:ascii="Arial" w:cs="Arial" w:eastAsia="Arial" w:hAnsi="Arial"/>
                <w:sz w:val="16"/>
                <w:szCs w:val="16"/>
                <w:color w:val="auto"/>
              </w:rPr>
              <w:t>Weighted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jc w:val="center"/>
              <w:ind w:right="39"/>
              <w:spacing w:after="0" w:line="174" w:lineRule="exact"/>
              <w:rPr>
                <w:sz w:val="20"/>
                <w:szCs w:val="20"/>
                <w:color w:val="auto"/>
              </w:rPr>
            </w:pPr>
            <w:r>
              <w:rPr>
                <w:rFonts w:ascii="Arial" w:cs="Arial" w:eastAsia="Arial" w:hAnsi="Arial"/>
                <w:sz w:val="16"/>
                <w:szCs w:val="16"/>
                <w:color w:val="auto"/>
              </w:rPr>
              <w:t>Weighted</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2"/>
        </w:trPr>
        <w:tc>
          <w:tcPr>
            <w:tcW w:w="3920" w:type="dxa"/>
            <w:vAlign w:val="bottom"/>
          </w:tcPr>
          <w:p>
            <w:pPr>
              <w:spacing w:after="0"/>
              <w:rPr>
                <w:sz w:val="14"/>
                <w:szCs w:val="14"/>
                <w:color w:val="auto"/>
              </w:rPr>
            </w:pPr>
          </w:p>
        </w:tc>
        <w:tc>
          <w:tcPr>
            <w:tcW w:w="1240" w:type="dxa"/>
            <w:vAlign w:val="bottom"/>
            <w:gridSpan w:val="2"/>
          </w:tcPr>
          <w:p>
            <w:pPr>
              <w:jc w:val="right"/>
              <w:ind w:right="19"/>
              <w:spacing w:after="0" w:line="162" w:lineRule="exact"/>
              <w:rPr>
                <w:sz w:val="20"/>
                <w:szCs w:val="20"/>
                <w:color w:val="auto"/>
              </w:rPr>
            </w:pPr>
            <w:r>
              <w:rPr>
                <w:rFonts w:ascii="Arial" w:cs="Arial" w:eastAsia="Arial" w:hAnsi="Arial"/>
                <w:sz w:val="16"/>
                <w:szCs w:val="16"/>
                <w:color w:val="auto"/>
              </w:rPr>
              <w:t>Property, Plant</w:t>
            </w:r>
          </w:p>
        </w:tc>
        <w:tc>
          <w:tcPr>
            <w:tcW w:w="1200" w:type="dxa"/>
            <w:vAlign w:val="bottom"/>
          </w:tcPr>
          <w:p>
            <w:pPr>
              <w:jc w:val="center"/>
              <w:spacing w:after="0" w:line="162" w:lineRule="exact"/>
              <w:rPr>
                <w:sz w:val="20"/>
                <w:szCs w:val="20"/>
                <w:color w:val="auto"/>
              </w:rPr>
            </w:pPr>
            <w:r>
              <w:rPr>
                <w:rFonts w:ascii="Arial" w:cs="Arial" w:eastAsia="Arial" w:hAnsi="Arial"/>
                <w:sz w:val="16"/>
                <w:szCs w:val="16"/>
                <w:color w:val="auto"/>
              </w:rPr>
              <w:t>Average Useful</w:t>
            </w:r>
          </w:p>
        </w:tc>
        <w:tc>
          <w:tcPr>
            <w:tcW w:w="12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Property, Plant</w:t>
            </w:r>
          </w:p>
        </w:tc>
        <w:tc>
          <w:tcPr>
            <w:tcW w:w="1320" w:type="dxa"/>
            <w:vAlign w:val="bottom"/>
          </w:tcPr>
          <w:p>
            <w:pPr>
              <w:jc w:val="center"/>
              <w:ind w:right="19"/>
              <w:spacing w:after="0" w:line="162" w:lineRule="exact"/>
              <w:rPr>
                <w:sz w:val="20"/>
                <w:szCs w:val="20"/>
                <w:color w:val="auto"/>
              </w:rPr>
            </w:pPr>
            <w:r>
              <w:rPr>
                <w:rFonts w:ascii="Arial" w:cs="Arial" w:eastAsia="Arial" w:hAnsi="Arial"/>
                <w:sz w:val="16"/>
                <w:szCs w:val="16"/>
                <w:color w:val="auto"/>
              </w:rPr>
              <w:t>Average Useful</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8"/>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Gas Utilities</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and Equipment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Life (in years)</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and Equipment</w:t>
            </w:r>
          </w:p>
        </w:tc>
        <w:tc>
          <w:tcPr>
            <w:tcW w:w="13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Life (in years)</w:t>
            </w:r>
          </w:p>
        </w:tc>
        <w:tc>
          <w:tcPr>
            <w:tcW w:w="11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Minimum</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Maximum</w:t>
            </w:r>
          </w:p>
        </w:tc>
      </w:tr>
      <w:tr>
        <w:trPr>
          <w:trHeight w:val="304"/>
        </w:trPr>
        <w:tc>
          <w:tcPr>
            <w:tcW w:w="3920" w:type="dxa"/>
            <w:vAlign w:val="bottom"/>
          </w:tcPr>
          <w:p>
            <w:pPr>
              <w:ind w:left="20"/>
              <w:spacing w:after="0"/>
              <w:rPr>
                <w:sz w:val="20"/>
                <w:szCs w:val="20"/>
                <w:color w:val="auto"/>
              </w:rPr>
            </w:pPr>
            <w:r>
              <w:rPr>
                <w:rFonts w:ascii="Arial" w:cs="Arial" w:eastAsia="Arial" w:hAnsi="Arial"/>
                <w:sz w:val="16"/>
                <w:szCs w:val="16"/>
                <w:color w:val="auto"/>
              </w:rPr>
              <w:t>Gas plant:</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9"/>
        </w:trPr>
        <w:tc>
          <w:tcPr>
            <w:tcW w:w="39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Production</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14,841</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40</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15,603</w:t>
            </w:r>
          </w:p>
        </w:tc>
        <w:tc>
          <w:tcPr>
            <w:tcW w:w="1320" w:type="dxa"/>
            <w:vAlign w:val="bottom"/>
            <w:shd w:val="clear" w:color="auto" w:fill="CEFFE7"/>
          </w:tcPr>
          <w:p>
            <w:pPr>
              <w:jc w:val="center"/>
              <w:ind w:right="19"/>
              <w:spacing w:after="0"/>
              <w:rPr>
                <w:sz w:val="20"/>
                <w:szCs w:val="20"/>
                <w:color w:val="auto"/>
              </w:rPr>
            </w:pPr>
            <w:r>
              <w:rPr>
                <w:rFonts w:ascii="Arial" w:cs="Arial" w:eastAsia="Arial" w:hAnsi="Arial"/>
                <w:sz w:val="16"/>
                <w:szCs w:val="16"/>
                <w:color w:val="auto"/>
              </w:rPr>
              <w:t>40</w:t>
            </w:r>
          </w:p>
        </w:tc>
        <w:tc>
          <w:tcPr>
            <w:tcW w:w="110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24</w:t>
            </w:r>
          </w:p>
        </w:tc>
        <w:tc>
          <w:tcPr>
            <w:tcW w:w="12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46</w:t>
            </w:r>
          </w:p>
        </w:tc>
      </w:tr>
      <w:tr>
        <w:trPr>
          <w:trHeight w:val="213"/>
        </w:trPr>
        <w:tc>
          <w:tcPr>
            <w:tcW w:w="3920" w:type="dxa"/>
            <w:vAlign w:val="bottom"/>
          </w:tcPr>
          <w:p>
            <w:pPr>
              <w:ind w:left="140"/>
              <w:spacing w:after="0"/>
              <w:rPr>
                <w:sz w:val="20"/>
                <w:szCs w:val="20"/>
                <w:color w:val="auto"/>
              </w:rPr>
            </w:pPr>
            <w:r>
              <w:rPr>
                <w:rFonts w:ascii="Arial" w:cs="Arial" w:eastAsia="Arial" w:hAnsi="Arial"/>
                <w:sz w:val="16"/>
                <w:szCs w:val="16"/>
                <w:color w:val="auto"/>
              </w:rPr>
              <w:t>Gas transmission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645,550</w:t>
            </w:r>
          </w:p>
        </w:tc>
        <w:tc>
          <w:tcPr>
            <w:tcW w:w="1200" w:type="dxa"/>
            <w:vAlign w:val="bottom"/>
          </w:tcPr>
          <w:p>
            <w:pPr>
              <w:jc w:val="center"/>
              <w:spacing w:after="0"/>
              <w:rPr>
                <w:sz w:val="20"/>
                <w:szCs w:val="20"/>
                <w:color w:val="auto"/>
              </w:rPr>
            </w:pPr>
            <w:r>
              <w:rPr>
                <w:rFonts w:ascii="Arial" w:cs="Arial" w:eastAsia="Arial" w:hAnsi="Arial"/>
                <w:sz w:val="16"/>
                <w:szCs w:val="16"/>
                <w:color w:val="auto"/>
              </w:rPr>
              <w:t>58</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578,278</w:t>
            </w:r>
          </w:p>
        </w:tc>
        <w:tc>
          <w:tcPr>
            <w:tcW w:w="1320" w:type="dxa"/>
            <w:vAlign w:val="bottom"/>
          </w:tcPr>
          <w:p>
            <w:pPr>
              <w:jc w:val="center"/>
              <w:ind w:right="19"/>
              <w:spacing w:after="0"/>
              <w:rPr>
                <w:sz w:val="20"/>
                <w:szCs w:val="20"/>
                <w:color w:val="auto"/>
              </w:rPr>
            </w:pPr>
            <w:r>
              <w:rPr>
                <w:rFonts w:ascii="Arial" w:cs="Arial" w:eastAsia="Arial" w:hAnsi="Arial"/>
                <w:sz w:val="16"/>
                <w:szCs w:val="16"/>
                <w:color w:val="auto"/>
              </w:rPr>
              <w:t>54</w:t>
            </w:r>
          </w:p>
        </w:tc>
        <w:tc>
          <w:tcPr>
            <w:tcW w:w="1100" w:type="dxa"/>
            <w:vAlign w:val="bottom"/>
          </w:tcPr>
          <w:p>
            <w:pPr>
              <w:jc w:val="center"/>
              <w:ind w:right="39"/>
              <w:spacing w:after="0"/>
              <w:rPr>
                <w:sz w:val="20"/>
                <w:szCs w:val="20"/>
                <w:color w:val="auto"/>
              </w:rPr>
            </w:pPr>
            <w:r>
              <w:rPr>
                <w:rFonts w:ascii="Arial" w:cs="Arial" w:eastAsia="Arial" w:hAnsi="Arial"/>
                <w:sz w:val="16"/>
                <w:szCs w:val="16"/>
                <w:color w:val="auto"/>
              </w:rPr>
              <w:t>22</w:t>
            </w:r>
          </w:p>
        </w:tc>
        <w:tc>
          <w:tcPr>
            <w:tcW w:w="1220" w:type="dxa"/>
            <w:vAlign w:val="bottom"/>
          </w:tcPr>
          <w:p>
            <w:pPr>
              <w:jc w:val="center"/>
              <w:spacing w:after="0"/>
              <w:rPr>
                <w:sz w:val="20"/>
                <w:szCs w:val="20"/>
                <w:color w:val="auto"/>
              </w:rPr>
            </w:pPr>
            <w:r>
              <w:rPr>
                <w:rFonts w:ascii="Arial" w:cs="Arial" w:eastAsia="Arial" w:hAnsi="Arial"/>
                <w:sz w:val="16"/>
                <w:szCs w:val="16"/>
                <w:color w:val="auto"/>
              </w:rPr>
              <w:t>71</w:t>
            </w:r>
          </w:p>
        </w:tc>
      </w:tr>
      <w:tr>
        <w:trPr>
          <w:trHeight w:val="219"/>
        </w:trPr>
        <w:tc>
          <w:tcPr>
            <w:tcW w:w="39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Gas distribution</w:t>
            </w:r>
          </w:p>
        </w:tc>
        <w:tc>
          <w:tcPr>
            <w:tcW w:w="28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2,394,352</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53</w:t>
            </w:r>
          </w:p>
        </w:tc>
        <w:tc>
          <w:tcPr>
            <w:tcW w:w="28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2,115,082</w:t>
            </w:r>
          </w:p>
        </w:tc>
        <w:tc>
          <w:tcPr>
            <w:tcW w:w="1320" w:type="dxa"/>
            <w:vAlign w:val="bottom"/>
            <w:shd w:val="clear" w:color="auto" w:fill="CEFFE7"/>
          </w:tcPr>
          <w:p>
            <w:pPr>
              <w:jc w:val="center"/>
              <w:ind w:right="19"/>
              <w:spacing w:after="0"/>
              <w:rPr>
                <w:sz w:val="20"/>
                <w:szCs w:val="20"/>
                <w:color w:val="auto"/>
              </w:rPr>
            </w:pPr>
            <w:r>
              <w:rPr>
                <w:rFonts w:ascii="Arial" w:cs="Arial" w:eastAsia="Arial" w:hAnsi="Arial"/>
                <w:sz w:val="16"/>
                <w:szCs w:val="16"/>
                <w:color w:val="auto"/>
              </w:rPr>
              <w:t>53</w:t>
            </w:r>
          </w:p>
        </w:tc>
        <w:tc>
          <w:tcPr>
            <w:tcW w:w="110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45</w:t>
            </w:r>
          </w:p>
        </w:tc>
        <w:tc>
          <w:tcPr>
            <w:tcW w:w="12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59</w:t>
            </w:r>
          </w:p>
        </w:tc>
      </w:tr>
      <w:tr>
        <w:trPr>
          <w:trHeight w:val="216"/>
        </w:trPr>
        <w:tc>
          <w:tcPr>
            <w:tcW w:w="39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Cushion gas - depreciable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3,539</w:t>
            </w:r>
          </w:p>
        </w:tc>
        <w:tc>
          <w:tcPr>
            <w:tcW w:w="1200" w:type="dxa"/>
            <w:vAlign w:val="bottom"/>
          </w:tcPr>
          <w:p>
            <w:pPr>
              <w:jc w:val="center"/>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3,539</w:t>
            </w:r>
          </w:p>
        </w:tc>
        <w:tc>
          <w:tcPr>
            <w:tcW w:w="1320" w:type="dxa"/>
            <w:vAlign w:val="bottom"/>
          </w:tcPr>
          <w:p>
            <w:pPr>
              <w:jc w:val="center"/>
              <w:ind w:right="19"/>
              <w:spacing w:after="0"/>
              <w:rPr>
                <w:sz w:val="20"/>
                <w:szCs w:val="20"/>
                <w:color w:val="auto"/>
              </w:rPr>
            </w:pPr>
            <w:r>
              <w:rPr>
                <w:rFonts w:ascii="Arial" w:cs="Arial" w:eastAsia="Arial" w:hAnsi="Arial"/>
                <w:sz w:val="16"/>
                <w:szCs w:val="16"/>
                <w:color w:val="auto"/>
              </w:rPr>
              <w:t>28</w:t>
            </w:r>
          </w:p>
        </w:tc>
        <w:tc>
          <w:tcPr>
            <w:tcW w:w="1100" w:type="dxa"/>
            <w:vAlign w:val="bottom"/>
          </w:tcPr>
          <w:p>
            <w:pPr>
              <w:jc w:val="center"/>
              <w:ind w:right="39"/>
              <w:spacing w:after="0"/>
              <w:rPr>
                <w:sz w:val="20"/>
                <w:szCs w:val="20"/>
                <w:color w:val="auto"/>
              </w:rPr>
            </w:pPr>
            <w:r>
              <w:rPr>
                <w:rFonts w:ascii="Arial" w:cs="Arial" w:eastAsia="Arial" w:hAnsi="Arial"/>
                <w:sz w:val="16"/>
                <w:szCs w:val="16"/>
                <w:color w:val="auto"/>
              </w:rPr>
              <w:t>28</w:t>
            </w:r>
          </w:p>
        </w:tc>
        <w:tc>
          <w:tcPr>
            <w:tcW w:w="1220" w:type="dxa"/>
            <w:vAlign w:val="bottom"/>
          </w:tcPr>
          <w:p>
            <w:pPr>
              <w:jc w:val="center"/>
              <w:spacing w:after="0"/>
              <w:rPr>
                <w:sz w:val="20"/>
                <w:szCs w:val="20"/>
                <w:color w:val="auto"/>
              </w:rPr>
            </w:pPr>
            <w:r>
              <w:rPr>
                <w:rFonts w:ascii="Arial" w:cs="Arial" w:eastAsia="Arial" w:hAnsi="Arial"/>
                <w:sz w:val="16"/>
                <w:szCs w:val="16"/>
                <w:color w:val="auto"/>
              </w:rPr>
              <w:t>28</w:t>
            </w:r>
          </w:p>
        </w:tc>
      </w:tr>
      <w:tr>
        <w:trPr>
          <w:trHeight w:val="216"/>
        </w:trPr>
        <w:tc>
          <w:tcPr>
            <w:tcW w:w="392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Cushion gas - not depreciable </w:t>
            </w:r>
            <w:r>
              <w:rPr>
                <w:rFonts w:ascii="Arial" w:cs="Arial" w:eastAsia="Arial" w:hAnsi="Arial"/>
                <w:sz w:val="21"/>
                <w:szCs w:val="21"/>
                <w:color w:val="auto"/>
                <w:vertAlign w:val="superscript"/>
              </w:rPr>
              <w:t>(a)</w:t>
            </w:r>
          </w:p>
        </w:tc>
        <w:tc>
          <w:tcPr>
            <w:tcW w:w="28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42,478</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N/A</w:t>
            </w:r>
          </w:p>
        </w:tc>
        <w:tc>
          <w:tcPr>
            <w:tcW w:w="28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39,184</w:t>
            </w:r>
          </w:p>
        </w:tc>
        <w:tc>
          <w:tcPr>
            <w:tcW w:w="132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N/A</w:t>
            </w:r>
          </w:p>
        </w:tc>
        <w:tc>
          <w:tcPr>
            <w:tcW w:w="1100" w:type="dxa"/>
            <w:vAlign w:val="bottom"/>
            <w:shd w:val="clear" w:color="auto" w:fill="CEFFE7"/>
          </w:tcPr>
          <w:p>
            <w:pPr>
              <w:jc w:val="center"/>
              <w:ind w:right="19"/>
              <w:spacing w:after="0"/>
              <w:rPr>
                <w:sz w:val="20"/>
                <w:szCs w:val="20"/>
                <w:color w:val="auto"/>
              </w:rPr>
            </w:pPr>
            <w:r>
              <w:rPr>
                <w:rFonts w:ascii="Arial" w:cs="Arial" w:eastAsia="Arial" w:hAnsi="Arial"/>
                <w:sz w:val="16"/>
                <w:szCs w:val="16"/>
                <w:color w:val="auto"/>
              </w:rPr>
              <w:t>N/A</w:t>
            </w:r>
          </w:p>
        </w:tc>
        <w:tc>
          <w:tcPr>
            <w:tcW w:w="12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7"/>
              </w:rPr>
              <w:t>N/A</w:t>
            </w:r>
          </w:p>
        </w:tc>
      </w:tr>
      <w:tr>
        <w:trPr>
          <w:trHeight w:val="213"/>
        </w:trPr>
        <w:tc>
          <w:tcPr>
            <w:tcW w:w="3920" w:type="dxa"/>
            <w:vAlign w:val="bottom"/>
          </w:tcPr>
          <w:p>
            <w:pPr>
              <w:ind w:left="140"/>
              <w:spacing w:after="0"/>
              <w:rPr>
                <w:sz w:val="20"/>
                <w:szCs w:val="20"/>
                <w:color w:val="auto"/>
              </w:rPr>
            </w:pPr>
            <w:r>
              <w:rPr>
                <w:rFonts w:ascii="Arial" w:cs="Arial" w:eastAsia="Arial" w:hAnsi="Arial"/>
                <w:sz w:val="16"/>
                <w:szCs w:val="16"/>
                <w:color w:val="auto"/>
              </w:rPr>
              <w:t>Storage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56,289</w:t>
            </w:r>
          </w:p>
        </w:tc>
        <w:tc>
          <w:tcPr>
            <w:tcW w:w="1200" w:type="dxa"/>
            <w:vAlign w:val="bottom"/>
          </w:tcPr>
          <w:p>
            <w:pPr>
              <w:jc w:val="center"/>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55,481</w:t>
            </w:r>
          </w:p>
        </w:tc>
        <w:tc>
          <w:tcPr>
            <w:tcW w:w="1320" w:type="dxa"/>
            <w:vAlign w:val="bottom"/>
          </w:tcPr>
          <w:p>
            <w:pPr>
              <w:jc w:val="center"/>
              <w:ind w:right="19"/>
              <w:spacing w:after="0"/>
              <w:rPr>
                <w:sz w:val="20"/>
                <w:szCs w:val="20"/>
                <w:color w:val="auto"/>
              </w:rPr>
            </w:pPr>
            <w:r>
              <w:rPr>
                <w:rFonts w:ascii="Arial" w:cs="Arial" w:eastAsia="Arial" w:hAnsi="Arial"/>
                <w:sz w:val="16"/>
                <w:szCs w:val="16"/>
                <w:color w:val="auto"/>
              </w:rPr>
              <w:t>38</w:t>
            </w:r>
          </w:p>
        </w:tc>
        <w:tc>
          <w:tcPr>
            <w:tcW w:w="1100" w:type="dxa"/>
            <w:vAlign w:val="bottom"/>
          </w:tcPr>
          <w:p>
            <w:pPr>
              <w:jc w:val="center"/>
              <w:ind w:right="39"/>
              <w:spacing w:after="0"/>
              <w:rPr>
                <w:sz w:val="20"/>
                <w:szCs w:val="20"/>
                <w:color w:val="auto"/>
              </w:rPr>
            </w:pPr>
            <w:r>
              <w:rPr>
                <w:rFonts w:ascii="Arial" w:cs="Arial" w:eastAsia="Arial" w:hAnsi="Arial"/>
                <w:sz w:val="16"/>
                <w:szCs w:val="16"/>
                <w:color w:val="auto"/>
              </w:rPr>
              <w:t>27</w:t>
            </w:r>
          </w:p>
        </w:tc>
        <w:tc>
          <w:tcPr>
            <w:tcW w:w="1220" w:type="dxa"/>
            <w:vAlign w:val="bottom"/>
          </w:tcPr>
          <w:p>
            <w:pPr>
              <w:jc w:val="center"/>
              <w:spacing w:after="0"/>
              <w:rPr>
                <w:sz w:val="20"/>
                <w:szCs w:val="20"/>
                <w:color w:val="auto"/>
              </w:rPr>
            </w:pPr>
            <w:r>
              <w:rPr>
                <w:rFonts w:ascii="Arial" w:cs="Arial" w:eastAsia="Arial" w:hAnsi="Arial"/>
                <w:sz w:val="16"/>
                <w:szCs w:val="16"/>
                <w:color w:val="auto"/>
              </w:rPr>
              <w:t>52</w:t>
            </w:r>
          </w:p>
        </w:tc>
      </w:tr>
      <w:tr>
        <w:trPr>
          <w:trHeight w:val="216"/>
        </w:trPr>
        <w:tc>
          <w:tcPr>
            <w:tcW w:w="39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General</w:t>
            </w:r>
          </w:p>
        </w:tc>
        <w:tc>
          <w:tcPr>
            <w:tcW w:w="2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474,964</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438,217</w:t>
            </w:r>
          </w:p>
        </w:tc>
        <w:tc>
          <w:tcPr>
            <w:tcW w:w="1320" w:type="dxa"/>
            <w:vAlign w:val="bottom"/>
            <w:shd w:val="clear" w:color="auto" w:fill="CEFFE7"/>
          </w:tcPr>
          <w:p>
            <w:pPr>
              <w:jc w:val="center"/>
              <w:ind w:right="19"/>
              <w:spacing w:after="0"/>
              <w:rPr>
                <w:sz w:val="20"/>
                <w:szCs w:val="20"/>
                <w:color w:val="auto"/>
              </w:rPr>
            </w:pPr>
            <w:r>
              <w:rPr>
                <w:rFonts w:ascii="Arial" w:cs="Arial" w:eastAsia="Arial" w:hAnsi="Arial"/>
                <w:sz w:val="16"/>
                <w:szCs w:val="16"/>
                <w:color w:val="auto"/>
              </w:rPr>
              <w:t>19</w:t>
            </w:r>
          </w:p>
        </w:tc>
        <w:tc>
          <w:tcPr>
            <w:tcW w:w="1100" w:type="dxa"/>
            <w:vAlign w:val="bottom"/>
            <w:shd w:val="clear" w:color="auto" w:fill="CEFFE7"/>
          </w:tcPr>
          <w:p>
            <w:pPr>
              <w:jc w:val="center"/>
              <w:ind w:right="19"/>
              <w:spacing w:after="0"/>
              <w:rPr>
                <w:sz w:val="20"/>
                <w:szCs w:val="20"/>
                <w:color w:val="auto"/>
              </w:rPr>
            </w:pPr>
            <w:r>
              <w:rPr>
                <w:rFonts w:ascii="Arial" w:cs="Arial" w:eastAsia="Arial" w:hAnsi="Arial"/>
                <w:sz w:val="16"/>
                <w:szCs w:val="16"/>
                <w:color w:val="auto"/>
                <w:w w:val="89"/>
              </w:rPr>
              <w:t>3</w:t>
            </w:r>
          </w:p>
        </w:tc>
        <w:tc>
          <w:tcPr>
            <w:tcW w:w="12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23</w:t>
            </w:r>
          </w:p>
        </w:tc>
      </w:tr>
      <w:tr>
        <w:trPr>
          <w:trHeight w:val="210"/>
        </w:trPr>
        <w:tc>
          <w:tcPr>
            <w:tcW w:w="3920" w:type="dxa"/>
            <w:vAlign w:val="bottom"/>
          </w:tcPr>
          <w:p>
            <w:pPr>
              <w:ind w:left="220"/>
              <w:spacing w:after="0"/>
              <w:rPr>
                <w:sz w:val="20"/>
                <w:szCs w:val="20"/>
                <w:color w:val="auto"/>
              </w:rPr>
            </w:pPr>
            <w:r>
              <w:rPr>
                <w:rFonts w:ascii="Arial" w:cs="Arial" w:eastAsia="Arial" w:hAnsi="Arial"/>
                <w:sz w:val="16"/>
                <w:szCs w:val="16"/>
                <w:color w:val="auto"/>
              </w:rPr>
              <w:t>Total gas plant in service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3,632,013</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3,245,384</w:t>
            </w: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9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Construction work in progress</w:t>
            </w:r>
          </w:p>
        </w:tc>
        <w:tc>
          <w:tcPr>
            <w:tcW w:w="2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37,860</w:t>
            </w:r>
          </w:p>
        </w:tc>
        <w:tc>
          <w:tcPr>
            <w:tcW w:w="1200" w:type="dxa"/>
            <w:vAlign w:val="bottom"/>
            <w:shd w:val="clear" w:color="auto" w:fill="CEFFE7"/>
          </w:tcPr>
          <w:p>
            <w:pPr>
              <w:spacing w:after="0"/>
              <w:rPr>
                <w:sz w:val="18"/>
                <w:szCs w:val="18"/>
                <w:color w:val="auto"/>
              </w:rPr>
            </w:pPr>
          </w:p>
        </w:tc>
        <w:tc>
          <w:tcPr>
            <w:tcW w:w="2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67,229</w:t>
            </w:r>
          </w:p>
        </w:tc>
        <w:tc>
          <w:tcPr>
            <w:tcW w:w="132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1220" w:type="dxa"/>
            <w:vAlign w:val="bottom"/>
            <w:shd w:val="clear" w:color="auto" w:fill="CEFFE7"/>
          </w:tcPr>
          <w:p>
            <w:pPr>
              <w:spacing w:after="0"/>
              <w:rPr>
                <w:sz w:val="18"/>
                <w:szCs w:val="18"/>
                <w:color w:val="auto"/>
              </w:rPr>
            </w:pPr>
          </w:p>
        </w:tc>
      </w:tr>
      <w:tr>
        <w:trPr>
          <w:trHeight w:val="210"/>
        </w:trPr>
        <w:tc>
          <w:tcPr>
            <w:tcW w:w="3920" w:type="dxa"/>
            <w:vAlign w:val="bottom"/>
          </w:tcPr>
          <w:p>
            <w:pPr>
              <w:ind w:left="220"/>
              <w:spacing w:after="0"/>
              <w:rPr>
                <w:sz w:val="20"/>
                <w:szCs w:val="20"/>
                <w:color w:val="auto"/>
              </w:rPr>
            </w:pPr>
            <w:r>
              <w:rPr>
                <w:rFonts w:ascii="Arial" w:cs="Arial" w:eastAsia="Arial" w:hAnsi="Arial"/>
                <w:sz w:val="16"/>
                <w:szCs w:val="16"/>
                <w:color w:val="auto"/>
              </w:rPr>
              <w:t>Total gas plant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3,669,873</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3,312,613</w:t>
            </w: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(389,115)</w:t>
            </w:r>
          </w:p>
        </w:tc>
        <w:tc>
          <w:tcPr>
            <w:tcW w:w="1200" w:type="dxa"/>
            <w:vAlign w:val="bottom"/>
            <w:shd w:val="clear" w:color="auto" w:fill="CEFFE7"/>
          </w:tcPr>
          <w:p>
            <w:pPr>
              <w:spacing w:after="0"/>
              <w:rPr>
                <w:sz w:val="18"/>
                <w:szCs w:val="18"/>
                <w:color w:val="auto"/>
              </w:rPr>
            </w:pPr>
          </w:p>
        </w:tc>
        <w:tc>
          <w:tcPr>
            <w:tcW w:w="2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(323,679)</w:t>
            </w:r>
          </w:p>
        </w:tc>
        <w:tc>
          <w:tcPr>
            <w:tcW w:w="132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1220" w:type="dxa"/>
            <w:vAlign w:val="bottom"/>
            <w:shd w:val="clear" w:color="auto" w:fill="CEFFE7"/>
          </w:tcPr>
          <w:p>
            <w:pPr>
              <w:spacing w:after="0"/>
              <w:rPr>
                <w:sz w:val="18"/>
                <w:szCs w:val="18"/>
                <w:color w:val="auto"/>
              </w:rPr>
            </w:pPr>
          </w:p>
        </w:tc>
      </w:tr>
      <w:tr>
        <w:trPr>
          <w:trHeight w:val="213"/>
        </w:trPr>
        <w:tc>
          <w:tcPr>
            <w:tcW w:w="3920" w:type="dxa"/>
            <w:vAlign w:val="bottom"/>
          </w:tcPr>
          <w:p>
            <w:pPr>
              <w:ind w:left="140"/>
              <w:spacing w:after="0"/>
              <w:rPr>
                <w:sz w:val="20"/>
                <w:szCs w:val="20"/>
                <w:color w:val="auto"/>
              </w:rPr>
            </w:pPr>
            <w:r>
              <w:rPr>
                <w:rFonts w:ascii="Arial" w:cs="Arial" w:eastAsia="Arial" w:hAnsi="Arial"/>
                <w:sz w:val="16"/>
                <w:szCs w:val="16"/>
                <w:color w:val="auto"/>
              </w:rPr>
              <w:t>Gas plant net of accumulated depreciation</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3,280,758</w:t>
            </w:r>
          </w:p>
        </w:tc>
        <w:tc>
          <w:tcPr>
            <w:tcW w:w="12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2,988,934</w:t>
            </w: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Depreciation of Cushion Gas is determined by the respective regulatory jurisdiction in which the Cushion Gas resides.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Lives (in years)</w:t>
            </w:r>
          </w:p>
        </w:tc>
        <w:tc>
          <w:tcPr>
            <w:tcW w:w="960" w:type="dxa"/>
            <w:vAlign w:val="bottom"/>
            <w:tcBorders>
              <w:bottom w:val="single" w:sz="8" w:color="auto"/>
            </w:tcBorders>
          </w:tcPr>
          <w:p>
            <w:pPr>
              <w:spacing w:after="0"/>
              <w:rPr>
                <w:sz w:val="17"/>
                <w:szCs w:val="17"/>
                <w:color w:val="auto"/>
              </w:rPr>
            </w:pPr>
          </w:p>
        </w:tc>
      </w:tr>
      <w:tr>
        <w:trPr>
          <w:trHeight w:val="174"/>
        </w:trPr>
        <w:tc>
          <w:tcPr>
            <w:tcW w:w="2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39"/>
              <w:spacing w:after="0" w:line="174" w:lineRule="exact"/>
              <w:rPr>
                <w:sz w:val="20"/>
                <w:szCs w:val="20"/>
                <w:color w:val="auto"/>
              </w:rPr>
            </w:pPr>
            <w:r>
              <w:rPr>
                <w:rFonts w:ascii="Arial" w:cs="Arial" w:eastAsia="Arial" w:hAnsi="Arial"/>
                <w:sz w:val="16"/>
                <w:szCs w:val="16"/>
                <w:color w:val="auto"/>
              </w:rPr>
              <w:t>Construction</w:t>
            </w:r>
          </w:p>
        </w:tc>
        <w:tc>
          <w:tcPr>
            <w:tcW w:w="1140" w:type="dxa"/>
            <w:vAlign w:val="bottom"/>
            <w:gridSpan w:val="2"/>
          </w:tcPr>
          <w:p>
            <w:pPr>
              <w:jc w:val="center"/>
              <w:spacing w:after="0" w:line="174" w:lineRule="exact"/>
              <w:rPr>
                <w:sz w:val="20"/>
                <w:szCs w:val="20"/>
                <w:color w:val="auto"/>
              </w:rPr>
            </w:pPr>
            <w:r>
              <w:rPr>
                <w:rFonts w:ascii="Arial" w:cs="Arial" w:eastAsia="Arial" w:hAnsi="Arial"/>
                <w:sz w:val="16"/>
                <w:szCs w:val="16"/>
                <w:color w:val="auto"/>
                <w:w w:val="99"/>
              </w:rPr>
              <w:t>Total Property</w:t>
            </w:r>
          </w:p>
        </w:tc>
        <w:tc>
          <w:tcPr>
            <w:tcW w:w="180" w:type="dxa"/>
            <w:vAlign w:val="bottom"/>
          </w:tcPr>
          <w:p>
            <w:pPr>
              <w:spacing w:after="0"/>
              <w:rPr>
                <w:sz w:val="15"/>
                <w:szCs w:val="15"/>
                <w:color w:val="auto"/>
              </w:rPr>
            </w:pPr>
          </w:p>
        </w:tc>
        <w:tc>
          <w:tcPr>
            <w:tcW w:w="1180" w:type="dxa"/>
            <w:vAlign w:val="bottom"/>
          </w:tcPr>
          <w:p>
            <w:pPr>
              <w:jc w:val="center"/>
              <w:ind w:right="79"/>
              <w:spacing w:after="0" w:line="174" w:lineRule="exact"/>
              <w:rPr>
                <w:sz w:val="20"/>
                <w:szCs w:val="20"/>
                <w:color w:val="auto"/>
              </w:rPr>
            </w:pPr>
            <w:r>
              <w:rPr>
                <w:rFonts w:ascii="Arial" w:cs="Arial" w:eastAsia="Arial" w:hAnsi="Arial"/>
                <w:sz w:val="16"/>
                <w:szCs w:val="16"/>
                <w:color w:val="auto"/>
              </w:rPr>
              <w:t>Less</w:t>
            </w:r>
          </w:p>
        </w:tc>
        <w:tc>
          <w:tcPr>
            <w:tcW w:w="116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Net Property,</w:t>
            </w:r>
          </w:p>
        </w:tc>
        <w:tc>
          <w:tcPr>
            <w:tcW w:w="960" w:type="dxa"/>
            <w:vAlign w:val="bottom"/>
          </w:tcPr>
          <w:p>
            <w:pPr>
              <w:jc w:val="center"/>
              <w:spacing w:after="0" w:line="174" w:lineRule="exact"/>
              <w:rPr>
                <w:sz w:val="20"/>
                <w:szCs w:val="20"/>
                <w:color w:val="auto"/>
              </w:rPr>
            </w:pPr>
            <w:r>
              <w:rPr>
                <w:rFonts w:ascii="Arial" w:cs="Arial" w:eastAsia="Arial" w:hAnsi="Arial"/>
                <w:sz w:val="16"/>
                <w:szCs w:val="16"/>
                <w:color w:val="auto"/>
              </w:rPr>
              <w:t>Weighted</w:t>
            </w: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62"/>
        </w:trPr>
        <w:tc>
          <w:tcPr>
            <w:tcW w:w="2040" w:type="dxa"/>
            <w:vAlign w:val="bottom"/>
          </w:tcPr>
          <w:p>
            <w:pPr>
              <w:spacing w:after="0"/>
              <w:rPr>
                <w:sz w:val="14"/>
                <w:szCs w:val="14"/>
                <w:color w:val="auto"/>
              </w:rPr>
            </w:pPr>
          </w:p>
        </w:tc>
        <w:tc>
          <w:tcPr>
            <w:tcW w:w="114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Property, Plant</w:t>
            </w:r>
          </w:p>
        </w:tc>
        <w:tc>
          <w:tcPr>
            <w:tcW w:w="140" w:type="dxa"/>
            <w:vAlign w:val="bottom"/>
          </w:tcPr>
          <w:p>
            <w:pPr>
              <w:spacing w:after="0"/>
              <w:rPr>
                <w:sz w:val="14"/>
                <w:szCs w:val="14"/>
                <w:color w:val="auto"/>
              </w:rPr>
            </w:pPr>
          </w:p>
        </w:tc>
        <w:tc>
          <w:tcPr>
            <w:tcW w:w="110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9"/>
              </w:rPr>
              <w:t>Work in</w:t>
            </w:r>
          </w:p>
        </w:tc>
        <w:tc>
          <w:tcPr>
            <w:tcW w:w="18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Plant and</w:t>
            </w:r>
          </w:p>
        </w:tc>
        <w:tc>
          <w:tcPr>
            <w:tcW w:w="180" w:type="dxa"/>
            <w:vAlign w:val="bottom"/>
          </w:tcPr>
          <w:p>
            <w:pPr>
              <w:spacing w:after="0"/>
              <w:rPr>
                <w:sz w:val="14"/>
                <w:szCs w:val="14"/>
                <w:color w:val="auto"/>
              </w:rPr>
            </w:pPr>
          </w:p>
        </w:tc>
        <w:tc>
          <w:tcPr>
            <w:tcW w:w="1180" w:type="dxa"/>
            <w:vAlign w:val="bottom"/>
          </w:tcPr>
          <w:p>
            <w:pPr>
              <w:jc w:val="center"/>
              <w:ind w:right="79"/>
              <w:spacing w:after="0" w:line="162" w:lineRule="exact"/>
              <w:rPr>
                <w:sz w:val="20"/>
                <w:szCs w:val="20"/>
                <w:color w:val="auto"/>
              </w:rPr>
            </w:pPr>
            <w:r>
              <w:rPr>
                <w:rFonts w:ascii="Arial" w:cs="Arial" w:eastAsia="Arial" w:hAnsi="Arial"/>
                <w:sz w:val="16"/>
                <w:szCs w:val="16"/>
                <w:color w:val="auto"/>
              </w:rPr>
              <w:t>Accumulated</w:t>
            </w:r>
          </w:p>
        </w:tc>
        <w:tc>
          <w:tcPr>
            <w:tcW w:w="140" w:type="dxa"/>
            <w:vAlign w:val="bottom"/>
          </w:tcPr>
          <w:p>
            <w:pPr>
              <w:spacing w:after="0"/>
              <w:rPr>
                <w:sz w:val="14"/>
                <w:szCs w:val="14"/>
                <w:color w:val="auto"/>
              </w:rPr>
            </w:pPr>
          </w:p>
        </w:tc>
        <w:tc>
          <w:tcPr>
            <w:tcW w:w="1020" w:type="dxa"/>
            <w:vAlign w:val="bottom"/>
          </w:tcPr>
          <w:p>
            <w:pPr>
              <w:jc w:val="center"/>
              <w:ind w:right="99"/>
              <w:spacing w:after="0" w:line="162" w:lineRule="exact"/>
              <w:rPr>
                <w:sz w:val="20"/>
                <w:szCs w:val="20"/>
                <w:color w:val="auto"/>
              </w:rPr>
            </w:pPr>
            <w:r>
              <w:rPr>
                <w:rFonts w:ascii="Arial" w:cs="Arial" w:eastAsia="Arial" w:hAnsi="Arial"/>
                <w:sz w:val="16"/>
                <w:szCs w:val="16"/>
                <w:color w:val="auto"/>
              </w:rPr>
              <w:t>Plant and</w:t>
            </w:r>
          </w:p>
        </w:tc>
        <w:tc>
          <w:tcPr>
            <w:tcW w:w="960" w:type="dxa"/>
            <w:vAlign w:val="bottom"/>
          </w:tcPr>
          <w:p>
            <w:pPr>
              <w:jc w:val="center"/>
              <w:spacing w:after="0" w:line="162" w:lineRule="exact"/>
              <w:rPr>
                <w:sz w:val="20"/>
                <w:szCs w:val="20"/>
                <w:color w:val="auto"/>
              </w:rPr>
            </w:pPr>
            <w:r>
              <w:rPr>
                <w:rFonts w:ascii="Arial" w:cs="Arial" w:eastAsia="Arial" w:hAnsi="Arial"/>
                <w:sz w:val="16"/>
                <w:szCs w:val="16"/>
                <w:color w:val="auto"/>
              </w:rPr>
              <w:t>Average</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8"/>
        </w:trPr>
        <w:tc>
          <w:tcPr>
            <w:tcW w:w="2040" w:type="dxa"/>
            <w:vAlign w:val="bottom"/>
            <w:tcBorders>
              <w:bottom w:val="single" w:sz="8" w:color="CEFFE7"/>
            </w:tcBorders>
          </w:tcPr>
          <w:p>
            <w:pPr>
              <w:spacing w:after="0"/>
              <w:rPr>
                <w:sz w:val="17"/>
                <w:szCs w:val="17"/>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and Equipment</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9"/>
              </w:rPr>
              <w:t>Progress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Equipment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Depreciation</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9"/>
              </w:rPr>
              <w:t>Equipment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Useful Life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Minimum</w:t>
            </w: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Maximum</w:t>
            </w:r>
          </w:p>
        </w:tc>
      </w:tr>
      <w:tr>
        <w:trPr>
          <w:trHeight w:val="213"/>
        </w:trPr>
        <w:tc>
          <w:tcPr>
            <w:tcW w:w="20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Corporate</w:t>
            </w:r>
          </w:p>
        </w:tc>
        <w:tc>
          <w:tcPr>
            <w:tcW w:w="38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5,694</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8,460</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14,154</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(1,544)</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12,610</w:t>
            </w:r>
          </w:p>
        </w:tc>
        <w:tc>
          <w:tcPr>
            <w:tcW w:w="9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10</w:t>
            </w:r>
          </w:p>
        </w:tc>
        <w:tc>
          <w:tcPr>
            <w:tcW w:w="960" w:type="dxa"/>
            <w:vAlign w:val="bottom"/>
            <w:shd w:val="clear" w:color="auto" w:fill="CEFFE7"/>
          </w:tcPr>
          <w:p>
            <w:pPr>
              <w:jc w:val="center"/>
              <w:ind w:right="19"/>
              <w:spacing w:after="0"/>
              <w:rPr>
                <w:sz w:val="20"/>
                <w:szCs w:val="20"/>
                <w:color w:val="auto"/>
              </w:rPr>
            </w:pPr>
            <w:r>
              <w:rPr>
                <w:rFonts w:ascii="Arial" w:cs="Arial" w:eastAsia="Arial" w:hAnsi="Arial"/>
                <w:sz w:val="16"/>
                <w:szCs w:val="16"/>
                <w:color w:val="auto"/>
              </w:rPr>
              <w:t>22</w:t>
            </w:r>
          </w:p>
        </w:tc>
      </w:tr>
      <w:tr>
        <w:trPr>
          <w:trHeight w:val="564"/>
        </w:trPr>
        <w:tc>
          <w:tcPr>
            <w:tcW w:w="2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Lives (in years)</w:t>
            </w:r>
          </w:p>
        </w:tc>
        <w:tc>
          <w:tcPr>
            <w:tcW w:w="960" w:type="dxa"/>
            <w:vAlign w:val="bottom"/>
            <w:tcBorders>
              <w:bottom w:val="single" w:sz="8" w:color="auto"/>
            </w:tcBorders>
          </w:tcPr>
          <w:p>
            <w:pPr>
              <w:spacing w:after="0"/>
              <w:rPr>
                <w:sz w:val="24"/>
                <w:szCs w:val="24"/>
                <w:color w:val="auto"/>
              </w:rPr>
            </w:pPr>
          </w:p>
        </w:tc>
      </w:tr>
      <w:tr>
        <w:trPr>
          <w:trHeight w:val="174"/>
        </w:trPr>
        <w:tc>
          <w:tcPr>
            <w:tcW w:w="2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39"/>
              <w:spacing w:after="0" w:line="174" w:lineRule="exact"/>
              <w:rPr>
                <w:sz w:val="20"/>
                <w:szCs w:val="20"/>
                <w:color w:val="auto"/>
              </w:rPr>
            </w:pPr>
            <w:r>
              <w:rPr>
                <w:rFonts w:ascii="Arial" w:cs="Arial" w:eastAsia="Arial" w:hAnsi="Arial"/>
                <w:sz w:val="16"/>
                <w:szCs w:val="16"/>
                <w:color w:val="auto"/>
              </w:rPr>
              <w:t>Construction</w:t>
            </w:r>
          </w:p>
        </w:tc>
        <w:tc>
          <w:tcPr>
            <w:tcW w:w="1140" w:type="dxa"/>
            <w:vAlign w:val="bottom"/>
            <w:gridSpan w:val="2"/>
          </w:tcPr>
          <w:p>
            <w:pPr>
              <w:jc w:val="center"/>
              <w:spacing w:after="0" w:line="174" w:lineRule="exact"/>
              <w:rPr>
                <w:sz w:val="20"/>
                <w:szCs w:val="20"/>
                <w:color w:val="auto"/>
              </w:rPr>
            </w:pPr>
            <w:r>
              <w:rPr>
                <w:rFonts w:ascii="Arial" w:cs="Arial" w:eastAsia="Arial" w:hAnsi="Arial"/>
                <w:sz w:val="16"/>
                <w:szCs w:val="16"/>
                <w:color w:val="auto"/>
                <w:w w:val="99"/>
              </w:rPr>
              <w:t>Total Property</w:t>
            </w:r>
          </w:p>
        </w:tc>
        <w:tc>
          <w:tcPr>
            <w:tcW w:w="180" w:type="dxa"/>
            <w:vAlign w:val="bottom"/>
          </w:tcPr>
          <w:p>
            <w:pPr>
              <w:spacing w:after="0"/>
              <w:rPr>
                <w:sz w:val="15"/>
                <w:szCs w:val="15"/>
                <w:color w:val="auto"/>
              </w:rPr>
            </w:pPr>
          </w:p>
        </w:tc>
        <w:tc>
          <w:tcPr>
            <w:tcW w:w="1180" w:type="dxa"/>
            <w:vAlign w:val="bottom"/>
          </w:tcPr>
          <w:p>
            <w:pPr>
              <w:jc w:val="center"/>
              <w:ind w:right="79"/>
              <w:spacing w:after="0" w:line="174" w:lineRule="exact"/>
              <w:rPr>
                <w:sz w:val="20"/>
                <w:szCs w:val="20"/>
                <w:color w:val="auto"/>
              </w:rPr>
            </w:pPr>
            <w:r>
              <w:rPr>
                <w:rFonts w:ascii="Arial" w:cs="Arial" w:eastAsia="Arial" w:hAnsi="Arial"/>
                <w:sz w:val="16"/>
                <w:szCs w:val="16"/>
                <w:color w:val="auto"/>
              </w:rPr>
              <w:t>Less</w:t>
            </w:r>
          </w:p>
        </w:tc>
        <w:tc>
          <w:tcPr>
            <w:tcW w:w="116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Net Property,</w:t>
            </w:r>
          </w:p>
        </w:tc>
        <w:tc>
          <w:tcPr>
            <w:tcW w:w="960" w:type="dxa"/>
            <w:vAlign w:val="bottom"/>
          </w:tcPr>
          <w:p>
            <w:pPr>
              <w:jc w:val="center"/>
              <w:spacing w:after="0" w:line="174" w:lineRule="exact"/>
              <w:rPr>
                <w:sz w:val="20"/>
                <w:szCs w:val="20"/>
                <w:color w:val="auto"/>
              </w:rPr>
            </w:pPr>
            <w:r>
              <w:rPr>
                <w:rFonts w:ascii="Arial" w:cs="Arial" w:eastAsia="Arial" w:hAnsi="Arial"/>
                <w:sz w:val="16"/>
                <w:szCs w:val="16"/>
                <w:color w:val="auto"/>
              </w:rPr>
              <w:t>Weighted</w:t>
            </w: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62"/>
        </w:trPr>
        <w:tc>
          <w:tcPr>
            <w:tcW w:w="2040" w:type="dxa"/>
            <w:vAlign w:val="bottom"/>
          </w:tcPr>
          <w:p>
            <w:pPr>
              <w:spacing w:after="0"/>
              <w:rPr>
                <w:sz w:val="14"/>
                <w:szCs w:val="14"/>
                <w:color w:val="auto"/>
              </w:rPr>
            </w:pPr>
          </w:p>
        </w:tc>
        <w:tc>
          <w:tcPr>
            <w:tcW w:w="114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Property, Plant</w:t>
            </w:r>
          </w:p>
        </w:tc>
        <w:tc>
          <w:tcPr>
            <w:tcW w:w="140" w:type="dxa"/>
            <w:vAlign w:val="bottom"/>
          </w:tcPr>
          <w:p>
            <w:pPr>
              <w:spacing w:after="0"/>
              <w:rPr>
                <w:sz w:val="14"/>
                <w:szCs w:val="14"/>
                <w:color w:val="auto"/>
              </w:rPr>
            </w:pPr>
          </w:p>
        </w:tc>
        <w:tc>
          <w:tcPr>
            <w:tcW w:w="110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9"/>
              </w:rPr>
              <w:t>Work in</w:t>
            </w:r>
          </w:p>
        </w:tc>
        <w:tc>
          <w:tcPr>
            <w:tcW w:w="18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Plant and</w:t>
            </w:r>
          </w:p>
        </w:tc>
        <w:tc>
          <w:tcPr>
            <w:tcW w:w="180" w:type="dxa"/>
            <w:vAlign w:val="bottom"/>
          </w:tcPr>
          <w:p>
            <w:pPr>
              <w:spacing w:after="0"/>
              <w:rPr>
                <w:sz w:val="14"/>
                <w:szCs w:val="14"/>
                <w:color w:val="auto"/>
              </w:rPr>
            </w:pPr>
          </w:p>
        </w:tc>
        <w:tc>
          <w:tcPr>
            <w:tcW w:w="1180" w:type="dxa"/>
            <w:vAlign w:val="bottom"/>
          </w:tcPr>
          <w:p>
            <w:pPr>
              <w:jc w:val="center"/>
              <w:ind w:right="79"/>
              <w:spacing w:after="0" w:line="162" w:lineRule="exact"/>
              <w:rPr>
                <w:sz w:val="20"/>
                <w:szCs w:val="20"/>
                <w:color w:val="auto"/>
              </w:rPr>
            </w:pPr>
            <w:r>
              <w:rPr>
                <w:rFonts w:ascii="Arial" w:cs="Arial" w:eastAsia="Arial" w:hAnsi="Arial"/>
                <w:sz w:val="16"/>
                <w:szCs w:val="16"/>
                <w:color w:val="auto"/>
              </w:rPr>
              <w:t>Accumulated</w:t>
            </w:r>
          </w:p>
        </w:tc>
        <w:tc>
          <w:tcPr>
            <w:tcW w:w="140" w:type="dxa"/>
            <w:vAlign w:val="bottom"/>
          </w:tcPr>
          <w:p>
            <w:pPr>
              <w:spacing w:after="0"/>
              <w:rPr>
                <w:sz w:val="14"/>
                <w:szCs w:val="14"/>
                <w:color w:val="auto"/>
              </w:rPr>
            </w:pPr>
          </w:p>
        </w:tc>
        <w:tc>
          <w:tcPr>
            <w:tcW w:w="1020" w:type="dxa"/>
            <w:vAlign w:val="bottom"/>
          </w:tcPr>
          <w:p>
            <w:pPr>
              <w:jc w:val="center"/>
              <w:ind w:right="99"/>
              <w:spacing w:after="0" w:line="162" w:lineRule="exact"/>
              <w:rPr>
                <w:sz w:val="20"/>
                <w:szCs w:val="20"/>
                <w:color w:val="auto"/>
              </w:rPr>
            </w:pPr>
            <w:r>
              <w:rPr>
                <w:rFonts w:ascii="Arial" w:cs="Arial" w:eastAsia="Arial" w:hAnsi="Arial"/>
                <w:sz w:val="16"/>
                <w:szCs w:val="16"/>
                <w:color w:val="auto"/>
              </w:rPr>
              <w:t>Plant and</w:t>
            </w:r>
          </w:p>
        </w:tc>
        <w:tc>
          <w:tcPr>
            <w:tcW w:w="960" w:type="dxa"/>
            <w:vAlign w:val="bottom"/>
          </w:tcPr>
          <w:p>
            <w:pPr>
              <w:jc w:val="center"/>
              <w:spacing w:after="0" w:line="162" w:lineRule="exact"/>
              <w:rPr>
                <w:sz w:val="20"/>
                <w:szCs w:val="20"/>
                <w:color w:val="auto"/>
              </w:rPr>
            </w:pPr>
            <w:r>
              <w:rPr>
                <w:rFonts w:ascii="Arial" w:cs="Arial" w:eastAsia="Arial" w:hAnsi="Arial"/>
                <w:sz w:val="16"/>
                <w:szCs w:val="16"/>
                <w:color w:val="auto"/>
              </w:rPr>
              <w:t>Average</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8"/>
        </w:trPr>
        <w:tc>
          <w:tcPr>
            <w:tcW w:w="2040" w:type="dxa"/>
            <w:vAlign w:val="bottom"/>
            <w:tcBorders>
              <w:bottom w:val="single" w:sz="8" w:color="CEFFE7"/>
            </w:tcBorders>
          </w:tcPr>
          <w:p>
            <w:pPr>
              <w:spacing w:after="0"/>
              <w:rPr>
                <w:sz w:val="17"/>
                <w:szCs w:val="17"/>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and Equipment</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9"/>
              </w:rPr>
              <w:t>Progress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Equipment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Depreciation</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9"/>
              </w:rPr>
              <w:t>Equipment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Useful Life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Minimum</w:t>
            </w: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Maximum</w:t>
            </w:r>
          </w:p>
        </w:tc>
      </w:tr>
      <w:tr>
        <w:trPr>
          <w:trHeight w:val="213"/>
        </w:trPr>
        <w:tc>
          <w:tcPr>
            <w:tcW w:w="20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Corporate</w:t>
            </w:r>
          </w:p>
        </w:tc>
        <w:tc>
          <w:tcPr>
            <w:tcW w:w="38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5,692</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16,402</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22,094</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(1,144)</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20,950</w:t>
            </w:r>
          </w:p>
        </w:tc>
        <w:tc>
          <w:tcPr>
            <w:tcW w:w="9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10</w:t>
            </w:r>
          </w:p>
        </w:tc>
        <w:tc>
          <w:tcPr>
            <w:tcW w:w="960" w:type="dxa"/>
            <w:vAlign w:val="bottom"/>
            <w:shd w:val="clear" w:color="auto" w:fill="CEFFE7"/>
          </w:tcPr>
          <w:p>
            <w:pPr>
              <w:jc w:val="center"/>
              <w:ind w:right="19"/>
              <w:spacing w:after="0"/>
              <w:rPr>
                <w:sz w:val="20"/>
                <w:szCs w:val="20"/>
                <w:color w:val="auto"/>
              </w:rPr>
            </w:pPr>
            <w:r>
              <w:rPr>
                <w:rFonts w:ascii="Arial" w:cs="Arial" w:eastAsia="Arial" w:hAnsi="Arial"/>
                <w:sz w:val="16"/>
                <w:szCs w:val="16"/>
                <w:color w:val="auto"/>
              </w:rPr>
              <w:t>22</w:t>
            </w:r>
          </w:p>
        </w:tc>
      </w:tr>
    </w:tbl>
    <w:p>
      <w:pPr>
        <w:spacing w:after="0" w:line="200" w:lineRule="exact"/>
        <w:rPr>
          <w:sz w:val="20"/>
          <w:szCs w:val="20"/>
          <w:color w:val="auto"/>
        </w:rPr>
      </w:pPr>
    </w:p>
    <w:p>
      <w:pPr>
        <w:spacing w:after="0" w:line="362"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JOINTLY OWNED FACILITIES</w:t>
      </w:r>
    </w:p>
    <w:p>
      <w:pPr>
        <w:spacing w:after="0" w:line="268"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Our consolidated financial statements include our share of several jointly-owned facilities as described below. Our share of the facilities’ expenses are reflected in the appropriate categories of operating expenses in the Consolidated Statements of Income. Each owner of the facility is responsible for financing its investment in the jointly-owned facilities.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Wyodak Plant</w:t>
      </w:r>
    </w:p>
    <w:p>
      <w:pPr>
        <w:spacing w:after="0" w:line="26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South Dakota Electric owns a 20% interest in the Wyodak Plant while PacifiCorp owns the remaining ownership interest and operates the Wyodak Plant. South Dakota Electric receives its proportionate share of the Wyodak Plant’s capacity and is committed to pay its proportionate share of its additions, replacements and operating and maintenance expenses. In addition to supplying South Dakota Electric with coal for its share of the Wyodak Plant, our mine supplies PacifiCorp’s share of the coal under a separate long-term agreement. This coal supply agreement is collateralized by a mortgage on and a security interest in some of WRDC’s coal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Transmission Tie</w:t>
      </w:r>
    </w:p>
    <w:p>
      <w:pPr>
        <w:spacing w:after="0" w:line="26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South Dakota Electric owns a 35% interest in, and is the operator of, the Converter Station Site and South Rapid City Interconnection (the Transmission Tie), an AC-DC-AC transmission tie. Basin Electric Power Cooperative owns the remaining 65% interest in the Transmission Tie. South Dakota Electric is committed to pay its proportionate share of the additions and replacements and operating and maintenance expenses of the Transmission Tie.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Wygen III</w:t>
      </w:r>
    </w:p>
    <w:p>
      <w:pPr>
        <w:spacing w:after="0" w:line="26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South Dakota Electric owns 52% of the Wygen III generation facility. MDU and the City of Gillette each own an undivided ownership interest in Wygen III and are obligated to make payments for costs associated with administrative services and their proportionate share of the costs of operating the plant for the life of the facility. South Dakota Electric retains responsibility for plant operations. Our mine supplies fuel to Wygen III for the life of the plant.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Wygen I</w:t>
      </w:r>
    </w:p>
    <w:p>
      <w:pPr>
        <w:spacing w:after="0" w:line="264"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auto"/>
        </w:rPr>
        <w:t>Black Hills Wyoming owns 76.5% of the Wygen I plant while MEAN owns the remaining ownership interest. MEAN is obligated to make payments for its share of the costs associated with administrative services, plant operations and coal supply provided by our mine during the life of the facility. Black Hills Wyoming retains responsibility for plant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2021, our interests in jointly-owned generating facilities and transmission systems were (in thousands):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Construction Work in</w:t>
            </w:r>
          </w:p>
        </w:tc>
        <w:tc>
          <w:tcPr>
            <w:tcW w:w="22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Arial" w:cs="Arial" w:eastAsia="Arial" w:hAnsi="Arial"/>
                <w:sz w:val="16"/>
                <w:szCs w:val="16"/>
                <w:color w:val="auto"/>
              </w:rPr>
              <w:t>Less Accumulated</w:t>
            </w:r>
          </w:p>
        </w:tc>
        <w:tc>
          <w:tcPr>
            <w:tcW w:w="1880" w:type="dxa"/>
            <w:vAlign w:val="bottom"/>
            <w:gridSpan w:val="2"/>
          </w:tcPr>
          <w:p>
            <w:pPr>
              <w:ind w:left="40"/>
              <w:spacing w:after="0"/>
              <w:rPr>
                <w:sz w:val="20"/>
                <w:szCs w:val="20"/>
                <w:color w:val="auto"/>
              </w:rPr>
            </w:pPr>
            <w:r>
              <w:rPr>
                <w:rFonts w:ascii="Arial" w:cs="Arial" w:eastAsia="Arial" w:hAnsi="Arial"/>
                <w:sz w:val="16"/>
                <w:szCs w:val="16"/>
                <w:color w:val="auto"/>
              </w:rPr>
              <w:t>Plant Net of Accumulated</w:t>
            </w:r>
          </w:p>
        </w:tc>
      </w:tr>
      <w:tr>
        <w:trPr>
          <w:trHeight w:val="198"/>
        </w:trPr>
        <w:tc>
          <w:tcPr>
            <w:tcW w:w="3820" w:type="dxa"/>
            <w:vAlign w:val="bottom"/>
            <w:tcBorders>
              <w:bottom w:val="single" w:sz="8" w:color="CEFFE7"/>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Plant in Service</w:t>
            </w: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Progress</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Depreciation</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Depreciation</w:t>
            </w:r>
          </w:p>
        </w:tc>
      </w:tr>
      <w:tr>
        <w:trPr>
          <w:trHeight w:val="213"/>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Wyodak Plant</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118,637</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882</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(70,468)</w:t>
            </w:r>
          </w:p>
        </w:tc>
        <w:tc>
          <w:tcPr>
            <w:tcW w:w="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49,051</w:t>
            </w: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Transmission Tie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24,544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287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(6,922)</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17,909</w:t>
            </w:r>
          </w:p>
        </w:tc>
      </w:tr>
      <w:tr>
        <w:trPr>
          <w:trHeight w:val="219"/>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Wygen III</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142,199</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635</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(26,598)</w:t>
            </w:r>
          </w:p>
        </w:tc>
        <w:tc>
          <w:tcPr>
            <w:tcW w:w="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116,236</w:t>
            </w: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color w:val="auto"/>
              </w:rPr>
              <w:t>Wygen I</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120,565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399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(53,784)</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67,180</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Jointly Owned Facilities - Related Party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Busch Ranch I</w:t>
      </w:r>
    </w:p>
    <w:p>
      <w:pPr>
        <w:spacing w:after="0" w:line="26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Colorado Electric owns 50% of Busch Ranch I while Black Hills Electric Generation owns the remaining 50% ownership interest. Each company is obligated to make payments for costs associated with their proportionate share of the costs of operating the wind farm over the life of the facility. Colorado Electric retains responsibility for operations of the wind farm. Black Hills Electric Generation provides its share of energy from the wind farm to Colorado Electric through a PPA, which expires in October 2037.</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Cheyenne Prairie</w:t>
      </w:r>
    </w:p>
    <w:p>
      <w:pPr>
        <w:spacing w:after="0" w:line="264"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Cheyenne Prairie serves the utility customers of South Dakota Electric and Wyoming Electric. The facility includes one simple-cycle, 40 MW combustion turbine that is wholly-owned by Wyoming Electric and one combined-cycle, 100 MW unit that is jointly-owned by South Dakota Electric (58 MW) and Wyoming Electric (42 MW). BHSC is responsible for plant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Corriedale</w:t>
      </w:r>
    </w:p>
    <w:p>
      <w:pPr>
        <w:spacing w:after="0" w:line="26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Corriedale serves as the dedicated wind energy supply for Renewable Ready customers in South Dakota and Wyoming. The 52.5 MW wind farm is jointly-owned by South Dakota Electric (32.5 MW) and Wyoming Electric (20 MW). BHSC is responsible for operations of the wind farm.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380" w:hanging="372"/>
        <w:spacing w:after="0"/>
        <w:tabs>
          <w:tab w:leader="none" w:pos="38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ASSET RETIREMENT OBLIGATIONS</w:t>
      </w:r>
    </w:p>
    <w:p>
      <w:pPr>
        <w:spacing w:after="0" w:line="26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have identified legal obligations related to reclamation of mining sites; removal of fuel tanks, transformers containing polychlorinated biphenyls, and an evaporation pond; and reclamation of wind turbine sites at our Electric Utilities segment. In addition, we have identified legal obligations related to retirement of gas pipelines and wells at our Gas Utilities and removal of asbestos at our Utilities. We periodically review and update estimated costs related to these AROs. The actual cost may vary from estimates due to regulatory requirements, changes in technology and increased labor, materials and equipment costs.</w:t>
      </w:r>
    </w:p>
    <w:p>
      <w:pPr>
        <w:spacing w:after="0" w:line="22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following tables present the details of AROs which are included on the accompanying Consolidated Balance Sheets in Other deferred credits and other liabilities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color w:val="auto"/>
              </w:rPr>
              <w:t>December 31,</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color w:val="auto"/>
              </w:rPr>
              <w:t>Revisions to Prior</w:t>
            </w:r>
          </w:p>
        </w:tc>
        <w:tc>
          <w:tcPr>
            <w:tcW w:w="16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color w:val="auto"/>
              </w:rPr>
              <w:t>December 31,</w:t>
            </w:r>
          </w:p>
        </w:tc>
      </w:tr>
      <w:tr>
        <w:trPr>
          <w:trHeight w:val="198"/>
        </w:trPr>
        <w:tc>
          <w:tcPr>
            <w:tcW w:w="2320" w:type="dxa"/>
            <w:vAlign w:val="bottom"/>
            <w:tcBorders>
              <w:bottom w:val="single" w:sz="8" w:color="CEFFE7"/>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2020</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Liabilities Incurred</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Liabilities Settled</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Accretion</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Estimates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2021</w:t>
            </w:r>
          </w:p>
        </w:tc>
      </w:tr>
      <w:tr>
        <w:trPr>
          <w:trHeight w:val="213"/>
        </w:trPr>
        <w:tc>
          <w:tcPr>
            <w:tcW w:w="2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Electric Utilities</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29,157</w:t>
            </w:r>
          </w:p>
        </w:tc>
        <w:tc>
          <w:tcPr>
            <w:tcW w:w="560" w:type="dxa"/>
            <w:vAlign w:val="bottom"/>
            <w:shd w:val="clear" w:color="auto" w:fill="CEFFE7"/>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(978)</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1,315</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595</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30,089</w:t>
            </w:r>
          </w:p>
        </w:tc>
      </w:tr>
      <w:tr>
        <w:trPr>
          <w:trHeight w:val="216"/>
        </w:trPr>
        <w:tc>
          <w:tcPr>
            <w:tcW w:w="2320" w:type="dxa"/>
            <w:vAlign w:val="bottom"/>
            <w:tcBorders>
              <w:bottom w:val="single" w:sz="8" w:color="CEFFE7"/>
            </w:tcBorders>
          </w:tcPr>
          <w:p>
            <w:pPr>
              <w:ind w:left="20"/>
              <w:spacing w:after="0" w:line="216" w:lineRule="exact"/>
              <w:rPr>
                <w:sz w:val="20"/>
                <w:szCs w:val="20"/>
                <w:color w:val="auto"/>
              </w:rPr>
            </w:pPr>
            <w:r>
              <w:rPr>
                <w:rFonts w:ascii="Arial" w:cs="Arial" w:eastAsia="Arial" w:hAnsi="Arial"/>
                <w:sz w:val="16"/>
                <w:szCs w:val="16"/>
                <w:color w:val="auto"/>
              </w:rPr>
              <w:t xml:space="preserve">Gas Utilities </w:t>
            </w:r>
            <w:r>
              <w:rPr>
                <w:rFonts w:ascii="Arial" w:cs="Arial" w:eastAsia="Arial" w:hAnsi="Arial"/>
                <w:sz w:val="21"/>
                <w:szCs w:val="21"/>
                <w:color w:val="auto"/>
                <w:vertAlign w:val="superscript"/>
              </w:rPr>
              <w:t>(a)</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42,274</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1,733</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45,455</w:t>
            </w:r>
          </w:p>
        </w:tc>
      </w:tr>
      <w:tr>
        <w:trPr>
          <w:trHeight w:val="234"/>
        </w:trPr>
        <w:tc>
          <w:tcPr>
            <w:tcW w:w="232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EFFE7"/>
          </w:tcPr>
          <w:p>
            <w:pPr>
              <w:spacing w:after="0"/>
              <w:rPr>
                <w:sz w:val="19"/>
                <w:szCs w:val="19"/>
                <w:color w:val="auto"/>
              </w:rPr>
            </w:pP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71,431</w:t>
            </w:r>
          </w:p>
        </w:tc>
        <w:tc>
          <w:tcPr>
            <w:tcW w:w="560" w:type="dxa"/>
            <w:vAlign w:val="bottom"/>
            <w:tcBorders>
              <w:bottom w:val="single" w:sz="8" w:color="auto"/>
            </w:tcBorders>
            <w:shd w:val="clear" w:color="auto" w:fill="CEFFE7"/>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(1,044)</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3,048</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2,109</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75,544</w:t>
            </w:r>
          </w:p>
        </w:tc>
      </w:tr>
      <w:tr>
        <w:trPr>
          <w:trHeight w:val="20"/>
        </w:trPr>
        <w:tc>
          <w:tcPr>
            <w:tcW w:w="232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58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r>
      <w:tr>
        <w:trPr>
          <w:trHeight w:val="597"/>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color w:val="auto"/>
              </w:rPr>
              <w:t>December 31,</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color w:val="auto"/>
              </w:rPr>
              <w:t>Revisions to Prior</w:t>
            </w:r>
          </w:p>
        </w:tc>
        <w:tc>
          <w:tcPr>
            <w:tcW w:w="160" w:type="dxa"/>
            <w:vAlign w:val="bottom"/>
          </w:tcPr>
          <w:p>
            <w:pPr>
              <w:spacing w:after="0"/>
              <w:rPr>
                <w:sz w:val="24"/>
                <w:szCs w:val="24"/>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color w:val="auto"/>
              </w:rPr>
              <w:t>December 31,</w:t>
            </w:r>
          </w:p>
        </w:tc>
      </w:tr>
      <w:tr>
        <w:trPr>
          <w:trHeight w:val="198"/>
        </w:trPr>
        <w:tc>
          <w:tcPr>
            <w:tcW w:w="2320" w:type="dxa"/>
            <w:vAlign w:val="bottom"/>
            <w:tcBorders>
              <w:bottom w:val="single" w:sz="8" w:color="CEFFE7"/>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2019</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Liabilities Incurred</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Liabilities Settled</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Accretion</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Estimates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2020</w:t>
            </w:r>
          </w:p>
        </w:tc>
      </w:tr>
      <w:tr>
        <w:trPr>
          <w:trHeight w:val="213"/>
        </w:trPr>
        <w:tc>
          <w:tcPr>
            <w:tcW w:w="2320" w:type="dxa"/>
            <w:vAlign w:val="bottom"/>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Electric Utilities </w:t>
            </w:r>
            <w:r>
              <w:rPr>
                <w:rFonts w:ascii="Arial" w:cs="Arial" w:eastAsia="Arial" w:hAnsi="Arial"/>
                <w:sz w:val="21"/>
                <w:szCs w:val="21"/>
                <w:color w:val="auto"/>
                <w:vertAlign w:val="superscript"/>
              </w:rPr>
              <w:t>(b) (c)</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28,120</w:t>
            </w:r>
          </w:p>
        </w:tc>
        <w:tc>
          <w:tcPr>
            <w:tcW w:w="560" w:type="dxa"/>
            <w:vAlign w:val="bottom"/>
            <w:shd w:val="clear" w:color="auto" w:fill="CEFFE7"/>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1,217</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(185)</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1,230</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(1,225)</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29,157</w:t>
            </w:r>
          </w:p>
        </w:tc>
      </w:tr>
      <w:tr>
        <w:trPr>
          <w:trHeight w:val="216"/>
        </w:trPr>
        <w:tc>
          <w:tcPr>
            <w:tcW w:w="2320" w:type="dxa"/>
            <w:vAlign w:val="bottom"/>
            <w:tcBorders>
              <w:bottom w:val="single" w:sz="8" w:color="CEFFE7"/>
            </w:tcBorders>
          </w:tcPr>
          <w:p>
            <w:pPr>
              <w:ind w:left="20"/>
              <w:spacing w:after="0" w:line="216" w:lineRule="exact"/>
              <w:rPr>
                <w:sz w:val="20"/>
                <w:szCs w:val="20"/>
                <w:color w:val="auto"/>
              </w:rPr>
            </w:pPr>
            <w:r>
              <w:rPr>
                <w:rFonts w:ascii="Arial" w:cs="Arial" w:eastAsia="Arial" w:hAnsi="Arial"/>
                <w:sz w:val="16"/>
                <w:szCs w:val="16"/>
                <w:color w:val="auto"/>
              </w:rPr>
              <w:t xml:space="preserve">Gas Utilities </w:t>
            </w:r>
            <w:r>
              <w:rPr>
                <w:rFonts w:ascii="Arial" w:cs="Arial" w:eastAsia="Arial" w:hAnsi="Arial"/>
                <w:sz w:val="21"/>
                <w:szCs w:val="21"/>
                <w:color w:val="auto"/>
                <w:vertAlign w:val="superscript"/>
              </w:rPr>
              <w:t>(d)</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36,085</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42,274</w:t>
            </w:r>
          </w:p>
        </w:tc>
      </w:tr>
      <w:tr>
        <w:trPr>
          <w:trHeight w:val="234"/>
        </w:trPr>
        <w:tc>
          <w:tcPr>
            <w:tcW w:w="232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64,205</w:t>
            </w:r>
          </w:p>
        </w:tc>
        <w:tc>
          <w:tcPr>
            <w:tcW w:w="560" w:type="dxa"/>
            <w:vAlign w:val="bottom"/>
            <w:tcBorders>
              <w:bottom w:val="single" w:sz="8" w:color="auto"/>
            </w:tcBorders>
            <w:shd w:val="clear" w:color="auto" w:fill="CEFFE7"/>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5,999</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(317)</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2,769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(1,225)</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71,431</w:t>
            </w:r>
          </w:p>
        </w:tc>
      </w:tr>
      <w:tr>
        <w:trPr>
          <w:trHeight w:val="20"/>
        </w:trPr>
        <w:tc>
          <w:tcPr>
            <w:tcW w:w="232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58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Revisions to Prior Estimates were primarily driven by changes in estimates associated with natural gas wells.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Liabilities incurred were related to new wind assets.</w:t>
      </w:r>
    </w:p>
    <w:p>
      <w:pPr>
        <w:spacing w:after="0" w:line="1" w:lineRule="exact"/>
        <w:rPr>
          <w:rFonts w:ascii="Arial" w:cs="Arial" w:eastAsia="Arial" w:hAnsi="Arial"/>
          <w:sz w:val="14"/>
          <w:szCs w:val="14"/>
          <w:color w:val="auto"/>
        </w:rPr>
      </w:pPr>
    </w:p>
    <w:p>
      <w:pPr>
        <w:ind w:left="340" w:right="500" w:hanging="332"/>
        <w:spacing w:after="0" w:line="241" w:lineRule="auto"/>
        <w:tabs>
          <w:tab w:leader="none" w:pos="341"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Revisions to Prior Estimates were primarily driven by changes in estimated costs associated with back-filling the pit with overburden removed during the mining process.</w:t>
      </w:r>
    </w:p>
    <w:p>
      <w:pPr>
        <w:ind w:left="340" w:right="260" w:hanging="332"/>
        <w:spacing w:after="0" w:line="258" w:lineRule="auto"/>
        <w:tabs>
          <w:tab w:leader="none" w:pos="352" w:val="left"/>
        </w:tabs>
        <w:numPr>
          <w:ilvl w:val="0"/>
          <w:numId w:val="65"/>
        </w:numPr>
        <w:rPr>
          <w:rFonts w:ascii="Arial" w:cs="Arial" w:eastAsia="Arial" w:hAnsi="Arial"/>
          <w:sz w:val="14"/>
          <w:szCs w:val="14"/>
          <w:color w:val="auto"/>
        </w:rPr>
      </w:pPr>
      <w:r>
        <w:rPr>
          <w:rFonts w:ascii="Arial" w:cs="Arial" w:eastAsia="Arial" w:hAnsi="Arial"/>
          <w:sz w:val="14"/>
          <w:szCs w:val="14"/>
          <w:color w:val="auto"/>
        </w:rPr>
        <w:t>Liabilities incurred were driven by an increase in gas pipeline miles; which increases our legal liability for retirement of gas pipelines, specifically to purge and cap these lines in accordance with federal regulations.</w:t>
      </w:r>
    </w:p>
    <w:p>
      <w:pPr>
        <w:spacing w:after="0" w:line="218"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We also have legally required AROs related to certain assets within our electric transmission and distribution systems. These retirement obligations are pursuant to an easement or franchise agreement and are only required if we discontinue our utility service under such easement or franchise agreement. Accordingly, it is not possible to estimate a time period when these obligations could be settled, and therefore, a liability for the cost of these obligations cannot be measured at this time.</w:t>
      </w:r>
    </w:p>
    <w:p>
      <w:pPr>
        <w:spacing w:after="0" w:line="200" w:lineRule="exact"/>
        <w:rPr>
          <w:sz w:val="20"/>
          <w:szCs w:val="20"/>
          <w:color w:val="auto"/>
        </w:rPr>
      </w:pPr>
    </w:p>
    <w:p>
      <w:pPr>
        <w:spacing w:after="0" w:line="252" w:lineRule="exact"/>
        <w:rPr>
          <w:sz w:val="20"/>
          <w:szCs w:val="20"/>
          <w:color w:val="auto"/>
        </w:rPr>
      </w:pPr>
    </w:p>
    <w:p>
      <w:pPr>
        <w:ind w:right="9960" w:firstLine="8"/>
        <w:spacing w:after="0" w:line="576" w:lineRule="auto"/>
        <w:tabs>
          <w:tab w:leader="none" w:pos="378"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FINANCING Short-term debt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 had the following Notes payable outstanding at the Consolidated Balance Sheets date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3"/>
          </w:tcPr>
          <w:p>
            <w:pPr>
              <w:jc w:val="right"/>
              <w:ind w:right="719"/>
              <w:spacing w:after="0"/>
              <w:rPr>
                <w:sz w:val="20"/>
                <w:szCs w:val="20"/>
                <w:color w:val="auto"/>
              </w:rPr>
            </w:pPr>
            <w:r>
              <w:rPr>
                <w:rFonts w:ascii="Arial" w:cs="Arial" w:eastAsia="Arial" w:hAnsi="Arial"/>
                <w:sz w:val="16"/>
                <w:szCs w:val="16"/>
                <w:color w:val="auto"/>
              </w:rPr>
              <w:t>December 31, 2021</w:t>
            </w:r>
          </w:p>
        </w:tc>
        <w:tc>
          <w:tcPr>
            <w:tcW w:w="240" w:type="dxa"/>
            <w:vAlign w:val="bottom"/>
          </w:tcPr>
          <w:p>
            <w:pPr>
              <w:spacing w:after="0"/>
              <w:rPr>
                <w:sz w:val="16"/>
                <w:szCs w:val="16"/>
                <w:color w:val="auto"/>
              </w:rPr>
            </w:pPr>
          </w:p>
        </w:tc>
        <w:tc>
          <w:tcPr>
            <w:tcW w:w="2860" w:type="dxa"/>
            <w:vAlign w:val="bottom"/>
            <w:gridSpan w:val="3"/>
          </w:tcPr>
          <w:p>
            <w:pPr>
              <w:jc w:val="right"/>
              <w:ind w:right="739"/>
              <w:spacing w:after="0"/>
              <w:rPr>
                <w:sz w:val="20"/>
                <w:szCs w:val="20"/>
                <w:color w:val="auto"/>
              </w:rPr>
            </w:pPr>
            <w:r>
              <w:rPr>
                <w:rFonts w:ascii="Arial" w:cs="Arial" w:eastAsia="Arial" w:hAnsi="Arial"/>
                <w:sz w:val="16"/>
                <w:szCs w:val="16"/>
                <w:color w:val="auto"/>
              </w:rPr>
              <w:t>December 31, 2020</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color w:val="auto"/>
              </w:rPr>
              <w:t>Balance</w:t>
            </w:r>
          </w:p>
        </w:tc>
        <w:tc>
          <w:tcPr>
            <w:tcW w:w="1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w w:val="95"/>
              </w:rPr>
              <w:t xml:space="preserve">Letters of Credit </w:t>
            </w:r>
            <w:r>
              <w:rPr>
                <w:rFonts w:ascii="Arial" w:cs="Arial" w:eastAsia="Arial" w:hAnsi="Arial"/>
                <w:sz w:val="21"/>
                <w:szCs w:val="21"/>
                <w:color w:val="auto"/>
                <w:w w:val="95"/>
                <w:vertAlign w:val="superscript"/>
              </w:rPr>
              <w:t>(a)</w:t>
            </w:r>
          </w:p>
        </w:tc>
        <w:tc>
          <w:tcPr>
            <w:tcW w:w="240" w:type="dxa"/>
            <w:vAlign w:val="bottom"/>
          </w:tcPr>
          <w:p>
            <w:pPr>
              <w:spacing w:after="0"/>
              <w:rPr>
                <w:sz w:val="15"/>
                <w:szCs w:val="15"/>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color w:val="auto"/>
              </w:rPr>
              <w:t>Balance</w:t>
            </w:r>
          </w:p>
        </w:tc>
        <w:tc>
          <w:tcPr>
            <w:tcW w:w="120" w:type="dxa"/>
            <w:vAlign w:val="bottom"/>
          </w:tcPr>
          <w:p>
            <w:pPr>
              <w:spacing w:after="0"/>
              <w:rPr>
                <w:sz w:val="15"/>
                <w:szCs w:val="15"/>
                <w:color w:val="auto"/>
              </w:rPr>
            </w:pPr>
          </w:p>
        </w:tc>
        <w:tc>
          <w:tcPr>
            <w:tcW w:w="1440" w:type="dxa"/>
            <w:vAlign w:val="bottom"/>
            <w:vMerge w:val="restart"/>
          </w:tcPr>
          <w:p>
            <w:pPr>
              <w:jc w:val="right"/>
              <w:ind w:right="19"/>
              <w:spacing w:after="0"/>
              <w:rPr>
                <w:sz w:val="20"/>
                <w:szCs w:val="20"/>
                <w:color w:val="auto"/>
              </w:rPr>
            </w:pPr>
            <w:r>
              <w:rPr>
                <w:rFonts w:ascii="Arial" w:cs="Arial" w:eastAsia="Arial" w:hAnsi="Arial"/>
                <w:sz w:val="16"/>
                <w:szCs w:val="16"/>
                <w:color w:val="auto"/>
                <w:w w:val="97"/>
              </w:rPr>
              <w:t xml:space="preserve">Letters of Credit </w:t>
            </w:r>
            <w:r>
              <w:rPr>
                <w:rFonts w:ascii="Arial" w:cs="Arial" w:eastAsia="Arial" w:hAnsi="Arial"/>
                <w:sz w:val="21"/>
                <w:szCs w:val="21"/>
                <w:color w:val="auto"/>
                <w:w w:val="97"/>
                <w:vertAlign w:val="superscript"/>
              </w:rPr>
              <w:t>(a)</w:t>
            </w:r>
          </w:p>
        </w:tc>
        <w:tc>
          <w:tcPr>
            <w:tcW w:w="0" w:type="dxa"/>
            <w:vAlign w:val="bottom"/>
          </w:tcPr>
          <w:p>
            <w:pPr>
              <w:spacing w:after="0"/>
              <w:rPr>
                <w:sz w:val="1"/>
                <w:szCs w:val="1"/>
                <w:color w:val="auto"/>
              </w:rPr>
            </w:pPr>
          </w:p>
        </w:tc>
      </w:tr>
      <w:tr>
        <w:trPr>
          <w:trHeight w:val="201"/>
        </w:trPr>
        <w:tc>
          <w:tcPr>
            <w:tcW w:w="5080" w:type="dxa"/>
            <w:vAlign w:val="bottom"/>
            <w:tcBorders>
              <w:bottom w:val="single" w:sz="8" w:color="CEFFE7"/>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Outstanding</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Outstanding</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Revolving Credit Facility</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27,209</w:t>
            </w:r>
          </w:p>
        </w:tc>
        <w:tc>
          <w:tcPr>
            <w:tcW w:w="2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24,730</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CP Program</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420,180</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234,040</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08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420,180</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27,209</w:t>
            </w:r>
          </w:p>
        </w:tc>
        <w:tc>
          <w:tcPr>
            <w:tcW w:w="2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234,040</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24,730</w:t>
            </w:r>
          </w:p>
        </w:tc>
        <w:tc>
          <w:tcPr>
            <w:tcW w:w="0" w:type="dxa"/>
            <w:vAlign w:val="bottom"/>
          </w:tcPr>
          <w:p>
            <w:pPr>
              <w:spacing w:after="0"/>
              <w:rPr>
                <w:sz w:val="1"/>
                <w:szCs w:val="1"/>
                <w:color w:val="auto"/>
              </w:rPr>
            </w:pPr>
          </w:p>
        </w:tc>
      </w:tr>
      <w:tr>
        <w:trPr>
          <w:trHeight w:val="20"/>
        </w:trPr>
        <w:tc>
          <w:tcPr>
            <w:tcW w:w="508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4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5" w:lineRule="exact"/>
        <w:rPr>
          <w:sz w:val="20"/>
          <w:szCs w:val="20"/>
          <w:color w:val="auto"/>
        </w:rPr>
      </w:pPr>
    </w:p>
    <w:p>
      <w:pPr>
        <w:ind w:left="380" w:hanging="372"/>
        <w:spacing w:after="0"/>
        <w:tabs>
          <w:tab w:leader="none" w:pos="3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Letters of credit are off-balance sheet commitments that reduce the borrowing capacity available on our corporate Revolving Credit Facility.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24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July 19, 2021, we amended and restated our corporate Revolving Credit Facility, maintaining total commitments of $750 million and extending the term through July 19, 2026 with two one year extension options (subject to consent from lenders). This Revolving Credit Facility is similar to the former revolving credit facility, which includes an accordion feature that allows us to increase total commitments up to $1.0 billion with the consent of the administrative agent, the issuing agents and each bank increasing or providing a new commitment. Borrowings continue to be available under a base rate or various Eurodollar rate options. The interest costs associated with the letters of credit or borrowings and the commitment fee under the Revolving Credit Facility are determined based upon our Corporate credit rating from S&amp;P, Fitch and Moody's for our senior unsecured long-term debt. Based on our current credit ratings, the margins for base rate borrowings, Eurodollar borrowings and letters of credit were 0.125%, 1.125% and 1.125%, respectively, at December 31, 2021. Based on our credit ratings, a 0.175% commitment fee was charged on the unused amount at December 31, 2021.</w:t>
      </w:r>
    </w:p>
    <w:p>
      <w:pPr>
        <w:spacing w:after="0" w:line="23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have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w:t>
      </w:r>
    </w:p>
    <w:p>
      <w:pPr>
        <w:spacing w:after="0" w:line="230"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Our net short-term borrowings (payments) during 2021 were $186 million. As of December 31, 2021, the weighted average interest rate on short-term borrowings was 0.30%.</w:t>
      </w:r>
    </w:p>
    <w:p>
      <w:pPr>
        <w:spacing w:after="0" w:line="222"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Total accumulated deferred financing costs on the Revolving Credit Facility of $8.9 million are being amortized over its estimated useful life and were included in Interest expense on the accompanying Consolidated Statements of Income. See below for additional details.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Term Loan</w:t>
      </w:r>
    </w:p>
    <w:p>
      <w:pPr>
        <w:spacing w:after="0" w:line="24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 February 24, 2021, we entered into a nine-month, $800 million unsecured term loan to provide additional liquidity and to meet our cash needs related to the incremental fuel, purchased power and natural gas costs from Winter Storm Uri. The term loan, carried no prepayment penalty and was subject to the same covenant requirements as our Revolving Credit Facility. We repaid $200 million of this term loan in the first quarter of 2021. Proceeds from the August 26, 2021 public debt offering (discussed below) were used to repay the remaining balance on this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9" w:name="page90"/>
    <w:bookmarkEnd w:id="8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Long-term debt outstanding was as follows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80" w:type="dxa"/>
            <w:vAlign w:val="bottom"/>
          </w:tcPr>
          <w:p>
            <w:pPr>
              <w:jc w:val="center"/>
              <w:ind w:left="48"/>
              <w:spacing w:after="0"/>
              <w:rPr>
                <w:sz w:val="20"/>
                <w:szCs w:val="20"/>
                <w:color w:val="auto"/>
              </w:rPr>
            </w:pPr>
            <w:r>
              <w:rPr>
                <w:rFonts w:ascii="Arial" w:cs="Arial" w:eastAsia="Arial" w:hAnsi="Arial"/>
                <w:sz w:val="14"/>
                <w:szCs w:val="14"/>
                <w:color w:val="auto"/>
              </w:rPr>
              <w:t>Interest Rate at</w:t>
            </w:r>
          </w:p>
        </w:tc>
        <w:tc>
          <w:tcPr>
            <w:tcW w:w="4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Balance Outstanding</w:t>
            </w:r>
          </w:p>
        </w:tc>
        <w:tc>
          <w:tcPr>
            <w:tcW w:w="740" w:type="dxa"/>
            <w:vAlign w:val="bottom"/>
          </w:tcPr>
          <w:p>
            <w:pPr>
              <w:spacing w:after="0"/>
              <w:rPr>
                <w:sz w:val="14"/>
                <w:szCs w:val="14"/>
                <w:color w:val="auto"/>
              </w:rPr>
            </w:pPr>
          </w:p>
        </w:tc>
      </w:tr>
      <w:tr>
        <w:trPr>
          <w:trHeight w:val="188"/>
        </w:trPr>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8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Due Date</w:t>
            </w:r>
          </w:p>
        </w:tc>
        <w:tc>
          <w:tcPr>
            <w:tcW w:w="15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December 31, 2021</w:t>
            </w:r>
          </w:p>
        </w:tc>
        <w:tc>
          <w:tcPr>
            <w:tcW w:w="14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December 31, 2021</w:t>
            </w:r>
          </w:p>
        </w:tc>
        <w:tc>
          <w:tcPr>
            <w:tcW w:w="14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December 31, 2020</w:t>
            </w:r>
          </w:p>
        </w:tc>
      </w:tr>
      <w:tr>
        <w:trPr>
          <w:trHeight w:val="142"/>
        </w:trPr>
        <w:tc>
          <w:tcPr>
            <w:tcW w:w="140" w:type="dxa"/>
            <w:vAlign w:val="bottom"/>
          </w:tcPr>
          <w:p>
            <w:pPr>
              <w:spacing w:after="0"/>
              <w:rPr>
                <w:sz w:val="12"/>
                <w:szCs w:val="12"/>
                <w:color w:val="auto"/>
              </w:rPr>
            </w:pPr>
          </w:p>
        </w:tc>
        <w:tc>
          <w:tcPr>
            <w:tcW w:w="4800" w:type="dxa"/>
            <w:vAlign w:val="bottom"/>
            <w:gridSpan w:val="4"/>
          </w:tcPr>
          <w:p>
            <w:pPr>
              <w:spacing w:after="0" w:line="142" w:lineRule="exact"/>
              <w:rPr>
                <w:sz w:val="20"/>
                <w:szCs w:val="20"/>
                <w:color w:val="auto"/>
              </w:rPr>
            </w:pPr>
            <w:r>
              <w:rPr>
                <w:rFonts w:ascii="Arial" w:cs="Arial" w:eastAsia="Arial" w:hAnsi="Arial"/>
                <w:sz w:val="14"/>
                <w:szCs w:val="14"/>
                <w:color w:val="auto"/>
              </w:rPr>
              <w:t>Corporate</w:t>
            </w:r>
          </w:p>
        </w:tc>
        <w:tc>
          <w:tcPr>
            <w:tcW w:w="1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7"/>
        </w:trPr>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80"/>
              <w:spacing w:after="0"/>
              <w:rPr>
                <w:sz w:val="20"/>
                <w:szCs w:val="20"/>
                <w:color w:val="auto"/>
              </w:rPr>
            </w:pPr>
            <w:r>
              <w:rPr>
                <w:rFonts w:ascii="Arial" w:cs="Arial" w:eastAsia="Arial" w:hAnsi="Arial"/>
                <w:sz w:val="14"/>
                <w:szCs w:val="14"/>
                <w:color w:val="auto"/>
              </w:rPr>
              <w:t>Senior unsecured notes due 2023</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November 30, 2023</w:t>
            </w:r>
          </w:p>
        </w:tc>
        <w:tc>
          <w:tcPr>
            <w:tcW w:w="158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4.25%</w:t>
            </w:r>
          </w:p>
        </w:tc>
        <w:tc>
          <w:tcPr>
            <w:tcW w:w="400" w:type="dxa"/>
            <w:vAlign w:val="bottom"/>
            <w:shd w:val="clear" w:color="auto" w:fill="CEFEE7"/>
          </w:tcPr>
          <w:p>
            <w:pPr>
              <w:jc w:val="right"/>
              <w:ind w:right="2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525,000</w:t>
            </w:r>
          </w:p>
        </w:tc>
        <w:tc>
          <w:tcPr>
            <w:tcW w:w="700" w:type="dxa"/>
            <w:vAlign w:val="bottom"/>
            <w:shd w:val="clear" w:color="auto" w:fill="CEFEE7"/>
          </w:tcPr>
          <w:p>
            <w:pPr>
              <w:jc w:val="right"/>
              <w:ind w:right="5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525,000</w:t>
            </w:r>
          </w:p>
        </w:tc>
      </w:tr>
      <w:tr>
        <w:trPr>
          <w:trHeight w:val="189"/>
        </w:trPr>
        <w:tc>
          <w:tcPr>
            <w:tcW w:w="140" w:type="dxa"/>
            <w:vAlign w:val="bottom"/>
          </w:tcPr>
          <w:p>
            <w:pPr>
              <w:spacing w:after="0"/>
              <w:rPr>
                <w:sz w:val="16"/>
                <w:szCs w:val="16"/>
                <w:color w:val="auto"/>
              </w:rPr>
            </w:pPr>
          </w:p>
        </w:tc>
        <w:tc>
          <w:tcPr>
            <w:tcW w:w="4800" w:type="dxa"/>
            <w:vAlign w:val="bottom"/>
            <w:gridSpan w:val="4"/>
          </w:tcPr>
          <w:p>
            <w:pPr>
              <w:ind w:left="80"/>
              <w:spacing w:after="0"/>
              <w:rPr>
                <w:sz w:val="20"/>
                <w:szCs w:val="20"/>
                <w:color w:val="auto"/>
              </w:rPr>
            </w:pPr>
            <w:r>
              <w:rPr>
                <w:rFonts w:ascii="Arial" w:cs="Arial" w:eastAsia="Arial" w:hAnsi="Arial"/>
                <w:sz w:val="14"/>
                <w:szCs w:val="14"/>
                <w:color w:val="auto"/>
              </w:rPr>
              <w:t>Senior unsecured notes due 2024</w:t>
            </w:r>
          </w:p>
        </w:tc>
        <w:tc>
          <w:tcPr>
            <w:tcW w:w="1840" w:type="dxa"/>
            <w:vAlign w:val="bottom"/>
          </w:tcPr>
          <w:p>
            <w:pPr>
              <w:jc w:val="center"/>
              <w:ind w:left="48"/>
              <w:spacing w:after="0"/>
              <w:rPr>
                <w:sz w:val="20"/>
                <w:szCs w:val="20"/>
                <w:color w:val="auto"/>
              </w:rPr>
            </w:pPr>
            <w:r>
              <w:rPr>
                <w:rFonts w:ascii="Arial" w:cs="Arial" w:eastAsia="Arial" w:hAnsi="Arial"/>
                <w:sz w:val="14"/>
                <w:szCs w:val="14"/>
                <w:color w:val="auto"/>
              </w:rPr>
              <w:t>August 23, 2024</w:t>
            </w:r>
          </w:p>
        </w:tc>
        <w:tc>
          <w:tcPr>
            <w:tcW w:w="1580" w:type="dxa"/>
            <w:vAlign w:val="bottom"/>
          </w:tcPr>
          <w:p>
            <w:pPr>
              <w:jc w:val="center"/>
              <w:ind w:left="48"/>
              <w:spacing w:after="0"/>
              <w:rPr>
                <w:sz w:val="20"/>
                <w:szCs w:val="20"/>
                <w:color w:val="auto"/>
              </w:rPr>
            </w:pPr>
            <w:r>
              <w:rPr>
                <w:rFonts w:ascii="Arial" w:cs="Arial" w:eastAsia="Arial" w:hAnsi="Arial"/>
                <w:sz w:val="14"/>
                <w:szCs w:val="14"/>
                <w:color w:val="auto"/>
              </w:rPr>
              <w:t>1.04%</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600,000</w:t>
            </w:r>
          </w:p>
        </w:tc>
        <w:tc>
          <w:tcPr>
            <w:tcW w:w="7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80"/>
              <w:spacing w:after="0"/>
              <w:rPr>
                <w:sz w:val="20"/>
                <w:szCs w:val="20"/>
                <w:color w:val="auto"/>
              </w:rPr>
            </w:pPr>
            <w:r>
              <w:rPr>
                <w:rFonts w:ascii="Arial" w:cs="Arial" w:eastAsia="Arial" w:hAnsi="Arial"/>
                <w:sz w:val="14"/>
                <w:szCs w:val="14"/>
                <w:color w:val="auto"/>
              </w:rPr>
              <w:t>Senior unsecured notes due 2026</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January 15, 2026</w:t>
            </w:r>
          </w:p>
        </w:tc>
        <w:tc>
          <w:tcPr>
            <w:tcW w:w="158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3.95%</w:t>
            </w:r>
          </w:p>
        </w:tc>
        <w:tc>
          <w:tcPr>
            <w:tcW w:w="400" w:type="dxa"/>
            <w:vAlign w:val="bottom"/>
            <w:shd w:val="clear" w:color="auto" w:fill="CEFEE7"/>
          </w:tcPr>
          <w:p>
            <w:pPr>
              <w:spacing w:after="0"/>
              <w:rPr>
                <w:sz w:val="16"/>
                <w:szCs w:val="16"/>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300,000</w:t>
            </w:r>
          </w:p>
        </w:tc>
        <w:tc>
          <w:tcPr>
            <w:tcW w:w="700" w:type="dxa"/>
            <w:vAlign w:val="bottom"/>
            <w:shd w:val="clear" w:color="auto" w:fill="CEFEE7"/>
          </w:tcPr>
          <w:p>
            <w:pPr>
              <w:spacing w:after="0"/>
              <w:rPr>
                <w:sz w:val="16"/>
                <w:szCs w:val="16"/>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300,000</w:t>
            </w:r>
          </w:p>
        </w:tc>
      </w:tr>
      <w:tr>
        <w:trPr>
          <w:trHeight w:val="189"/>
        </w:trPr>
        <w:tc>
          <w:tcPr>
            <w:tcW w:w="140" w:type="dxa"/>
            <w:vAlign w:val="bottom"/>
          </w:tcPr>
          <w:p>
            <w:pPr>
              <w:spacing w:after="0"/>
              <w:rPr>
                <w:sz w:val="16"/>
                <w:szCs w:val="16"/>
                <w:color w:val="auto"/>
              </w:rPr>
            </w:pPr>
          </w:p>
        </w:tc>
        <w:tc>
          <w:tcPr>
            <w:tcW w:w="4800" w:type="dxa"/>
            <w:vAlign w:val="bottom"/>
            <w:gridSpan w:val="4"/>
          </w:tcPr>
          <w:p>
            <w:pPr>
              <w:ind w:left="80"/>
              <w:spacing w:after="0"/>
              <w:rPr>
                <w:sz w:val="20"/>
                <w:szCs w:val="20"/>
                <w:color w:val="auto"/>
              </w:rPr>
            </w:pPr>
            <w:r>
              <w:rPr>
                <w:rFonts w:ascii="Arial" w:cs="Arial" w:eastAsia="Arial" w:hAnsi="Arial"/>
                <w:sz w:val="14"/>
                <w:szCs w:val="14"/>
                <w:color w:val="auto"/>
              </w:rPr>
              <w:t>Senior unsecured notes due 2027</w:t>
            </w:r>
          </w:p>
        </w:tc>
        <w:tc>
          <w:tcPr>
            <w:tcW w:w="1840" w:type="dxa"/>
            <w:vAlign w:val="bottom"/>
          </w:tcPr>
          <w:p>
            <w:pPr>
              <w:jc w:val="center"/>
              <w:ind w:left="48"/>
              <w:spacing w:after="0"/>
              <w:rPr>
                <w:sz w:val="20"/>
                <w:szCs w:val="20"/>
                <w:color w:val="auto"/>
              </w:rPr>
            </w:pPr>
            <w:r>
              <w:rPr>
                <w:rFonts w:ascii="Arial" w:cs="Arial" w:eastAsia="Arial" w:hAnsi="Arial"/>
                <w:sz w:val="14"/>
                <w:szCs w:val="14"/>
                <w:color w:val="auto"/>
              </w:rPr>
              <w:t>January 15, 2027</w:t>
            </w:r>
          </w:p>
        </w:tc>
        <w:tc>
          <w:tcPr>
            <w:tcW w:w="1580" w:type="dxa"/>
            <w:vAlign w:val="bottom"/>
          </w:tcPr>
          <w:p>
            <w:pPr>
              <w:jc w:val="center"/>
              <w:ind w:left="48"/>
              <w:spacing w:after="0"/>
              <w:rPr>
                <w:sz w:val="20"/>
                <w:szCs w:val="20"/>
                <w:color w:val="auto"/>
              </w:rPr>
            </w:pPr>
            <w:r>
              <w:rPr>
                <w:rFonts w:ascii="Arial" w:cs="Arial" w:eastAsia="Arial" w:hAnsi="Arial"/>
                <w:sz w:val="14"/>
                <w:szCs w:val="14"/>
                <w:color w:val="auto"/>
              </w:rPr>
              <w:t>3.15%</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400,000</w:t>
            </w:r>
          </w:p>
        </w:tc>
        <w:tc>
          <w:tcPr>
            <w:tcW w:w="7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400,000</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80"/>
              <w:spacing w:after="0"/>
              <w:rPr>
                <w:sz w:val="20"/>
                <w:szCs w:val="20"/>
                <w:color w:val="auto"/>
              </w:rPr>
            </w:pPr>
            <w:r>
              <w:rPr>
                <w:rFonts w:ascii="Arial" w:cs="Arial" w:eastAsia="Arial" w:hAnsi="Arial"/>
                <w:sz w:val="14"/>
                <w:szCs w:val="14"/>
                <w:color w:val="auto"/>
              </w:rPr>
              <w:t>Senior unsecured notes, due 2029</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October 15, 2029</w:t>
            </w:r>
          </w:p>
        </w:tc>
        <w:tc>
          <w:tcPr>
            <w:tcW w:w="158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3.05%</w:t>
            </w:r>
          </w:p>
        </w:tc>
        <w:tc>
          <w:tcPr>
            <w:tcW w:w="400" w:type="dxa"/>
            <w:vAlign w:val="bottom"/>
            <w:shd w:val="clear" w:color="auto" w:fill="CEFEE7"/>
          </w:tcPr>
          <w:p>
            <w:pPr>
              <w:spacing w:after="0"/>
              <w:rPr>
                <w:sz w:val="16"/>
                <w:szCs w:val="16"/>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400,000</w:t>
            </w:r>
          </w:p>
        </w:tc>
        <w:tc>
          <w:tcPr>
            <w:tcW w:w="700" w:type="dxa"/>
            <w:vAlign w:val="bottom"/>
            <w:shd w:val="clear" w:color="auto" w:fill="CEFEE7"/>
          </w:tcPr>
          <w:p>
            <w:pPr>
              <w:spacing w:after="0"/>
              <w:rPr>
                <w:sz w:val="16"/>
                <w:szCs w:val="16"/>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400,000</w:t>
            </w:r>
          </w:p>
        </w:tc>
      </w:tr>
      <w:tr>
        <w:trPr>
          <w:trHeight w:val="189"/>
        </w:trPr>
        <w:tc>
          <w:tcPr>
            <w:tcW w:w="140" w:type="dxa"/>
            <w:vAlign w:val="bottom"/>
          </w:tcPr>
          <w:p>
            <w:pPr>
              <w:spacing w:after="0"/>
              <w:rPr>
                <w:sz w:val="16"/>
                <w:szCs w:val="16"/>
                <w:color w:val="auto"/>
              </w:rPr>
            </w:pPr>
          </w:p>
        </w:tc>
        <w:tc>
          <w:tcPr>
            <w:tcW w:w="4800" w:type="dxa"/>
            <w:vAlign w:val="bottom"/>
            <w:gridSpan w:val="4"/>
          </w:tcPr>
          <w:p>
            <w:pPr>
              <w:ind w:left="80"/>
              <w:spacing w:after="0"/>
              <w:rPr>
                <w:sz w:val="20"/>
                <w:szCs w:val="20"/>
                <w:color w:val="auto"/>
              </w:rPr>
            </w:pPr>
            <w:r>
              <w:rPr>
                <w:rFonts w:ascii="Arial" w:cs="Arial" w:eastAsia="Arial" w:hAnsi="Arial"/>
                <w:sz w:val="14"/>
                <w:szCs w:val="14"/>
                <w:color w:val="auto"/>
              </w:rPr>
              <w:t>Senior unsecured notes, due 2030</w:t>
            </w:r>
          </w:p>
        </w:tc>
        <w:tc>
          <w:tcPr>
            <w:tcW w:w="1840" w:type="dxa"/>
            <w:vAlign w:val="bottom"/>
          </w:tcPr>
          <w:p>
            <w:pPr>
              <w:jc w:val="center"/>
              <w:ind w:left="48"/>
              <w:spacing w:after="0"/>
              <w:rPr>
                <w:sz w:val="20"/>
                <w:szCs w:val="20"/>
                <w:color w:val="auto"/>
              </w:rPr>
            </w:pPr>
            <w:r>
              <w:rPr>
                <w:rFonts w:ascii="Arial" w:cs="Arial" w:eastAsia="Arial" w:hAnsi="Arial"/>
                <w:sz w:val="14"/>
                <w:szCs w:val="14"/>
                <w:color w:val="auto"/>
              </w:rPr>
              <w:t>June 15, 2030</w:t>
            </w:r>
          </w:p>
        </w:tc>
        <w:tc>
          <w:tcPr>
            <w:tcW w:w="1580" w:type="dxa"/>
            <w:vAlign w:val="bottom"/>
          </w:tcPr>
          <w:p>
            <w:pPr>
              <w:jc w:val="center"/>
              <w:ind w:left="48"/>
              <w:spacing w:after="0"/>
              <w:rPr>
                <w:sz w:val="20"/>
                <w:szCs w:val="20"/>
                <w:color w:val="auto"/>
              </w:rPr>
            </w:pPr>
            <w:r>
              <w:rPr>
                <w:rFonts w:ascii="Arial" w:cs="Arial" w:eastAsia="Arial" w:hAnsi="Arial"/>
                <w:sz w:val="14"/>
                <w:szCs w:val="14"/>
                <w:color w:val="auto"/>
              </w:rPr>
              <w:t>2.50%</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400,000</w:t>
            </w:r>
          </w:p>
        </w:tc>
        <w:tc>
          <w:tcPr>
            <w:tcW w:w="7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400,000</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80"/>
              <w:spacing w:after="0"/>
              <w:rPr>
                <w:sz w:val="20"/>
                <w:szCs w:val="20"/>
                <w:color w:val="auto"/>
              </w:rPr>
            </w:pPr>
            <w:r>
              <w:rPr>
                <w:rFonts w:ascii="Arial" w:cs="Arial" w:eastAsia="Arial" w:hAnsi="Arial"/>
                <w:sz w:val="14"/>
                <w:szCs w:val="14"/>
                <w:color w:val="auto"/>
              </w:rPr>
              <w:t>Senior unsecured notes due 2033</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May 1, 2033</w:t>
            </w:r>
          </w:p>
        </w:tc>
        <w:tc>
          <w:tcPr>
            <w:tcW w:w="158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4.35%</w:t>
            </w:r>
          </w:p>
        </w:tc>
        <w:tc>
          <w:tcPr>
            <w:tcW w:w="400" w:type="dxa"/>
            <w:vAlign w:val="bottom"/>
            <w:shd w:val="clear" w:color="auto" w:fill="CEFEE7"/>
          </w:tcPr>
          <w:p>
            <w:pPr>
              <w:spacing w:after="0"/>
              <w:rPr>
                <w:sz w:val="16"/>
                <w:szCs w:val="16"/>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400,000</w:t>
            </w:r>
          </w:p>
        </w:tc>
        <w:tc>
          <w:tcPr>
            <w:tcW w:w="700" w:type="dxa"/>
            <w:vAlign w:val="bottom"/>
            <w:shd w:val="clear" w:color="auto" w:fill="CEFEE7"/>
          </w:tcPr>
          <w:p>
            <w:pPr>
              <w:spacing w:after="0"/>
              <w:rPr>
                <w:sz w:val="16"/>
                <w:szCs w:val="16"/>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400,000</w:t>
            </w:r>
          </w:p>
        </w:tc>
      </w:tr>
      <w:tr>
        <w:trPr>
          <w:trHeight w:val="189"/>
        </w:trPr>
        <w:tc>
          <w:tcPr>
            <w:tcW w:w="140" w:type="dxa"/>
            <w:vAlign w:val="bottom"/>
          </w:tcPr>
          <w:p>
            <w:pPr>
              <w:spacing w:after="0"/>
              <w:rPr>
                <w:sz w:val="16"/>
                <w:szCs w:val="16"/>
                <w:color w:val="auto"/>
              </w:rPr>
            </w:pPr>
          </w:p>
        </w:tc>
        <w:tc>
          <w:tcPr>
            <w:tcW w:w="4800" w:type="dxa"/>
            <w:vAlign w:val="bottom"/>
            <w:gridSpan w:val="4"/>
          </w:tcPr>
          <w:p>
            <w:pPr>
              <w:ind w:left="80"/>
              <w:spacing w:after="0"/>
              <w:rPr>
                <w:sz w:val="20"/>
                <w:szCs w:val="20"/>
                <w:color w:val="auto"/>
              </w:rPr>
            </w:pPr>
            <w:r>
              <w:rPr>
                <w:rFonts w:ascii="Arial" w:cs="Arial" w:eastAsia="Arial" w:hAnsi="Arial"/>
                <w:sz w:val="14"/>
                <w:szCs w:val="14"/>
                <w:color w:val="auto"/>
              </w:rPr>
              <w:t>Senior unsecured notes, due 2046</w:t>
            </w:r>
          </w:p>
        </w:tc>
        <w:tc>
          <w:tcPr>
            <w:tcW w:w="1840" w:type="dxa"/>
            <w:vAlign w:val="bottom"/>
          </w:tcPr>
          <w:p>
            <w:pPr>
              <w:jc w:val="center"/>
              <w:ind w:left="48"/>
              <w:spacing w:after="0"/>
              <w:rPr>
                <w:sz w:val="20"/>
                <w:szCs w:val="20"/>
                <w:color w:val="auto"/>
              </w:rPr>
            </w:pPr>
            <w:r>
              <w:rPr>
                <w:rFonts w:ascii="Arial" w:cs="Arial" w:eastAsia="Arial" w:hAnsi="Arial"/>
                <w:sz w:val="14"/>
                <w:szCs w:val="14"/>
                <w:color w:val="auto"/>
              </w:rPr>
              <w:t>September 15, 2046</w:t>
            </w:r>
          </w:p>
        </w:tc>
        <w:tc>
          <w:tcPr>
            <w:tcW w:w="1580" w:type="dxa"/>
            <w:vAlign w:val="bottom"/>
          </w:tcPr>
          <w:p>
            <w:pPr>
              <w:jc w:val="center"/>
              <w:ind w:left="48"/>
              <w:spacing w:after="0"/>
              <w:rPr>
                <w:sz w:val="20"/>
                <w:szCs w:val="20"/>
                <w:color w:val="auto"/>
              </w:rPr>
            </w:pPr>
            <w:r>
              <w:rPr>
                <w:rFonts w:ascii="Arial" w:cs="Arial" w:eastAsia="Arial" w:hAnsi="Arial"/>
                <w:sz w:val="14"/>
                <w:szCs w:val="14"/>
                <w:color w:val="auto"/>
              </w:rPr>
              <w:t>4.20%</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300,000</w:t>
            </w:r>
          </w:p>
        </w:tc>
        <w:tc>
          <w:tcPr>
            <w:tcW w:w="7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300,000</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80"/>
              <w:spacing w:after="0"/>
              <w:rPr>
                <w:sz w:val="20"/>
                <w:szCs w:val="20"/>
                <w:color w:val="auto"/>
              </w:rPr>
            </w:pPr>
            <w:r>
              <w:rPr>
                <w:rFonts w:ascii="Arial" w:cs="Arial" w:eastAsia="Arial" w:hAnsi="Arial"/>
                <w:sz w:val="14"/>
                <w:szCs w:val="14"/>
                <w:color w:val="auto"/>
              </w:rPr>
              <w:t>Senior unsecured notes, due 2049</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October 15, 2049</w:t>
            </w:r>
          </w:p>
        </w:tc>
        <w:tc>
          <w:tcPr>
            <w:tcW w:w="158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3.88%</w:t>
            </w:r>
          </w:p>
        </w:tc>
        <w:tc>
          <w:tcPr>
            <w:tcW w:w="400" w:type="dxa"/>
            <w:vAlign w:val="bottom"/>
            <w:shd w:val="clear" w:color="auto" w:fill="CEFEE7"/>
          </w:tcPr>
          <w:p>
            <w:pPr>
              <w:spacing w:after="0"/>
              <w:rPr>
                <w:sz w:val="16"/>
                <w:szCs w:val="16"/>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300,000</w:t>
            </w:r>
          </w:p>
        </w:tc>
        <w:tc>
          <w:tcPr>
            <w:tcW w:w="700" w:type="dxa"/>
            <w:vAlign w:val="bottom"/>
            <w:shd w:val="clear" w:color="auto" w:fill="CEFEE7"/>
          </w:tcPr>
          <w:p>
            <w:pPr>
              <w:spacing w:after="0"/>
              <w:rPr>
                <w:sz w:val="16"/>
                <w:szCs w:val="16"/>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300,000</w:t>
            </w:r>
          </w:p>
        </w:tc>
      </w:tr>
      <w:tr>
        <w:trPr>
          <w:trHeight w:val="189"/>
        </w:trPr>
        <w:tc>
          <w:tcPr>
            <w:tcW w:w="140" w:type="dxa"/>
            <w:vAlign w:val="bottom"/>
            <w:tcBorders>
              <w:bottom w:val="single" w:sz="8" w:color="CEFEE7"/>
            </w:tcBorders>
          </w:tcPr>
          <w:p>
            <w:pPr>
              <w:spacing w:after="0"/>
              <w:rPr>
                <w:sz w:val="16"/>
                <w:szCs w:val="16"/>
                <w:color w:val="auto"/>
              </w:rPr>
            </w:pPr>
          </w:p>
        </w:tc>
        <w:tc>
          <w:tcPr>
            <w:tcW w:w="4800" w:type="dxa"/>
            <w:vAlign w:val="bottom"/>
            <w:tcBorders>
              <w:bottom w:val="single" w:sz="8" w:color="CEFEE7"/>
            </w:tcBorders>
            <w:gridSpan w:val="4"/>
          </w:tcPr>
          <w:p>
            <w:pPr>
              <w:ind w:left="80"/>
              <w:spacing w:after="0"/>
              <w:rPr>
                <w:sz w:val="20"/>
                <w:szCs w:val="20"/>
                <w:color w:val="auto"/>
              </w:rPr>
            </w:pPr>
            <w:r>
              <w:rPr>
                <w:rFonts w:ascii="Arial" w:cs="Arial" w:eastAsia="Arial" w:hAnsi="Arial"/>
                <w:sz w:val="14"/>
                <w:szCs w:val="14"/>
                <w:color w:val="auto"/>
              </w:rPr>
              <w:t>Corporate term loan due 2021</w:t>
            </w:r>
          </w:p>
        </w:tc>
        <w:tc>
          <w:tcPr>
            <w:tcW w:w="1840" w:type="dxa"/>
            <w:vAlign w:val="bottom"/>
            <w:tcBorders>
              <w:bottom w:val="single" w:sz="8" w:color="CEFEE7"/>
            </w:tcBorders>
          </w:tcPr>
          <w:p>
            <w:pPr>
              <w:jc w:val="center"/>
              <w:ind w:left="48"/>
              <w:spacing w:after="0"/>
              <w:rPr>
                <w:sz w:val="20"/>
                <w:szCs w:val="20"/>
                <w:color w:val="auto"/>
              </w:rPr>
            </w:pPr>
            <w:r>
              <w:rPr>
                <w:rFonts w:ascii="Arial" w:cs="Arial" w:eastAsia="Arial" w:hAnsi="Arial"/>
                <w:sz w:val="14"/>
                <w:szCs w:val="14"/>
                <w:color w:val="auto"/>
              </w:rPr>
              <w:t>June 7, 2021</w:t>
            </w:r>
          </w:p>
        </w:tc>
        <w:tc>
          <w:tcPr>
            <w:tcW w:w="1580" w:type="dxa"/>
            <w:vAlign w:val="bottom"/>
            <w:tcBorders>
              <w:bottom w:val="single" w:sz="8" w:color="CEFEE7"/>
            </w:tcBorders>
          </w:tcPr>
          <w:p>
            <w:pPr>
              <w:jc w:val="center"/>
              <w:ind w:left="28"/>
              <w:spacing w:after="0"/>
              <w:rPr>
                <w:sz w:val="20"/>
                <w:szCs w:val="20"/>
                <w:color w:val="auto"/>
              </w:rPr>
            </w:pPr>
            <w:r>
              <w:rPr>
                <w:rFonts w:ascii="Arial" w:cs="Arial" w:eastAsia="Arial" w:hAnsi="Arial"/>
                <w:sz w:val="14"/>
                <w:szCs w:val="14"/>
                <w:color w:val="auto"/>
              </w:rPr>
              <w:t>N/A</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1,436</w:t>
            </w:r>
          </w:p>
        </w:tc>
      </w:tr>
      <w:tr>
        <w:trPr>
          <w:trHeight w:val="183"/>
        </w:trPr>
        <w:tc>
          <w:tcPr>
            <w:tcW w:w="140" w:type="dxa"/>
            <w:vAlign w:val="bottom"/>
            <w:shd w:val="clear" w:color="auto" w:fill="CEFEE7"/>
          </w:tcPr>
          <w:p>
            <w:pPr>
              <w:spacing w:after="0"/>
              <w:rPr>
                <w:sz w:val="15"/>
                <w:szCs w:val="15"/>
                <w:color w:val="auto"/>
              </w:rPr>
            </w:pPr>
          </w:p>
        </w:tc>
        <w:tc>
          <w:tcPr>
            <w:tcW w:w="4800" w:type="dxa"/>
            <w:vAlign w:val="bottom"/>
            <w:gridSpan w:val="4"/>
            <w:shd w:val="clear" w:color="auto" w:fill="CEFEE7"/>
          </w:tcPr>
          <w:p>
            <w:pPr>
              <w:ind w:left="420"/>
              <w:spacing w:after="0"/>
              <w:rPr>
                <w:sz w:val="20"/>
                <w:szCs w:val="20"/>
                <w:color w:val="auto"/>
              </w:rPr>
            </w:pPr>
            <w:r>
              <w:rPr>
                <w:rFonts w:ascii="Arial" w:cs="Arial" w:eastAsia="Arial" w:hAnsi="Arial"/>
                <w:sz w:val="14"/>
                <w:szCs w:val="14"/>
                <w:color w:val="auto"/>
              </w:rPr>
              <w:t>Total Corporate debt</w:t>
            </w:r>
          </w:p>
        </w:tc>
        <w:tc>
          <w:tcPr>
            <w:tcW w:w="1840" w:type="dxa"/>
            <w:vAlign w:val="bottom"/>
            <w:shd w:val="clear" w:color="auto" w:fill="CEFEE7"/>
          </w:tcPr>
          <w:p>
            <w:pPr>
              <w:spacing w:after="0"/>
              <w:rPr>
                <w:sz w:val="15"/>
                <w:szCs w:val="15"/>
                <w:color w:val="auto"/>
              </w:rPr>
            </w:pPr>
          </w:p>
        </w:tc>
        <w:tc>
          <w:tcPr>
            <w:tcW w:w="1580" w:type="dxa"/>
            <w:vAlign w:val="bottom"/>
            <w:shd w:val="clear" w:color="auto" w:fill="CEFEE7"/>
          </w:tcPr>
          <w:p>
            <w:pPr>
              <w:spacing w:after="0"/>
              <w:rPr>
                <w:sz w:val="15"/>
                <w:szCs w:val="15"/>
                <w:color w:val="auto"/>
              </w:rPr>
            </w:pPr>
          </w:p>
        </w:tc>
        <w:tc>
          <w:tcPr>
            <w:tcW w:w="400" w:type="dxa"/>
            <w:vAlign w:val="bottom"/>
            <w:shd w:val="clear" w:color="auto" w:fill="CEFEE7"/>
          </w:tcPr>
          <w:p>
            <w:pPr>
              <w:spacing w:after="0"/>
              <w:rPr>
                <w:sz w:val="15"/>
                <w:szCs w:val="15"/>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3,625,000</w:t>
            </w:r>
          </w:p>
        </w:tc>
        <w:tc>
          <w:tcPr>
            <w:tcW w:w="700" w:type="dxa"/>
            <w:vAlign w:val="bottom"/>
            <w:shd w:val="clear" w:color="auto" w:fill="CEFEE7"/>
          </w:tcPr>
          <w:p>
            <w:pPr>
              <w:spacing w:after="0"/>
              <w:rPr>
                <w:sz w:val="15"/>
                <w:szCs w:val="15"/>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3,026,436</w:t>
            </w:r>
          </w:p>
        </w:tc>
      </w:tr>
      <w:tr>
        <w:trPr>
          <w:trHeight w:val="189"/>
        </w:trPr>
        <w:tc>
          <w:tcPr>
            <w:tcW w:w="140" w:type="dxa"/>
            <w:vAlign w:val="bottom"/>
            <w:tcBorders>
              <w:bottom w:val="single" w:sz="8" w:color="CEFEE7"/>
            </w:tcBorders>
          </w:tcPr>
          <w:p>
            <w:pPr>
              <w:spacing w:after="0"/>
              <w:rPr>
                <w:sz w:val="16"/>
                <w:szCs w:val="16"/>
                <w:color w:val="auto"/>
              </w:rPr>
            </w:pPr>
          </w:p>
        </w:tc>
        <w:tc>
          <w:tcPr>
            <w:tcW w:w="4800" w:type="dxa"/>
            <w:vAlign w:val="bottom"/>
            <w:tcBorders>
              <w:bottom w:val="single" w:sz="8" w:color="CEFEE7"/>
            </w:tcBorders>
            <w:gridSpan w:val="4"/>
          </w:tcPr>
          <w:p>
            <w:pPr>
              <w:ind w:left="80"/>
              <w:spacing w:after="0"/>
              <w:rPr>
                <w:sz w:val="20"/>
                <w:szCs w:val="20"/>
                <w:color w:val="auto"/>
              </w:rPr>
            </w:pPr>
            <w:r>
              <w:rPr>
                <w:rFonts w:ascii="Arial" w:cs="Arial" w:eastAsia="Arial" w:hAnsi="Arial"/>
                <w:sz w:val="14"/>
                <w:szCs w:val="14"/>
                <w:color w:val="auto"/>
              </w:rPr>
              <w:t>Less unamortized debt discount</w:t>
            </w:r>
          </w:p>
        </w:tc>
        <w:tc>
          <w:tcPr>
            <w:tcW w:w="1840" w:type="dxa"/>
            <w:vAlign w:val="bottom"/>
            <w:tcBorders>
              <w:bottom w:val="single" w:sz="8" w:color="CEFEE7"/>
            </w:tcBorders>
          </w:tcPr>
          <w:p>
            <w:pPr>
              <w:spacing w:after="0"/>
              <w:rPr>
                <w:sz w:val="16"/>
                <w:szCs w:val="16"/>
                <w:color w:val="auto"/>
              </w:rPr>
            </w:pPr>
          </w:p>
        </w:tc>
        <w:tc>
          <w:tcPr>
            <w:tcW w:w="1580" w:type="dxa"/>
            <w:vAlign w:val="bottom"/>
            <w:tcBorders>
              <w:bottom w:val="single" w:sz="8" w:color="CEFEE7"/>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(6,125)</w:t>
            </w:r>
          </w:p>
        </w:tc>
        <w:tc>
          <w:tcPr>
            <w:tcW w:w="7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(7,013)</w:t>
            </w:r>
          </w:p>
        </w:tc>
      </w:tr>
      <w:tr>
        <w:trPr>
          <w:trHeight w:val="183"/>
        </w:trPr>
        <w:tc>
          <w:tcPr>
            <w:tcW w:w="140" w:type="dxa"/>
            <w:vAlign w:val="bottom"/>
            <w:shd w:val="clear" w:color="auto" w:fill="CEFEE7"/>
          </w:tcPr>
          <w:p>
            <w:pPr>
              <w:spacing w:after="0"/>
              <w:rPr>
                <w:sz w:val="15"/>
                <w:szCs w:val="15"/>
                <w:color w:val="auto"/>
              </w:rPr>
            </w:pPr>
          </w:p>
        </w:tc>
        <w:tc>
          <w:tcPr>
            <w:tcW w:w="4800" w:type="dxa"/>
            <w:vAlign w:val="bottom"/>
            <w:gridSpan w:val="4"/>
            <w:shd w:val="clear" w:color="auto" w:fill="CEFEE7"/>
          </w:tcPr>
          <w:p>
            <w:pPr>
              <w:ind w:left="420"/>
              <w:spacing w:after="0"/>
              <w:rPr>
                <w:sz w:val="20"/>
                <w:szCs w:val="20"/>
                <w:color w:val="auto"/>
              </w:rPr>
            </w:pPr>
            <w:r>
              <w:rPr>
                <w:rFonts w:ascii="Arial" w:cs="Arial" w:eastAsia="Arial" w:hAnsi="Arial"/>
                <w:sz w:val="14"/>
                <w:szCs w:val="14"/>
                <w:color w:val="auto"/>
              </w:rPr>
              <w:t>Total Corporate debt, net</w:t>
            </w:r>
          </w:p>
        </w:tc>
        <w:tc>
          <w:tcPr>
            <w:tcW w:w="1840" w:type="dxa"/>
            <w:vAlign w:val="bottom"/>
            <w:shd w:val="clear" w:color="auto" w:fill="CEFEE7"/>
          </w:tcPr>
          <w:p>
            <w:pPr>
              <w:spacing w:after="0"/>
              <w:rPr>
                <w:sz w:val="15"/>
                <w:szCs w:val="15"/>
                <w:color w:val="auto"/>
              </w:rPr>
            </w:pPr>
          </w:p>
        </w:tc>
        <w:tc>
          <w:tcPr>
            <w:tcW w:w="1580" w:type="dxa"/>
            <w:vAlign w:val="bottom"/>
            <w:shd w:val="clear" w:color="auto" w:fill="CEFEE7"/>
          </w:tcPr>
          <w:p>
            <w:pPr>
              <w:spacing w:after="0"/>
              <w:rPr>
                <w:sz w:val="15"/>
                <w:szCs w:val="15"/>
                <w:color w:val="auto"/>
              </w:rPr>
            </w:pPr>
          </w:p>
        </w:tc>
        <w:tc>
          <w:tcPr>
            <w:tcW w:w="400" w:type="dxa"/>
            <w:vAlign w:val="bottom"/>
            <w:tcBorders>
              <w:bottom w:val="single" w:sz="8" w:color="auto"/>
            </w:tcBorders>
            <w:shd w:val="clear" w:color="auto" w:fill="CEFEE7"/>
          </w:tcPr>
          <w:p>
            <w:pPr>
              <w:spacing w:after="0"/>
              <w:rPr>
                <w:sz w:val="15"/>
                <w:szCs w:val="15"/>
                <w:color w:val="auto"/>
              </w:rPr>
            </w:pPr>
          </w:p>
        </w:tc>
        <w:tc>
          <w:tcPr>
            <w:tcW w:w="10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4"/>
                <w:szCs w:val="14"/>
                <w:color w:val="auto"/>
              </w:rPr>
              <w:t>3,618,875</w:t>
            </w:r>
          </w:p>
        </w:tc>
        <w:tc>
          <w:tcPr>
            <w:tcW w:w="700" w:type="dxa"/>
            <w:vAlign w:val="bottom"/>
            <w:tcBorders>
              <w:bottom w:val="single" w:sz="8" w:color="auto"/>
            </w:tcBorders>
            <w:shd w:val="clear" w:color="auto" w:fill="CEFEE7"/>
          </w:tcPr>
          <w:p>
            <w:pPr>
              <w:spacing w:after="0"/>
              <w:rPr>
                <w:sz w:val="15"/>
                <w:szCs w:val="15"/>
                <w:color w:val="auto"/>
              </w:rPr>
            </w:pPr>
          </w:p>
        </w:tc>
        <w:tc>
          <w:tcPr>
            <w:tcW w:w="740" w:type="dxa"/>
            <w:vAlign w:val="bottom"/>
            <w:tcBorders>
              <w:bottom w:val="single" w:sz="8" w:color="auto"/>
            </w:tcBorders>
            <w:shd w:val="clear" w:color="auto" w:fill="CEFEE7"/>
          </w:tcPr>
          <w:p>
            <w:pPr>
              <w:jc w:val="right"/>
              <w:ind w:right="8"/>
              <w:spacing w:after="0"/>
              <w:rPr>
                <w:sz w:val="20"/>
                <w:szCs w:val="20"/>
                <w:color w:val="auto"/>
              </w:rPr>
            </w:pPr>
            <w:r>
              <w:rPr>
                <w:rFonts w:ascii="Arial" w:cs="Arial" w:eastAsia="Arial" w:hAnsi="Arial"/>
                <w:sz w:val="14"/>
                <w:szCs w:val="14"/>
                <w:color w:val="auto"/>
              </w:rPr>
              <w:t>3,019,423</w:t>
            </w:r>
          </w:p>
        </w:tc>
      </w:tr>
      <w:tr>
        <w:trPr>
          <w:trHeight w:val="74"/>
        </w:trPr>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169"/>
        </w:trPr>
        <w:tc>
          <w:tcPr>
            <w:tcW w:w="140" w:type="dxa"/>
            <w:vAlign w:val="bottom"/>
            <w:tcBorders>
              <w:bottom w:val="single" w:sz="8" w:color="CEFEE7"/>
            </w:tcBorders>
            <w:shd w:val="clear" w:color="auto" w:fill="CEFEE7"/>
          </w:tcPr>
          <w:p>
            <w:pPr>
              <w:spacing w:after="0"/>
              <w:rPr>
                <w:sz w:val="14"/>
                <w:szCs w:val="14"/>
                <w:color w:val="auto"/>
              </w:rPr>
            </w:pPr>
          </w:p>
        </w:tc>
        <w:tc>
          <w:tcPr>
            <w:tcW w:w="1400" w:type="dxa"/>
            <w:vAlign w:val="bottom"/>
            <w:tcBorders>
              <w:bottom w:val="single" w:sz="8" w:color="auto"/>
            </w:tcBorders>
            <w:gridSpan w:val="3"/>
            <w:shd w:val="clear" w:color="auto" w:fill="CEFEE7"/>
          </w:tcPr>
          <w:p>
            <w:pPr>
              <w:spacing w:after="0"/>
              <w:rPr>
                <w:sz w:val="20"/>
                <w:szCs w:val="20"/>
                <w:color w:val="auto"/>
              </w:rPr>
            </w:pPr>
            <w:r>
              <w:rPr>
                <w:rFonts w:ascii="Arial" w:cs="Arial" w:eastAsia="Arial" w:hAnsi="Arial"/>
                <w:sz w:val="14"/>
                <w:szCs w:val="14"/>
                <w:color w:val="auto"/>
              </w:rPr>
              <w:t>South Dakota Electric</w:t>
            </w:r>
          </w:p>
        </w:tc>
        <w:tc>
          <w:tcPr>
            <w:tcW w:w="3400" w:type="dxa"/>
            <w:vAlign w:val="bottom"/>
            <w:tcBorders>
              <w:bottom w:val="single" w:sz="8" w:color="CEFEE7"/>
            </w:tcBorders>
            <w:shd w:val="clear" w:color="auto" w:fill="CEFEE7"/>
          </w:tcPr>
          <w:p>
            <w:pPr>
              <w:spacing w:after="0"/>
              <w:rPr>
                <w:sz w:val="14"/>
                <w:szCs w:val="14"/>
                <w:color w:val="auto"/>
              </w:rPr>
            </w:pPr>
          </w:p>
        </w:tc>
        <w:tc>
          <w:tcPr>
            <w:tcW w:w="1840" w:type="dxa"/>
            <w:vAlign w:val="bottom"/>
            <w:tcBorders>
              <w:bottom w:val="single" w:sz="8" w:color="CEFEE7"/>
            </w:tcBorders>
            <w:shd w:val="clear" w:color="auto" w:fill="CEFEE7"/>
          </w:tcPr>
          <w:p>
            <w:pPr>
              <w:spacing w:after="0"/>
              <w:rPr>
                <w:sz w:val="14"/>
                <w:szCs w:val="14"/>
                <w:color w:val="auto"/>
              </w:rPr>
            </w:pPr>
          </w:p>
        </w:tc>
        <w:tc>
          <w:tcPr>
            <w:tcW w:w="1580" w:type="dxa"/>
            <w:vAlign w:val="bottom"/>
            <w:tcBorders>
              <w:bottom w:val="single" w:sz="8" w:color="CEFEE7"/>
            </w:tcBorders>
            <w:shd w:val="clear" w:color="auto" w:fill="CEFEE7"/>
          </w:tcPr>
          <w:p>
            <w:pPr>
              <w:spacing w:after="0"/>
              <w:rPr>
                <w:sz w:val="14"/>
                <w:szCs w:val="14"/>
                <w:color w:val="auto"/>
              </w:rPr>
            </w:pPr>
          </w:p>
        </w:tc>
        <w:tc>
          <w:tcPr>
            <w:tcW w:w="400" w:type="dxa"/>
            <w:vAlign w:val="bottom"/>
            <w:tcBorders>
              <w:bottom w:val="single" w:sz="8" w:color="CEFEE7"/>
            </w:tcBorders>
            <w:shd w:val="clear" w:color="auto" w:fill="CEFEE7"/>
          </w:tcPr>
          <w:p>
            <w:pPr>
              <w:spacing w:after="0"/>
              <w:rPr>
                <w:sz w:val="14"/>
                <w:szCs w:val="14"/>
                <w:color w:val="auto"/>
              </w:rPr>
            </w:pPr>
          </w:p>
        </w:tc>
        <w:tc>
          <w:tcPr>
            <w:tcW w:w="1020" w:type="dxa"/>
            <w:vAlign w:val="bottom"/>
            <w:tcBorders>
              <w:bottom w:val="single" w:sz="8" w:color="CEFEE7"/>
            </w:tcBorders>
            <w:shd w:val="clear" w:color="auto" w:fill="CEFEE7"/>
          </w:tcPr>
          <w:p>
            <w:pPr>
              <w:spacing w:after="0"/>
              <w:rPr>
                <w:sz w:val="14"/>
                <w:szCs w:val="14"/>
                <w:color w:val="auto"/>
              </w:rPr>
            </w:pPr>
          </w:p>
        </w:tc>
        <w:tc>
          <w:tcPr>
            <w:tcW w:w="700" w:type="dxa"/>
            <w:vAlign w:val="bottom"/>
            <w:tcBorders>
              <w:bottom w:val="single" w:sz="8" w:color="CEFEE7"/>
            </w:tcBorders>
            <w:shd w:val="clear" w:color="auto" w:fill="CEFEE7"/>
          </w:tcPr>
          <w:p>
            <w:pPr>
              <w:spacing w:after="0"/>
              <w:rPr>
                <w:sz w:val="14"/>
                <w:szCs w:val="14"/>
                <w:color w:val="auto"/>
              </w:rPr>
            </w:pPr>
          </w:p>
        </w:tc>
        <w:tc>
          <w:tcPr>
            <w:tcW w:w="740" w:type="dxa"/>
            <w:vAlign w:val="bottom"/>
            <w:tcBorders>
              <w:bottom w:val="single" w:sz="8" w:color="CEFEE7"/>
            </w:tcBorders>
            <w:shd w:val="clear" w:color="auto" w:fill="CEFEE7"/>
          </w:tcPr>
          <w:p>
            <w:pPr>
              <w:spacing w:after="0"/>
              <w:rPr>
                <w:sz w:val="14"/>
                <w:szCs w:val="14"/>
                <w:color w:val="auto"/>
              </w:rPr>
            </w:pPr>
          </w:p>
        </w:tc>
      </w:tr>
      <w:tr>
        <w:trPr>
          <w:trHeight w:val="189"/>
        </w:trPr>
        <w:tc>
          <w:tcPr>
            <w:tcW w:w="140" w:type="dxa"/>
            <w:vAlign w:val="bottom"/>
          </w:tcPr>
          <w:p>
            <w:pPr>
              <w:spacing w:after="0"/>
              <w:rPr>
                <w:sz w:val="16"/>
                <w:szCs w:val="16"/>
                <w:color w:val="auto"/>
              </w:rPr>
            </w:pPr>
          </w:p>
        </w:tc>
        <w:tc>
          <w:tcPr>
            <w:tcW w:w="4800" w:type="dxa"/>
            <w:vAlign w:val="bottom"/>
            <w:gridSpan w:val="4"/>
          </w:tcPr>
          <w:p>
            <w:pPr>
              <w:ind w:left="220"/>
              <w:spacing w:after="0"/>
              <w:rPr>
                <w:sz w:val="20"/>
                <w:szCs w:val="20"/>
                <w:color w:val="auto"/>
              </w:rPr>
            </w:pPr>
            <w:r>
              <w:rPr>
                <w:rFonts w:ascii="Arial" w:cs="Arial" w:eastAsia="Arial" w:hAnsi="Arial"/>
                <w:sz w:val="14"/>
                <w:szCs w:val="14"/>
                <w:color w:val="auto"/>
              </w:rPr>
              <w:t>First Mortgage Bonds due 2032</w:t>
            </w:r>
          </w:p>
        </w:tc>
        <w:tc>
          <w:tcPr>
            <w:tcW w:w="1840" w:type="dxa"/>
            <w:vAlign w:val="bottom"/>
          </w:tcPr>
          <w:p>
            <w:pPr>
              <w:jc w:val="center"/>
              <w:ind w:left="48"/>
              <w:spacing w:after="0"/>
              <w:rPr>
                <w:sz w:val="20"/>
                <w:szCs w:val="20"/>
                <w:color w:val="auto"/>
              </w:rPr>
            </w:pPr>
            <w:r>
              <w:rPr>
                <w:rFonts w:ascii="Arial" w:cs="Arial" w:eastAsia="Arial" w:hAnsi="Arial"/>
                <w:sz w:val="14"/>
                <w:szCs w:val="14"/>
                <w:color w:val="auto"/>
              </w:rPr>
              <w:t>August 15, 2032</w:t>
            </w:r>
          </w:p>
        </w:tc>
        <w:tc>
          <w:tcPr>
            <w:tcW w:w="1580" w:type="dxa"/>
            <w:vAlign w:val="bottom"/>
          </w:tcPr>
          <w:p>
            <w:pPr>
              <w:jc w:val="center"/>
              <w:ind w:left="48"/>
              <w:spacing w:after="0"/>
              <w:rPr>
                <w:sz w:val="20"/>
                <w:szCs w:val="20"/>
                <w:color w:val="auto"/>
              </w:rPr>
            </w:pPr>
            <w:r>
              <w:rPr>
                <w:rFonts w:ascii="Arial" w:cs="Arial" w:eastAsia="Arial" w:hAnsi="Arial"/>
                <w:sz w:val="14"/>
                <w:szCs w:val="14"/>
                <w:color w:val="auto"/>
              </w:rPr>
              <w:t>7.23%</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75,000</w:t>
            </w:r>
          </w:p>
        </w:tc>
        <w:tc>
          <w:tcPr>
            <w:tcW w:w="7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75,000</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220"/>
              <w:spacing w:after="0"/>
              <w:rPr>
                <w:sz w:val="20"/>
                <w:szCs w:val="20"/>
                <w:color w:val="auto"/>
              </w:rPr>
            </w:pPr>
            <w:r>
              <w:rPr>
                <w:rFonts w:ascii="Arial" w:cs="Arial" w:eastAsia="Arial" w:hAnsi="Arial"/>
                <w:sz w:val="14"/>
                <w:szCs w:val="14"/>
                <w:color w:val="auto"/>
              </w:rPr>
              <w:t>First Mortgage Bonds due 2039</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November 1, 2039</w:t>
            </w:r>
          </w:p>
        </w:tc>
        <w:tc>
          <w:tcPr>
            <w:tcW w:w="158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6.13%</w:t>
            </w:r>
          </w:p>
        </w:tc>
        <w:tc>
          <w:tcPr>
            <w:tcW w:w="400" w:type="dxa"/>
            <w:vAlign w:val="bottom"/>
            <w:shd w:val="clear" w:color="auto" w:fill="CEFEE7"/>
          </w:tcPr>
          <w:p>
            <w:pPr>
              <w:spacing w:after="0"/>
              <w:rPr>
                <w:sz w:val="16"/>
                <w:szCs w:val="16"/>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180,000</w:t>
            </w:r>
          </w:p>
        </w:tc>
        <w:tc>
          <w:tcPr>
            <w:tcW w:w="700" w:type="dxa"/>
            <w:vAlign w:val="bottom"/>
            <w:shd w:val="clear" w:color="auto" w:fill="CEFEE7"/>
          </w:tcPr>
          <w:p>
            <w:pPr>
              <w:spacing w:after="0"/>
              <w:rPr>
                <w:sz w:val="16"/>
                <w:szCs w:val="16"/>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180,000</w:t>
            </w:r>
          </w:p>
        </w:tc>
      </w:tr>
      <w:tr>
        <w:trPr>
          <w:trHeight w:val="189"/>
        </w:trPr>
        <w:tc>
          <w:tcPr>
            <w:tcW w:w="140" w:type="dxa"/>
            <w:vAlign w:val="bottom"/>
            <w:tcBorders>
              <w:bottom w:val="single" w:sz="8" w:color="CEFEE7"/>
            </w:tcBorders>
          </w:tcPr>
          <w:p>
            <w:pPr>
              <w:spacing w:after="0"/>
              <w:rPr>
                <w:sz w:val="16"/>
                <w:szCs w:val="16"/>
                <w:color w:val="auto"/>
              </w:rPr>
            </w:pPr>
          </w:p>
        </w:tc>
        <w:tc>
          <w:tcPr>
            <w:tcW w:w="4800" w:type="dxa"/>
            <w:vAlign w:val="bottom"/>
            <w:tcBorders>
              <w:bottom w:val="single" w:sz="8" w:color="CEFEE7"/>
            </w:tcBorders>
            <w:gridSpan w:val="4"/>
          </w:tcPr>
          <w:p>
            <w:pPr>
              <w:ind w:left="220"/>
              <w:spacing w:after="0"/>
              <w:rPr>
                <w:sz w:val="20"/>
                <w:szCs w:val="20"/>
                <w:color w:val="auto"/>
              </w:rPr>
            </w:pPr>
            <w:r>
              <w:rPr>
                <w:rFonts w:ascii="Arial" w:cs="Arial" w:eastAsia="Arial" w:hAnsi="Arial"/>
                <w:sz w:val="14"/>
                <w:szCs w:val="14"/>
                <w:color w:val="auto"/>
              </w:rPr>
              <w:t>First Mortgage Bonds due 2044</w:t>
            </w:r>
          </w:p>
        </w:tc>
        <w:tc>
          <w:tcPr>
            <w:tcW w:w="1840" w:type="dxa"/>
            <w:vAlign w:val="bottom"/>
            <w:tcBorders>
              <w:bottom w:val="single" w:sz="8" w:color="CEFEE7"/>
            </w:tcBorders>
          </w:tcPr>
          <w:p>
            <w:pPr>
              <w:jc w:val="center"/>
              <w:ind w:left="48"/>
              <w:spacing w:after="0"/>
              <w:rPr>
                <w:sz w:val="20"/>
                <w:szCs w:val="20"/>
                <w:color w:val="auto"/>
              </w:rPr>
            </w:pPr>
            <w:r>
              <w:rPr>
                <w:rFonts w:ascii="Arial" w:cs="Arial" w:eastAsia="Arial" w:hAnsi="Arial"/>
                <w:sz w:val="14"/>
                <w:szCs w:val="14"/>
                <w:color w:val="auto"/>
              </w:rPr>
              <w:t>October 20, 2044</w:t>
            </w:r>
          </w:p>
        </w:tc>
        <w:tc>
          <w:tcPr>
            <w:tcW w:w="1580" w:type="dxa"/>
            <w:vAlign w:val="bottom"/>
            <w:tcBorders>
              <w:bottom w:val="single" w:sz="8" w:color="CEFEE7"/>
            </w:tcBorders>
          </w:tcPr>
          <w:p>
            <w:pPr>
              <w:jc w:val="center"/>
              <w:ind w:left="48"/>
              <w:spacing w:after="0"/>
              <w:rPr>
                <w:sz w:val="20"/>
                <w:szCs w:val="20"/>
                <w:color w:val="auto"/>
              </w:rPr>
            </w:pPr>
            <w:r>
              <w:rPr>
                <w:rFonts w:ascii="Arial" w:cs="Arial" w:eastAsia="Arial" w:hAnsi="Arial"/>
                <w:sz w:val="14"/>
                <w:szCs w:val="14"/>
                <w:color w:val="auto"/>
              </w:rPr>
              <w:t>4.43%</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85,000</w:t>
            </w:r>
          </w:p>
        </w:tc>
        <w:tc>
          <w:tcPr>
            <w:tcW w:w="7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85,000</w:t>
            </w:r>
          </w:p>
        </w:tc>
      </w:tr>
      <w:tr>
        <w:trPr>
          <w:trHeight w:val="183"/>
        </w:trPr>
        <w:tc>
          <w:tcPr>
            <w:tcW w:w="140" w:type="dxa"/>
            <w:vAlign w:val="bottom"/>
            <w:shd w:val="clear" w:color="auto" w:fill="CEFEE7"/>
          </w:tcPr>
          <w:p>
            <w:pPr>
              <w:spacing w:after="0"/>
              <w:rPr>
                <w:sz w:val="15"/>
                <w:szCs w:val="15"/>
                <w:color w:val="auto"/>
              </w:rPr>
            </w:pPr>
          </w:p>
        </w:tc>
        <w:tc>
          <w:tcPr>
            <w:tcW w:w="4800" w:type="dxa"/>
            <w:vAlign w:val="bottom"/>
            <w:gridSpan w:val="4"/>
            <w:shd w:val="clear" w:color="auto" w:fill="CEFEE7"/>
          </w:tcPr>
          <w:p>
            <w:pPr>
              <w:ind w:left="420"/>
              <w:spacing w:after="0"/>
              <w:rPr>
                <w:sz w:val="20"/>
                <w:szCs w:val="20"/>
                <w:color w:val="auto"/>
              </w:rPr>
            </w:pPr>
            <w:r>
              <w:rPr>
                <w:rFonts w:ascii="Arial" w:cs="Arial" w:eastAsia="Arial" w:hAnsi="Arial"/>
                <w:sz w:val="14"/>
                <w:szCs w:val="14"/>
                <w:color w:val="auto"/>
              </w:rPr>
              <w:t>Total South Dakota Electric debt</w:t>
            </w:r>
          </w:p>
        </w:tc>
        <w:tc>
          <w:tcPr>
            <w:tcW w:w="1840" w:type="dxa"/>
            <w:vAlign w:val="bottom"/>
            <w:shd w:val="clear" w:color="auto" w:fill="CEFEE7"/>
          </w:tcPr>
          <w:p>
            <w:pPr>
              <w:spacing w:after="0"/>
              <w:rPr>
                <w:sz w:val="15"/>
                <w:szCs w:val="15"/>
                <w:color w:val="auto"/>
              </w:rPr>
            </w:pPr>
          </w:p>
        </w:tc>
        <w:tc>
          <w:tcPr>
            <w:tcW w:w="1580" w:type="dxa"/>
            <w:vAlign w:val="bottom"/>
            <w:shd w:val="clear" w:color="auto" w:fill="CEFEE7"/>
          </w:tcPr>
          <w:p>
            <w:pPr>
              <w:spacing w:after="0"/>
              <w:rPr>
                <w:sz w:val="15"/>
                <w:szCs w:val="15"/>
                <w:color w:val="auto"/>
              </w:rPr>
            </w:pPr>
          </w:p>
        </w:tc>
        <w:tc>
          <w:tcPr>
            <w:tcW w:w="400" w:type="dxa"/>
            <w:vAlign w:val="bottom"/>
            <w:shd w:val="clear" w:color="auto" w:fill="CEFEE7"/>
          </w:tcPr>
          <w:p>
            <w:pPr>
              <w:spacing w:after="0"/>
              <w:rPr>
                <w:sz w:val="15"/>
                <w:szCs w:val="15"/>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340,000</w:t>
            </w:r>
          </w:p>
        </w:tc>
        <w:tc>
          <w:tcPr>
            <w:tcW w:w="700" w:type="dxa"/>
            <w:vAlign w:val="bottom"/>
            <w:shd w:val="clear" w:color="auto" w:fill="CEFEE7"/>
          </w:tcPr>
          <w:p>
            <w:pPr>
              <w:spacing w:after="0"/>
              <w:rPr>
                <w:sz w:val="15"/>
                <w:szCs w:val="15"/>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340,000</w:t>
            </w:r>
          </w:p>
        </w:tc>
      </w:tr>
      <w:tr>
        <w:trPr>
          <w:trHeight w:val="189"/>
        </w:trPr>
        <w:tc>
          <w:tcPr>
            <w:tcW w:w="140" w:type="dxa"/>
            <w:vAlign w:val="bottom"/>
            <w:tcBorders>
              <w:bottom w:val="single" w:sz="8" w:color="CEFEE7"/>
            </w:tcBorders>
          </w:tcPr>
          <w:p>
            <w:pPr>
              <w:spacing w:after="0"/>
              <w:rPr>
                <w:sz w:val="16"/>
                <w:szCs w:val="16"/>
                <w:color w:val="auto"/>
              </w:rPr>
            </w:pPr>
          </w:p>
        </w:tc>
        <w:tc>
          <w:tcPr>
            <w:tcW w:w="4800" w:type="dxa"/>
            <w:vAlign w:val="bottom"/>
            <w:tcBorders>
              <w:bottom w:val="single" w:sz="8" w:color="CEFEE7"/>
            </w:tcBorders>
            <w:gridSpan w:val="4"/>
          </w:tcPr>
          <w:p>
            <w:pPr>
              <w:ind w:left="80"/>
              <w:spacing w:after="0"/>
              <w:rPr>
                <w:sz w:val="20"/>
                <w:szCs w:val="20"/>
                <w:color w:val="auto"/>
              </w:rPr>
            </w:pPr>
            <w:r>
              <w:rPr>
                <w:rFonts w:ascii="Arial" w:cs="Arial" w:eastAsia="Arial" w:hAnsi="Arial"/>
                <w:sz w:val="14"/>
                <w:szCs w:val="14"/>
                <w:color w:val="auto"/>
              </w:rPr>
              <w:t>Less unamortized debt discount</w:t>
            </w:r>
          </w:p>
        </w:tc>
        <w:tc>
          <w:tcPr>
            <w:tcW w:w="1840" w:type="dxa"/>
            <w:vAlign w:val="bottom"/>
            <w:tcBorders>
              <w:bottom w:val="single" w:sz="8" w:color="CEFEE7"/>
            </w:tcBorders>
          </w:tcPr>
          <w:p>
            <w:pPr>
              <w:spacing w:after="0"/>
              <w:rPr>
                <w:sz w:val="16"/>
                <w:szCs w:val="16"/>
                <w:color w:val="auto"/>
              </w:rPr>
            </w:pPr>
          </w:p>
        </w:tc>
        <w:tc>
          <w:tcPr>
            <w:tcW w:w="1580" w:type="dxa"/>
            <w:vAlign w:val="bottom"/>
            <w:tcBorders>
              <w:bottom w:val="single" w:sz="8" w:color="CEFEE7"/>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7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r>
      <w:tr>
        <w:trPr>
          <w:trHeight w:val="183"/>
        </w:trPr>
        <w:tc>
          <w:tcPr>
            <w:tcW w:w="140" w:type="dxa"/>
            <w:vAlign w:val="bottom"/>
            <w:shd w:val="clear" w:color="auto" w:fill="CEFEE7"/>
          </w:tcPr>
          <w:p>
            <w:pPr>
              <w:spacing w:after="0"/>
              <w:rPr>
                <w:sz w:val="15"/>
                <w:szCs w:val="15"/>
                <w:color w:val="auto"/>
              </w:rPr>
            </w:pPr>
          </w:p>
        </w:tc>
        <w:tc>
          <w:tcPr>
            <w:tcW w:w="4800" w:type="dxa"/>
            <w:vAlign w:val="bottom"/>
            <w:gridSpan w:val="4"/>
            <w:shd w:val="clear" w:color="auto" w:fill="CEFEE7"/>
          </w:tcPr>
          <w:p>
            <w:pPr>
              <w:ind w:left="420"/>
              <w:spacing w:after="0"/>
              <w:rPr>
                <w:sz w:val="20"/>
                <w:szCs w:val="20"/>
                <w:color w:val="auto"/>
              </w:rPr>
            </w:pPr>
            <w:r>
              <w:rPr>
                <w:rFonts w:ascii="Arial" w:cs="Arial" w:eastAsia="Arial" w:hAnsi="Arial"/>
                <w:sz w:val="14"/>
                <w:szCs w:val="14"/>
                <w:color w:val="auto"/>
              </w:rPr>
              <w:t>Total South Dakota Electric debt, net</w:t>
            </w:r>
          </w:p>
        </w:tc>
        <w:tc>
          <w:tcPr>
            <w:tcW w:w="1840" w:type="dxa"/>
            <w:vAlign w:val="bottom"/>
            <w:shd w:val="clear" w:color="auto" w:fill="CEFEE7"/>
          </w:tcPr>
          <w:p>
            <w:pPr>
              <w:spacing w:after="0"/>
              <w:rPr>
                <w:sz w:val="15"/>
                <w:szCs w:val="15"/>
                <w:color w:val="auto"/>
              </w:rPr>
            </w:pPr>
          </w:p>
        </w:tc>
        <w:tc>
          <w:tcPr>
            <w:tcW w:w="1580" w:type="dxa"/>
            <w:vAlign w:val="bottom"/>
            <w:shd w:val="clear" w:color="auto" w:fill="CEFEE7"/>
          </w:tcPr>
          <w:p>
            <w:pPr>
              <w:spacing w:after="0"/>
              <w:rPr>
                <w:sz w:val="15"/>
                <w:szCs w:val="15"/>
                <w:color w:val="auto"/>
              </w:rPr>
            </w:pPr>
          </w:p>
        </w:tc>
        <w:tc>
          <w:tcPr>
            <w:tcW w:w="400" w:type="dxa"/>
            <w:vAlign w:val="bottom"/>
            <w:tcBorders>
              <w:bottom w:val="single" w:sz="8" w:color="auto"/>
            </w:tcBorders>
            <w:shd w:val="clear" w:color="auto" w:fill="CEFEE7"/>
          </w:tcPr>
          <w:p>
            <w:pPr>
              <w:spacing w:after="0"/>
              <w:rPr>
                <w:sz w:val="15"/>
                <w:szCs w:val="15"/>
                <w:color w:val="auto"/>
              </w:rPr>
            </w:pPr>
          </w:p>
        </w:tc>
        <w:tc>
          <w:tcPr>
            <w:tcW w:w="10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4"/>
                <w:szCs w:val="14"/>
                <w:color w:val="auto"/>
              </w:rPr>
              <w:t>339,926</w:t>
            </w:r>
          </w:p>
        </w:tc>
        <w:tc>
          <w:tcPr>
            <w:tcW w:w="700" w:type="dxa"/>
            <w:vAlign w:val="bottom"/>
            <w:tcBorders>
              <w:bottom w:val="single" w:sz="8" w:color="auto"/>
            </w:tcBorders>
            <w:shd w:val="clear" w:color="auto" w:fill="CEFEE7"/>
          </w:tcPr>
          <w:p>
            <w:pPr>
              <w:spacing w:after="0"/>
              <w:rPr>
                <w:sz w:val="15"/>
                <w:szCs w:val="15"/>
                <w:color w:val="auto"/>
              </w:rPr>
            </w:pPr>
          </w:p>
        </w:tc>
        <w:tc>
          <w:tcPr>
            <w:tcW w:w="740" w:type="dxa"/>
            <w:vAlign w:val="bottom"/>
            <w:tcBorders>
              <w:bottom w:val="single" w:sz="8" w:color="auto"/>
            </w:tcBorders>
            <w:shd w:val="clear" w:color="auto" w:fill="CEFEE7"/>
          </w:tcPr>
          <w:p>
            <w:pPr>
              <w:jc w:val="right"/>
              <w:ind w:right="8"/>
              <w:spacing w:after="0"/>
              <w:rPr>
                <w:sz w:val="20"/>
                <w:szCs w:val="20"/>
                <w:color w:val="auto"/>
              </w:rPr>
            </w:pPr>
            <w:r>
              <w:rPr>
                <w:rFonts w:ascii="Arial" w:cs="Arial" w:eastAsia="Arial" w:hAnsi="Arial"/>
                <w:sz w:val="14"/>
                <w:szCs w:val="14"/>
                <w:color w:val="auto"/>
              </w:rPr>
              <w:t>339,922</w:t>
            </w:r>
          </w:p>
        </w:tc>
      </w:tr>
      <w:tr>
        <w:trPr>
          <w:trHeight w:val="75"/>
        </w:trPr>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169"/>
        </w:trPr>
        <w:tc>
          <w:tcPr>
            <w:tcW w:w="140" w:type="dxa"/>
            <w:vAlign w:val="bottom"/>
            <w:tcBorders>
              <w:bottom w:val="single" w:sz="8" w:color="CEFEE7"/>
            </w:tcBorders>
            <w:shd w:val="clear" w:color="auto" w:fill="CEFEE7"/>
          </w:tcPr>
          <w:p>
            <w:pPr>
              <w:spacing w:after="0"/>
              <w:rPr>
                <w:sz w:val="14"/>
                <w:szCs w:val="14"/>
                <w:color w:val="auto"/>
              </w:rPr>
            </w:pPr>
          </w:p>
        </w:tc>
        <w:tc>
          <w:tcPr>
            <w:tcW w:w="1120" w:type="dxa"/>
            <w:vAlign w:val="bottom"/>
            <w:tcBorders>
              <w:bottom w:val="single" w:sz="8" w:color="auto"/>
            </w:tcBorders>
            <w:gridSpan w:val="2"/>
            <w:shd w:val="clear" w:color="auto" w:fill="CEFEE7"/>
          </w:tcPr>
          <w:p>
            <w:pPr>
              <w:spacing w:after="0"/>
              <w:rPr>
                <w:sz w:val="20"/>
                <w:szCs w:val="20"/>
                <w:color w:val="auto"/>
              </w:rPr>
            </w:pPr>
            <w:r>
              <w:rPr>
                <w:rFonts w:ascii="Arial" w:cs="Arial" w:eastAsia="Arial" w:hAnsi="Arial"/>
                <w:sz w:val="14"/>
                <w:szCs w:val="14"/>
                <w:color w:val="auto"/>
              </w:rPr>
              <w:t>Wyoming Electric</w:t>
            </w:r>
          </w:p>
        </w:tc>
        <w:tc>
          <w:tcPr>
            <w:tcW w:w="3680" w:type="dxa"/>
            <w:vAlign w:val="bottom"/>
            <w:tcBorders>
              <w:bottom w:val="single" w:sz="8" w:color="CEFEE7"/>
            </w:tcBorders>
            <w:gridSpan w:val="2"/>
            <w:shd w:val="clear" w:color="auto" w:fill="CEFEE7"/>
          </w:tcPr>
          <w:p>
            <w:pPr>
              <w:spacing w:after="0"/>
              <w:rPr>
                <w:sz w:val="14"/>
                <w:szCs w:val="14"/>
                <w:color w:val="auto"/>
              </w:rPr>
            </w:pPr>
          </w:p>
        </w:tc>
        <w:tc>
          <w:tcPr>
            <w:tcW w:w="1840" w:type="dxa"/>
            <w:vAlign w:val="bottom"/>
            <w:tcBorders>
              <w:bottom w:val="single" w:sz="8" w:color="CEFEE7"/>
            </w:tcBorders>
            <w:shd w:val="clear" w:color="auto" w:fill="CEFEE7"/>
          </w:tcPr>
          <w:p>
            <w:pPr>
              <w:spacing w:after="0"/>
              <w:rPr>
                <w:sz w:val="14"/>
                <w:szCs w:val="14"/>
                <w:color w:val="auto"/>
              </w:rPr>
            </w:pPr>
          </w:p>
        </w:tc>
        <w:tc>
          <w:tcPr>
            <w:tcW w:w="1580" w:type="dxa"/>
            <w:vAlign w:val="bottom"/>
            <w:tcBorders>
              <w:bottom w:val="single" w:sz="8" w:color="CEFEE7"/>
            </w:tcBorders>
            <w:shd w:val="clear" w:color="auto" w:fill="CEFEE7"/>
          </w:tcPr>
          <w:p>
            <w:pPr>
              <w:spacing w:after="0"/>
              <w:rPr>
                <w:sz w:val="14"/>
                <w:szCs w:val="14"/>
                <w:color w:val="auto"/>
              </w:rPr>
            </w:pPr>
          </w:p>
        </w:tc>
        <w:tc>
          <w:tcPr>
            <w:tcW w:w="400" w:type="dxa"/>
            <w:vAlign w:val="bottom"/>
            <w:tcBorders>
              <w:bottom w:val="single" w:sz="8" w:color="CEFEE7"/>
            </w:tcBorders>
            <w:shd w:val="clear" w:color="auto" w:fill="CEFEE7"/>
          </w:tcPr>
          <w:p>
            <w:pPr>
              <w:spacing w:after="0"/>
              <w:rPr>
                <w:sz w:val="14"/>
                <w:szCs w:val="14"/>
                <w:color w:val="auto"/>
              </w:rPr>
            </w:pPr>
          </w:p>
        </w:tc>
        <w:tc>
          <w:tcPr>
            <w:tcW w:w="1020" w:type="dxa"/>
            <w:vAlign w:val="bottom"/>
            <w:tcBorders>
              <w:bottom w:val="single" w:sz="8" w:color="CEFEE7"/>
            </w:tcBorders>
            <w:shd w:val="clear" w:color="auto" w:fill="CEFEE7"/>
          </w:tcPr>
          <w:p>
            <w:pPr>
              <w:spacing w:after="0"/>
              <w:rPr>
                <w:sz w:val="14"/>
                <w:szCs w:val="14"/>
                <w:color w:val="auto"/>
              </w:rPr>
            </w:pPr>
          </w:p>
        </w:tc>
        <w:tc>
          <w:tcPr>
            <w:tcW w:w="700" w:type="dxa"/>
            <w:vAlign w:val="bottom"/>
            <w:tcBorders>
              <w:bottom w:val="single" w:sz="8" w:color="CEFEE7"/>
            </w:tcBorders>
            <w:shd w:val="clear" w:color="auto" w:fill="CEFEE7"/>
          </w:tcPr>
          <w:p>
            <w:pPr>
              <w:spacing w:after="0"/>
              <w:rPr>
                <w:sz w:val="14"/>
                <w:szCs w:val="14"/>
                <w:color w:val="auto"/>
              </w:rPr>
            </w:pPr>
          </w:p>
        </w:tc>
        <w:tc>
          <w:tcPr>
            <w:tcW w:w="740" w:type="dxa"/>
            <w:vAlign w:val="bottom"/>
            <w:tcBorders>
              <w:bottom w:val="single" w:sz="8" w:color="CEFEE7"/>
            </w:tcBorders>
            <w:shd w:val="clear" w:color="auto" w:fill="CEFEE7"/>
          </w:tcPr>
          <w:p>
            <w:pPr>
              <w:spacing w:after="0"/>
              <w:rPr>
                <w:sz w:val="14"/>
                <w:szCs w:val="14"/>
                <w:color w:val="auto"/>
              </w:rPr>
            </w:pPr>
          </w:p>
        </w:tc>
      </w:tr>
      <w:tr>
        <w:trPr>
          <w:trHeight w:val="189"/>
        </w:trPr>
        <w:tc>
          <w:tcPr>
            <w:tcW w:w="140" w:type="dxa"/>
            <w:vAlign w:val="bottom"/>
          </w:tcPr>
          <w:p>
            <w:pPr>
              <w:spacing w:after="0"/>
              <w:rPr>
                <w:sz w:val="16"/>
                <w:szCs w:val="16"/>
                <w:color w:val="auto"/>
              </w:rPr>
            </w:pPr>
          </w:p>
        </w:tc>
        <w:tc>
          <w:tcPr>
            <w:tcW w:w="4800" w:type="dxa"/>
            <w:vAlign w:val="bottom"/>
            <w:gridSpan w:val="4"/>
          </w:tcPr>
          <w:p>
            <w:pPr>
              <w:ind w:left="220"/>
              <w:spacing w:after="0" w:line="189" w:lineRule="exact"/>
              <w:rPr>
                <w:sz w:val="20"/>
                <w:szCs w:val="20"/>
                <w:color w:val="auto"/>
              </w:rPr>
            </w:pPr>
            <w:r>
              <w:rPr>
                <w:rFonts w:ascii="Arial" w:cs="Arial" w:eastAsia="Arial" w:hAnsi="Arial"/>
                <w:sz w:val="14"/>
                <w:szCs w:val="14"/>
                <w:color w:val="auto"/>
              </w:rPr>
              <w:t>Industrial development revenue bonds due 2021</w:t>
            </w:r>
            <w:r>
              <w:rPr>
                <w:rFonts w:ascii="Arial" w:cs="Arial" w:eastAsia="Arial" w:hAnsi="Arial"/>
                <w:sz w:val="18"/>
                <w:szCs w:val="18"/>
                <w:color w:val="auto"/>
                <w:vertAlign w:val="superscript"/>
              </w:rPr>
              <w:t>(a)</w:t>
            </w:r>
          </w:p>
        </w:tc>
        <w:tc>
          <w:tcPr>
            <w:tcW w:w="1840" w:type="dxa"/>
            <w:vAlign w:val="bottom"/>
          </w:tcPr>
          <w:p>
            <w:pPr>
              <w:jc w:val="center"/>
              <w:ind w:left="48"/>
              <w:spacing w:after="0"/>
              <w:rPr>
                <w:sz w:val="20"/>
                <w:szCs w:val="20"/>
                <w:color w:val="auto"/>
              </w:rPr>
            </w:pPr>
            <w:r>
              <w:rPr>
                <w:rFonts w:ascii="Arial" w:cs="Arial" w:eastAsia="Arial" w:hAnsi="Arial"/>
                <w:sz w:val="14"/>
                <w:szCs w:val="14"/>
                <w:color w:val="auto"/>
              </w:rPr>
              <w:t>September 1, 2021</w:t>
            </w:r>
          </w:p>
        </w:tc>
        <w:tc>
          <w:tcPr>
            <w:tcW w:w="1580" w:type="dxa"/>
            <w:vAlign w:val="bottom"/>
          </w:tcPr>
          <w:p>
            <w:pPr>
              <w:jc w:val="center"/>
              <w:ind w:left="28"/>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7,000</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220"/>
              <w:spacing w:after="0" w:line="189" w:lineRule="exact"/>
              <w:rPr>
                <w:sz w:val="20"/>
                <w:szCs w:val="20"/>
                <w:color w:val="auto"/>
              </w:rPr>
            </w:pPr>
            <w:r>
              <w:rPr>
                <w:rFonts w:ascii="Arial" w:cs="Arial" w:eastAsia="Arial" w:hAnsi="Arial"/>
                <w:sz w:val="14"/>
                <w:szCs w:val="14"/>
                <w:color w:val="auto"/>
              </w:rPr>
              <w:t>Industrial development revenue bonds due 2027</w:t>
            </w:r>
            <w:r>
              <w:rPr>
                <w:rFonts w:ascii="Arial" w:cs="Arial" w:eastAsia="Arial" w:hAnsi="Arial"/>
                <w:sz w:val="18"/>
                <w:szCs w:val="18"/>
                <w:color w:val="auto"/>
                <w:vertAlign w:val="superscript"/>
              </w:rPr>
              <w:t>(a) (b)</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March 1, 2027</w:t>
            </w:r>
          </w:p>
        </w:tc>
        <w:tc>
          <w:tcPr>
            <w:tcW w:w="158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0.15%</w:t>
            </w:r>
          </w:p>
        </w:tc>
        <w:tc>
          <w:tcPr>
            <w:tcW w:w="400" w:type="dxa"/>
            <w:vAlign w:val="bottom"/>
            <w:shd w:val="clear" w:color="auto" w:fill="CEFEE7"/>
          </w:tcPr>
          <w:p>
            <w:pPr>
              <w:spacing w:after="0"/>
              <w:rPr>
                <w:sz w:val="16"/>
                <w:szCs w:val="16"/>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10,000</w:t>
            </w:r>
          </w:p>
        </w:tc>
        <w:tc>
          <w:tcPr>
            <w:tcW w:w="700" w:type="dxa"/>
            <w:vAlign w:val="bottom"/>
            <w:shd w:val="clear" w:color="auto" w:fill="CEFEE7"/>
          </w:tcPr>
          <w:p>
            <w:pPr>
              <w:spacing w:after="0"/>
              <w:rPr>
                <w:sz w:val="16"/>
                <w:szCs w:val="16"/>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10,000</w:t>
            </w:r>
          </w:p>
        </w:tc>
      </w:tr>
      <w:tr>
        <w:trPr>
          <w:trHeight w:val="189"/>
        </w:trPr>
        <w:tc>
          <w:tcPr>
            <w:tcW w:w="140" w:type="dxa"/>
            <w:vAlign w:val="bottom"/>
          </w:tcPr>
          <w:p>
            <w:pPr>
              <w:spacing w:after="0"/>
              <w:rPr>
                <w:sz w:val="16"/>
                <w:szCs w:val="16"/>
                <w:color w:val="auto"/>
              </w:rPr>
            </w:pPr>
          </w:p>
        </w:tc>
        <w:tc>
          <w:tcPr>
            <w:tcW w:w="4800" w:type="dxa"/>
            <w:vAlign w:val="bottom"/>
            <w:gridSpan w:val="4"/>
          </w:tcPr>
          <w:p>
            <w:pPr>
              <w:ind w:left="220"/>
              <w:spacing w:after="0"/>
              <w:rPr>
                <w:sz w:val="20"/>
                <w:szCs w:val="20"/>
                <w:color w:val="auto"/>
              </w:rPr>
            </w:pPr>
            <w:r>
              <w:rPr>
                <w:rFonts w:ascii="Arial" w:cs="Arial" w:eastAsia="Arial" w:hAnsi="Arial"/>
                <w:sz w:val="14"/>
                <w:szCs w:val="14"/>
                <w:color w:val="auto"/>
              </w:rPr>
              <w:t>First Mortgage Bonds due 2037</w:t>
            </w:r>
          </w:p>
        </w:tc>
        <w:tc>
          <w:tcPr>
            <w:tcW w:w="1840" w:type="dxa"/>
            <w:vAlign w:val="bottom"/>
          </w:tcPr>
          <w:p>
            <w:pPr>
              <w:jc w:val="center"/>
              <w:ind w:left="48"/>
              <w:spacing w:after="0"/>
              <w:rPr>
                <w:sz w:val="20"/>
                <w:szCs w:val="20"/>
                <w:color w:val="auto"/>
              </w:rPr>
            </w:pPr>
            <w:r>
              <w:rPr>
                <w:rFonts w:ascii="Arial" w:cs="Arial" w:eastAsia="Arial" w:hAnsi="Arial"/>
                <w:sz w:val="14"/>
                <w:szCs w:val="14"/>
                <w:color w:val="auto"/>
              </w:rPr>
              <w:t>November 20, 2037</w:t>
            </w:r>
          </w:p>
        </w:tc>
        <w:tc>
          <w:tcPr>
            <w:tcW w:w="1580" w:type="dxa"/>
            <w:vAlign w:val="bottom"/>
          </w:tcPr>
          <w:p>
            <w:pPr>
              <w:jc w:val="center"/>
              <w:ind w:left="48"/>
              <w:spacing w:after="0"/>
              <w:rPr>
                <w:sz w:val="20"/>
                <w:szCs w:val="20"/>
                <w:color w:val="auto"/>
              </w:rPr>
            </w:pPr>
            <w:r>
              <w:rPr>
                <w:rFonts w:ascii="Arial" w:cs="Arial" w:eastAsia="Arial" w:hAnsi="Arial"/>
                <w:sz w:val="14"/>
                <w:szCs w:val="14"/>
                <w:color w:val="auto"/>
              </w:rPr>
              <w:t>6.67%</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110,000</w:t>
            </w:r>
          </w:p>
        </w:tc>
        <w:tc>
          <w:tcPr>
            <w:tcW w:w="7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110,000</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220"/>
              <w:spacing w:after="0"/>
              <w:rPr>
                <w:sz w:val="20"/>
                <w:szCs w:val="20"/>
                <w:color w:val="auto"/>
              </w:rPr>
            </w:pPr>
            <w:r>
              <w:rPr>
                <w:rFonts w:ascii="Arial" w:cs="Arial" w:eastAsia="Arial" w:hAnsi="Arial"/>
                <w:sz w:val="14"/>
                <w:szCs w:val="14"/>
                <w:color w:val="auto"/>
              </w:rPr>
              <w:t>First Mortgage Bonds due 2044</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October 20, 2044</w:t>
            </w:r>
          </w:p>
        </w:tc>
        <w:tc>
          <w:tcPr>
            <w:tcW w:w="158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4.53%</w:t>
            </w:r>
          </w:p>
        </w:tc>
        <w:tc>
          <w:tcPr>
            <w:tcW w:w="400" w:type="dxa"/>
            <w:vAlign w:val="bottom"/>
            <w:tcBorders>
              <w:bottom w:val="single" w:sz="8" w:color="auto"/>
            </w:tcBorders>
            <w:shd w:val="clear" w:color="auto" w:fill="CEFEE7"/>
          </w:tcPr>
          <w:p>
            <w:pPr>
              <w:spacing w:after="0"/>
              <w:rPr>
                <w:sz w:val="16"/>
                <w:szCs w:val="16"/>
                <w:color w:val="auto"/>
              </w:rPr>
            </w:pPr>
          </w:p>
        </w:tc>
        <w:tc>
          <w:tcPr>
            <w:tcW w:w="10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4"/>
                <w:szCs w:val="14"/>
                <w:color w:val="auto"/>
              </w:rPr>
              <w:t>75,000</w:t>
            </w:r>
          </w:p>
        </w:tc>
        <w:tc>
          <w:tcPr>
            <w:tcW w:w="700" w:type="dxa"/>
            <w:vAlign w:val="bottom"/>
            <w:tcBorders>
              <w:bottom w:val="single" w:sz="8" w:color="auto"/>
            </w:tcBorders>
            <w:shd w:val="clear" w:color="auto" w:fill="CEFEE7"/>
          </w:tcPr>
          <w:p>
            <w:pPr>
              <w:spacing w:after="0"/>
              <w:rPr>
                <w:sz w:val="16"/>
                <w:szCs w:val="16"/>
                <w:color w:val="auto"/>
              </w:rPr>
            </w:pPr>
          </w:p>
        </w:tc>
        <w:tc>
          <w:tcPr>
            <w:tcW w:w="740" w:type="dxa"/>
            <w:vAlign w:val="bottom"/>
            <w:tcBorders>
              <w:bottom w:val="single" w:sz="8" w:color="auto"/>
            </w:tcBorders>
            <w:shd w:val="clear" w:color="auto" w:fill="CEFEE7"/>
          </w:tcPr>
          <w:p>
            <w:pPr>
              <w:jc w:val="right"/>
              <w:ind w:right="8"/>
              <w:spacing w:after="0"/>
              <w:rPr>
                <w:sz w:val="20"/>
                <w:szCs w:val="20"/>
                <w:color w:val="auto"/>
              </w:rPr>
            </w:pPr>
            <w:r>
              <w:rPr>
                <w:rFonts w:ascii="Arial" w:cs="Arial" w:eastAsia="Arial" w:hAnsi="Arial"/>
                <w:sz w:val="14"/>
                <w:szCs w:val="14"/>
                <w:color w:val="auto"/>
              </w:rPr>
              <w:t>75,000</w:t>
            </w:r>
          </w:p>
        </w:tc>
      </w:tr>
      <w:tr>
        <w:trPr>
          <w:trHeight w:val="183"/>
        </w:trPr>
        <w:tc>
          <w:tcPr>
            <w:tcW w:w="140" w:type="dxa"/>
            <w:vAlign w:val="bottom"/>
          </w:tcPr>
          <w:p>
            <w:pPr>
              <w:spacing w:after="0"/>
              <w:rPr>
                <w:sz w:val="15"/>
                <w:szCs w:val="15"/>
                <w:color w:val="auto"/>
              </w:rPr>
            </w:pPr>
          </w:p>
        </w:tc>
        <w:tc>
          <w:tcPr>
            <w:tcW w:w="4800" w:type="dxa"/>
            <w:vAlign w:val="bottom"/>
            <w:gridSpan w:val="4"/>
          </w:tcPr>
          <w:p>
            <w:pPr>
              <w:ind w:left="420"/>
              <w:spacing w:after="0"/>
              <w:rPr>
                <w:sz w:val="20"/>
                <w:szCs w:val="20"/>
                <w:color w:val="auto"/>
              </w:rPr>
            </w:pPr>
            <w:r>
              <w:rPr>
                <w:rFonts w:ascii="Arial" w:cs="Arial" w:eastAsia="Arial" w:hAnsi="Arial"/>
                <w:sz w:val="14"/>
                <w:szCs w:val="14"/>
                <w:color w:val="auto"/>
              </w:rPr>
              <w:t>Total Wyoming Electric debt</w:t>
            </w:r>
          </w:p>
        </w:tc>
        <w:tc>
          <w:tcPr>
            <w:tcW w:w="1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195,000</w:t>
            </w:r>
          </w:p>
        </w:tc>
        <w:tc>
          <w:tcPr>
            <w:tcW w:w="7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202,000</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80"/>
              <w:spacing w:after="0"/>
              <w:rPr>
                <w:sz w:val="20"/>
                <w:szCs w:val="20"/>
                <w:color w:val="auto"/>
              </w:rPr>
            </w:pPr>
            <w:r>
              <w:rPr>
                <w:rFonts w:ascii="Arial" w:cs="Arial" w:eastAsia="Arial" w:hAnsi="Arial"/>
                <w:sz w:val="14"/>
                <w:szCs w:val="14"/>
                <w:color w:val="auto"/>
              </w:rPr>
              <w:t>Less unamortized debt discount</w:t>
            </w:r>
          </w:p>
        </w:tc>
        <w:tc>
          <w:tcPr>
            <w:tcW w:w="1840" w:type="dxa"/>
            <w:vAlign w:val="bottom"/>
            <w:shd w:val="clear" w:color="auto" w:fill="CEFEE7"/>
          </w:tcPr>
          <w:p>
            <w:pPr>
              <w:spacing w:after="0"/>
              <w:rPr>
                <w:sz w:val="16"/>
                <w:szCs w:val="16"/>
                <w:color w:val="auto"/>
              </w:rPr>
            </w:pPr>
          </w:p>
        </w:tc>
        <w:tc>
          <w:tcPr>
            <w:tcW w:w="1580" w:type="dxa"/>
            <w:vAlign w:val="bottom"/>
            <w:shd w:val="clear" w:color="auto" w:fill="CEFEE7"/>
          </w:tcPr>
          <w:p>
            <w:pPr>
              <w:spacing w:after="0"/>
              <w:rPr>
                <w:sz w:val="16"/>
                <w:szCs w:val="16"/>
                <w:color w:val="auto"/>
              </w:rPr>
            </w:pPr>
          </w:p>
        </w:tc>
        <w:tc>
          <w:tcPr>
            <w:tcW w:w="400" w:type="dxa"/>
            <w:vAlign w:val="bottom"/>
            <w:tcBorders>
              <w:bottom w:val="single" w:sz="8" w:color="auto"/>
            </w:tcBorders>
            <w:shd w:val="clear" w:color="auto" w:fill="CEFEE7"/>
          </w:tcPr>
          <w:p>
            <w:pPr>
              <w:spacing w:after="0"/>
              <w:rPr>
                <w:sz w:val="16"/>
                <w:szCs w:val="16"/>
                <w:color w:val="auto"/>
              </w:rPr>
            </w:pPr>
          </w:p>
        </w:tc>
        <w:tc>
          <w:tcPr>
            <w:tcW w:w="10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EFEE7"/>
          </w:tcPr>
          <w:p>
            <w:pPr>
              <w:spacing w:after="0"/>
              <w:rPr>
                <w:sz w:val="16"/>
                <w:szCs w:val="16"/>
                <w:color w:val="auto"/>
              </w:rPr>
            </w:pPr>
          </w:p>
        </w:tc>
        <w:tc>
          <w:tcPr>
            <w:tcW w:w="740" w:type="dxa"/>
            <w:vAlign w:val="bottom"/>
            <w:tcBorders>
              <w:bottom w:val="single" w:sz="8" w:color="auto"/>
            </w:tcBorders>
            <w:shd w:val="clear" w:color="auto" w:fill="CEFEE7"/>
          </w:tcPr>
          <w:p>
            <w:pPr>
              <w:jc w:val="right"/>
              <w:ind w:right="8"/>
              <w:spacing w:after="0"/>
              <w:rPr>
                <w:sz w:val="20"/>
                <w:szCs w:val="20"/>
                <w:color w:val="auto"/>
              </w:rPr>
            </w:pPr>
            <w:r>
              <w:rPr>
                <w:rFonts w:ascii="Arial" w:cs="Arial" w:eastAsia="Arial" w:hAnsi="Arial"/>
                <w:sz w:val="14"/>
                <w:szCs w:val="14"/>
                <w:color w:val="auto"/>
              </w:rPr>
              <w:t>—</w:t>
            </w:r>
          </w:p>
        </w:tc>
      </w:tr>
      <w:tr>
        <w:trPr>
          <w:trHeight w:val="183"/>
        </w:trPr>
        <w:tc>
          <w:tcPr>
            <w:tcW w:w="140" w:type="dxa"/>
            <w:vAlign w:val="bottom"/>
            <w:tcBorders>
              <w:bottom w:val="single" w:sz="8" w:color="CEFEE7"/>
            </w:tcBorders>
          </w:tcPr>
          <w:p>
            <w:pPr>
              <w:spacing w:after="0"/>
              <w:rPr>
                <w:sz w:val="15"/>
                <w:szCs w:val="15"/>
                <w:color w:val="auto"/>
              </w:rPr>
            </w:pPr>
          </w:p>
        </w:tc>
        <w:tc>
          <w:tcPr>
            <w:tcW w:w="4800" w:type="dxa"/>
            <w:vAlign w:val="bottom"/>
            <w:tcBorders>
              <w:bottom w:val="single" w:sz="8" w:color="CEFEE7"/>
            </w:tcBorders>
            <w:gridSpan w:val="4"/>
          </w:tcPr>
          <w:p>
            <w:pPr>
              <w:ind w:left="420"/>
              <w:spacing w:after="0"/>
              <w:rPr>
                <w:sz w:val="20"/>
                <w:szCs w:val="20"/>
                <w:color w:val="auto"/>
              </w:rPr>
            </w:pPr>
            <w:r>
              <w:rPr>
                <w:rFonts w:ascii="Arial" w:cs="Arial" w:eastAsia="Arial" w:hAnsi="Arial"/>
                <w:sz w:val="14"/>
                <w:szCs w:val="14"/>
                <w:color w:val="auto"/>
              </w:rPr>
              <w:t>Total Wyoming Electric debt, net</w:t>
            </w:r>
          </w:p>
        </w:tc>
        <w:tc>
          <w:tcPr>
            <w:tcW w:w="1840" w:type="dxa"/>
            <w:vAlign w:val="bottom"/>
            <w:tcBorders>
              <w:bottom w:val="single" w:sz="8" w:color="CEFEE7"/>
            </w:tcBorders>
          </w:tcPr>
          <w:p>
            <w:pPr>
              <w:spacing w:after="0"/>
              <w:rPr>
                <w:sz w:val="15"/>
                <w:szCs w:val="15"/>
                <w:color w:val="auto"/>
              </w:rPr>
            </w:pPr>
          </w:p>
        </w:tc>
        <w:tc>
          <w:tcPr>
            <w:tcW w:w="1580" w:type="dxa"/>
            <w:vAlign w:val="bottom"/>
            <w:tcBorders>
              <w:bottom w:val="single" w:sz="8" w:color="CEFEE7"/>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195,000</w:t>
            </w: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202,000</w:t>
            </w:r>
          </w:p>
        </w:tc>
      </w:tr>
      <w:tr>
        <w:trPr>
          <w:trHeight w:val="74"/>
        </w:trPr>
        <w:tc>
          <w:tcPr>
            <w:tcW w:w="140" w:type="dxa"/>
            <w:vAlign w:val="bottom"/>
            <w:shd w:val="clear" w:color="auto" w:fill="CEFEE7"/>
          </w:tcPr>
          <w:p>
            <w:pPr>
              <w:spacing w:after="0"/>
              <w:rPr>
                <w:sz w:val="6"/>
                <w:szCs w:val="6"/>
                <w:color w:val="auto"/>
              </w:rPr>
            </w:pPr>
          </w:p>
        </w:tc>
        <w:tc>
          <w:tcPr>
            <w:tcW w:w="640" w:type="dxa"/>
            <w:vAlign w:val="bottom"/>
            <w:shd w:val="clear" w:color="auto" w:fill="CEFEE7"/>
          </w:tcPr>
          <w:p>
            <w:pPr>
              <w:spacing w:after="0"/>
              <w:rPr>
                <w:sz w:val="6"/>
                <w:szCs w:val="6"/>
                <w:color w:val="auto"/>
              </w:rPr>
            </w:pPr>
          </w:p>
        </w:tc>
        <w:tc>
          <w:tcPr>
            <w:tcW w:w="480" w:type="dxa"/>
            <w:vAlign w:val="bottom"/>
            <w:shd w:val="clear" w:color="auto" w:fill="CEFEE7"/>
          </w:tcPr>
          <w:p>
            <w:pPr>
              <w:spacing w:after="0"/>
              <w:rPr>
                <w:sz w:val="6"/>
                <w:szCs w:val="6"/>
                <w:color w:val="auto"/>
              </w:rPr>
            </w:pPr>
          </w:p>
        </w:tc>
        <w:tc>
          <w:tcPr>
            <w:tcW w:w="280" w:type="dxa"/>
            <w:vAlign w:val="bottom"/>
            <w:shd w:val="clear" w:color="auto" w:fill="CEFEE7"/>
          </w:tcPr>
          <w:p>
            <w:pPr>
              <w:spacing w:after="0"/>
              <w:rPr>
                <w:sz w:val="6"/>
                <w:szCs w:val="6"/>
                <w:color w:val="auto"/>
              </w:rPr>
            </w:pPr>
          </w:p>
        </w:tc>
        <w:tc>
          <w:tcPr>
            <w:tcW w:w="3400" w:type="dxa"/>
            <w:vAlign w:val="bottom"/>
            <w:shd w:val="clear" w:color="auto" w:fill="CEFEE7"/>
          </w:tcPr>
          <w:p>
            <w:pPr>
              <w:spacing w:after="0"/>
              <w:rPr>
                <w:sz w:val="6"/>
                <w:szCs w:val="6"/>
                <w:color w:val="auto"/>
              </w:rPr>
            </w:pPr>
          </w:p>
        </w:tc>
        <w:tc>
          <w:tcPr>
            <w:tcW w:w="1840" w:type="dxa"/>
            <w:vAlign w:val="bottom"/>
            <w:shd w:val="clear" w:color="auto" w:fill="CEFEE7"/>
          </w:tcPr>
          <w:p>
            <w:pPr>
              <w:spacing w:after="0"/>
              <w:rPr>
                <w:sz w:val="6"/>
                <w:szCs w:val="6"/>
                <w:color w:val="auto"/>
              </w:rPr>
            </w:pPr>
          </w:p>
        </w:tc>
        <w:tc>
          <w:tcPr>
            <w:tcW w:w="1580" w:type="dxa"/>
            <w:vAlign w:val="bottom"/>
            <w:shd w:val="clear" w:color="auto" w:fill="CEFEE7"/>
          </w:tcPr>
          <w:p>
            <w:pPr>
              <w:spacing w:after="0"/>
              <w:rPr>
                <w:sz w:val="6"/>
                <w:szCs w:val="6"/>
                <w:color w:val="auto"/>
              </w:rPr>
            </w:pPr>
          </w:p>
        </w:tc>
        <w:tc>
          <w:tcPr>
            <w:tcW w:w="400" w:type="dxa"/>
            <w:vAlign w:val="bottom"/>
            <w:shd w:val="clear" w:color="auto" w:fill="CEFEE7"/>
          </w:tcPr>
          <w:p>
            <w:pPr>
              <w:spacing w:after="0"/>
              <w:rPr>
                <w:sz w:val="6"/>
                <w:szCs w:val="6"/>
                <w:color w:val="auto"/>
              </w:rPr>
            </w:pPr>
          </w:p>
        </w:tc>
        <w:tc>
          <w:tcPr>
            <w:tcW w:w="1020" w:type="dxa"/>
            <w:vAlign w:val="bottom"/>
            <w:shd w:val="clear" w:color="auto" w:fill="CEFEE7"/>
          </w:tcPr>
          <w:p>
            <w:pPr>
              <w:spacing w:after="0"/>
              <w:rPr>
                <w:sz w:val="6"/>
                <w:szCs w:val="6"/>
                <w:color w:val="auto"/>
              </w:rPr>
            </w:pPr>
          </w:p>
        </w:tc>
        <w:tc>
          <w:tcPr>
            <w:tcW w:w="700" w:type="dxa"/>
            <w:vAlign w:val="bottom"/>
            <w:shd w:val="clear" w:color="auto" w:fill="CEFEE7"/>
          </w:tcPr>
          <w:p>
            <w:pPr>
              <w:spacing w:after="0"/>
              <w:rPr>
                <w:sz w:val="6"/>
                <w:szCs w:val="6"/>
                <w:color w:val="auto"/>
              </w:rPr>
            </w:pPr>
          </w:p>
        </w:tc>
        <w:tc>
          <w:tcPr>
            <w:tcW w:w="740" w:type="dxa"/>
            <w:vAlign w:val="bottom"/>
            <w:shd w:val="clear" w:color="auto" w:fill="CEFEE7"/>
          </w:tcPr>
          <w:p>
            <w:pPr>
              <w:spacing w:after="0"/>
              <w:rPr>
                <w:sz w:val="6"/>
                <w:szCs w:val="6"/>
                <w:color w:val="auto"/>
              </w:rPr>
            </w:pPr>
          </w:p>
        </w:tc>
      </w:tr>
      <w:tr>
        <w:trPr>
          <w:trHeight w:val="189"/>
        </w:trPr>
        <w:tc>
          <w:tcPr>
            <w:tcW w:w="4940" w:type="dxa"/>
            <w:vAlign w:val="bottom"/>
            <w:gridSpan w:val="5"/>
          </w:tcPr>
          <w:p>
            <w:pPr>
              <w:ind w:left="20"/>
              <w:spacing w:after="0"/>
              <w:rPr>
                <w:sz w:val="20"/>
                <w:szCs w:val="20"/>
                <w:color w:val="auto"/>
              </w:rPr>
            </w:pPr>
            <w:r>
              <w:rPr>
                <w:rFonts w:ascii="Arial" w:cs="Arial" w:eastAsia="Arial" w:hAnsi="Arial"/>
                <w:sz w:val="14"/>
                <w:szCs w:val="14"/>
                <w:color w:val="auto"/>
              </w:rPr>
              <w:t>Total long-term debt</w:t>
            </w:r>
          </w:p>
        </w:tc>
        <w:tc>
          <w:tcPr>
            <w:tcW w:w="1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4,153,801</w:t>
            </w:r>
          </w:p>
        </w:tc>
        <w:tc>
          <w:tcPr>
            <w:tcW w:w="7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3,561,345</w:t>
            </w:r>
          </w:p>
        </w:tc>
      </w:tr>
      <w:tr>
        <w:trPr>
          <w:trHeight w:val="189"/>
        </w:trPr>
        <w:tc>
          <w:tcPr>
            <w:tcW w:w="4940" w:type="dxa"/>
            <w:vAlign w:val="bottom"/>
            <w:gridSpan w:val="5"/>
            <w:shd w:val="clear" w:color="auto" w:fill="CEFEE7"/>
          </w:tcPr>
          <w:p>
            <w:pPr>
              <w:ind w:left="140"/>
              <w:spacing w:after="0"/>
              <w:rPr>
                <w:sz w:val="20"/>
                <w:szCs w:val="20"/>
                <w:color w:val="auto"/>
              </w:rPr>
            </w:pPr>
            <w:r>
              <w:rPr>
                <w:rFonts w:ascii="Arial" w:cs="Arial" w:eastAsia="Arial" w:hAnsi="Arial"/>
                <w:sz w:val="14"/>
                <w:szCs w:val="14"/>
                <w:color w:val="auto"/>
              </w:rPr>
              <w:t>Less current maturities</w:t>
            </w:r>
          </w:p>
        </w:tc>
        <w:tc>
          <w:tcPr>
            <w:tcW w:w="1840" w:type="dxa"/>
            <w:vAlign w:val="bottom"/>
            <w:shd w:val="clear" w:color="auto" w:fill="CEFEE7"/>
          </w:tcPr>
          <w:p>
            <w:pPr>
              <w:spacing w:after="0"/>
              <w:rPr>
                <w:sz w:val="16"/>
                <w:szCs w:val="16"/>
                <w:color w:val="auto"/>
              </w:rPr>
            </w:pPr>
          </w:p>
        </w:tc>
        <w:tc>
          <w:tcPr>
            <w:tcW w:w="1580" w:type="dxa"/>
            <w:vAlign w:val="bottom"/>
            <w:shd w:val="clear" w:color="auto" w:fill="CEFEE7"/>
          </w:tcPr>
          <w:p>
            <w:pPr>
              <w:spacing w:after="0"/>
              <w:rPr>
                <w:sz w:val="16"/>
                <w:szCs w:val="16"/>
                <w:color w:val="auto"/>
              </w:rPr>
            </w:pPr>
          </w:p>
        </w:tc>
        <w:tc>
          <w:tcPr>
            <w:tcW w:w="400" w:type="dxa"/>
            <w:vAlign w:val="bottom"/>
            <w:shd w:val="clear" w:color="auto" w:fill="CEFEE7"/>
          </w:tcPr>
          <w:p>
            <w:pPr>
              <w:spacing w:after="0"/>
              <w:rPr>
                <w:sz w:val="16"/>
                <w:szCs w:val="16"/>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EFEE7"/>
          </w:tcPr>
          <w:p>
            <w:pPr>
              <w:spacing w:after="0"/>
              <w:rPr>
                <w:sz w:val="16"/>
                <w:szCs w:val="16"/>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8,436</w:t>
            </w:r>
          </w:p>
        </w:tc>
      </w:tr>
      <w:tr>
        <w:trPr>
          <w:trHeight w:val="189"/>
        </w:trPr>
        <w:tc>
          <w:tcPr>
            <w:tcW w:w="4940" w:type="dxa"/>
            <w:vAlign w:val="bottom"/>
            <w:tcBorders>
              <w:bottom w:val="single" w:sz="8" w:color="CEFEE7"/>
            </w:tcBorders>
            <w:gridSpan w:val="5"/>
          </w:tcPr>
          <w:p>
            <w:pPr>
              <w:ind w:left="140"/>
              <w:spacing w:after="0" w:line="189" w:lineRule="exact"/>
              <w:rPr>
                <w:sz w:val="20"/>
                <w:szCs w:val="20"/>
                <w:color w:val="auto"/>
              </w:rPr>
            </w:pPr>
            <w:r>
              <w:rPr>
                <w:rFonts w:ascii="Arial" w:cs="Arial" w:eastAsia="Arial" w:hAnsi="Arial"/>
                <w:sz w:val="14"/>
                <w:szCs w:val="14"/>
                <w:color w:val="auto"/>
              </w:rPr>
              <w:t xml:space="preserve">Less unamortized deferred financing costs </w:t>
            </w:r>
            <w:r>
              <w:rPr>
                <w:rFonts w:ascii="Arial" w:cs="Arial" w:eastAsia="Arial" w:hAnsi="Arial"/>
                <w:sz w:val="18"/>
                <w:szCs w:val="18"/>
                <w:color w:val="auto"/>
                <w:vertAlign w:val="superscript"/>
              </w:rPr>
              <w:t>(c)</w:t>
            </w:r>
          </w:p>
        </w:tc>
        <w:tc>
          <w:tcPr>
            <w:tcW w:w="1840" w:type="dxa"/>
            <w:vAlign w:val="bottom"/>
            <w:tcBorders>
              <w:bottom w:val="single" w:sz="8" w:color="CEFEE7"/>
            </w:tcBorders>
          </w:tcPr>
          <w:p>
            <w:pPr>
              <w:spacing w:after="0"/>
              <w:rPr>
                <w:sz w:val="16"/>
                <w:szCs w:val="16"/>
                <w:color w:val="auto"/>
              </w:rPr>
            </w:pPr>
          </w:p>
        </w:tc>
        <w:tc>
          <w:tcPr>
            <w:tcW w:w="1580" w:type="dxa"/>
            <w:vAlign w:val="bottom"/>
            <w:tcBorders>
              <w:bottom w:val="single" w:sz="8" w:color="CEFEE7"/>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26,878</w:t>
            </w:r>
          </w:p>
        </w:tc>
        <w:tc>
          <w:tcPr>
            <w:tcW w:w="7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24,809</w:t>
            </w:r>
          </w:p>
        </w:tc>
      </w:tr>
      <w:tr>
        <w:trPr>
          <w:trHeight w:val="208"/>
        </w:trPr>
        <w:tc>
          <w:tcPr>
            <w:tcW w:w="140" w:type="dxa"/>
            <w:vAlign w:val="bottom"/>
            <w:tcBorders>
              <w:bottom w:val="single" w:sz="8" w:color="CEFEE7"/>
            </w:tcBorders>
            <w:shd w:val="clear" w:color="auto" w:fill="CEFEE7"/>
          </w:tcPr>
          <w:p>
            <w:pPr>
              <w:spacing w:after="0"/>
              <w:rPr>
                <w:sz w:val="17"/>
                <w:szCs w:val="17"/>
                <w:color w:val="auto"/>
              </w:rPr>
            </w:pPr>
          </w:p>
        </w:tc>
        <w:tc>
          <w:tcPr>
            <w:tcW w:w="4800" w:type="dxa"/>
            <w:vAlign w:val="bottom"/>
            <w:tcBorders>
              <w:bottom w:val="single" w:sz="8" w:color="CEFEE7"/>
            </w:tcBorders>
            <w:gridSpan w:val="4"/>
            <w:shd w:val="clear" w:color="auto" w:fill="CEFEE7"/>
          </w:tcPr>
          <w:p>
            <w:pPr>
              <w:ind w:left="340"/>
              <w:spacing w:after="0"/>
              <w:rPr>
                <w:sz w:val="20"/>
                <w:szCs w:val="20"/>
                <w:color w:val="auto"/>
              </w:rPr>
            </w:pPr>
            <w:r>
              <w:rPr>
                <w:rFonts w:ascii="Arial" w:cs="Arial" w:eastAsia="Arial" w:hAnsi="Arial"/>
                <w:sz w:val="14"/>
                <w:szCs w:val="14"/>
                <w:color w:val="auto"/>
              </w:rPr>
              <w:t>Long-term debt, net of current maturities and deferred financing costs</w:t>
            </w:r>
          </w:p>
        </w:tc>
        <w:tc>
          <w:tcPr>
            <w:tcW w:w="1840" w:type="dxa"/>
            <w:vAlign w:val="bottom"/>
            <w:tcBorders>
              <w:bottom w:val="single" w:sz="8" w:color="CEFEE7"/>
            </w:tcBorders>
            <w:shd w:val="clear" w:color="auto" w:fill="CEFEE7"/>
          </w:tcPr>
          <w:p>
            <w:pPr>
              <w:spacing w:after="0"/>
              <w:rPr>
                <w:sz w:val="17"/>
                <w:szCs w:val="17"/>
                <w:color w:val="auto"/>
              </w:rPr>
            </w:pPr>
          </w:p>
        </w:tc>
        <w:tc>
          <w:tcPr>
            <w:tcW w:w="1580" w:type="dxa"/>
            <w:vAlign w:val="bottom"/>
            <w:tcBorders>
              <w:bottom w:val="single" w:sz="8" w:color="CEFEE7"/>
            </w:tcBorders>
            <w:shd w:val="clear" w:color="auto" w:fill="CEFEE7"/>
          </w:tcPr>
          <w:p>
            <w:pPr>
              <w:spacing w:after="0"/>
              <w:rPr>
                <w:sz w:val="17"/>
                <w:szCs w:val="17"/>
                <w:color w:val="auto"/>
              </w:rPr>
            </w:pPr>
          </w:p>
        </w:tc>
        <w:tc>
          <w:tcPr>
            <w:tcW w:w="400" w:type="dxa"/>
            <w:vAlign w:val="bottom"/>
            <w:tcBorders>
              <w:bottom w:val="single" w:sz="8" w:color="auto"/>
            </w:tcBorders>
            <w:shd w:val="clear" w:color="auto" w:fill="CEFEE7"/>
          </w:tcPr>
          <w:p>
            <w:pPr>
              <w:jc w:val="right"/>
              <w:ind w:right="2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4"/>
                <w:szCs w:val="14"/>
                <w:color w:val="auto"/>
              </w:rPr>
              <w:t>4,126,923</w:t>
            </w:r>
          </w:p>
        </w:tc>
        <w:tc>
          <w:tcPr>
            <w:tcW w:w="700" w:type="dxa"/>
            <w:vAlign w:val="bottom"/>
            <w:tcBorders>
              <w:bottom w:val="single" w:sz="8" w:color="auto"/>
            </w:tcBorders>
            <w:shd w:val="clear" w:color="auto" w:fill="CEFEE7"/>
          </w:tcPr>
          <w:p>
            <w:pPr>
              <w:jc w:val="right"/>
              <w:ind w:right="5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EFEE7"/>
          </w:tcPr>
          <w:p>
            <w:pPr>
              <w:jc w:val="right"/>
              <w:ind w:right="8"/>
              <w:spacing w:after="0"/>
              <w:rPr>
                <w:sz w:val="20"/>
                <w:szCs w:val="20"/>
                <w:color w:val="auto"/>
              </w:rPr>
            </w:pPr>
            <w:r>
              <w:rPr>
                <w:rFonts w:ascii="Arial" w:cs="Arial" w:eastAsia="Arial" w:hAnsi="Arial"/>
                <w:sz w:val="14"/>
                <w:szCs w:val="14"/>
                <w:color w:val="auto"/>
              </w:rPr>
              <w:t>3,528,100</w:t>
            </w:r>
          </w:p>
        </w:tc>
      </w:tr>
      <w:tr>
        <w:trPr>
          <w:trHeight w:val="20"/>
        </w:trPr>
        <w:tc>
          <w:tcPr>
            <w:tcW w:w="140" w:type="dxa"/>
            <w:vAlign w:val="bottom"/>
            <w:tcBorders>
              <w:top w:val="single" w:sz="8" w:color="CEFEE7"/>
            </w:tcBorders>
          </w:tcPr>
          <w:p>
            <w:pPr>
              <w:spacing w:after="0" w:line="20" w:lineRule="exact"/>
              <w:rPr>
                <w:sz w:val="1"/>
                <w:szCs w:val="1"/>
                <w:color w:val="auto"/>
              </w:rPr>
            </w:pPr>
          </w:p>
        </w:tc>
        <w:tc>
          <w:tcPr>
            <w:tcW w:w="640" w:type="dxa"/>
            <w:vAlign w:val="bottom"/>
            <w:tcBorders>
              <w:top w:val="single" w:sz="8" w:color="CEFEE7"/>
            </w:tcBorders>
          </w:tcPr>
          <w:p>
            <w:pPr>
              <w:spacing w:after="0" w:line="20" w:lineRule="exact"/>
              <w:rPr>
                <w:sz w:val="1"/>
                <w:szCs w:val="1"/>
                <w:color w:val="auto"/>
              </w:rPr>
            </w:pPr>
          </w:p>
        </w:tc>
        <w:tc>
          <w:tcPr>
            <w:tcW w:w="480" w:type="dxa"/>
            <w:vAlign w:val="bottom"/>
            <w:tcBorders>
              <w:top w:val="single" w:sz="8" w:color="CEFEE7"/>
            </w:tcBorders>
          </w:tcPr>
          <w:p>
            <w:pPr>
              <w:spacing w:after="0" w:line="20" w:lineRule="exact"/>
              <w:rPr>
                <w:sz w:val="1"/>
                <w:szCs w:val="1"/>
                <w:color w:val="auto"/>
              </w:rPr>
            </w:pPr>
          </w:p>
        </w:tc>
        <w:tc>
          <w:tcPr>
            <w:tcW w:w="280" w:type="dxa"/>
            <w:vAlign w:val="bottom"/>
            <w:tcBorders>
              <w:top w:val="single" w:sz="8" w:color="CEFEE7"/>
            </w:tcBorders>
          </w:tcPr>
          <w:p>
            <w:pPr>
              <w:spacing w:after="0" w:line="20" w:lineRule="exact"/>
              <w:rPr>
                <w:sz w:val="1"/>
                <w:szCs w:val="1"/>
                <w:color w:val="auto"/>
              </w:rPr>
            </w:pPr>
          </w:p>
        </w:tc>
        <w:tc>
          <w:tcPr>
            <w:tcW w:w="3400" w:type="dxa"/>
            <w:vAlign w:val="bottom"/>
            <w:tcBorders>
              <w:top w:val="single" w:sz="8" w:color="CEFEE7"/>
            </w:tcBorders>
          </w:tcPr>
          <w:p>
            <w:pPr>
              <w:spacing w:after="0" w:line="20" w:lineRule="exact"/>
              <w:rPr>
                <w:sz w:val="1"/>
                <w:szCs w:val="1"/>
                <w:color w:val="auto"/>
              </w:rPr>
            </w:pPr>
          </w:p>
        </w:tc>
        <w:tc>
          <w:tcPr>
            <w:tcW w:w="1840" w:type="dxa"/>
            <w:vAlign w:val="bottom"/>
            <w:tcBorders>
              <w:top w:val="single" w:sz="8" w:color="CEFEE7"/>
            </w:tcBorders>
          </w:tcPr>
          <w:p>
            <w:pPr>
              <w:spacing w:after="0" w:line="20" w:lineRule="exact"/>
              <w:rPr>
                <w:sz w:val="1"/>
                <w:szCs w:val="1"/>
                <w:color w:val="auto"/>
              </w:rPr>
            </w:pPr>
          </w:p>
        </w:tc>
        <w:tc>
          <w:tcPr>
            <w:tcW w:w="1580" w:type="dxa"/>
            <w:vAlign w:val="bottom"/>
            <w:tcBorders>
              <w:top w:val="single" w:sz="8" w:color="CEFEE7"/>
            </w:tcBorders>
          </w:tcPr>
          <w:p>
            <w:pPr>
              <w:spacing w:after="0" w:line="20" w:lineRule="exact"/>
              <w:rPr>
                <w:sz w:val="1"/>
                <w:szCs w:val="1"/>
                <w:color w:val="auto"/>
              </w:rPr>
            </w:pPr>
          </w:p>
        </w:tc>
        <w:tc>
          <w:tcPr>
            <w:tcW w:w="400" w:type="dxa"/>
            <w:vAlign w:val="bottom"/>
            <w:tcBorders>
              <w:top w:val="single" w:sz="8" w:color="CEFEE7"/>
              <w:bottom w:val="single" w:sz="8" w:color="auto"/>
            </w:tcBorders>
          </w:tcPr>
          <w:p>
            <w:pPr>
              <w:spacing w:after="0" w:line="20" w:lineRule="exact"/>
              <w:rPr>
                <w:sz w:val="1"/>
                <w:szCs w:val="1"/>
                <w:color w:val="auto"/>
              </w:rPr>
            </w:pPr>
          </w:p>
        </w:tc>
        <w:tc>
          <w:tcPr>
            <w:tcW w:w="1020" w:type="dxa"/>
            <w:vAlign w:val="bottom"/>
            <w:tcBorders>
              <w:top w:val="single" w:sz="8" w:color="CEFEE7"/>
              <w:bottom w:val="single" w:sz="8" w:color="auto"/>
            </w:tcBorders>
          </w:tcPr>
          <w:p>
            <w:pPr>
              <w:spacing w:after="0" w:line="20" w:lineRule="exact"/>
              <w:rPr>
                <w:sz w:val="1"/>
                <w:szCs w:val="1"/>
                <w:color w:val="auto"/>
              </w:rPr>
            </w:pPr>
          </w:p>
        </w:tc>
        <w:tc>
          <w:tcPr>
            <w:tcW w:w="700" w:type="dxa"/>
            <w:vAlign w:val="bottom"/>
            <w:tcBorders>
              <w:top w:val="single" w:sz="8" w:color="CEFEE7"/>
              <w:bottom w:val="single" w:sz="8" w:color="auto"/>
            </w:tcBorders>
          </w:tcPr>
          <w:p>
            <w:pPr>
              <w:spacing w:after="0" w:line="20" w:lineRule="exact"/>
              <w:rPr>
                <w:sz w:val="1"/>
                <w:szCs w:val="1"/>
                <w:color w:val="auto"/>
              </w:rPr>
            </w:pPr>
          </w:p>
        </w:tc>
        <w:tc>
          <w:tcPr>
            <w:tcW w:w="740" w:type="dxa"/>
            <w:vAlign w:val="bottom"/>
            <w:tcBorders>
              <w:top w:val="single" w:sz="8" w:color="CEFEE7"/>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Variable interest rate.</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44"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reimbursement agreement is in place with Wells Fargo on behalf of Wyoming Electric for the 2009A bonds of $10 million due March 1, 2027. In the case of default, we hold the assumption of liability for drawings on Wyoming Electric’s Letter of Credit attached to these bonds.</w:t>
      </w:r>
    </w:p>
    <w:p>
      <w:pPr>
        <w:ind w:left="340" w:right="700" w:hanging="332"/>
        <w:spacing w:after="0" w:line="258" w:lineRule="auto"/>
        <w:tabs>
          <w:tab w:leader="none" w:pos="344"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deferred financing costs associated with our Revolving Credit Facility of $2.5 million and $1.0 million as of December 31, 2021 and December 31, 2020,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Scheduled maturities of long-term debt, excluding amortization of premiums or discounts, for future years are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420" w:type="dxa"/>
            <w:vAlign w:val="bottom"/>
            <w:shd w:val="clear" w:color="auto" w:fill="CEFFE7"/>
          </w:tcPr>
          <w:p>
            <w:pPr>
              <w:spacing w:after="0"/>
              <w:rPr>
                <w:sz w:val="20"/>
                <w:szCs w:val="20"/>
                <w:color w:val="auto"/>
              </w:rPr>
            </w:pPr>
            <w:r>
              <w:rPr>
                <w:rFonts w:ascii="Arial" w:cs="Arial" w:eastAsia="Arial" w:hAnsi="Arial"/>
                <w:sz w:val="16"/>
                <w:szCs w:val="16"/>
                <w:color w:val="auto"/>
              </w:rPr>
              <w:t>2022</w:t>
            </w:r>
          </w:p>
        </w:tc>
        <w:tc>
          <w:tcPr>
            <w:tcW w:w="14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420" w:type="dxa"/>
            <w:vAlign w:val="bottom"/>
          </w:tcPr>
          <w:p>
            <w:pPr>
              <w:spacing w:after="0"/>
              <w:rPr>
                <w:sz w:val="18"/>
                <w:szCs w:val="18"/>
                <w:color w:val="auto"/>
              </w:rPr>
            </w:pPr>
          </w:p>
        </w:tc>
      </w:tr>
      <w:tr>
        <w:trPr>
          <w:trHeight w:val="213"/>
        </w:trPr>
        <w:tc>
          <w:tcPr>
            <w:tcW w:w="4880" w:type="dxa"/>
            <w:vAlign w:val="bottom"/>
            <w:gridSpan w:val="2"/>
          </w:tcPr>
          <w:p>
            <w:pPr>
              <w:ind w:left="3460"/>
              <w:spacing w:after="0"/>
              <w:rPr>
                <w:sz w:val="20"/>
                <w:szCs w:val="20"/>
                <w:color w:val="auto"/>
              </w:rPr>
            </w:pPr>
            <w:r>
              <w:rPr>
                <w:rFonts w:ascii="Arial" w:cs="Arial" w:eastAsia="Arial" w:hAnsi="Arial"/>
                <w:sz w:val="16"/>
                <w:szCs w:val="16"/>
                <w:color w:val="auto"/>
              </w:rPr>
              <w:t>2023</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525,000</w:t>
            </w:r>
          </w:p>
        </w:tc>
        <w:tc>
          <w:tcPr>
            <w:tcW w:w="3420" w:type="dxa"/>
            <w:vAlign w:val="bottom"/>
          </w:tcPr>
          <w:p>
            <w:pPr>
              <w:spacing w:after="0"/>
              <w:rPr>
                <w:sz w:val="18"/>
                <w:szCs w:val="18"/>
                <w:color w:val="auto"/>
              </w:rPr>
            </w:pPr>
          </w:p>
        </w:tc>
      </w:tr>
      <w:tr>
        <w:trPr>
          <w:trHeight w:val="219"/>
        </w:trPr>
        <w:tc>
          <w:tcPr>
            <w:tcW w:w="3460" w:type="dxa"/>
            <w:vAlign w:val="bottom"/>
          </w:tcPr>
          <w:p>
            <w:pPr>
              <w:spacing w:after="0"/>
              <w:rPr>
                <w:sz w:val="19"/>
                <w:szCs w:val="19"/>
                <w:color w:val="auto"/>
              </w:rPr>
            </w:pPr>
          </w:p>
        </w:tc>
        <w:tc>
          <w:tcPr>
            <w:tcW w:w="1420" w:type="dxa"/>
            <w:vAlign w:val="bottom"/>
            <w:shd w:val="clear" w:color="auto" w:fill="CEFFE7"/>
          </w:tcPr>
          <w:p>
            <w:pPr>
              <w:spacing w:after="0"/>
              <w:rPr>
                <w:sz w:val="20"/>
                <w:szCs w:val="20"/>
                <w:color w:val="auto"/>
              </w:rPr>
            </w:pPr>
            <w:r>
              <w:rPr>
                <w:rFonts w:ascii="Arial" w:cs="Arial" w:eastAsia="Arial" w:hAnsi="Arial"/>
                <w:sz w:val="16"/>
                <w:szCs w:val="16"/>
                <w:color w:val="auto"/>
              </w:rPr>
              <w:t>2024</w:t>
            </w:r>
          </w:p>
        </w:tc>
        <w:tc>
          <w:tcPr>
            <w:tcW w:w="14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600,000</w:t>
            </w:r>
          </w:p>
        </w:tc>
        <w:tc>
          <w:tcPr>
            <w:tcW w:w="3420" w:type="dxa"/>
            <w:vAlign w:val="bottom"/>
          </w:tcPr>
          <w:p>
            <w:pPr>
              <w:spacing w:after="0"/>
              <w:rPr>
                <w:sz w:val="19"/>
                <w:szCs w:val="19"/>
                <w:color w:val="auto"/>
              </w:rPr>
            </w:pPr>
          </w:p>
        </w:tc>
      </w:tr>
      <w:tr>
        <w:trPr>
          <w:trHeight w:val="213"/>
        </w:trPr>
        <w:tc>
          <w:tcPr>
            <w:tcW w:w="4880" w:type="dxa"/>
            <w:vAlign w:val="bottom"/>
            <w:gridSpan w:val="2"/>
          </w:tcPr>
          <w:p>
            <w:pPr>
              <w:ind w:left="3460"/>
              <w:spacing w:after="0"/>
              <w:rPr>
                <w:sz w:val="20"/>
                <w:szCs w:val="20"/>
                <w:color w:val="auto"/>
              </w:rPr>
            </w:pPr>
            <w:r>
              <w:rPr>
                <w:rFonts w:ascii="Arial" w:cs="Arial" w:eastAsia="Arial" w:hAnsi="Arial"/>
                <w:sz w:val="16"/>
                <w:szCs w:val="16"/>
                <w:color w:val="auto"/>
              </w:rPr>
              <w:t>2025</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4880" w:type="dxa"/>
            <w:vAlign w:val="bottom"/>
            <w:gridSpan w:val="2"/>
          </w:tcPr>
          <w:p>
            <w:pPr>
              <w:jc w:val="right"/>
              <w:ind w:right="3500"/>
              <w:spacing w:after="0"/>
              <w:rPr>
                <w:sz w:val="20"/>
                <w:szCs w:val="20"/>
                <w:color w:val="auto"/>
              </w:rPr>
            </w:pPr>
            <w:r>
              <w:rPr>
                <w:rFonts w:ascii="Arial" w:cs="Arial" w:eastAsia="Arial" w:hAnsi="Arial"/>
                <w:sz w:val="16"/>
                <w:szCs w:val="16"/>
                <w:color w:val="auto"/>
              </w:rPr>
              <w:t>—</w:t>
            </w:r>
          </w:p>
        </w:tc>
      </w:tr>
      <w:tr>
        <w:trPr>
          <w:trHeight w:val="219"/>
        </w:trPr>
        <w:tc>
          <w:tcPr>
            <w:tcW w:w="3460" w:type="dxa"/>
            <w:vAlign w:val="bottom"/>
          </w:tcPr>
          <w:p>
            <w:pPr>
              <w:spacing w:after="0"/>
              <w:rPr>
                <w:sz w:val="19"/>
                <w:szCs w:val="19"/>
                <w:color w:val="auto"/>
              </w:rPr>
            </w:pPr>
          </w:p>
        </w:tc>
        <w:tc>
          <w:tcPr>
            <w:tcW w:w="1420" w:type="dxa"/>
            <w:vAlign w:val="bottom"/>
            <w:shd w:val="clear" w:color="auto" w:fill="CEFFE7"/>
          </w:tcPr>
          <w:p>
            <w:pPr>
              <w:spacing w:after="0"/>
              <w:rPr>
                <w:sz w:val="20"/>
                <w:szCs w:val="20"/>
                <w:color w:val="auto"/>
              </w:rPr>
            </w:pPr>
            <w:r>
              <w:rPr>
                <w:rFonts w:ascii="Arial" w:cs="Arial" w:eastAsia="Arial" w:hAnsi="Arial"/>
                <w:sz w:val="16"/>
                <w:szCs w:val="16"/>
                <w:color w:val="auto"/>
              </w:rPr>
              <w:t>2026</w:t>
            </w:r>
          </w:p>
        </w:tc>
        <w:tc>
          <w:tcPr>
            <w:tcW w:w="14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300,000</w:t>
            </w:r>
          </w:p>
        </w:tc>
        <w:tc>
          <w:tcPr>
            <w:tcW w:w="3420" w:type="dxa"/>
            <w:vAlign w:val="bottom"/>
          </w:tcPr>
          <w:p>
            <w:pPr>
              <w:spacing w:after="0"/>
              <w:rPr>
                <w:sz w:val="19"/>
                <w:szCs w:val="19"/>
                <w:color w:val="auto"/>
              </w:rPr>
            </w:pPr>
          </w:p>
        </w:tc>
      </w:tr>
      <w:tr>
        <w:trPr>
          <w:trHeight w:val="210"/>
        </w:trPr>
        <w:tc>
          <w:tcPr>
            <w:tcW w:w="346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6"/>
                <w:szCs w:val="16"/>
                <w:color w:val="auto"/>
              </w:rPr>
              <w:t>Thereafter</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2,735,000</w:t>
            </w:r>
          </w:p>
        </w:tc>
        <w:tc>
          <w:tcPr>
            <w:tcW w:w="3420" w:type="dxa"/>
            <w:vAlign w:val="bottom"/>
          </w:tcPr>
          <w:p>
            <w:pPr>
              <w:spacing w:after="0"/>
              <w:rPr>
                <w:sz w:val="18"/>
                <w:szCs w:val="18"/>
                <w:color w:val="auto"/>
              </w:rPr>
            </w:pPr>
          </w:p>
        </w:tc>
      </w:tr>
      <w:tr>
        <w:trPr>
          <w:trHeight w:val="877"/>
        </w:trPr>
        <w:tc>
          <w:tcPr>
            <w:tcW w:w="3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90</w:t>
            </w:r>
          </w:p>
        </w:tc>
        <w:tc>
          <w:tcPr>
            <w:tcW w:w="14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08"/>
        </w:trPr>
        <w:tc>
          <w:tcPr>
            <w:tcW w:w="34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Our debt securities contain certain restrictive financial covenants, all of which the Company and its subsidiaries were in compliance with at December 31, 2021. See below for additional information.</w:t>
      </w:r>
    </w:p>
    <w:p>
      <w:pPr>
        <w:spacing w:after="0" w:line="222"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Substantially all of the tangible utility property of South Dakota Electric and Wyoming Electric is subject to the lien of indentures securing their first mortgage bonds. First mortgage bonds of South Dakota Electric and Wyoming Electric may be issued in amounts limited by property, earnings and other provisions of the mortgage indentures.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Amortization of Deferred Financing Costs</w:t>
      </w:r>
    </w:p>
    <w:p>
      <w:pPr>
        <w:spacing w:after="0" w:line="24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Our deferred financing costs and associated amortization expense included in Interest expense on the accompanying Consolidated Statements of Income were as follows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tcPr>
          <w:p>
            <w:pPr>
              <w:jc w:val="center"/>
              <w:ind w:left="719"/>
              <w:spacing w:after="0"/>
              <w:rPr>
                <w:sz w:val="20"/>
                <w:szCs w:val="20"/>
                <w:color w:val="auto"/>
              </w:rPr>
            </w:pPr>
            <w:r>
              <w:rPr>
                <w:rFonts w:ascii="Arial" w:cs="Arial" w:eastAsia="Arial" w:hAnsi="Arial"/>
                <w:sz w:val="16"/>
                <w:szCs w:val="16"/>
                <w:color w:val="auto"/>
              </w:rPr>
              <w:t>Deferred Financing Costs Remaining at</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500" w:type="dxa"/>
            <w:vAlign w:val="bottom"/>
            <w:gridSpan w:val="5"/>
          </w:tcPr>
          <w:p>
            <w:pPr>
              <w:jc w:val="center"/>
              <w:ind w:right="379"/>
              <w:spacing w:after="0"/>
              <w:rPr>
                <w:sz w:val="20"/>
                <w:szCs w:val="20"/>
                <w:color w:val="auto"/>
              </w:rPr>
            </w:pPr>
            <w:r>
              <w:rPr>
                <w:rFonts w:ascii="Arial" w:cs="Arial" w:eastAsia="Arial" w:hAnsi="Arial"/>
                <w:sz w:val="16"/>
                <w:szCs w:val="16"/>
                <w:color w:val="auto"/>
              </w:rPr>
              <w:t>Amortization Expense for the years ended December 31,</w:t>
            </w:r>
          </w:p>
        </w:tc>
      </w:tr>
      <w:tr>
        <w:trPr>
          <w:trHeight w:val="219"/>
        </w:trPr>
        <w:tc>
          <w:tcPr>
            <w:tcW w:w="404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rPr>
              <w:t>December 31, 2021</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CEFFE7"/>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2021</w:t>
            </w:r>
          </w:p>
        </w:tc>
        <w:tc>
          <w:tcPr>
            <w:tcW w:w="5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2020</w:t>
            </w: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2019</w:t>
            </w:r>
          </w:p>
        </w:tc>
      </w:tr>
      <w:tr>
        <w:trPr>
          <w:trHeight w:val="235"/>
        </w:trPr>
        <w:tc>
          <w:tcPr>
            <w:tcW w:w="4040" w:type="dxa"/>
            <w:vAlign w:val="bottom"/>
            <w:tcBorders>
              <w:bottom w:val="single" w:sz="8" w:color="auto"/>
            </w:tcBorders>
            <w:shd w:val="clear" w:color="auto" w:fill="CEFFE7"/>
          </w:tcPr>
          <w:p>
            <w:pPr>
              <w:jc w:val="right"/>
              <w:ind w:right="38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26,878</w:t>
            </w:r>
          </w:p>
        </w:tc>
        <w:tc>
          <w:tcPr>
            <w:tcW w:w="460" w:type="dxa"/>
            <w:vAlign w:val="bottom"/>
            <w:tcBorders>
              <w:bottom w:val="single" w:sz="8" w:color="CEFFE7"/>
            </w:tcBorders>
            <w:shd w:val="clear" w:color="auto" w:fill="CEFFE7"/>
          </w:tcPr>
          <w:p>
            <w:pPr>
              <w:spacing w:after="0"/>
              <w:rPr>
                <w:sz w:val="19"/>
                <w:szCs w:val="19"/>
                <w:color w:val="auto"/>
              </w:rPr>
            </w:pPr>
          </w:p>
        </w:tc>
        <w:tc>
          <w:tcPr>
            <w:tcW w:w="46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3,769</w:t>
            </w:r>
          </w:p>
        </w:tc>
        <w:tc>
          <w:tcPr>
            <w:tcW w:w="50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3,272</w:t>
            </w:r>
          </w:p>
        </w:tc>
        <w:tc>
          <w:tcPr>
            <w:tcW w:w="50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3,242</w:t>
            </w:r>
          </w:p>
        </w:tc>
      </w:tr>
      <w:tr>
        <w:trPr>
          <w:trHeight w:val="20"/>
        </w:trPr>
        <w:tc>
          <w:tcPr>
            <w:tcW w:w="404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460" w:type="dxa"/>
            <w:vAlign w:val="bottom"/>
            <w:tcBorders>
              <w:top w:val="single" w:sz="8" w:color="CEFFE7"/>
            </w:tcBorders>
          </w:tcPr>
          <w:p>
            <w:pPr>
              <w:spacing w:after="0" w:line="20" w:lineRule="exact"/>
              <w:rPr>
                <w:sz w:val="1"/>
                <w:szCs w:val="1"/>
                <w:color w:val="auto"/>
              </w:rPr>
            </w:pPr>
          </w:p>
        </w:tc>
        <w:tc>
          <w:tcPr>
            <w:tcW w:w="460" w:type="dxa"/>
            <w:vAlign w:val="bottom"/>
            <w:tcBorders>
              <w:top w:val="single" w:sz="8" w:color="CEFFE7"/>
              <w:bottom w:val="single" w:sz="8" w:color="auto"/>
            </w:tcBorders>
          </w:tcPr>
          <w:p>
            <w:pPr>
              <w:spacing w:after="0" w:line="20" w:lineRule="exact"/>
              <w:rPr>
                <w:sz w:val="1"/>
                <w:szCs w:val="1"/>
                <w:color w:val="auto"/>
              </w:rPr>
            </w:pPr>
          </w:p>
        </w:tc>
        <w:tc>
          <w:tcPr>
            <w:tcW w:w="1500" w:type="dxa"/>
            <w:vAlign w:val="bottom"/>
            <w:tcBorders>
              <w:top w:val="single" w:sz="8" w:color="CEFFE7"/>
              <w:bottom w:val="single" w:sz="8" w:color="auto"/>
            </w:tcBorders>
          </w:tcPr>
          <w:p>
            <w:pPr>
              <w:spacing w:after="0" w:line="20" w:lineRule="exact"/>
              <w:rPr>
                <w:sz w:val="1"/>
                <w:szCs w:val="1"/>
                <w:color w:val="auto"/>
              </w:rPr>
            </w:pPr>
          </w:p>
        </w:tc>
        <w:tc>
          <w:tcPr>
            <w:tcW w:w="500" w:type="dxa"/>
            <w:vAlign w:val="bottom"/>
            <w:tcBorders>
              <w:top w:val="single" w:sz="8" w:color="CEFFE7"/>
              <w:bottom w:val="single" w:sz="8" w:color="auto"/>
            </w:tcBorders>
          </w:tcPr>
          <w:p>
            <w:pPr>
              <w:spacing w:after="0" w:line="20" w:lineRule="exact"/>
              <w:rPr>
                <w:sz w:val="1"/>
                <w:szCs w:val="1"/>
                <w:color w:val="auto"/>
              </w:rPr>
            </w:pPr>
          </w:p>
        </w:tc>
        <w:tc>
          <w:tcPr>
            <w:tcW w:w="1480" w:type="dxa"/>
            <w:vAlign w:val="bottom"/>
            <w:tcBorders>
              <w:top w:val="single" w:sz="8" w:color="CEFFE7"/>
              <w:bottom w:val="single" w:sz="8" w:color="auto"/>
            </w:tcBorders>
          </w:tcPr>
          <w:p>
            <w:pPr>
              <w:spacing w:after="0" w:line="20" w:lineRule="exact"/>
              <w:rPr>
                <w:sz w:val="1"/>
                <w:szCs w:val="1"/>
                <w:color w:val="auto"/>
              </w:rPr>
            </w:pPr>
          </w:p>
        </w:tc>
        <w:tc>
          <w:tcPr>
            <w:tcW w:w="500" w:type="dxa"/>
            <w:vAlign w:val="bottom"/>
            <w:tcBorders>
              <w:top w:val="single" w:sz="8" w:color="CEFFE7"/>
              <w:bottom w:val="single" w:sz="8" w:color="auto"/>
            </w:tcBorders>
          </w:tcPr>
          <w:p>
            <w:pPr>
              <w:spacing w:after="0" w:line="20" w:lineRule="exact"/>
              <w:rPr>
                <w:sz w:val="1"/>
                <w:szCs w:val="1"/>
                <w:color w:val="auto"/>
              </w:rPr>
            </w:pPr>
          </w:p>
        </w:tc>
        <w:tc>
          <w:tcPr>
            <w:tcW w:w="1520" w:type="dxa"/>
            <w:vAlign w:val="bottom"/>
            <w:tcBorders>
              <w:top w:val="single" w:sz="8" w:color="CEFF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Debt Transactions</w:t>
      </w:r>
    </w:p>
    <w:p>
      <w:pPr>
        <w:spacing w:after="0" w:line="24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On August 26, 2021, we completed a public debt offering which consisted of $600 million, 1.037% three-year senior unsecured notes due August 23, 2024. The notes include an optional redemption provision and may be redeemed, in whole or in part, without premium, on or after February 23, 2022. The proceeds from the offering, which were net of $3.7 million of deferred financing costs, were used to repay amounts outstanding under our term loan entered into on February 24, 2021.</w:t>
      </w:r>
    </w:p>
    <w:p>
      <w:pPr>
        <w:spacing w:after="0" w:line="229"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On June 17, 2020, we completed a public debt offering which consisted of $400 million of 2.50% 10-year senior unsecured notes due June 15, 2030. The proceeds were used to repay short-term debt and for working capital and general corporate purposes.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Covenants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24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Under our Revolving Credit Facility, we are required to maintain a Consolidated Indebtedness to Capitalization Ratio not to exceed 0.65 to 1.00. Subject to applicable cure periods, a violation of any of these covenants would constitute an event of default that entitles the lenders to terminate their remaining commitments and accelerate all principal and interest outstanding.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20"/>
                <w:szCs w:val="20"/>
                <w:color w:val="auto"/>
              </w:rPr>
            </w:pPr>
            <w:r>
              <w:rPr>
                <w:rFonts w:ascii="Arial" w:cs="Arial" w:eastAsia="Arial" w:hAnsi="Arial"/>
                <w:sz w:val="16"/>
                <w:szCs w:val="16"/>
                <w:color w:val="auto"/>
              </w:rPr>
              <w:t>We were in compliance with our covenants at December 31, 2021 as shown below:</w:t>
            </w:r>
          </w:p>
        </w:tc>
        <w:tc>
          <w:tcPr>
            <w:tcW w:w="2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475"/>
        </w:trPr>
        <w:tc>
          <w:tcPr>
            <w:tcW w:w="6160" w:type="dxa"/>
            <w:vAlign w:val="bottom"/>
            <w:tcBorders>
              <w:bottom w:val="single" w:sz="8" w:color="CEFFE7"/>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As of December 31, 2021</w:t>
            </w:r>
          </w:p>
        </w:tc>
        <w:tc>
          <w:tcPr>
            <w:tcW w:w="244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color w:val="auto"/>
              </w:rPr>
              <w:t>Covenant Requirement</w:t>
            </w:r>
          </w:p>
        </w:tc>
      </w:tr>
      <w:tr>
        <w:trPr>
          <w:trHeight w:val="213"/>
        </w:trPr>
        <w:tc>
          <w:tcPr>
            <w:tcW w:w="6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Consolidated Indebtedness to Capitalization Ratio</w:t>
            </w:r>
          </w:p>
        </w:tc>
        <w:tc>
          <w:tcPr>
            <w:tcW w:w="2620" w:type="dxa"/>
            <w:vAlign w:val="bottom"/>
            <w:shd w:val="clear" w:color="auto" w:fill="CEFFE7"/>
          </w:tcPr>
          <w:p>
            <w:pPr>
              <w:jc w:val="right"/>
              <w:ind w:right="1039"/>
              <w:spacing w:after="0"/>
              <w:rPr>
                <w:sz w:val="20"/>
                <w:szCs w:val="20"/>
                <w:color w:val="auto"/>
              </w:rPr>
            </w:pPr>
            <w:r>
              <w:rPr>
                <w:rFonts w:ascii="Arial" w:cs="Arial" w:eastAsia="Arial" w:hAnsi="Arial"/>
                <w:sz w:val="16"/>
                <w:szCs w:val="16"/>
                <w:color w:val="auto"/>
              </w:rPr>
              <w:t>62.1%</w:t>
            </w:r>
          </w:p>
        </w:tc>
        <w:tc>
          <w:tcPr>
            <w:tcW w:w="1420" w:type="dxa"/>
            <w:vAlign w:val="bottom"/>
            <w:shd w:val="clear" w:color="auto" w:fill="CEFFE7"/>
          </w:tcPr>
          <w:p>
            <w:pPr>
              <w:ind w:left="480"/>
              <w:spacing w:after="0"/>
              <w:rPr>
                <w:sz w:val="20"/>
                <w:szCs w:val="20"/>
                <w:color w:val="auto"/>
              </w:rPr>
            </w:pPr>
            <w:r>
              <w:rPr>
                <w:rFonts w:ascii="Arial" w:cs="Arial" w:eastAsia="Arial" w:hAnsi="Arial"/>
                <w:sz w:val="16"/>
                <w:szCs w:val="16"/>
                <w:color w:val="auto"/>
              </w:rPr>
              <w:t>Less than</w:t>
            </w:r>
          </w:p>
        </w:tc>
        <w:tc>
          <w:tcPr>
            <w:tcW w:w="102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65%</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Covenants within Wyoming Electric's financing agreements require Wyoming Electric to maintain a debt to capitalization ratio of no more than 0.60 to 1.00.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we were in compliance with these financial covenants.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Restrictions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Our Revolving Credit Facility and other debt obligations contain restrictions on the payment of cash dividends when a default or event of default occurs.</w:t>
      </w:r>
    </w:p>
    <w:p>
      <w:pPr>
        <w:spacing w:after="0" w:line="24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Due to our holding company structure, substantially all of our operating cash flows are provided by dividends paid or distributions made by our subsidiaries. The cash to pay dividends to our shareholders is derived from these cash flows. As a result, certain statutory limitations or regulatory or financing agreements could affect the levels of distributions allowed to be made by our subsidiaries.</w:t>
      </w:r>
    </w:p>
    <w:p>
      <w:pPr>
        <w:spacing w:after="0" w:line="22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Utilities are generally limited to the amount of dividends allowed to be paid to our utility holding company under the Federal Power Act and settlement agreements with state regulatory jurisdictions. As of December 31, 2021, the amount of restricted net assets at our Utilities that may not be distributed to our utility holding company in the form of a loan or dividend was approximately $155 million.</w:t>
      </w:r>
    </w:p>
    <w:p>
      <w:pPr>
        <w:spacing w:after="0" w:line="22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South Dakota Electric and Wyoming Electric are generally limited to the amount of dividends allowed to be paid to our utility holding company under certain financing agreements.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At-the-Market Equity Offering Program</w:t>
      </w:r>
    </w:p>
    <w:p>
      <w:pPr>
        <w:spacing w:after="0" w:line="24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August 3, 2020, we filed a shelf registration and DRSPP with the SEC. In conjunction with these shelf filings, we renewed the ATM. The renewed ATM program, which allows us to sell shares of our common stock, is the same as the prior program other than the aggregate value increased from $300 million to $400 million and a forward sales option was incorporated. This forward sales option allows us to sell our shares through the ATM program at the current trading price without actually issuing any shares to satisfy the sale until a future date. Under the ATM, shares may be offered from time to time pursuant to a sales agreement dated August 3, 2020. Shares of common stock are offered pursuant to our shelf registration statement filed with the SEC.</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During the twelve months ended December 31, 2021, we issued a total of 1,812,197 shares of common stock under the ATM for $119 million, net of</w:t>
      </w:r>
    </w:p>
    <w:p>
      <w:pPr>
        <w:spacing w:after="0" w:line="5"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$1.1 million in issuance costs. We did not issue any shares of common stock under the ATM during the twelve months ended December 31, 2020. During the twelve months ended December 31, 2019, we issued a total of 1,328,332 shares of common stock under the ATM for $99 million, net of $1.2 million in issuance costs.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February 2020 Equity Issuance</w:t>
      </w:r>
    </w:p>
    <w:p>
      <w:pPr>
        <w:spacing w:after="0" w:line="24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On February 27, 2020, we issued 1.2 million shares of common stock to a single investor through an underwritten registered transaction at a price of $81.77 per share for proceeds of $99 million, net of $1.0 million of issuance costs. The shares of common stock were offered pursuant to our shelf registration statement filed with the SEC.</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Shareholder Dividend Reinvestment and Stock Purchase Plan</w:t>
      </w:r>
    </w:p>
    <w:p>
      <w:pPr>
        <w:spacing w:after="0" w:line="24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have a DRSPP under which shareholders may purchase additional shares of common stock through dividend reinvestment and/or optional cash payments at 100% of the recent average market price. We have the option of issuing new shares or purchasing the shares on the open market. We issued new shares until March 1, 2018, after which we began purchasing shares on the open market. At December 31, 2021, there were 116,306 shares of unissued stock available for future offering under the DRSPP.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Preferred Stock</w:t>
      </w:r>
    </w:p>
    <w:p>
      <w:pPr>
        <w:spacing w:after="0" w:line="24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Our articles of incorporation authorize the issuance of 25 million shares of preferred stock of which we had no shares of preferred stock outstanding as of December 31, 2021 and 2020.</w:t>
      </w:r>
    </w:p>
    <w:p>
      <w:pPr>
        <w:spacing w:after="0" w:line="200" w:lineRule="exact"/>
        <w:rPr>
          <w:sz w:val="20"/>
          <w:szCs w:val="20"/>
          <w:color w:val="auto"/>
        </w:rPr>
      </w:pPr>
    </w:p>
    <w:p>
      <w:pPr>
        <w:spacing w:after="0" w:line="245" w:lineRule="exact"/>
        <w:rPr>
          <w:sz w:val="20"/>
          <w:szCs w:val="20"/>
          <w:color w:val="auto"/>
        </w:rPr>
      </w:pPr>
    </w:p>
    <w:p>
      <w:pPr>
        <w:ind w:right="7700" w:firstLine="8"/>
        <w:spacing w:after="0" w:line="576" w:lineRule="auto"/>
        <w:tabs>
          <w:tab w:leader="none" w:pos="378"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spacing w:after="0" w:line="1" w:lineRule="exact"/>
        <w:rPr>
          <w:sz w:val="20"/>
          <w:szCs w:val="20"/>
          <w:color w:val="auto"/>
        </w:rPr>
      </w:pPr>
    </w:p>
    <w:p>
      <w:pPr>
        <w:jc w:val="both"/>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Our activities in the energy industry expose us to a number of risks in the normal operations of our businesses. Depending on the activity, we are exposed to varying degrees of market risk and credit risk. To manage and mitigate these identified risks, we have adopted the Black Hills Corporation Risk Policies and Procedures. Valuation methodologies for our derivatives are detailed within </w:t>
      </w:r>
      <w:hyperlink w:anchor="page66">
        <w:r>
          <w:rPr>
            <w:rFonts w:ascii="Arial" w:cs="Arial" w:eastAsia="Arial" w:hAnsi="Arial"/>
            <w:sz w:val="16"/>
            <w:szCs w:val="16"/>
            <w:u w:val="single" w:color="auto"/>
            <w:color w:val="0000FF"/>
          </w:rPr>
          <w:t>Note 1</w:t>
        </w:r>
      </w:hyperlink>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248"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222" w:lineRule="exact"/>
        <w:rPr>
          <w:sz w:val="20"/>
          <w:szCs w:val="20"/>
          <w:color w:val="auto"/>
        </w:rPr>
      </w:pPr>
    </w:p>
    <w:p>
      <w:pPr>
        <w:ind w:left="500" w:right="140" w:hanging="330"/>
        <w:spacing w:after="0" w:line="253" w:lineRule="auto"/>
        <w:tabs>
          <w:tab w:leader="none" w:pos="489"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the COVID-19 pandemic, weather (Winter Storm Uri), market speculation, inflation, pipeline constraints, and other factors that may impact natural gas and electric supply and demand; and</w:t>
      </w:r>
    </w:p>
    <w:p>
      <w:pPr>
        <w:spacing w:after="0" w:line="228" w:lineRule="exact"/>
        <w:rPr>
          <w:rFonts w:ascii="Arial" w:cs="Arial" w:eastAsia="Arial" w:hAnsi="Arial"/>
          <w:sz w:val="16"/>
          <w:szCs w:val="16"/>
          <w:color w:val="auto"/>
        </w:rPr>
      </w:pPr>
    </w:p>
    <w:p>
      <w:pPr>
        <w:ind w:left="500" w:right="360" w:hanging="330"/>
        <w:spacing w:after="0" w:line="260" w:lineRule="auto"/>
        <w:tabs>
          <w:tab w:leader="none" w:pos="489"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 such as the 2008 financial crisis and the COVID-19 pandemic.</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2" w:name="page93"/>
    <w:bookmarkEnd w:id="9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22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 Our credit exposure at December 31, 2021 was concentrated primarily among retail utility customers, investment grade companies, cooperative utilities and federal agencies.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268" w:lineRule="exact"/>
        <w:rPr>
          <w:sz w:val="20"/>
          <w:szCs w:val="20"/>
          <w:color w:val="auto"/>
        </w:rPr>
      </w:pPr>
    </w:p>
    <w:p>
      <w:pPr>
        <w:ind w:right="28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Our derivative and hedging activities included in the accompanying Consolidated Balance Sheets, Consolidated Statements of Income and Consolidated Statements of Comprehensive Income (Loss) are detailed below and within </w:t>
      </w:r>
      <w:hyperlink w:anchor="page95">
        <w:r>
          <w:rPr>
            <w:rFonts w:ascii="Arial" w:cs="Arial" w:eastAsia="Arial" w:hAnsi="Arial"/>
            <w:sz w:val="16"/>
            <w:szCs w:val="16"/>
            <w:u w:val="single" w:color="auto"/>
            <w:color w:val="0000FF"/>
          </w:rPr>
          <w:t>Note 10</w:t>
        </w:r>
      </w:hyperlink>
      <w:r>
        <w:rPr>
          <w:rFonts w:ascii="Arial" w:cs="Arial" w:eastAsia="Arial" w:hAnsi="Arial"/>
          <w:sz w:val="16"/>
          <w:szCs w:val="16"/>
          <w:color w:val="auto"/>
        </w:rPr>
        <w:t>.</w:t>
      </w:r>
    </w:p>
    <w:p>
      <w:pPr>
        <w:spacing w:after="0" w:line="222"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have entered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23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state regulatory commission guidelines. When the related costs are recovered through our rates, the hedging activity is recognized in the Consolidated Statements of Income.</w:t>
      </w:r>
    </w:p>
    <w:p>
      <w:pPr>
        <w:spacing w:after="0" w:line="22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periodically have wholesale power purchase and sale contracts used to manage purchased power costs and load requirements associated with serving our electric customers that are considered derivative instruments due to not qualifying for the normal purchase and normal sales exception to derivative accounting. Changes in the fair value of these commodity derivatives are recognized in the Consolidated Statements of Income.</w:t>
      </w:r>
    </w:p>
    <w:p>
      <w:pPr>
        <w:spacing w:after="0" w:line="228"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during time frames ranging from January 2022 through October 2024.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spacing w:after="0" w:line="23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contract or notional amounts and terms of the natural gas derivative commodity instruments held by our utilities are comprised of both short and long positions. We had the following net long positions as of:</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620" w:type="dxa"/>
            <w:vAlign w:val="bottom"/>
          </w:tcPr>
          <w:p>
            <w:pPr>
              <w:spacing w:after="0"/>
              <w:rPr>
                <w:sz w:val="17"/>
                <w:szCs w:val="17"/>
                <w:color w:val="auto"/>
              </w:rPr>
            </w:pPr>
          </w:p>
        </w:tc>
        <w:tc>
          <w:tcPr>
            <w:tcW w:w="3060" w:type="dxa"/>
            <w:vAlign w:val="bottom"/>
            <w:tcBorders>
              <w:bottom w:val="single" w:sz="8" w:color="auto"/>
            </w:tcBorders>
            <w:gridSpan w:val="2"/>
          </w:tcPr>
          <w:p>
            <w:pPr>
              <w:ind w:left="940"/>
              <w:spacing w:after="0"/>
              <w:rPr>
                <w:sz w:val="20"/>
                <w:szCs w:val="20"/>
                <w:color w:val="auto"/>
              </w:rPr>
            </w:pPr>
            <w:r>
              <w:rPr>
                <w:rFonts w:ascii="Arial" w:cs="Arial" w:eastAsia="Arial" w:hAnsi="Arial"/>
                <w:sz w:val="16"/>
                <w:szCs w:val="16"/>
                <w:color w:val="auto"/>
              </w:rPr>
              <w:t>December 31, 2021</w:t>
            </w:r>
          </w:p>
        </w:tc>
        <w:tc>
          <w:tcPr>
            <w:tcW w:w="2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color w:val="auto"/>
              </w:rPr>
              <w:t>December 31, 2020</w:t>
            </w:r>
          </w:p>
        </w:tc>
      </w:tr>
      <w:tr>
        <w:trPr>
          <w:trHeight w:val="158"/>
        </w:trPr>
        <w:tc>
          <w:tcPr>
            <w:tcW w:w="4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20" w:type="dxa"/>
            <w:vAlign w:val="bottom"/>
          </w:tcPr>
          <w:p>
            <w:pPr>
              <w:jc w:val="center"/>
              <w:ind w:left="159"/>
              <w:spacing w:after="0" w:line="158" w:lineRule="exact"/>
              <w:rPr>
                <w:sz w:val="20"/>
                <w:szCs w:val="20"/>
                <w:color w:val="auto"/>
              </w:rPr>
            </w:pPr>
            <w:r>
              <w:rPr>
                <w:rFonts w:ascii="Arial" w:cs="Arial" w:eastAsia="Arial" w:hAnsi="Arial"/>
                <w:sz w:val="16"/>
                <w:szCs w:val="16"/>
                <w:color w:val="auto"/>
                <w:w w:val="98"/>
              </w:rPr>
              <w:t>Maximum Term</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40" w:type="dxa"/>
            <w:vAlign w:val="bottom"/>
          </w:tcPr>
          <w:p>
            <w:pPr>
              <w:jc w:val="right"/>
              <w:ind w:right="179"/>
              <w:spacing w:after="0" w:line="158" w:lineRule="exact"/>
              <w:rPr>
                <w:sz w:val="20"/>
                <w:szCs w:val="20"/>
                <w:color w:val="auto"/>
              </w:rPr>
            </w:pPr>
            <w:r>
              <w:rPr>
                <w:rFonts w:ascii="Arial" w:cs="Arial" w:eastAsia="Arial" w:hAnsi="Arial"/>
                <w:sz w:val="16"/>
                <w:szCs w:val="16"/>
                <w:color w:val="auto"/>
              </w:rPr>
              <w:t>Maximum Term</w:t>
            </w:r>
          </w:p>
        </w:tc>
      </w:tr>
      <w:tr>
        <w:trPr>
          <w:trHeight w:val="216"/>
        </w:trPr>
        <w:tc>
          <w:tcPr>
            <w:tcW w:w="4620" w:type="dxa"/>
            <w:vAlign w:val="bottom"/>
            <w:tcBorders>
              <w:bottom w:val="single" w:sz="8" w:color="CEFEE7"/>
            </w:tcBorders>
          </w:tcPr>
          <w:p>
            <w:pPr>
              <w:spacing w:after="0"/>
              <w:rPr>
                <w:sz w:val="18"/>
                <w:szCs w:val="18"/>
                <w:color w:val="auto"/>
              </w:rPr>
            </w:pPr>
          </w:p>
        </w:tc>
        <w:tc>
          <w:tcPr>
            <w:tcW w:w="1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Notional (MMBtus)</w:t>
            </w:r>
          </w:p>
        </w:tc>
        <w:tc>
          <w:tcPr>
            <w:tcW w:w="1420" w:type="dxa"/>
            <w:vAlign w:val="bottom"/>
            <w:tcBorders>
              <w:bottom w:val="single" w:sz="8" w:color="auto"/>
            </w:tcBorders>
          </w:tcPr>
          <w:p>
            <w:pPr>
              <w:jc w:val="center"/>
              <w:ind w:left="159"/>
              <w:spacing w:after="0" w:line="216" w:lineRule="exact"/>
              <w:rPr>
                <w:sz w:val="20"/>
                <w:szCs w:val="20"/>
                <w:color w:val="auto"/>
              </w:rPr>
            </w:pPr>
            <w:r>
              <w:rPr>
                <w:rFonts w:ascii="Arial" w:cs="Arial" w:eastAsia="Arial" w:hAnsi="Arial"/>
                <w:sz w:val="16"/>
                <w:szCs w:val="16"/>
                <w:color w:val="auto"/>
                <w:w w:val="96"/>
              </w:rPr>
              <w:t xml:space="preserve">(months) </w:t>
            </w:r>
            <w:r>
              <w:rPr>
                <w:rFonts w:ascii="Arial" w:cs="Arial" w:eastAsia="Arial" w:hAnsi="Arial"/>
                <w:sz w:val="21"/>
                <w:szCs w:val="21"/>
                <w:color w:val="auto"/>
                <w:w w:val="96"/>
                <w:vertAlign w:val="superscript"/>
              </w:rPr>
              <w:t>(a)</w:t>
            </w: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Notional (MMBtus)</w:t>
            </w:r>
          </w:p>
        </w:tc>
        <w:tc>
          <w:tcPr>
            <w:tcW w:w="1540" w:type="dxa"/>
            <w:vAlign w:val="bottom"/>
            <w:tcBorders>
              <w:bottom w:val="single" w:sz="8" w:color="auto"/>
            </w:tcBorders>
          </w:tcPr>
          <w:p>
            <w:pPr>
              <w:jc w:val="right"/>
              <w:ind w:right="339"/>
              <w:spacing w:after="0" w:line="216" w:lineRule="exact"/>
              <w:rPr>
                <w:sz w:val="20"/>
                <w:szCs w:val="20"/>
                <w:color w:val="auto"/>
              </w:rPr>
            </w:pPr>
            <w:r>
              <w:rPr>
                <w:rFonts w:ascii="Arial" w:cs="Arial" w:eastAsia="Arial" w:hAnsi="Arial"/>
                <w:sz w:val="16"/>
                <w:szCs w:val="16"/>
                <w:color w:val="auto"/>
              </w:rPr>
              <w:t xml:space="preserve">(months) </w:t>
            </w:r>
            <w:r>
              <w:rPr>
                <w:rFonts w:ascii="Arial" w:cs="Arial" w:eastAsia="Arial" w:hAnsi="Arial"/>
                <w:sz w:val="21"/>
                <w:szCs w:val="21"/>
                <w:color w:val="auto"/>
                <w:vertAlign w:val="superscript"/>
              </w:rPr>
              <w:t>(a)</w:t>
            </w:r>
          </w:p>
        </w:tc>
      </w:tr>
      <w:tr>
        <w:trPr>
          <w:trHeight w:val="210"/>
        </w:trPr>
        <w:tc>
          <w:tcPr>
            <w:tcW w:w="4620" w:type="dxa"/>
            <w:vAlign w:val="bottom"/>
            <w:shd w:val="clear" w:color="auto" w:fill="CEFEE7"/>
          </w:tcPr>
          <w:p>
            <w:pPr>
              <w:ind w:left="20"/>
              <w:spacing w:after="0"/>
              <w:rPr>
                <w:sz w:val="20"/>
                <w:szCs w:val="20"/>
                <w:color w:val="auto"/>
              </w:rPr>
            </w:pPr>
            <w:r>
              <w:rPr>
                <w:rFonts w:ascii="Arial" w:cs="Arial" w:eastAsia="Arial" w:hAnsi="Arial"/>
                <w:sz w:val="16"/>
                <w:szCs w:val="16"/>
                <w:color w:val="auto"/>
              </w:rPr>
              <w:t>Natural gas futures purchased</w:t>
            </w:r>
          </w:p>
        </w:tc>
        <w:tc>
          <w:tcPr>
            <w:tcW w:w="16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590,000</w:t>
            </w:r>
          </w:p>
        </w:tc>
        <w:tc>
          <w:tcPr>
            <w:tcW w:w="1420" w:type="dxa"/>
            <w:vAlign w:val="bottom"/>
            <w:shd w:val="clear" w:color="auto" w:fill="CEFFE7"/>
          </w:tcPr>
          <w:p>
            <w:pPr>
              <w:spacing w:after="0"/>
              <w:rPr>
                <w:sz w:val="18"/>
                <w:szCs w:val="18"/>
                <w:color w:val="auto"/>
              </w:rPr>
            </w:pPr>
          </w:p>
        </w:tc>
        <w:tc>
          <w:tcPr>
            <w:tcW w:w="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w:t>
            </w:r>
          </w:p>
        </w:tc>
        <w:tc>
          <w:tcPr>
            <w:tcW w:w="1740" w:type="dxa"/>
            <w:vAlign w:val="bottom"/>
            <w:shd w:val="clear" w:color="auto" w:fill="CEFEE7"/>
          </w:tcPr>
          <w:p>
            <w:pPr>
              <w:jc w:val="right"/>
              <w:ind w:right="99"/>
              <w:spacing w:after="0"/>
              <w:rPr>
                <w:sz w:val="20"/>
                <w:szCs w:val="20"/>
                <w:color w:val="auto"/>
              </w:rPr>
            </w:pPr>
            <w:r>
              <w:rPr>
                <w:rFonts w:ascii="Arial" w:cs="Arial" w:eastAsia="Arial" w:hAnsi="Arial"/>
                <w:sz w:val="16"/>
                <w:szCs w:val="16"/>
                <w:color w:val="auto"/>
              </w:rPr>
              <w:t>620,000</w:t>
            </w:r>
          </w:p>
        </w:tc>
        <w:tc>
          <w:tcPr>
            <w:tcW w:w="15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640" w:type="dxa"/>
            <w:vAlign w:val="bottom"/>
          </w:tcPr>
          <w:p>
            <w:pPr>
              <w:jc w:val="right"/>
              <w:spacing w:after="0"/>
              <w:rPr>
                <w:sz w:val="20"/>
                <w:szCs w:val="20"/>
                <w:color w:val="auto"/>
              </w:rPr>
            </w:pPr>
            <w:r>
              <w:rPr>
                <w:rFonts w:ascii="Arial" w:cs="Arial" w:eastAsia="Arial" w:hAnsi="Arial"/>
                <w:sz w:val="16"/>
                <w:szCs w:val="16"/>
                <w:color w:val="auto"/>
              </w:rPr>
              <w:t>3,100,000</w:t>
            </w:r>
          </w:p>
        </w:tc>
        <w:tc>
          <w:tcPr>
            <w:tcW w:w="1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3</w:t>
            </w:r>
          </w:p>
        </w:tc>
        <w:tc>
          <w:tcPr>
            <w:tcW w:w="1740" w:type="dxa"/>
            <w:vAlign w:val="bottom"/>
          </w:tcPr>
          <w:p>
            <w:pPr>
              <w:jc w:val="right"/>
              <w:ind w:right="99"/>
              <w:spacing w:after="0"/>
              <w:rPr>
                <w:sz w:val="20"/>
                <w:szCs w:val="20"/>
                <w:color w:val="auto"/>
              </w:rPr>
            </w:pPr>
            <w:r>
              <w:rPr>
                <w:rFonts w:ascii="Arial" w:cs="Arial" w:eastAsia="Arial" w:hAnsi="Arial"/>
                <w:sz w:val="16"/>
                <w:szCs w:val="16"/>
                <w:color w:val="auto"/>
              </w:rPr>
              <w:t>3,160,000</w:t>
            </w:r>
          </w:p>
        </w:tc>
        <w:tc>
          <w:tcPr>
            <w:tcW w:w="1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4620" w:type="dxa"/>
            <w:vAlign w:val="bottom"/>
            <w:shd w:val="clear" w:color="auto" w:fill="CEFEE7"/>
          </w:tcPr>
          <w:p>
            <w:pPr>
              <w:ind w:left="20"/>
              <w:spacing w:after="0"/>
              <w:rPr>
                <w:sz w:val="20"/>
                <w:szCs w:val="20"/>
                <w:color w:val="auto"/>
              </w:rPr>
            </w:pPr>
            <w:r>
              <w:rPr>
                <w:rFonts w:ascii="Arial" w:cs="Arial" w:eastAsia="Arial" w:hAnsi="Arial"/>
                <w:sz w:val="16"/>
                <w:szCs w:val="16"/>
                <w:color w:val="auto"/>
              </w:rPr>
              <w:t>Natural gas basis swaps purchased</w:t>
            </w:r>
          </w:p>
        </w:tc>
        <w:tc>
          <w:tcPr>
            <w:tcW w:w="16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870,000</w:t>
            </w:r>
          </w:p>
        </w:tc>
        <w:tc>
          <w:tcPr>
            <w:tcW w:w="1420" w:type="dxa"/>
            <w:vAlign w:val="bottom"/>
            <w:shd w:val="clear" w:color="auto" w:fill="CEFFE7"/>
          </w:tcPr>
          <w:p>
            <w:pPr>
              <w:spacing w:after="0"/>
              <w:rPr>
                <w:sz w:val="19"/>
                <w:szCs w:val="19"/>
                <w:color w:val="auto"/>
              </w:rPr>
            </w:pPr>
          </w:p>
        </w:tc>
        <w:tc>
          <w:tcPr>
            <w:tcW w:w="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w:t>
            </w:r>
          </w:p>
        </w:tc>
        <w:tc>
          <w:tcPr>
            <w:tcW w:w="1740" w:type="dxa"/>
            <w:vAlign w:val="bottom"/>
            <w:shd w:val="clear" w:color="auto" w:fill="CEFEE7"/>
          </w:tcPr>
          <w:p>
            <w:pPr>
              <w:jc w:val="right"/>
              <w:ind w:right="99"/>
              <w:spacing w:after="0"/>
              <w:rPr>
                <w:sz w:val="20"/>
                <w:szCs w:val="20"/>
                <w:color w:val="auto"/>
              </w:rPr>
            </w:pPr>
            <w:r>
              <w:rPr>
                <w:rFonts w:ascii="Arial" w:cs="Arial" w:eastAsia="Arial" w:hAnsi="Arial"/>
                <w:sz w:val="16"/>
                <w:szCs w:val="16"/>
                <w:color w:val="auto"/>
              </w:rPr>
              <w:t>900,000</w:t>
            </w:r>
          </w:p>
        </w:tc>
        <w:tc>
          <w:tcPr>
            <w:tcW w:w="15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46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640" w:type="dxa"/>
            <w:vAlign w:val="bottom"/>
          </w:tcPr>
          <w:p>
            <w:pPr>
              <w:jc w:val="right"/>
              <w:spacing w:after="0"/>
              <w:rPr>
                <w:sz w:val="20"/>
                <w:szCs w:val="20"/>
                <w:color w:val="auto"/>
              </w:rPr>
            </w:pPr>
            <w:r>
              <w:rPr>
                <w:rFonts w:ascii="Arial" w:cs="Arial" w:eastAsia="Arial" w:hAnsi="Arial"/>
                <w:sz w:val="16"/>
                <w:szCs w:val="16"/>
                <w:color w:val="auto"/>
              </w:rPr>
              <w:t>4,570,000</w:t>
            </w:r>
          </w:p>
        </w:tc>
        <w:tc>
          <w:tcPr>
            <w:tcW w:w="1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34</w:t>
            </w:r>
          </w:p>
        </w:tc>
        <w:tc>
          <w:tcPr>
            <w:tcW w:w="1740" w:type="dxa"/>
            <w:vAlign w:val="bottom"/>
          </w:tcPr>
          <w:p>
            <w:pPr>
              <w:jc w:val="right"/>
              <w:ind w:right="99"/>
              <w:spacing w:after="0"/>
              <w:rPr>
                <w:sz w:val="20"/>
                <w:szCs w:val="20"/>
                <w:color w:val="auto"/>
              </w:rPr>
            </w:pPr>
            <w:r>
              <w:rPr>
                <w:rFonts w:ascii="Arial" w:cs="Arial" w:eastAsia="Arial" w:hAnsi="Arial"/>
                <w:sz w:val="16"/>
                <w:szCs w:val="16"/>
                <w:color w:val="auto"/>
              </w:rPr>
              <w:t>3,850,000</w:t>
            </w:r>
          </w:p>
        </w:tc>
        <w:tc>
          <w:tcPr>
            <w:tcW w:w="15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4620" w:type="dxa"/>
            <w:vAlign w:val="bottom"/>
            <w:shd w:val="clear" w:color="auto" w:fill="CEFEE7"/>
          </w:tcPr>
          <w:p>
            <w:pPr>
              <w:ind w:left="20"/>
              <w:spacing w:after="0" w:line="216" w:lineRule="exact"/>
              <w:rPr>
                <w:sz w:val="20"/>
                <w:szCs w:val="20"/>
                <w:color w:val="auto"/>
              </w:rPr>
            </w:pPr>
            <w:r>
              <w:rPr>
                <w:rFonts w:ascii="Arial" w:cs="Arial" w:eastAsia="Arial" w:hAnsi="Arial"/>
                <w:sz w:val="16"/>
                <w:szCs w:val="16"/>
                <w:color w:val="auto"/>
              </w:rPr>
              <w:t xml:space="preserve">Natural gas physical commitments, net </w:t>
            </w:r>
            <w:r>
              <w:rPr>
                <w:rFonts w:ascii="Arial" w:cs="Arial" w:eastAsia="Arial" w:hAnsi="Arial"/>
                <w:sz w:val="21"/>
                <w:szCs w:val="21"/>
                <w:color w:val="auto"/>
                <w:vertAlign w:val="superscript"/>
              </w:rPr>
              <w:t>(c)</w:t>
            </w:r>
          </w:p>
        </w:tc>
        <w:tc>
          <w:tcPr>
            <w:tcW w:w="16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16,416,677</w:t>
            </w:r>
          </w:p>
        </w:tc>
        <w:tc>
          <w:tcPr>
            <w:tcW w:w="1420" w:type="dxa"/>
            <w:vAlign w:val="bottom"/>
            <w:shd w:val="clear" w:color="auto" w:fill="CEFFE7"/>
          </w:tcPr>
          <w:p>
            <w:pPr>
              <w:spacing w:after="0"/>
              <w:rPr>
                <w:sz w:val="18"/>
                <w:szCs w:val="18"/>
                <w:color w:val="auto"/>
              </w:rPr>
            </w:pPr>
          </w:p>
        </w:tc>
        <w:tc>
          <w:tcPr>
            <w:tcW w:w="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w:t>
            </w:r>
          </w:p>
        </w:tc>
        <w:tc>
          <w:tcPr>
            <w:tcW w:w="1740" w:type="dxa"/>
            <w:vAlign w:val="bottom"/>
            <w:shd w:val="clear" w:color="auto" w:fill="CEFEE7"/>
          </w:tcPr>
          <w:p>
            <w:pPr>
              <w:jc w:val="right"/>
              <w:ind w:right="99"/>
              <w:spacing w:after="0"/>
              <w:rPr>
                <w:sz w:val="20"/>
                <w:szCs w:val="20"/>
                <w:color w:val="auto"/>
              </w:rPr>
            </w:pPr>
            <w:r>
              <w:rPr>
                <w:rFonts w:ascii="Arial" w:cs="Arial" w:eastAsia="Arial" w:hAnsi="Arial"/>
                <w:sz w:val="16"/>
                <w:szCs w:val="16"/>
                <w:color w:val="auto"/>
              </w:rPr>
              <w:t>17,513,061</w:t>
            </w:r>
          </w:p>
        </w:tc>
        <w:tc>
          <w:tcPr>
            <w:tcW w:w="15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22</w:t>
            </w:r>
          </w:p>
        </w:tc>
      </w:tr>
      <w:tr>
        <w:trPr>
          <w:trHeight w:val="268"/>
        </w:trPr>
        <w:tc>
          <w:tcPr>
            <w:tcW w:w="4620" w:type="dxa"/>
            <w:vAlign w:val="bottom"/>
          </w:tcPr>
          <w:p>
            <w:pPr>
              <w:ind w:left="20"/>
              <w:spacing w:after="0"/>
              <w:rPr>
                <w:sz w:val="20"/>
                <w:szCs w:val="20"/>
                <w:color w:val="auto"/>
              </w:rPr>
            </w:pPr>
            <w:r>
              <w:rPr>
                <w:rFonts w:ascii="Arial" w:cs="Arial" w:eastAsia="Arial" w:hAnsi="Arial"/>
                <w:sz w:val="16"/>
                <w:szCs w:val="16"/>
                <w:color w:val="auto"/>
              </w:rPr>
              <w:t xml:space="preserve">Electric wholesale contracts </w:t>
            </w:r>
            <w:r>
              <w:rPr>
                <w:rFonts w:ascii="Arial" w:cs="Arial" w:eastAsia="Arial" w:hAnsi="Arial"/>
                <w:sz w:val="21"/>
                <w:szCs w:val="21"/>
                <w:color w:val="auto"/>
                <w:vertAlign w:val="superscript"/>
              </w:rPr>
              <w:t>(c)</w:t>
            </w: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1740" w:type="dxa"/>
            <w:vAlign w:val="bottom"/>
          </w:tcPr>
          <w:p>
            <w:pPr>
              <w:jc w:val="right"/>
              <w:ind w:right="99"/>
              <w:spacing w:after="0"/>
              <w:rPr>
                <w:sz w:val="20"/>
                <w:szCs w:val="20"/>
                <w:color w:val="auto"/>
              </w:rPr>
            </w:pPr>
            <w:r>
              <w:rPr>
                <w:rFonts w:ascii="Arial" w:cs="Arial" w:eastAsia="Arial" w:hAnsi="Arial"/>
                <w:sz w:val="16"/>
                <w:szCs w:val="16"/>
                <w:color w:val="auto"/>
              </w:rPr>
              <w:t>219,000</w:t>
            </w:r>
          </w:p>
        </w:tc>
        <w:tc>
          <w:tcPr>
            <w:tcW w:w="1540" w:type="dxa"/>
            <w:vAlign w:val="bottom"/>
          </w:tcPr>
          <w:p>
            <w:pPr>
              <w:jc w:val="right"/>
              <w:spacing w:after="0"/>
              <w:rPr>
                <w:sz w:val="20"/>
                <w:szCs w:val="20"/>
                <w:color w:val="auto"/>
              </w:rPr>
            </w:pPr>
            <w:r>
              <w:rPr>
                <w:rFonts w:ascii="Arial" w:cs="Arial" w:eastAsia="Arial" w:hAnsi="Arial"/>
                <w:sz w:val="16"/>
                <w:szCs w:val="16"/>
                <w:color w:val="auto"/>
              </w:rPr>
              <w:t>12</w:t>
            </w:r>
          </w:p>
        </w:tc>
      </w:tr>
    </w:tbl>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As of December 31, 2021, 1,830,000 of natural gas over-the-counter swaps purchased were designated as cash flow hedges.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 normal sales exception permitted by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December 31, 2021, the Company posted $2.1 million related to such provisions, which is included in Other current assets on the Consolidated Balance Sheets.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248"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As required by accounting standards for derivatives and hedges, fair values within the following tables are presented on a gross basis aside from the netting of asset and liability positions. Netting of positions is permitted in accordance with accounting standards for offsetting and under terms of our master netting agreements that allow us to settle positive and negative positions.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and balance sheet classification of our derivative instruments as of December 31,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380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Balance Sheet Location</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2020</w:t>
            </w:r>
          </w:p>
        </w:tc>
      </w:tr>
      <w:tr>
        <w:trPr>
          <w:trHeight w:val="199"/>
        </w:trPr>
        <w:tc>
          <w:tcPr>
            <w:tcW w:w="3900" w:type="dxa"/>
            <w:vAlign w:val="bottom"/>
          </w:tcPr>
          <w:p>
            <w:pPr>
              <w:spacing w:after="0"/>
              <w:rPr>
                <w:sz w:val="20"/>
                <w:szCs w:val="20"/>
                <w:color w:val="auto"/>
              </w:rPr>
            </w:pPr>
            <w:r>
              <w:rPr>
                <w:rFonts w:ascii="Arial" w:cs="Arial" w:eastAsia="Arial" w:hAnsi="Arial"/>
                <w:sz w:val="16"/>
                <w:szCs w:val="16"/>
                <w:color w:val="auto"/>
              </w:rPr>
              <w:t>Derivatives designated as hedges:</w:t>
            </w:r>
          </w:p>
        </w:tc>
        <w:tc>
          <w:tcPr>
            <w:tcW w:w="3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9"/>
        </w:trPr>
        <w:tc>
          <w:tcPr>
            <w:tcW w:w="39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Asset derivative instruments:</w:t>
            </w:r>
          </w:p>
        </w:tc>
        <w:tc>
          <w:tcPr>
            <w:tcW w:w="380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r>
      <w:tr>
        <w:trPr>
          <w:trHeight w:val="213"/>
        </w:trPr>
        <w:tc>
          <w:tcPr>
            <w:tcW w:w="3900" w:type="dxa"/>
            <w:vAlign w:val="bottom"/>
          </w:tcPr>
          <w:p>
            <w:pPr>
              <w:ind w:left="200"/>
              <w:spacing w:after="0"/>
              <w:rPr>
                <w:sz w:val="20"/>
                <w:szCs w:val="20"/>
                <w:color w:val="auto"/>
              </w:rPr>
            </w:pPr>
            <w:r>
              <w:rPr>
                <w:rFonts w:ascii="Arial" w:cs="Arial" w:eastAsia="Arial" w:hAnsi="Arial"/>
                <w:sz w:val="16"/>
                <w:szCs w:val="16"/>
                <w:color w:val="auto"/>
              </w:rPr>
              <w:t>Current commodity derivatives</w:t>
            </w:r>
          </w:p>
        </w:tc>
        <w:tc>
          <w:tcPr>
            <w:tcW w:w="3800" w:type="dxa"/>
            <w:vAlign w:val="bottom"/>
          </w:tcPr>
          <w:p>
            <w:pPr>
              <w:ind w:left="20"/>
              <w:spacing w:after="0"/>
              <w:rPr>
                <w:sz w:val="20"/>
                <w:szCs w:val="20"/>
                <w:color w:val="auto"/>
              </w:rPr>
            </w:pPr>
            <w:r>
              <w:rPr>
                <w:rFonts w:ascii="Arial" w:cs="Arial" w:eastAsia="Arial" w:hAnsi="Arial"/>
                <w:sz w:val="16"/>
                <w:szCs w:val="16"/>
                <w:color w:val="auto"/>
              </w:rPr>
              <w:t>Derivative assets - current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2,017</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9"/>
        </w:trPr>
        <w:tc>
          <w:tcPr>
            <w:tcW w:w="3900" w:type="dxa"/>
            <w:vAlign w:val="bottom"/>
            <w:shd w:val="clear" w:color="auto" w:fill="CEFFE7"/>
          </w:tcPr>
          <w:p>
            <w:pPr>
              <w:ind w:left="200"/>
              <w:spacing w:after="0"/>
              <w:rPr>
                <w:sz w:val="20"/>
                <w:szCs w:val="20"/>
                <w:color w:val="auto"/>
              </w:rPr>
            </w:pPr>
            <w:r>
              <w:rPr>
                <w:rFonts w:ascii="Arial" w:cs="Arial" w:eastAsia="Arial" w:hAnsi="Arial"/>
                <w:sz w:val="16"/>
                <w:szCs w:val="16"/>
                <w:color w:val="auto"/>
              </w:rPr>
              <w:t>Noncurrent commodity derivatives</w:t>
            </w:r>
          </w:p>
        </w:tc>
        <w:tc>
          <w:tcPr>
            <w:tcW w:w="3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w:t>
            </w: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w:t>
            </w:r>
          </w:p>
        </w:tc>
      </w:tr>
      <w:tr>
        <w:trPr>
          <w:trHeight w:val="213"/>
        </w:trPr>
        <w:tc>
          <w:tcPr>
            <w:tcW w:w="3900" w:type="dxa"/>
            <w:vAlign w:val="bottom"/>
          </w:tcPr>
          <w:p>
            <w:pPr>
              <w:ind w:left="120"/>
              <w:spacing w:after="0"/>
              <w:rPr>
                <w:sz w:val="20"/>
                <w:szCs w:val="20"/>
                <w:color w:val="auto"/>
              </w:rPr>
            </w:pPr>
            <w:r>
              <w:rPr>
                <w:rFonts w:ascii="Arial" w:cs="Arial" w:eastAsia="Arial" w:hAnsi="Arial"/>
                <w:sz w:val="16"/>
                <w:szCs w:val="16"/>
                <w:color w:val="auto"/>
              </w:rPr>
              <w:t>Liability derivative instruments:</w:t>
            </w:r>
          </w:p>
        </w:tc>
        <w:tc>
          <w:tcPr>
            <w:tcW w:w="3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00" w:type="dxa"/>
            <w:vAlign w:val="bottom"/>
            <w:shd w:val="clear" w:color="auto" w:fill="CEFFE7"/>
          </w:tcPr>
          <w:p>
            <w:pPr>
              <w:ind w:left="200"/>
              <w:spacing w:after="0"/>
              <w:rPr>
                <w:sz w:val="20"/>
                <w:szCs w:val="20"/>
                <w:color w:val="auto"/>
              </w:rPr>
            </w:pPr>
            <w:r>
              <w:rPr>
                <w:rFonts w:ascii="Arial" w:cs="Arial" w:eastAsia="Arial" w:hAnsi="Arial"/>
                <w:sz w:val="16"/>
                <w:szCs w:val="16"/>
                <w:color w:val="auto"/>
              </w:rPr>
              <w:t>Current commodity derivatives</w:t>
            </w:r>
          </w:p>
        </w:tc>
        <w:tc>
          <w:tcPr>
            <w:tcW w:w="3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Derivative liabilities - current</w:t>
            </w:r>
          </w:p>
        </w:tc>
        <w:tc>
          <w:tcPr>
            <w:tcW w:w="40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Total derivatives designated as hedges</w:t>
            </w:r>
          </w:p>
        </w:tc>
        <w:tc>
          <w:tcPr>
            <w:tcW w:w="38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20"/>
        </w:trPr>
        <w:tc>
          <w:tcPr>
            <w:tcW w:w="3900" w:type="dxa"/>
            <w:vAlign w:val="bottom"/>
            <w:tcBorders>
              <w:bottom w:val="single" w:sz="8" w:color="CEFFE7"/>
            </w:tcBorders>
          </w:tcPr>
          <w:p>
            <w:pPr>
              <w:spacing w:after="0" w:line="20" w:lineRule="exact"/>
              <w:rPr>
                <w:sz w:val="1"/>
                <w:szCs w:val="1"/>
                <w:color w:val="auto"/>
              </w:rPr>
            </w:pPr>
          </w:p>
        </w:tc>
        <w:tc>
          <w:tcPr>
            <w:tcW w:w="3800" w:type="dxa"/>
            <w:vAlign w:val="bottom"/>
            <w:tcBorders>
              <w:bottom w:val="single" w:sz="8" w:color="CEFFE7"/>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3900" w:type="dxa"/>
            <w:vAlign w:val="bottom"/>
            <w:shd w:val="clear" w:color="auto" w:fill="CEFFE7"/>
          </w:tcPr>
          <w:p>
            <w:pPr>
              <w:spacing w:after="0"/>
              <w:rPr>
                <w:sz w:val="20"/>
                <w:szCs w:val="20"/>
                <w:color w:val="auto"/>
              </w:rPr>
            </w:pPr>
          </w:p>
        </w:tc>
        <w:tc>
          <w:tcPr>
            <w:tcW w:w="3800" w:type="dxa"/>
            <w:vAlign w:val="bottom"/>
            <w:shd w:val="clear" w:color="auto" w:fill="CEFFE7"/>
          </w:tcPr>
          <w:p>
            <w:pPr>
              <w:spacing w:after="0"/>
              <w:rPr>
                <w:sz w:val="20"/>
                <w:szCs w:val="20"/>
                <w:color w:val="auto"/>
              </w:rPr>
            </w:pPr>
          </w:p>
        </w:tc>
        <w:tc>
          <w:tcPr>
            <w:tcW w:w="400" w:type="dxa"/>
            <w:vAlign w:val="bottom"/>
            <w:shd w:val="clear" w:color="auto" w:fill="CEFFE7"/>
          </w:tcPr>
          <w:p>
            <w:pPr>
              <w:spacing w:after="0"/>
              <w:rPr>
                <w:sz w:val="20"/>
                <w:szCs w:val="20"/>
                <w:color w:val="auto"/>
              </w:rPr>
            </w:pPr>
          </w:p>
        </w:tc>
        <w:tc>
          <w:tcPr>
            <w:tcW w:w="1340" w:type="dxa"/>
            <w:vAlign w:val="bottom"/>
            <w:shd w:val="clear" w:color="auto" w:fill="CEFFE7"/>
          </w:tcPr>
          <w:p>
            <w:pPr>
              <w:spacing w:after="0"/>
              <w:rPr>
                <w:sz w:val="20"/>
                <w:szCs w:val="20"/>
                <w:color w:val="auto"/>
              </w:rPr>
            </w:pPr>
          </w:p>
        </w:tc>
        <w:tc>
          <w:tcPr>
            <w:tcW w:w="400" w:type="dxa"/>
            <w:vAlign w:val="bottom"/>
            <w:shd w:val="clear" w:color="auto" w:fill="CEFFE7"/>
          </w:tcPr>
          <w:p>
            <w:pPr>
              <w:spacing w:after="0"/>
              <w:rPr>
                <w:sz w:val="20"/>
                <w:szCs w:val="20"/>
                <w:color w:val="auto"/>
              </w:rPr>
            </w:pPr>
          </w:p>
        </w:tc>
        <w:tc>
          <w:tcPr>
            <w:tcW w:w="1340" w:type="dxa"/>
            <w:vAlign w:val="bottom"/>
            <w:shd w:val="clear" w:color="auto" w:fill="CEFFE7"/>
          </w:tcPr>
          <w:p>
            <w:pPr>
              <w:spacing w:after="0"/>
              <w:rPr>
                <w:sz w:val="20"/>
                <w:szCs w:val="20"/>
                <w:color w:val="auto"/>
              </w:rPr>
            </w:pP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Derivatives not designated as hedges:</w:t>
            </w:r>
          </w:p>
        </w:tc>
        <w:tc>
          <w:tcPr>
            <w:tcW w:w="3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39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Asset derivative instruments:</w:t>
            </w:r>
          </w:p>
        </w:tc>
        <w:tc>
          <w:tcPr>
            <w:tcW w:w="380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r>
      <w:tr>
        <w:trPr>
          <w:trHeight w:val="213"/>
        </w:trPr>
        <w:tc>
          <w:tcPr>
            <w:tcW w:w="3900" w:type="dxa"/>
            <w:vAlign w:val="bottom"/>
          </w:tcPr>
          <w:p>
            <w:pPr>
              <w:ind w:left="200"/>
              <w:spacing w:after="0"/>
              <w:rPr>
                <w:sz w:val="20"/>
                <w:szCs w:val="20"/>
                <w:color w:val="auto"/>
              </w:rPr>
            </w:pPr>
            <w:r>
              <w:rPr>
                <w:rFonts w:ascii="Arial" w:cs="Arial" w:eastAsia="Arial" w:hAnsi="Arial"/>
                <w:sz w:val="16"/>
                <w:szCs w:val="16"/>
                <w:color w:val="auto"/>
              </w:rPr>
              <w:t>Current commodity derivatives</w:t>
            </w:r>
          </w:p>
        </w:tc>
        <w:tc>
          <w:tcPr>
            <w:tcW w:w="3800" w:type="dxa"/>
            <w:vAlign w:val="bottom"/>
          </w:tcPr>
          <w:p>
            <w:pPr>
              <w:ind w:left="20"/>
              <w:spacing w:after="0"/>
              <w:rPr>
                <w:sz w:val="20"/>
                <w:szCs w:val="20"/>
                <w:color w:val="auto"/>
              </w:rPr>
            </w:pPr>
            <w:r>
              <w:rPr>
                <w:rFonts w:ascii="Arial" w:cs="Arial" w:eastAsia="Arial" w:hAnsi="Arial"/>
                <w:sz w:val="16"/>
                <w:szCs w:val="16"/>
                <w:color w:val="auto"/>
              </w:rPr>
              <w:t>Derivative assets - current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2,356</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1,667</w:t>
            </w:r>
          </w:p>
        </w:tc>
      </w:tr>
      <w:tr>
        <w:trPr>
          <w:trHeight w:val="219"/>
        </w:trPr>
        <w:tc>
          <w:tcPr>
            <w:tcW w:w="3900" w:type="dxa"/>
            <w:vAlign w:val="bottom"/>
            <w:shd w:val="clear" w:color="auto" w:fill="CEFFE7"/>
          </w:tcPr>
          <w:p>
            <w:pPr>
              <w:ind w:left="200"/>
              <w:spacing w:after="0"/>
              <w:rPr>
                <w:sz w:val="20"/>
                <w:szCs w:val="20"/>
                <w:color w:val="auto"/>
              </w:rPr>
            </w:pPr>
            <w:r>
              <w:rPr>
                <w:rFonts w:ascii="Arial" w:cs="Arial" w:eastAsia="Arial" w:hAnsi="Arial"/>
                <w:sz w:val="16"/>
                <w:szCs w:val="16"/>
                <w:color w:val="auto"/>
              </w:rPr>
              <w:t>Noncurrent commodity derivatives</w:t>
            </w:r>
          </w:p>
        </w:tc>
        <w:tc>
          <w:tcPr>
            <w:tcW w:w="3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804</w:t>
            </w: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151</w:t>
            </w:r>
          </w:p>
        </w:tc>
      </w:tr>
      <w:tr>
        <w:trPr>
          <w:trHeight w:val="213"/>
        </w:trPr>
        <w:tc>
          <w:tcPr>
            <w:tcW w:w="3900" w:type="dxa"/>
            <w:vAlign w:val="bottom"/>
          </w:tcPr>
          <w:p>
            <w:pPr>
              <w:ind w:left="120"/>
              <w:spacing w:after="0"/>
              <w:rPr>
                <w:sz w:val="20"/>
                <w:szCs w:val="20"/>
                <w:color w:val="auto"/>
              </w:rPr>
            </w:pPr>
            <w:r>
              <w:rPr>
                <w:rFonts w:ascii="Arial" w:cs="Arial" w:eastAsia="Arial" w:hAnsi="Arial"/>
                <w:sz w:val="16"/>
                <w:szCs w:val="16"/>
                <w:color w:val="auto"/>
              </w:rPr>
              <w:t>Liability derivative instruments:</w:t>
            </w:r>
          </w:p>
        </w:tc>
        <w:tc>
          <w:tcPr>
            <w:tcW w:w="3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3900" w:type="dxa"/>
            <w:vAlign w:val="bottom"/>
            <w:shd w:val="clear" w:color="auto" w:fill="CEFFE7"/>
          </w:tcPr>
          <w:p>
            <w:pPr>
              <w:ind w:left="200"/>
              <w:spacing w:after="0"/>
              <w:rPr>
                <w:sz w:val="20"/>
                <w:szCs w:val="20"/>
                <w:color w:val="auto"/>
              </w:rPr>
            </w:pPr>
            <w:r>
              <w:rPr>
                <w:rFonts w:ascii="Arial" w:cs="Arial" w:eastAsia="Arial" w:hAnsi="Arial"/>
                <w:sz w:val="16"/>
                <w:szCs w:val="16"/>
                <w:color w:val="auto"/>
              </w:rPr>
              <w:t>Current commodity derivatives</w:t>
            </w:r>
          </w:p>
        </w:tc>
        <w:tc>
          <w:tcPr>
            <w:tcW w:w="3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Derivative liabilities - current</w:t>
            </w: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(1,439)</w:t>
            </w: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(1,936)</w:t>
            </w:r>
          </w:p>
        </w:tc>
      </w:tr>
      <w:tr>
        <w:trPr>
          <w:trHeight w:val="213"/>
        </w:trPr>
        <w:tc>
          <w:tcPr>
            <w:tcW w:w="3900" w:type="dxa"/>
            <w:vAlign w:val="bottom"/>
            <w:tcBorders>
              <w:bottom w:val="single" w:sz="8" w:color="CEFFE7"/>
            </w:tcBorders>
          </w:tcPr>
          <w:p>
            <w:pPr>
              <w:ind w:left="200"/>
              <w:spacing w:after="0"/>
              <w:rPr>
                <w:sz w:val="20"/>
                <w:szCs w:val="20"/>
                <w:color w:val="auto"/>
              </w:rPr>
            </w:pPr>
            <w:r>
              <w:rPr>
                <w:rFonts w:ascii="Arial" w:cs="Arial" w:eastAsia="Arial" w:hAnsi="Arial"/>
                <w:sz w:val="16"/>
                <w:szCs w:val="16"/>
                <w:color w:val="auto"/>
              </w:rPr>
              <w:t>Noncurrent commodity derivatives</w:t>
            </w:r>
          </w:p>
        </w:tc>
        <w:tc>
          <w:tcPr>
            <w:tcW w:w="38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90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6"/>
                <w:szCs w:val="16"/>
                <w:color w:val="auto"/>
              </w:rPr>
              <w:t>Total derivatives not designated as hedges</w:t>
            </w:r>
          </w:p>
        </w:tc>
        <w:tc>
          <w:tcPr>
            <w:tcW w:w="3800" w:type="dxa"/>
            <w:vAlign w:val="bottom"/>
            <w:tcBorders>
              <w:bottom w:val="single" w:sz="8" w:color="CEFFE7"/>
            </w:tcBorders>
            <w:shd w:val="clear" w:color="auto" w:fill="CEFFE7"/>
          </w:tcPr>
          <w:p>
            <w:pPr>
              <w:spacing w:after="0"/>
              <w:rPr>
                <w:sz w:val="20"/>
                <w:szCs w:val="20"/>
                <w:color w:val="auto"/>
              </w:rPr>
            </w:pPr>
          </w:p>
        </w:tc>
        <w:tc>
          <w:tcPr>
            <w:tcW w:w="40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1,701</w:t>
            </w:r>
          </w:p>
        </w:tc>
        <w:tc>
          <w:tcPr>
            <w:tcW w:w="40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(118)</w:t>
            </w:r>
          </w:p>
        </w:tc>
      </w:tr>
      <w:tr>
        <w:trPr>
          <w:trHeight w:val="20"/>
        </w:trPr>
        <w:tc>
          <w:tcPr>
            <w:tcW w:w="3900" w:type="dxa"/>
            <w:vAlign w:val="bottom"/>
            <w:tcBorders>
              <w:top w:val="single" w:sz="8" w:color="CEFFE7"/>
            </w:tcBorders>
          </w:tcPr>
          <w:p>
            <w:pPr>
              <w:spacing w:after="0" w:line="20" w:lineRule="exact"/>
              <w:rPr>
                <w:sz w:val="1"/>
                <w:szCs w:val="1"/>
                <w:color w:val="auto"/>
              </w:rPr>
            </w:pPr>
          </w:p>
        </w:tc>
        <w:tc>
          <w:tcPr>
            <w:tcW w:w="3800" w:type="dxa"/>
            <w:vAlign w:val="bottom"/>
            <w:tcBorders>
              <w:top w:val="single" w:sz="8" w:color="CEFFE7"/>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34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340" w:type="dxa"/>
            <w:vAlign w:val="bottom"/>
            <w:tcBorders>
              <w:top w:val="single" w:sz="8" w:color="CEFF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24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impact of cash flow hedges on our Consolidated Statements of Income is presented below for the years ended December 31, 2021, 2020 and 2019.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2019</w:t>
            </w:r>
          </w:p>
        </w:tc>
        <w:tc>
          <w:tcPr>
            <w:tcW w:w="2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2019</w:t>
            </w:r>
          </w:p>
        </w:tc>
      </w:tr>
      <w:tr>
        <w:trPr>
          <w:trHeight w:val="174"/>
        </w:trPr>
        <w:tc>
          <w:tcPr>
            <w:tcW w:w="2620" w:type="dxa"/>
            <w:vAlign w:val="bottom"/>
          </w:tcPr>
          <w:p>
            <w:pPr>
              <w:jc w:val="center"/>
              <w:spacing w:after="0" w:line="174" w:lineRule="exact"/>
              <w:rPr>
                <w:sz w:val="20"/>
                <w:szCs w:val="20"/>
                <w:color w:val="auto"/>
              </w:rPr>
            </w:pPr>
            <w:r>
              <w:rPr>
                <w:rFonts w:ascii="Arial" w:cs="Arial" w:eastAsia="Arial" w:hAnsi="Arial"/>
                <w:sz w:val="16"/>
                <w:szCs w:val="16"/>
                <w:color w:val="auto"/>
              </w:rPr>
              <w:t>Derivatives in Cash Flow Hedging</w:t>
            </w:r>
          </w:p>
        </w:tc>
        <w:tc>
          <w:tcPr>
            <w:tcW w:w="140" w:type="dxa"/>
            <w:vAlign w:val="bottom"/>
          </w:tcPr>
          <w:p>
            <w:pPr>
              <w:spacing w:after="0"/>
              <w:rPr>
                <w:sz w:val="15"/>
                <w:szCs w:val="15"/>
                <w:color w:val="auto"/>
              </w:rPr>
            </w:pPr>
          </w:p>
        </w:tc>
        <w:tc>
          <w:tcPr>
            <w:tcW w:w="2840" w:type="dxa"/>
            <w:vAlign w:val="bottom"/>
            <w:gridSpan w:val="5"/>
          </w:tcPr>
          <w:p>
            <w:pPr>
              <w:jc w:val="center"/>
              <w:ind w:right="59"/>
              <w:spacing w:after="0" w:line="174" w:lineRule="exact"/>
              <w:rPr>
                <w:sz w:val="20"/>
                <w:szCs w:val="20"/>
                <w:color w:val="auto"/>
              </w:rPr>
            </w:pPr>
            <w:r>
              <w:rPr>
                <w:rFonts w:ascii="Arial" w:cs="Arial" w:eastAsia="Arial" w:hAnsi="Arial"/>
                <w:sz w:val="16"/>
                <w:szCs w:val="16"/>
                <w:color w:val="auto"/>
              </w:rPr>
              <w:t>Amount of Gain/(Loss) Recognized in</w:t>
            </w:r>
          </w:p>
        </w:tc>
        <w:tc>
          <w:tcPr>
            <w:tcW w:w="2640" w:type="dxa"/>
            <w:vAlign w:val="bottom"/>
          </w:tcPr>
          <w:p>
            <w:pPr>
              <w:spacing w:after="0"/>
              <w:rPr>
                <w:sz w:val="15"/>
                <w:szCs w:val="15"/>
                <w:color w:val="auto"/>
              </w:rPr>
            </w:pPr>
          </w:p>
        </w:tc>
        <w:tc>
          <w:tcPr>
            <w:tcW w:w="3000" w:type="dxa"/>
            <w:vAlign w:val="bottom"/>
            <w:gridSpan w:val="6"/>
          </w:tcPr>
          <w:p>
            <w:pPr>
              <w:jc w:val="center"/>
              <w:spacing w:after="0" w:line="174" w:lineRule="exact"/>
              <w:rPr>
                <w:sz w:val="20"/>
                <w:szCs w:val="20"/>
                <w:color w:val="auto"/>
              </w:rPr>
            </w:pPr>
            <w:r>
              <w:rPr>
                <w:rFonts w:ascii="Arial" w:cs="Arial" w:eastAsia="Arial" w:hAnsi="Arial"/>
                <w:sz w:val="16"/>
                <w:szCs w:val="16"/>
                <w:color w:val="auto"/>
              </w:rPr>
              <w:t>Amount of Gain/(Loss) Reclassified from</w:t>
            </w:r>
          </w:p>
        </w:tc>
      </w:tr>
      <w:tr>
        <w:trPr>
          <w:trHeight w:val="198"/>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Relationships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OCI</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Income Statement Location</w:t>
            </w:r>
          </w:p>
        </w:tc>
        <w:tc>
          <w:tcPr>
            <w:tcW w:w="2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center"/>
              <w:ind w:left="459"/>
              <w:spacing w:after="0"/>
              <w:rPr>
                <w:sz w:val="20"/>
                <w:szCs w:val="20"/>
                <w:color w:val="auto"/>
              </w:rPr>
            </w:pPr>
            <w:r>
              <w:rPr>
                <w:rFonts w:ascii="Arial" w:cs="Arial" w:eastAsia="Arial" w:hAnsi="Arial"/>
                <w:sz w:val="16"/>
                <w:szCs w:val="16"/>
                <w:color w:val="auto"/>
              </w:rPr>
              <w:t>AOCI into Income</w:t>
            </w:r>
          </w:p>
        </w:tc>
        <w:tc>
          <w:tcPr>
            <w:tcW w:w="760" w:type="dxa"/>
            <w:vAlign w:val="bottom"/>
            <w:tcBorders>
              <w:bottom w:val="single" w:sz="8" w:color="auto"/>
            </w:tcBorders>
          </w:tcPr>
          <w:p>
            <w:pPr>
              <w:spacing w:after="0"/>
              <w:rPr>
                <w:sz w:val="17"/>
                <w:szCs w:val="17"/>
                <w:color w:val="auto"/>
              </w:rPr>
            </w:pPr>
          </w:p>
        </w:tc>
      </w:tr>
      <w:tr>
        <w:trPr>
          <w:trHeight w:val="210"/>
        </w:trPr>
        <w:tc>
          <w:tcPr>
            <w:tcW w:w="2620" w:type="dxa"/>
            <w:vAlign w:val="bottom"/>
            <w:tcBorders>
              <w:bottom w:val="single" w:sz="8" w:color="CEFEE7"/>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8"/>
              </w:rPr>
              <w:t>(in thousands)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40" w:type="dxa"/>
            <w:vAlign w:val="bottom"/>
            <w:tcBorders>
              <w:bottom w:val="single" w:sz="8" w:color="CEFEE7"/>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(in thousands)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13"/>
        </w:trPr>
        <w:tc>
          <w:tcPr>
            <w:tcW w:w="2620" w:type="dxa"/>
            <w:vAlign w:val="bottom"/>
            <w:shd w:val="clear" w:color="auto" w:fill="CEFEE7"/>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shd w:val="clear" w:color="auto" w:fill="CFFFE7"/>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FFFE7"/>
            </w:tcBorders>
            <w:shd w:val="clear" w:color="auto" w:fill="CFFFE7"/>
          </w:tcPr>
          <w:p>
            <w:pPr>
              <w:jc w:val="right"/>
              <w:spacing w:after="0"/>
              <w:rPr>
                <w:sz w:val="20"/>
                <w:szCs w:val="20"/>
                <w:color w:val="auto"/>
              </w:rPr>
            </w:pPr>
            <w:r>
              <w:rPr>
                <w:rFonts w:ascii="Arial" w:cs="Arial" w:eastAsia="Arial" w:hAnsi="Arial"/>
                <w:sz w:val="16"/>
                <w:szCs w:val="16"/>
                <w:color w:val="auto"/>
              </w:rPr>
              <w:t>2,851</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2,851</w:t>
            </w:r>
          </w:p>
        </w:tc>
        <w:tc>
          <w:tcPr>
            <w:tcW w:w="200" w:type="dxa"/>
            <w:vAlign w:val="bottom"/>
            <w:shd w:val="clear" w:color="auto" w:fill="CEFEE7"/>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2,851</w:t>
            </w:r>
          </w:p>
        </w:tc>
        <w:tc>
          <w:tcPr>
            <w:tcW w:w="2640" w:type="dxa"/>
            <w:vAlign w:val="bottom"/>
            <w:shd w:val="clear" w:color="auto" w:fill="CEFEE7"/>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(2,851)</w:t>
            </w:r>
          </w:p>
        </w:tc>
        <w:tc>
          <w:tcPr>
            <w:tcW w:w="2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(2,851)</w:t>
            </w:r>
          </w:p>
        </w:tc>
        <w:tc>
          <w:tcPr>
            <w:tcW w:w="220" w:type="dxa"/>
            <w:vAlign w:val="bottom"/>
            <w:shd w:val="clear" w:color="auto" w:fill="CEFFE7"/>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(2,851)</w:t>
            </w:r>
          </w:p>
        </w:tc>
      </w:tr>
      <w:tr>
        <w:trPr>
          <w:trHeight w:val="177"/>
        </w:trPr>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40" w:type="dxa"/>
            <w:vAlign w:val="bottom"/>
          </w:tcPr>
          <w:p>
            <w:pPr>
              <w:ind w:left="20"/>
              <w:spacing w:after="0" w:line="178" w:lineRule="exact"/>
              <w:rPr>
                <w:sz w:val="20"/>
                <w:szCs w:val="20"/>
                <w:color w:val="auto"/>
              </w:rPr>
            </w:pPr>
            <w:r>
              <w:rPr>
                <w:rFonts w:ascii="Arial" w:cs="Arial" w:eastAsia="Arial" w:hAnsi="Arial"/>
                <w:sz w:val="16"/>
                <w:szCs w:val="16"/>
                <w:color w:val="auto"/>
              </w:rPr>
              <w:t>Fuel, purchased power and cost of</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8"/>
        </w:trPr>
        <w:tc>
          <w:tcPr>
            <w:tcW w:w="262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1,952</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540</w:t>
            </w:r>
          </w:p>
        </w:tc>
        <w:tc>
          <w:tcPr>
            <w:tcW w:w="200" w:type="dxa"/>
            <w:vAlign w:val="bottom"/>
          </w:tcPr>
          <w:p>
            <w:pPr>
              <w:spacing w:after="0"/>
              <w:rPr>
                <w:sz w:val="17"/>
                <w:szCs w:val="17"/>
                <w:color w:val="auto"/>
              </w:rPr>
            </w:pPr>
          </w:p>
        </w:tc>
        <w:tc>
          <w:tcPr>
            <w:tcW w:w="3420" w:type="dxa"/>
            <w:vAlign w:val="bottom"/>
            <w:gridSpan w:val="2"/>
          </w:tcPr>
          <w:p>
            <w:pPr>
              <w:ind w:left="380"/>
              <w:spacing w:after="0"/>
              <w:rPr>
                <w:sz w:val="20"/>
                <w:szCs w:val="20"/>
                <w:color w:val="auto"/>
              </w:rPr>
            </w:pPr>
            <w:r>
              <w:rPr>
                <w:rFonts w:ascii="Arial" w:cs="Arial" w:eastAsia="Arial" w:hAnsi="Arial"/>
                <w:sz w:val="16"/>
                <w:szCs w:val="16"/>
                <w:color w:val="auto"/>
              </w:rPr>
              <w:t>(965) natural gas sold</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2,051</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238"/>
        </w:trPr>
        <w:tc>
          <w:tcPr>
            <w:tcW w:w="2620" w:type="dxa"/>
            <w:vAlign w:val="bottom"/>
            <w:tcBorders>
              <w:top w:val="single" w:sz="8" w:color="CEFEE7"/>
              <w:bottom w:val="single" w:sz="8" w:color="CEFEE7"/>
            </w:tcBorders>
            <w:shd w:val="clear" w:color="auto" w:fill="CEFEE7"/>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right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4,803</w:t>
            </w:r>
          </w:p>
        </w:tc>
        <w:tc>
          <w:tcPr>
            <w:tcW w:w="220" w:type="dxa"/>
            <w:vAlign w:val="bottom"/>
            <w:tcBorders>
              <w:top w:val="single" w:sz="8" w:color="auto"/>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3,391</w:t>
            </w:r>
          </w:p>
        </w:tc>
        <w:tc>
          <w:tcPr>
            <w:tcW w:w="200" w:type="dxa"/>
            <w:vAlign w:val="bottom"/>
            <w:tcBorders>
              <w:top w:val="single" w:sz="8" w:color="auto"/>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1,886</w:t>
            </w:r>
          </w:p>
        </w:tc>
        <w:tc>
          <w:tcPr>
            <w:tcW w:w="2640" w:type="dxa"/>
            <w:vAlign w:val="bottom"/>
            <w:tcBorders>
              <w:top w:val="single" w:sz="8" w:color="CEFEE7"/>
              <w:bottom w:val="single" w:sz="8" w:color="CEFEE7"/>
            </w:tcBorders>
            <w:shd w:val="clear" w:color="auto" w:fill="CEFEE7"/>
          </w:tcPr>
          <w:p>
            <w:pPr>
              <w:spacing w:after="0"/>
              <w:rPr>
                <w:sz w:val="20"/>
                <w:szCs w:val="20"/>
                <w:color w:val="auto"/>
              </w:rPr>
            </w:pPr>
          </w:p>
        </w:tc>
        <w:tc>
          <w:tcPr>
            <w:tcW w:w="220" w:type="dxa"/>
            <w:vAlign w:val="bottom"/>
            <w:tcBorders>
              <w:top w:val="single" w:sz="8" w:color="auto"/>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(800)</w:t>
            </w:r>
          </w:p>
        </w:tc>
        <w:tc>
          <w:tcPr>
            <w:tcW w:w="240" w:type="dxa"/>
            <w:vAlign w:val="bottom"/>
            <w:tcBorders>
              <w:top w:val="single" w:sz="8" w:color="auto"/>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(3,452)</w:t>
            </w:r>
          </w:p>
        </w:tc>
        <w:tc>
          <w:tcPr>
            <w:tcW w:w="220" w:type="dxa"/>
            <w:vAlign w:val="bottom"/>
            <w:tcBorders>
              <w:top w:val="single" w:sz="8" w:color="auto"/>
              <w:bottom w:val="single" w:sz="8" w:color="auto"/>
            </w:tcBorders>
            <w:shd w:val="clear" w:color="auto" w:fill="CEFFE7"/>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(2,434)</w:t>
            </w:r>
          </w:p>
        </w:tc>
      </w:tr>
      <w:tr>
        <w:trPr>
          <w:trHeight w:val="20"/>
        </w:trPr>
        <w:tc>
          <w:tcPr>
            <w:tcW w:w="2620" w:type="dxa"/>
            <w:vAlign w:val="bottom"/>
            <w:tcBorders>
              <w:top w:val="single" w:sz="8" w:color="CEFEE7"/>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2640" w:type="dxa"/>
            <w:vAlign w:val="bottom"/>
            <w:tcBorders>
              <w:top w:val="single" w:sz="8" w:color="CEFE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As of December 31, 2021, $0.9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248"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Consolidated Statements of Income for the years ended December 31, 2021, 2020 and 2019. Note that this presentation does not reflect the expected gains or losses arising from the underlying physical transactions; therefore, it is not indicative of the economic gross profit we realized when the underlying physical and financial transactions were settled.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2020</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2019</w:t>
            </w:r>
          </w:p>
        </w:tc>
      </w:tr>
      <w:tr>
        <w:trPr>
          <w:trHeight w:val="174"/>
        </w:trPr>
        <w:tc>
          <w:tcPr>
            <w:tcW w:w="3320" w:type="dxa"/>
            <w:vAlign w:val="bottom"/>
          </w:tcPr>
          <w:p>
            <w:pPr>
              <w:jc w:val="center"/>
              <w:ind w:left="59"/>
              <w:spacing w:after="0" w:line="174" w:lineRule="exact"/>
              <w:rPr>
                <w:sz w:val="20"/>
                <w:szCs w:val="20"/>
                <w:color w:val="auto"/>
              </w:rPr>
            </w:pPr>
            <w:r>
              <w:rPr>
                <w:rFonts w:ascii="Arial" w:cs="Arial" w:eastAsia="Arial" w:hAnsi="Arial"/>
                <w:sz w:val="16"/>
                <w:szCs w:val="16"/>
                <w:color w:val="auto"/>
              </w:rPr>
              <w:t>Derivatives Not Designated as Hedging</w:t>
            </w:r>
          </w:p>
        </w:tc>
        <w:tc>
          <w:tcPr>
            <w:tcW w:w="4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gridSpan w:val="5"/>
          </w:tcPr>
          <w:p>
            <w:pPr>
              <w:jc w:val="center"/>
              <w:ind w:right="139"/>
              <w:spacing w:after="0" w:line="174" w:lineRule="exact"/>
              <w:rPr>
                <w:sz w:val="20"/>
                <w:szCs w:val="20"/>
                <w:color w:val="auto"/>
              </w:rPr>
            </w:pPr>
            <w:r>
              <w:rPr>
                <w:rFonts w:ascii="Arial" w:cs="Arial" w:eastAsia="Arial" w:hAnsi="Arial"/>
                <w:sz w:val="16"/>
                <w:szCs w:val="16"/>
                <w:color w:val="auto"/>
              </w:rPr>
              <w:t>Amount of Gain/(Loss) on Derivatives</w:t>
            </w:r>
          </w:p>
        </w:tc>
      </w:tr>
      <w:tr>
        <w:trPr>
          <w:trHeight w:val="198"/>
        </w:trPr>
        <w:tc>
          <w:tcPr>
            <w:tcW w:w="33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Instruments</w:t>
            </w:r>
          </w:p>
        </w:tc>
        <w:tc>
          <w:tcPr>
            <w:tcW w:w="4560" w:type="dxa"/>
            <w:vAlign w:val="bottom"/>
            <w:tcBorders>
              <w:bottom w:val="single" w:sz="8" w:color="auto"/>
            </w:tcBorders>
          </w:tcPr>
          <w:p>
            <w:pPr>
              <w:ind w:left="1360"/>
              <w:spacing w:after="0"/>
              <w:rPr>
                <w:sz w:val="20"/>
                <w:szCs w:val="20"/>
                <w:color w:val="auto"/>
              </w:rPr>
            </w:pPr>
            <w:r>
              <w:rPr>
                <w:rFonts w:ascii="Arial" w:cs="Arial" w:eastAsia="Arial" w:hAnsi="Arial"/>
                <w:sz w:val="16"/>
                <w:szCs w:val="16"/>
                <w:color w:val="auto"/>
              </w:rPr>
              <w:t>Income Statement Location</w:t>
            </w:r>
          </w:p>
        </w:tc>
        <w:tc>
          <w:tcPr>
            <w:tcW w:w="2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center"/>
              <w:ind w:left="499"/>
              <w:spacing w:after="0"/>
              <w:rPr>
                <w:sz w:val="20"/>
                <w:szCs w:val="20"/>
                <w:color w:val="auto"/>
              </w:rPr>
            </w:pPr>
            <w:r>
              <w:rPr>
                <w:rFonts w:ascii="Arial" w:cs="Arial" w:eastAsia="Arial" w:hAnsi="Arial"/>
                <w:sz w:val="16"/>
                <w:szCs w:val="16"/>
                <w:color w:val="auto"/>
              </w:rPr>
              <w:t>Recognized in Income</w:t>
            </w:r>
          </w:p>
        </w:tc>
        <w:tc>
          <w:tcPr>
            <w:tcW w:w="800" w:type="dxa"/>
            <w:vAlign w:val="bottom"/>
            <w:tcBorders>
              <w:bottom w:val="single" w:sz="8" w:color="auto"/>
            </w:tcBorders>
          </w:tcPr>
          <w:p>
            <w:pPr>
              <w:spacing w:after="0"/>
              <w:rPr>
                <w:sz w:val="17"/>
                <w:szCs w:val="17"/>
                <w:color w:val="auto"/>
              </w:rPr>
            </w:pPr>
          </w:p>
        </w:tc>
      </w:tr>
      <w:tr>
        <w:trPr>
          <w:trHeight w:val="209"/>
        </w:trPr>
        <w:tc>
          <w:tcPr>
            <w:tcW w:w="3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rPr>
              <w:t>(in thousands)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3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Commodity derivatives - Electric</w:t>
            </w:r>
          </w:p>
        </w:tc>
        <w:tc>
          <w:tcPr>
            <w:tcW w:w="4560" w:type="dxa"/>
            <w:vAlign w:val="bottom"/>
            <w:shd w:val="clear" w:color="auto" w:fill="CEFEE7"/>
          </w:tcPr>
          <w:p>
            <w:pPr>
              <w:ind w:left="160"/>
              <w:spacing w:after="0"/>
              <w:rPr>
                <w:sz w:val="20"/>
                <w:szCs w:val="20"/>
                <w:color w:val="auto"/>
              </w:rPr>
            </w:pPr>
            <w:r>
              <w:rPr>
                <w:rFonts w:ascii="Arial" w:cs="Arial" w:eastAsia="Arial" w:hAnsi="Arial"/>
                <w:sz w:val="16"/>
                <w:szCs w:val="16"/>
                <w:color w:val="auto"/>
              </w:rPr>
              <w:t>Fuel, purchased power and cost of natural gas sold</w:t>
            </w:r>
          </w:p>
        </w:tc>
        <w:tc>
          <w:tcPr>
            <w:tcW w:w="220" w:type="dxa"/>
            <w:vAlign w:val="bottom"/>
            <w:shd w:val="clear" w:color="auto" w:fill="CEFEE7"/>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(144)</w:t>
            </w:r>
          </w:p>
        </w:tc>
        <w:tc>
          <w:tcPr>
            <w:tcW w:w="240" w:type="dxa"/>
            <w:vAlign w:val="bottom"/>
            <w:shd w:val="clear" w:color="auto" w:fill="CEFEE7"/>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144</w:t>
            </w:r>
          </w:p>
        </w:tc>
        <w:tc>
          <w:tcPr>
            <w:tcW w:w="340" w:type="dxa"/>
            <w:vAlign w:val="bottom"/>
            <w:shd w:val="clear" w:color="auto" w:fill="CEFEE7"/>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320" w:type="dxa"/>
            <w:vAlign w:val="bottom"/>
            <w:tcBorders>
              <w:bottom w:val="single" w:sz="8" w:color="CEFEE7"/>
            </w:tcBorders>
          </w:tcPr>
          <w:p>
            <w:pPr>
              <w:ind w:left="20"/>
              <w:spacing w:after="0"/>
              <w:rPr>
                <w:sz w:val="20"/>
                <w:szCs w:val="20"/>
                <w:color w:val="auto"/>
              </w:rPr>
            </w:pPr>
            <w:r>
              <w:rPr>
                <w:rFonts w:ascii="Arial" w:cs="Arial" w:eastAsia="Arial" w:hAnsi="Arial"/>
                <w:sz w:val="16"/>
                <w:szCs w:val="16"/>
                <w:color w:val="auto"/>
              </w:rPr>
              <w:t>Commodity derivatives - Natural Gas</w:t>
            </w:r>
          </w:p>
        </w:tc>
        <w:tc>
          <w:tcPr>
            <w:tcW w:w="4560" w:type="dxa"/>
            <w:vAlign w:val="bottom"/>
            <w:tcBorders>
              <w:bottom w:val="single" w:sz="8" w:color="CEFEE7"/>
            </w:tcBorders>
          </w:tcPr>
          <w:p>
            <w:pPr>
              <w:ind w:left="160"/>
              <w:spacing w:after="0"/>
              <w:rPr>
                <w:sz w:val="20"/>
                <w:szCs w:val="20"/>
                <w:color w:val="auto"/>
              </w:rPr>
            </w:pPr>
            <w:r>
              <w:rPr>
                <w:rFonts w:ascii="Arial" w:cs="Arial" w:eastAsia="Arial" w:hAnsi="Arial"/>
                <w:sz w:val="16"/>
                <w:szCs w:val="16"/>
                <w:color w:val="auto"/>
              </w:rPr>
              <w:t>Fuel, purchased power and cost of natural gas sold</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2,599</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r>
      <w:tr>
        <w:trPr>
          <w:trHeight w:val="234"/>
        </w:trPr>
        <w:tc>
          <w:tcPr>
            <w:tcW w:w="3320" w:type="dxa"/>
            <w:vAlign w:val="bottom"/>
            <w:tcBorders>
              <w:bottom w:val="single" w:sz="8" w:color="CEFEE7"/>
            </w:tcBorders>
            <w:shd w:val="clear" w:color="auto" w:fill="CEFEE7"/>
          </w:tcPr>
          <w:p>
            <w:pPr>
              <w:spacing w:after="0"/>
              <w:rPr>
                <w:sz w:val="19"/>
                <w:szCs w:val="19"/>
                <w:color w:val="auto"/>
              </w:rPr>
            </w:pPr>
          </w:p>
        </w:tc>
        <w:tc>
          <w:tcPr>
            <w:tcW w:w="4560" w:type="dxa"/>
            <w:vAlign w:val="bottom"/>
            <w:tcBorders>
              <w:bottom w:val="single" w:sz="8" w:color="CEFEE7"/>
            </w:tcBorders>
            <w:shd w:val="clear" w:color="auto" w:fill="CEFEE7"/>
          </w:tcPr>
          <w:p>
            <w:pPr>
              <w:spacing w:after="0"/>
              <w:rPr>
                <w:sz w:val="19"/>
                <w:szCs w:val="19"/>
                <w:color w:val="auto"/>
              </w:rPr>
            </w:pPr>
          </w:p>
        </w:tc>
        <w:tc>
          <w:tcPr>
            <w:tcW w:w="220" w:type="dxa"/>
            <w:vAlign w:val="bottom"/>
            <w:tcBorders>
              <w:bottom w:val="single" w:sz="8" w:color="auto"/>
            </w:tcBorders>
            <w:shd w:val="clear" w:color="auto" w:fill="CEFEE7"/>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2,455</w:t>
            </w:r>
          </w:p>
        </w:tc>
        <w:tc>
          <w:tcPr>
            <w:tcW w:w="240" w:type="dxa"/>
            <w:vAlign w:val="bottom"/>
            <w:tcBorders>
              <w:bottom w:val="single" w:sz="8" w:color="auto"/>
            </w:tcBorders>
            <w:shd w:val="clear" w:color="auto" w:fill="CEFEE7"/>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1,784</w:t>
            </w:r>
          </w:p>
        </w:tc>
        <w:tc>
          <w:tcPr>
            <w:tcW w:w="340" w:type="dxa"/>
            <w:vAlign w:val="bottom"/>
            <w:tcBorders>
              <w:bottom w:val="single" w:sz="8" w:color="auto"/>
            </w:tcBorders>
            <w:shd w:val="clear" w:color="auto" w:fill="CEFEE7"/>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(1,100)</w:t>
            </w:r>
          </w:p>
        </w:tc>
      </w:tr>
      <w:tr>
        <w:trPr>
          <w:trHeight w:val="20"/>
        </w:trPr>
        <w:tc>
          <w:tcPr>
            <w:tcW w:w="3320" w:type="dxa"/>
            <w:vAlign w:val="bottom"/>
            <w:tcBorders>
              <w:top w:val="single" w:sz="8" w:color="CEFEE7"/>
            </w:tcBorders>
          </w:tcPr>
          <w:p>
            <w:pPr>
              <w:spacing w:after="0" w:line="20" w:lineRule="exact"/>
              <w:rPr>
                <w:sz w:val="1"/>
                <w:szCs w:val="1"/>
                <w:color w:val="auto"/>
              </w:rPr>
            </w:pPr>
          </w:p>
        </w:tc>
        <w:tc>
          <w:tcPr>
            <w:tcW w:w="4560" w:type="dxa"/>
            <w:vAlign w:val="bottom"/>
            <w:tcBorders>
              <w:top w:val="single" w:sz="8" w:color="CEFEE7"/>
            </w:tcBorders>
          </w:tcPr>
          <w:p>
            <w:pPr>
              <w:spacing w:after="0" w:line="20" w:lineRule="exact"/>
              <w:rPr>
                <w:sz w:val="1"/>
                <w:szCs w:val="1"/>
                <w:color w:val="auto"/>
              </w:rPr>
            </w:pPr>
          </w:p>
        </w:tc>
        <w:tc>
          <w:tcPr>
            <w:tcW w:w="220" w:type="dxa"/>
            <w:vAlign w:val="bottom"/>
            <w:tcBorders>
              <w:top w:val="single" w:sz="8" w:color="CEFEE7"/>
              <w:bottom w:val="single" w:sz="8" w:color="auto"/>
            </w:tcBorders>
          </w:tcPr>
          <w:p>
            <w:pPr>
              <w:spacing w:after="0" w:line="20" w:lineRule="exact"/>
              <w:rPr>
                <w:sz w:val="1"/>
                <w:szCs w:val="1"/>
                <w:color w:val="auto"/>
              </w:rPr>
            </w:pPr>
          </w:p>
        </w:tc>
        <w:tc>
          <w:tcPr>
            <w:tcW w:w="900" w:type="dxa"/>
            <w:vAlign w:val="bottom"/>
            <w:tcBorders>
              <w:top w:val="single" w:sz="8" w:color="CEFEE7"/>
              <w:bottom w:val="single" w:sz="8" w:color="auto"/>
            </w:tcBorders>
          </w:tcPr>
          <w:p>
            <w:pPr>
              <w:spacing w:after="0" w:line="20" w:lineRule="exact"/>
              <w:rPr>
                <w:sz w:val="1"/>
                <w:szCs w:val="1"/>
                <w:color w:val="auto"/>
              </w:rPr>
            </w:pPr>
          </w:p>
        </w:tc>
        <w:tc>
          <w:tcPr>
            <w:tcW w:w="240" w:type="dxa"/>
            <w:vAlign w:val="bottom"/>
            <w:tcBorders>
              <w:top w:val="single" w:sz="8" w:color="CEFEE7"/>
              <w:bottom w:val="single" w:sz="8" w:color="auto"/>
            </w:tcBorders>
          </w:tcPr>
          <w:p>
            <w:pPr>
              <w:spacing w:after="0" w:line="20" w:lineRule="exact"/>
              <w:rPr>
                <w:sz w:val="1"/>
                <w:szCs w:val="1"/>
                <w:color w:val="auto"/>
              </w:rPr>
            </w:pPr>
          </w:p>
        </w:tc>
        <w:tc>
          <w:tcPr>
            <w:tcW w:w="860" w:type="dxa"/>
            <w:vAlign w:val="bottom"/>
            <w:tcBorders>
              <w:top w:val="single" w:sz="8" w:color="CEFEE7"/>
              <w:bottom w:val="single" w:sz="8" w:color="auto"/>
            </w:tcBorders>
          </w:tcPr>
          <w:p>
            <w:pPr>
              <w:spacing w:after="0" w:line="20" w:lineRule="exact"/>
              <w:rPr>
                <w:sz w:val="1"/>
                <w:szCs w:val="1"/>
                <w:color w:val="auto"/>
              </w:rPr>
            </w:pPr>
          </w:p>
        </w:tc>
        <w:tc>
          <w:tcPr>
            <w:tcW w:w="340" w:type="dxa"/>
            <w:vAlign w:val="bottom"/>
            <w:tcBorders>
              <w:top w:val="single" w:sz="8" w:color="CEFEE7"/>
              <w:bottom w:val="single" w:sz="8" w:color="auto"/>
            </w:tcBorders>
          </w:tcPr>
          <w:p>
            <w:pPr>
              <w:spacing w:after="0" w:line="20" w:lineRule="exact"/>
              <w:rPr>
                <w:sz w:val="1"/>
                <w:szCs w:val="1"/>
                <w:color w:val="auto"/>
              </w:rPr>
            </w:pPr>
          </w:p>
        </w:tc>
        <w:tc>
          <w:tcPr>
            <w:tcW w:w="800" w:type="dxa"/>
            <w:vAlign w:val="bottom"/>
            <w:tcBorders>
              <w:top w:val="single" w:sz="8" w:color="CEFE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assets or Regulatory liability accounts related to these financial instruments in our Gas Utilities were $2.6 million and $2.2 million at December 31, 2021 and 2020, respectively. For our Electric Utilities, the unrealized gains and losses arising from these derivatives are recognized in the Consolidated Statements of Income.</w:t>
      </w:r>
    </w:p>
    <w:p>
      <w:pPr>
        <w:spacing w:after="0" w:line="200" w:lineRule="exact"/>
        <w:rPr>
          <w:sz w:val="20"/>
          <w:szCs w:val="20"/>
          <w:color w:val="auto"/>
        </w:rPr>
      </w:pPr>
    </w:p>
    <w:p>
      <w:pPr>
        <w:spacing w:after="0" w:line="253" w:lineRule="exact"/>
        <w:rPr>
          <w:sz w:val="20"/>
          <w:szCs w:val="20"/>
          <w:color w:val="auto"/>
        </w:rPr>
      </w:pPr>
    </w:p>
    <w:p>
      <w:pPr>
        <w:ind w:left="480" w:hanging="472"/>
        <w:spacing w:after="0"/>
        <w:tabs>
          <w:tab w:leader="none" w:pos="48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26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following tables set forth, by level within the fair value hierarchy, our gross assets and gross liabilities and related offsetting as permitted by GAAP that were accounted for at fair value on a recurring basis for derivative instruments.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As of December 31, 2021</w:t>
            </w: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Cash Collateral and</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Level 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179"/>
              <w:spacing w:after="0"/>
              <w:rPr>
                <w:sz w:val="20"/>
                <w:szCs w:val="20"/>
                <w:color w:val="auto"/>
              </w:rPr>
            </w:pPr>
            <w:r>
              <w:rPr>
                <w:rFonts w:ascii="Arial" w:cs="Arial" w:eastAsia="Arial" w:hAnsi="Arial"/>
                <w:sz w:val="16"/>
                <w:szCs w:val="16"/>
                <w:color w:val="auto"/>
              </w:rPr>
              <w:t>Level 2</w:t>
            </w:r>
          </w:p>
        </w:tc>
        <w:tc>
          <w:tcPr>
            <w:tcW w:w="220" w:type="dxa"/>
            <w:vAlign w:val="bottom"/>
          </w:tcPr>
          <w:p>
            <w:pPr>
              <w:spacing w:after="0"/>
              <w:rPr>
                <w:sz w:val="12"/>
                <w:szCs w:val="12"/>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6"/>
                <w:szCs w:val="16"/>
                <w:color w:val="auto"/>
              </w:rPr>
              <w:t>Level 3</w:t>
            </w:r>
          </w:p>
        </w:tc>
        <w:tc>
          <w:tcPr>
            <w:tcW w:w="1600" w:type="dxa"/>
            <w:vAlign w:val="bottom"/>
            <w:gridSpan w:val="2"/>
          </w:tcPr>
          <w:p>
            <w:pPr>
              <w:jc w:val="center"/>
              <w:spacing w:after="0" w:line="147" w:lineRule="exact"/>
              <w:rPr>
                <w:sz w:val="20"/>
                <w:szCs w:val="20"/>
                <w:color w:val="auto"/>
              </w:rPr>
            </w:pPr>
            <w:r>
              <w:rPr>
                <w:rFonts w:ascii="Arial" w:cs="Arial" w:eastAsia="Arial" w:hAnsi="Arial"/>
                <w:sz w:val="16"/>
                <w:szCs w:val="16"/>
                <w:color w:val="auto"/>
              </w:rPr>
              <w:t>Counterparty Netting</w:t>
            </w:r>
          </w:p>
        </w:tc>
        <w:tc>
          <w:tcPr>
            <w:tcW w:w="380" w:type="dxa"/>
            <w:vAlign w:val="bottom"/>
          </w:tcPr>
          <w:p>
            <w:pPr>
              <w:spacing w:after="0"/>
              <w:rPr>
                <w:sz w:val="12"/>
                <w:szCs w:val="12"/>
                <w:color w:val="auto"/>
              </w:rPr>
            </w:pPr>
          </w:p>
        </w:tc>
        <w:tc>
          <w:tcPr>
            <w:tcW w:w="1220" w:type="dxa"/>
            <w:vAlign w:val="bottom"/>
            <w:vMerge w:val="restart"/>
          </w:tcPr>
          <w:p>
            <w:pPr>
              <w:jc w:val="right"/>
              <w:ind w:right="53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45"/>
        </w:trPr>
        <w:tc>
          <w:tcPr>
            <w:tcW w:w="43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jc w:val="center"/>
              <w:ind w:right="623"/>
              <w:spacing w:after="0" w:line="125" w:lineRule="exact"/>
              <w:rPr>
                <w:sz w:val="20"/>
                <w:szCs w:val="20"/>
                <w:color w:val="auto"/>
              </w:rPr>
            </w:pPr>
            <w:r>
              <w:rPr>
                <w:rFonts w:ascii="Arial" w:cs="Arial" w:eastAsia="Arial" w:hAnsi="Arial"/>
                <w:sz w:val="11"/>
                <w:szCs w:val="11"/>
                <w:color w:val="auto"/>
                <w:w w:val="88"/>
              </w:rPr>
              <w:t>(a)</w:t>
            </w:r>
          </w:p>
        </w:tc>
        <w:tc>
          <w:tcPr>
            <w:tcW w:w="3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EFEE7"/>
          </w:tcPr>
          <w:p>
            <w:pPr>
              <w:spacing w:after="0"/>
              <w:rPr>
                <w:sz w:val="19"/>
                <w:szCs w:val="19"/>
                <w:color w:val="auto"/>
              </w:rPr>
            </w:pPr>
          </w:p>
        </w:tc>
        <w:tc>
          <w:tcPr>
            <w:tcW w:w="860" w:type="dxa"/>
            <w:vAlign w:val="bottom"/>
            <w:shd w:val="clear" w:color="auto" w:fill="CEFEE7"/>
          </w:tcPr>
          <w:p>
            <w:pPr>
              <w:spacing w:after="0"/>
              <w:rPr>
                <w:sz w:val="19"/>
                <w:szCs w:val="19"/>
                <w:color w:val="auto"/>
              </w:rPr>
            </w:pPr>
          </w:p>
        </w:tc>
        <w:tc>
          <w:tcPr>
            <w:tcW w:w="240" w:type="dxa"/>
            <w:vAlign w:val="bottom"/>
            <w:shd w:val="clear" w:color="auto" w:fill="CEFEE7"/>
          </w:tcPr>
          <w:p>
            <w:pPr>
              <w:spacing w:after="0"/>
              <w:rPr>
                <w:sz w:val="19"/>
                <w:szCs w:val="19"/>
                <w:color w:val="auto"/>
              </w:rPr>
            </w:pPr>
          </w:p>
        </w:tc>
        <w:tc>
          <w:tcPr>
            <w:tcW w:w="220" w:type="dxa"/>
            <w:vAlign w:val="bottom"/>
            <w:shd w:val="clear" w:color="auto" w:fill="CEFEE7"/>
          </w:tcPr>
          <w:p>
            <w:pPr>
              <w:spacing w:after="0"/>
              <w:rPr>
                <w:sz w:val="19"/>
                <w:szCs w:val="19"/>
                <w:color w:val="auto"/>
              </w:rPr>
            </w:pPr>
          </w:p>
        </w:tc>
        <w:tc>
          <w:tcPr>
            <w:tcW w:w="900" w:type="dxa"/>
            <w:vAlign w:val="bottom"/>
            <w:shd w:val="clear" w:color="auto" w:fill="CEFEE7"/>
          </w:tcPr>
          <w:p>
            <w:pPr>
              <w:spacing w:after="0"/>
              <w:rPr>
                <w:sz w:val="19"/>
                <w:szCs w:val="19"/>
                <w:color w:val="auto"/>
              </w:rPr>
            </w:pPr>
          </w:p>
        </w:tc>
        <w:tc>
          <w:tcPr>
            <w:tcW w:w="220" w:type="dxa"/>
            <w:vAlign w:val="bottom"/>
            <w:shd w:val="clear" w:color="auto" w:fill="CEFEE7"/>
          </w:tcPr>
          <w:p>
            <w:pPr>
              <w:spacing w:after="0"/>
              <w:rPr>
                <w:sz w:val="19"/>
                <w:szCs w:val="19"/>
                <w:color w:val="auto"/>
              </w:rPr>
            </w:pPr>
          </w:p>
        </w:tc>
        <w:tc>
          <w:tcPr>
            <w:tcW w:w="1960" w:type="dxa"/>
            <w:vAlign w:val="bottom"/>
            <w:gridSpan w:val="3"/>
            <w:shd w:val="clear" w:color="auto" w:fill="CEFEE7"/>
          </w:tcPr>
          <w:p>
            <w:pPr>
              <w:jc w:val="center"/>
              <w:spacing w:after="0"/>
              <w:rPr>
                <w:sz w:val="20"/>
                <w:szCs w:val="20"/>
                <w:color w:val="auto"/>
              </w:rPr>
            </w:pPr>
            <w:r>
              <w:rPr>
                <w:rFonts w:ascii="Arial" w:cs="Arial" w:eastAsia="Arial" w:hAnsi="Arial"/>
                <w:sz w:val="16"/>
                <w:szCs w:val="16"/>
                <w:color w:val="auto"/>
              </w:rPr>
              <w:t>(in thousands)</w:t>
            </w:r>
          </w:p>
        </w:tc>
        <w:tc>
          <w:tcPr>
            <w:tcW w:w="900" w:type="dxa"/>
            <w:vAlign w:val="bottom"/>
            <w:shd w:val="clear" w:color="auto" w:fill="CEFEE7"/>
          </w:tcPr>
          <w:p>
            <w:pPr>
              <w:spacing w:after="0"/>
              <w:rPr>
                <w:sz w:val="19"/>
                <w:szCs w:val="19"/>
                <w:color w:val="auto"/>
              </w:rPr>
            </w:pPr>
          </w:p>
        </w:tc>
        <w:tc>
          <w:tcPr>
            <w:tcW w:w="380" w:type="dxa"/>
            <w:vAlign w:val="bottom"/>
            <w:shd w:val="clear" w:color="auto" w:fill="CEFEE7"/>
          </w:tcPr>
          <w:p>
            <w:pPr>
              <w:spacing w:after="0"/>
              <w:rPr>
                <w:sz w:val="19"/>
                <w:szCs w:val="19"/>
                <w:color w:val="auto"/>
              </w:rPr>
            </w:pPr>
          </w:p>
        </w:tc>
        <w:tc>
          <w:tcPr>
            <w:tcW w:w="1220" w:type="dxa"/>
            <w:vAlign w:val="bottom"/>
            <w:shd w:val="clear" w:color="auto" w:fill="CEFE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color w:val="auto"/>
              </w:rPr>
              <w:t>Assets: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EFE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860" w:type="dxa"/>
            <w:vAlign w:val="bottom"/>
            <w:shd w:val="clear" w:color="auto" w:fill="CEFEE7"/>
          </w:tcPr>
          <w:p>
            <w:pPr>
              <w:jc w:val="right"/>
              <w:ind w:right="67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EFEE7"/>
          </w:tcPr>
          <w:p>
            <w:pPr>
              <w:ind w:lef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7,569</w:t>
            </w:r>
          </w:p>
        </w:tc>
        <w:tc>
          <w:tcPr>
            <w:tcW w:w="2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EFEE7"/>
          </w:tcPr>
          <w:p>
            <w:pPr>
              <w:ind w:left="7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EFEE7"/>
          </w:tcPr>
          <w:p>
            <w:pPr>
              <w:jc w:val="right"/>
              <w:ind w:right="5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(2,374)</w:t>
            </w:r>
          </w:p>
        </w:tc>
        <w:tc>
          <w:tcPr>
            <w:tcW w:w="380" w:type="dxa"/>
            <w:vAlign w:val="bottom"/>
            <w:shd w:val="clear" w:color="auto" w:fill="CEFEE7"/>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5,195</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EFEE7"/>
            </w:tcBorders>
          </w:tcPr>
          <w:p>
            <w:pPr>
              <w:ind w:left="140"/>
              <w:spacing w:after="0"/>
              <w:rPr>
                <w:sz w:val="20"/>
                <w:szCs w:val="20"/>
                <w:color w:val="auto"/>
              </w:rPr>
            </w:pPr>
            <w:r>
              <w:rPr>
                <w:rFonts w:ascii="Arial" w:cs="Arial" w:eastAsia="Arial" w:hAnsi="Arial"/>
                <w:sz w:val="16"/>
                <w:szCs w:val="16"/>
                <w:color w:val="auto"/>
              </w:rPr>
              <w:t>Commodity derivatives - Electric Utilities</w:t>
            </w: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EFEE7"/>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340" w:type="dxa"/>
            <w:vAlign w:val="bottom"/>
            <w:shd w:val="clear" w:color="auto" w:fill="CEFEE7"/>
          </w:tcPr>
          <w:p>
            <w:pPr>
              <w:ind w:left="140"/>
              <w:spacing w:after="0"/>
              <w:rPr>
                <w:sz w:val="20"/>
                <w:szCs w:val="20"/>
                <w:color w:val="auto"/>
              </w:rPr>
            </w:pPr>
            <w:r>
              <w:rPr>
                <w:rFonts w:ascii="Arial" w:cs="Arial" w:eastAsia="Arial" w:hAnsi="Arial"/>
                <w:sz w:val="16"/>
                <w:szCs w:val="16"/>
                <w:color w:val="auto"/>
              </w:rPr>
              <w:t>Total</w:t>
            </w:r>
          </w:p>
        </w:tc>
        <w:tc>
          <w:tcPr>
            <w:tcW w:w="860" w:type="dxa"/>
            <w:vAlign w:val="bottom"/>
            <w:shd w:val="clear" w:color="auto" w:fill="CEFEE7"/>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EFEE7"/>
          </w:tcPr>
          <w:p>
            <w:pPr>
              <w:jc w:val="right"/>
              <w:spacing w:after="0"/>
              <w:rPr>
                <w:sz w:val="20"/>
                <w:szCs w:val="20"/>
                <w:color w:val="auto"/>
              </w:rPr>
            </w:pPr>
            <w:r>
              <w:rPr>
                <w:rFonts w:ascii="Arial" w:cs="Arial" w:eastAsia="Arial" w:hAnsi="Arial"/>
                <w:sz w:val="16"/>
                <w:szCs w:val="16"/>
                <w:color w:val="auto"/>
              </w:rPr>
              <w:t>— $</w:t>
            </w:r>
          </w:p>
        </w:tc>
        <w:tc>
          <w:tcPr>
            <w:tcW w:w="9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7,569</w:t>
            </w:r>
          </w:p>
        </w:tc>
        <w:tc>
          <w:tcPr>
            <w:tcW w:w="2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EFEE7"/>
          </w:tcPr>
          <w:p>
            <w:pPr>
              <w:ind w:left="7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EFEE7"/>
          </w:tcPr>
          <w:p>
            <w:pPr>
              <w:jc w:val="right"/>
              <w:ind w:right="5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(2,374)</w:t>
            </w:r>
          </w:p>
        </w:tc>
        <w:tc>
          <w:tcPr>
            <w:tcW w:w="380" w:type="dxa"/>
            <w:vAlign w:val="bottom"/>
            <w:shd w:val="clear" w:color="auto" w:fill="CEFEE7"/>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5,195</w:t>
            </w:r>
          </w:p>
        </w:tc>
        <w:tc>
          <w:tcPr>
            <w:tcW w:w="0" w:type="dxa"/>
            <w:vAlign w:val="bottom"/>
          </w:tcPr>
          <w:p>
            <w:pPr>
              <w:spacing w:after="0"/>
              <w:rPr>
                <w:sz w:val="1"/>
                <w:szCs w:val="1"/>
                <w:color w:val="auto"/>
              </w:rPr>
            </w:pPr>
          </w:p>
        </w:tc>
      </w:tr>
      <w:tr>
        <w:trPr>
          <w:trHeight w:val="20"/>
        </w:trPr>
        <w:tc>
          <w:tcPr>
            <w:tcW w:w="4340" w:type="dxa"/>
            <w:vAlign w:val="bottom"/>
            <w:tcBorders>
              <w:top w:val="single" w:sz="8" w:color="CEFEE7"/>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EFEE7"/>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EFEE7"/>
          </w:tcPr>
          <w:p>
            <w:pPr>
              <w:ind w:left="20"/>
              <w:spacing w:after="0"/>
              <w:rPr>
                <w:sz w:val="20"/>
                <w:szCs w:val="20"/>
                <w:color w:val="auto"/>
              </w:rPr>
            </w:pPr>
            <w:r>
              <w:rPr>
                <w:rFonts w:ascii="Arial" w:cs="Arial" w:eastAsia="Arial" w:hAnsi="Arial"/>
                <w:sz w:val="16"/>
                <w:szCs w:val="16"/>
                <w:color w:val="auto"/>
              </w:rPr>
              <w:t>Liabilities:</w:t>
            </w:r>
          </w:p>
        </w:tc>
        <w:tc>
          <w:tcPr>
            <w:tcW w:w="860" w:type="dxa"/>
            <w:vAlign w:val="bottom"/>
            <w:shd w:val="clear" w:color="auto" w:fill="CEFEE7"/>
          </w:tcPr>
          <w:p>
            <w:pPr>
              <w:spacing w:after="0"/>
              <w:rPr>
                <w:sz w:val="18"/>
                <w:szCs w:val="18"/>
                <w:color w:val="auto"/>
              </w:rPr>
            </w:pPr>
          </w:p>
        </w:tc>
        <w:tc>
          <w:tcPr>
            <w:tcW w:w="240" w:type="dxa"/>
            <w:vAlign w:val="bottom"/>
            <w:shd w:val="clear" w:color="auto" w:fill="CEFEE7"/>
          </w:tcPr>
          <w:p>
            <w:pPr>
              <w:spacing w:after="0"/>
              <w:rPr>
                <w:sz w:val="18"/>
                <w:szCs w:val="18"/>
                <w:color w:val="auto"/>
              </w:rPr>
            </w:pPr>
          </w:p>
        </w:tc>
        <w:tc>
          <w:tcPr>
            <w:tcW w:w="220" w:type="dxa"/>
            <w:vAlign w:val="bottom"/>
            <w:shd w:val="clear" w:color="auto" w:fill="CEFEE7"/>
          </w:tcPr>
          <w:p>
            <w:pPr>
              <w:spacing w:after="0"/>
              <w:rPr>
                <w:sz w:val="18"/>
                <w:szCs w:val="18"/>
                <w:color w:val="auto"/>
              </w:rPr>
            </w:pPr>
          </w:p>
        </w:tc>
        <w:tc>
          <w:tcPr>
            <w:tcW w:w="900" w:type="dxa"/>
            <w:vAlign w:val="bottom"/>
            <w:shd w:val="clear" w:color="auto" w:fill="CEFEE7"/>
          </w:tcPr>
          <w:p>
            <w:pPr>
              <w:spacing w:after="0"/>
              <w:rPr>
                <w:sz w:val="18"/>
                <w:szCs w:val="18"/>
                <w:color w:val="auto"/>
              </w:rPr>
            </w:pPr>
          </w:p>
        </w:tc>
        <w:tc>
          <w:tcPr>
            <w:tcW w:w="220" w:type="dxa"/>
            <w:vAlign w:val="bottom"/>
            <w:shd w:val="clear" w:color="auto" w:fill="CEFEE7"/>
          </w:tcPr>
          <w:p>
            <w:pPr>
              <w:spacing w:after="0"/>
              <w:rPr>
                <w:sz w:val="18"/>
                <w:szCs w:val="18"/>
                <w:color w:val="auto"/>
              </w:rPr>
            </w:pPr>
          </w:p>
        </w:tc>
        <w:tc>
          <w:tcPr>
            <w:tcW w:w="940" w:type="dxa"/>
            <w:vAlign w:val="bottom"/>
            <w:shd w:val="clear" w:color="auto" w:fill="CEFEE7"/>
          </w:tcPr>
          <w:p>
            <w:pPr>
              <w:spacing w:after="0"/>
              <w:rPr>
                <w:sz w:val="18"/>
                <w:szCs w:val="18"/>
                <w:color w:val="auto"/>
              </w:rPr>
            </w:pPr>
          </w:p>
        </w:tc>
        <w:tc>
          <w:tcPr>
            <w:tcW w:w="320" w:type="dxa"/>
            <w:vAlign w:val="bottom"/>
            <w:shd w:val="clear" w:color="auto" w:fill="CEFEE7"/>
          </w:tcPr>
          <w:p>
            <w:pPr>
              <w:spacing w:after="0"/>
              <w:rPr>
                <w:sz w:val="18"/>
                <w:szCs w:val="18"/>
                <w:color w:val="auto"/>
              </w:rPr>
            </w:pPr>
          </w:p>
        </w:tc>
        <w:tc>
          <w:tcPr>
            <w:tcW w:w="700" w:type="dxa"/>
            <w:vAlign w:val="bottom"/>
            <w:shd w:val="clear" w:color="auto" w:fill="CEFEE7"/>
          </w:tcPr>
          <w:p>
            <w:pPr>
              <w:spacing w:after="0"/>
              <w:rPr>
                <w:sz w:val="18"/>
                <w:szCs w:val="18"/>
                <w:color w:val="auto"/>
              </w:rPr>
            </w:pPr>
          </w:p>
        </w:tc>
        <w:tc>
          <w:tcPr>
            <w:tcW w:w="900" w:type="dxa"/>
            <w:vAlign w:val="bottom"/>
            <w:shd w:val="clear" w:color="auto" w:fill="CEFEE7"/>
          </w:tcPr>
          <w:p>
            <w:pPr>
              <w:spacing w:after="0"/>
              <w:rPr>
                <w:sz w:val="18"/>
                <w:szCs w:val="18"/>
                <w:color w:val="auto"/>
              </w:rPr>
            </w:pPr>
          </w:p>
        </w:tc>
        <w:tc>
          <w:tcPr>
            <w:tcW w:w="380" w:type="dxa"/>
            <w:vAlign w:val="bottom"/>
            <w:shd w:val="clear" w:color="auto" w:fill="CEFEE7"/>
          </w:tcPr>
          <w:p>
            <w:pPr>
              <w:spacing w:after="0"/>
              <w:rPr>
                <w:sz w:val="18"/>
                <w:szCs w:val="18"/>
                <w:color w:val="auto"/>
              </w:rPr>
            </w:pPr>
          </w:p>
        </w:tc>
        <w:tc>
          <w:tcPr>
            <w:tcW w:w="1220" w:type="dxa"/>
            <w:vAlign w:val="bottom"/>
            <w:shd w:val="clear" w:color="auto" w:fill="CEFE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tcPr>
          <w:p>
            <w:pPr>
              <w:ind w:left="140"/>
              <w:spacing w:after="0"/>
              <w:rPr>
                <w:sz w:val="20"/>
                <w:szCs w:val="20"/>
                <w:color w:val="auto"/>
              </w:rPr>
            </w:pPr>
            <w:r>
              <w:rPr>
                <w:rFonts w:ascii="Arial" w:cs="Arial" w:eastAsia="Arial" w:hAnsi="Arial"/>
                <w:sz w:val="16"/>
                <w:szCs w:val="16"/>
                <w:color w:val="auto"/>
              </w:rPr>
              <w:t>Commodity derivatives - Gas Utilities</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(1,814)</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16"/>
        </w:trPr>
        <w:tc>
          <w:tcPr>
            <w:tcW w:w="4340" w:type="dxa"/>
            <w:vAlign w:val="bottom"/>
            <w:shd w:val="clear" w:color="auto" w:fill="CEFEE7"/>
          </w:tcPr>
          <w:p>
            <w:pPr>
              <w:ind w:left="140"/>
              <w:spacing w:after="0"/>
              <w:rPr>
                <w:sz w:val="20"/>
                <w:szCs w:val="20"/>
                <w:color w:val="auto"/>
              </w:rPr>
            </w:pPr>
            <w:r>
              <w:rPr>
                <w:rFonts w:ascii="Arial" w:cs="Arial" w:eastAsia="Arial" w:hAnsi="Arial"/>
                <w:sz w:val="16"/>
                <w:szCs w:val="16"/>
                <w:color w:val="auto"/>
              </w:rPr>
              <w:t>Commodity derivatives - Electric Utilities</w:t>
            </w:r>
          </w:p>
        </w:tc>
        <w:tc>
          <w:tcPr>
            <w:tcW w:w="860" w:type="dxa"/>
            <w:vAlign w:val="bottom"/>
            <w:tcBorders>
              <w:bottom w:val="single" w:sz="8" w:color="auto"/>
            </w:tcBorders>
            <w:shd w:val="clear" w:color="auto" w:fill="CEFEE7"/>
          </w:tcPr>
          <w:p>
            <w:pPr>
              <w:spacing w:after="0"/>
              <w:rPr>
                <w:sz w:val="18"/>
                <w:szCs w:val="18"/>
                <w:color w:val="auto"/>
              </w:rPr>
            </w:pPr>
          </w:p>
        </w:tc>
        <w:tc>
          <w:tcPr>
            <w:tcW w:w="240" w:type="dxa"/>
            <w:vAlign w:val="bottom"/>
            <w:tcBorders>
              <w:bottom w:val="single" w:sz="8" w:color="auto"/>
            </w:tcBorders>
            <w:shd w:val="clear" w:color="auto" w:fill="CEFEE7"/>
          </w:tcPr>
          <w:p>
            <w:pPr>
              <w:spacing w:after="0"/>
              <w:rPr>
                <w:sz w:val="18"/>
                <w:szCs w:val="18"/>
                <w:color w:val="auto"/>
              </w:rPr>
            </w:pPr>
          </w:p>
        </w:tc>
        <w:tc>
          <w:tcPr>
            <w:tcW w:w="2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EFEE7"/>
          </w:tcPr>
          <w:p>
            <w:pPr>
              <w:spacing w:after="0"/>
              <w:rPr>
                <w:sz w:val="18"/>
                <w:szCs w:val="18"/>
                <w:color w:val="auto"/>
              </w:rPr>
            </w:pPr>
          </w:p>
        </w:tc>
        <w:tc>
          <w:tcPr>
            <w:tcW w:w="940" w:type="dxa"/>
            <w:vAlign w:val="bottom"/>
            <w:tcBorders>
              <w:bottom w:val="single" w:sz="8" w:color="auto"/>
            </w:tcBorders>
            <w:shd w:val="clear" w:color="auto" w:fill="CEFEE7"/>
          </w:tcPr>
          <w:p>
            <w:pPr>
              <w:spacing w:after="0"/>
              <w:rPr>
                <w:sz w:val="18"/>
                <w:szCs w:val="18"/>
                <w:color w:val="auto"/>
              </w:rPr>
            </w:pPr>
          </w:p>
        </w:tc>
        <w:tc>
          <w:tcPr>
            <w:tcW w:w="320" w:type="dxa"/>
            <w:vAlign w:val="bottom"/>
            <w:shd w:val="clear" w:color="auto" w:fill="CEFEE7"/>
          </w:tcPr>
          <w:p>
            <w:pPr>
              <w:spacing w:after="0"/>
              <w:rPr>
                <w:sz w:val="18"/>
                <w:szCs w:val="18"/>
                <w:color w:val="auto"/>
              </w:rPr>
            </w:pPr>
          </w:p>
        </w:tc>
        <w:tc>
          <w:tcPr>
            <w:tcW w:w="700" w:type="dxa"/>
            <w:vAlign w:val="bottom"/>
            <w:tcBorders>
              <w:bottom w:val="single" w:sz="8" w:color="auto"/>
            </w:tcBorders>
            <w:shd w:val="clear" w:color="auto" w:fill="CEFEE7"/>
          </w:tcPr>
          <w:p>
            <w:pPr>
              <w:jc w:val="right"/>
              <w:ind w:right="5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EFEE7"/>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40" w:type="dxa"/>
            <w:vAlign w:val="bottom"/>
          </w:tcPr>
          <w:p>
            <w:pPr>
              <w:ind w:left="140"/>
              <w:spacing w:after="0"/>
              <w:rPr>
                <w:sz w:val="20"/>
                <w:szCs w:val="20"/>
                <w:color w:val="auto"/>
              </w:rPr>
            </w:pPr>
            <w:r>
              <w:rPr>
                <w:rFonts w:ascii="Arial" w:cs="Arial" w:eastAsia="Arial" w:hAnsi="Arial"/>
                <w:sz w:val="16"/>
                <w:szCs w:val="16"/>
                <w:color w:val="auto"/>
              </w:rPr>
              <w:t>Total</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900" w:type="dxa"/>
            <w:vAlign w:val="bottom"/>
          </w:tcPr>
          <w:p>
            <w:pPr>
              <w:jc w:val="right"/>
              <w:spacing w:after="0"/>
              <w:rPr>
                <w:sz w:val="20"/>
                <w:szCs w:val="20"/>
                <w:color w:val="auto"/>
              </w:rPr>
            </w:pPr>
            <w:r>
              <w:rPr>
                <w:rFonts w:ascii="Arial" w:cs="Arial" w:eastAsia="Arial" w:hAnsi="Arial"/>
                <w:sz w:val="16"/>
                <w:szCs w:val="16"/>
                <w:color w:val="auto"/>
              </w:rPr>
              <w:t>3,273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(1,814)</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 w:lineRule="exact"/>
        <w:rPr>
          <w:sz w:val="20"/>
          <w:szCs w:val="20"/>
          <w:color w:val="auto"/>
        </w:rPr>
      </w:pPr>
    </w:p>
    <w:p>
      <w:pPr>
        <w:ind w:left="340" w:right="420" w:hanging="332"/>
        <w:spacing w:after="0" w:line="258" w:lineRule="auto"/>
        <w:tabs>
          <w:tab w:leader="none" w:pos="344" w:val="left"/>
        </w:tabs>
        <w:numPr>
          <w:ilvl w:val="0"/>
          <w:numId w:val="73"/>
        </w:numPr>
        <w:rPr>
          <w:rFonts w:ascii="Arial" w:cs="Arial" w:eastAsia="Arial" w:hAnsi="Arial"/>
          <w:sz w:val="14"/>
          <w:szCs w:val="14"/>
          <w:color w:val="auto"/>
        </w:rPr>
      </w:pPr>
      <w:r>
        <w:rPr>
          <w:rFonts w:ascii="Arial" w:cs="Arial" w:eastAsia="Arial" w:hAnsi="Arial"/>
          <w:sz w:val="14"/>
          <w:szCs w:val="14"/>
          <w:color w:val="auto"/>
        </w:rPr>
        <w:t>As of December 31, 2021, $2.4 million of our commodity derivative gross assets and $1.8 million of our commodity derivative gross liabilities, as well as related gross collateral amounts, were subject to master netting agreements.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4"/>
        </w:trPr>
        <w:tc>
          <w:tcPr>
            <w:tcW w:w="434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8"/>
        </w:trPr>
        <w:tc>
          <w:tcPr>
            <w:tcW w:w="1360" w:type="dxa"/>
            <w:vAlign w:val="bottom"/>
            <w:tcBorders>
              <w:top w:val="single" w:sz="8" w:color="0000FF"/>
            </w:tcBorders>
          </w:tcPr>
          <w:p>
            <w:pPr>
              <w:spacing w:after="0"/>
              <w:rPr>
                <w:sz w:val="24"/>
                <w:szCs w:val="24"/>
                <w:color w:val="auto"/>
              </w:rPr>
            </w:pPr>
          </w:p>
        </w:tc>
        <w:tc>
          <w:tcPr>
            <w:tcW w:w="29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color w:val="auto"/>
              </w:rPr>
              <w:t>As of December 31, 2020</w:t>
            </w: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3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Cash Collateral and</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Level 1</w:t>
            </w:r>
          </w:p>
        </w:tc>
        <w:tc>
          <w:tcPr>
            <w:tcW w:w="460" w:type="dxa"/>
            <w:vAlign w:val="bottom"/>
          </w:tcPr>
          <w:p>
            <w:pPr>
              <w:spacing w:after="0"/>
              <w:rPr>
                <w:sz w:val="12"/>
                <w:szCs w:val="12"/>
                <w:color w:val="auto"/>
              </w:rPr>
            </w:pPr>
          </w:p>
        </w:tc>
        <w:tc>
          <w:tcPr>
            <w:tcW w:w="900" w:type="dxa"/>
            <w:vAlign w:val="bottom"/>
            <w:vMerge w:val="restart"/>
          </w:tcPr>
          <w:p>
            <w:pPr>
              <w:jc w:val="right"/>
              <w:ind w:right="179"/>
              <w:spacing w:after="0"/>
              <w:rPr>
                <w:sz w:val="20"/>
                <w:szCs w:val="20"/>
                <w:color w:val="auto"/>
              </w:rPr>
            </w:pPr>
            <w:r>
              <w:rPr>
                <w:rFonts w:ascii="Arial" w:cs="Arial" w:eastAsia="Arial" w:hAnsi="Arial"/>
                <w:sz w:val="16"/>
                <w:szCs w:val="16"/>
                <w:color w:val="auto"/>
              </w:rPr>
              <w:t>Level 2</w:t>
            </w:r>
          </w:p>
        </w:tc>
        <w:tc>
          <w:tcPr>
            <w:tcW w:w="220" w:type="dxa"/>
            <w:vAlign w:val="bottom"/>
          </w:tcPr>
          <w:p>
            <w:pPr>
              <w:spacing w:after="0"/>
              <w:rPr>
                <w:sz w:val="12"/>
                <w:szCs w:val="12"/>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6"/>
                <w:szCs w:val="16"/>
                <w:color w:val="auto"/>
              </w:rPr>
              <w:t>Level 3</w:t>
            </w:r>
          </w:p>
        </w:tc>
        <w:tc>
          <w:tcPr>
            <w:tcW w:w="1600" w:type="dxa"/>
            <w:vAlign w:val="bottom"/>
            <w:gridSpan w:val="2"/>
          </w:tcPr>
          <w:p>
            <w:pPr>
              <w:jc w:val="center"/>
              <w:spacing w:after="0" w:line="147" w:lineRule="exact"/>
              <w:rPr>
                <w:sz w:val="20"/>
                <w:szCs w:val="20"/>
                <w:color w:val="auto"/>
              </w:rPr>
            </w:pPr>
            <w:r>
              <w:rPr>
                <w:rFonts w:ascii="Arial" w:cs="Arial" w:eastAsia="Arial" w:hAnsi="Arial"/>
                <w:sz w:val="16"/>
                <w:szCs w:val="16"/>
                <w:color w:val="auto"/>
              </w:rPr>
              <w:t>Counterparty Netting</w:t>
            </w:r>
          </w:p>
        </w:tc>
        <w:tc>
          <w:tcPr>
            <w:tcW w:w="380" w:type="dxa"/>
            <w:vAlign w:val="bottom"/>
          </w:tcPr>
          <w:p>
            <w:pPr>
              <w:spacing w:after="0"/>
              <w:rPr>
                <w:sz w:val="12"/>
                <w:szCs w:val="12"/>
                <w:color w:val="auto"/>
              </w:rPr>
            </w:pPr>
          </w:p>
        </w:tc>
        <w:tc>
          <w:tcPr>
            <w:tcW w:w="1220" w:type="dxa"/>
            <w:vAlign w:val="bottom"/>
            <w:vMerge w:val="restart"/>
          </w:tcPr>
          <w:p>
            <w:pPr>
              <w:jc w:val="right"/>
              <w:ind w:right="53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45"/>
        </w:trPr>
        <w:tc>
          <w:tcPr>
            <w:tcW w:w="1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jc w:val="center"/>
              <w:ind w:right="623"/>
              <w:spacing w:after="0" w:line="125" w:lineRule="exact"/>
              <w:rPr>
                <w:sz w:val="20"/>
                <w:szCs w:val="20"/>
                <w:color w:val="auto"/>
              </w:rPr>
            </w:pPr>
            <w:r>
              <w:rPr>
                <w:rFonts w:ascii="Arial" w:cs="Arial" w:eastAsia="Arial" w:hAnsi="Arial"/>
                <w:sz w:val="11"/>
                <w:szCs w:val="11"/>
                <w:color w:val="auto"/>
                <w:w w:val="88"/>
              </w:rPr>
              <w:t>(a)</w:t>
            </w:r>
          </w:p>
        </w:tc>
        <w:tc>
          <w:tcPr>
            <w:tcW w:w="3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EFEE7"/>
          </w:tcPr>
          <w:p>
            <w:pPr>
              <w:ind w:left="20"/>
              <w:spacing w:after="0"/>
              <w:rPr>
                <w:sz w:val="20"/>
                <w:szCs w:val="20"/>
                <w:color w:val="auto"/>
              </w:rPr>
            </w:pPr>
            <w:r>
              <w:rPr>
                <w:rFonts w:ascii="Arial" w:cs="Arial" w:eastAsia="Arial" w:hAnsi="Arial"/>
                <w:sz w:val="16"/>
                <w:szCs w:val="16"/>
                <w:color w:val="auto"/>
              </w:rPr>
              <w:t>Assets:</w:t>
            </w:r>
          </w:p>
        </w:tc>
        <w:tc>
          <w:tcPr>
            <w:tcW w:w="860" w:type="dxa"/>
            <w:vAlign w:val="bottom"/>
            <w:shd w:val="clear" w:color="auto" w:fill="CEFEE7"/>
          </w:tcPr>
          <w:p>
            <w:pPr>
              <w:spacing w:after="0"/>
              <w:rPr>
                <w:sz w:val="19"/>
                <w:szCs w:val="19"/>
                <w:color w:val="auto"/>
              </w:rPr>
            </w:pPr>
          </w:p>
        </w:tc>
        <w:tc>
          <w:tcPr>
            <w:tcW w:w="460" w:type="dxa"/>
            <w:vAlign w:val="bottom"/>
            <w:shd w:val="clear" w:color="auto" w:fill="CEFEE7"/>
          </w:tcPr>
          <w:p>
            <w:pPr>
              <w:spacing w:after="0"/>
              <w:rPr>
                <w:sz w:val="19"/>
                <w:szCs w:val="19"/>
                <w:color w:val="auto"/>
              </w:rPr>
            </w:pPr>
          </w:p>
        </w:tc>
        <w:tc>
          <w:tcPr>
            <w:tcW w:w="900" w:type="dxa"/>
            <w:vAlign w:val="bottom"/>
            <w:shd w:val="clear" w:color="auto" w:fill="CEFEE7"/>
          </w:tcPr>
          <w:p>
            <w:pPr>
              <w:spacing w:after="0"/>
              <w:rPr>
                <w:sz w:val="19"/>
                <w:szCs w:val="19"/>
                <w:color w:val="auto"/>
              </w:rPr>
            </w:pPr>
          </w:p>
        </w:tc>
        <w:tc>
          <w:tcPr>
            <w:tcW w:w="220" w:type="dxa"/>
            <w:vAlign w:val="bottom"/>
            <w:shd w:val="clear" w:color="auto" w:fill="CEFEE7"/>
          </w:tcPr>
          <w:p>
            <w:pPr>
              <w:spacing w:after="0"/>
              <w:rPr>
                <w:sz w:val="19"/>
                <w:szCs w:val="19"/>
                <w:color w:val="auto"/>
              </w:rPr>
            </w:pPr>
          </w:p>
        </w:tc>
        <w:tc>
          <w:tcPr>
            <w:tcW w:w="940" w:type="dxa"/>
            <w:vAlign w:val="bottom"/>
            <w:shd w:val="clear" w:color="auto" w:fill="CEFEE7"/>
          </w:tcPr>
          <w:p>
            <w:pPr>
              <w:spacing w:after="0"/>
              <w:rPr>
                <w:sz w:val="19"/>
                <w:szCs w:val="19"/>
                <w:color w:val="auto"/>
              </w:rPr>
            </w:pPr>
          </w:p>
        </w:tc>
        <w:tc>
          <w:tcPr>
            <w:tcW w:w="320" w:type="dxa"/>
            <w:vAlign w:val="bottom"/>
            <w:shd w:val="clear" w:color="auto" w:fill="CEFEE7"/>
          </w:tcPr>
          <w:p>
            <w:pPr>
              <w:spacing w:after="0"/>
              <w:rPr>
                <w:sz w:val="19"/>
                <w:szCs w:val="19"/>
                <w:color w:val="auto"/>
              </w:rPr>
            </w:pPr>
          </w:p>
        </w:tc>
        <w:tc>
          <w:tcPr>
            <w:tcW w:w="700" w:type="dxa"/>
            <w:vAlign w:val="bottom"/>
            <w:shd w:val="clear" w:color="auto" w:fill="CEFEE7"/>
          </w:tcPr>
          <w:p>
            <w:pPr>
              <w:spacing w:after="0"/>
              <w:rPr>
                <w:sz w:val="19"/>
                <w:szCs w:val="19"/>
                <w:color w:val="auto"/>
              </w:rPr>
            </w:pPr>
          </w:p>
        </w:tc>
        <w:tc>
          <w:tcPr>
            <w:tcW w:w="900" w:type="dxa"/>
            <w:vAlign w:val="bottom"/>
            <w:shd w:val="clear" w:color="auto" w:fill="CEFEE7"/>
          </w:tcPr>
          <w:p>
            <w:pPr>
              <w:spacing w:after="0"/>
              <w:rPr>
                <w:sz w:val="19"/>
                <w:szCs w:val="19"/>
                <w:color w:val="auto"/>
              </w:rPr>
            </w:pPr>
          </w:p>
        </w:tc>
        <w:tc>
          <w:tcPr>
            <w:tcW w:w="380" w:type="dxa"/>
            <w:vAlign w:val="bottom"/>
            <w:shd w:val="clear" w:color="auto" w:fill="CEFEE7"/>
          </w:tcPr>
          <w:p>
            <w:pPr>
              <w:spacing w:after="0"/>
              <w:rPr>
                <w:sz w:val="19"/>
                <w:szCs w:val="19"/>
                <w:color w:val="auto"/>
              </w:rPr>
            </w:pPr>
          </w:p>
        </w:tc>
        <w:tc>
          <w:tcPr>
            <w:tcW w:w="1220" w:type="dxa"/>
            <w:vAlign w:val="bottom"/>
            <w:shd w:val="clear" w:color="auto" w:fill="CEFE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40" w:type="dxa"/>
            <w:vAlign w:val="bottom"/>
            <w:gridSpan w:val="2"/>
          </w:tcPr>
          <w:p>
            <w:pPr>
              <w:ind w:left="140"/>
              <w:spacing w:after="0"/>
              <w:rPr>
                <w:sz w:val="20"/>
                <w:szCs w:val="20"/>
                <w:color w:val="auto"/>
              </w:rPr>
            </w:pPr>
            <w:r>
              <w:rPr>
                <w:rFonts w:ascii="Arial" w:cs="Arial" w:eastAsia="Arial" w:hAnsi="Arial"/>
                <w:sz w:val="16"/>
                <w:szCs w:val="16"/>
                <w:color w:val="auto"/>
              </w:rPr>
              <w:t>Commodity derivatives - Gas Utilities</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2,504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(1,527)</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EFEE7"/>
          </w:tcPr>
          <w:p>
            <w:pPr>
              <w:ind w:left="140"/>
              <w:spacing w:after="0"/>
              <w:rPr>
                <w:sz w:val="20"/>
                <w:szCs w:val="20"/>
                <w:color w:val="auto"/>
              </w:rPr>
            </w:pPr>
            <w:r>
              <w:rPr>
                <w:rFonts w:ascii="Arial" w:cs="Arial" w:eastAsia="Arial" w:hAnsi="Arial"/>
                <w:sz w:val="16"/>
                <w:szCs w:val="16"/>
                <w:color w:val="auto"/>
              </w:rPr>
              <w:t>Commodity derivatives - Electric Utilities</w:t>
            </w:r>
          </w:p>
        </w:tc>
        <w:tc>
          <w:tcPr>
            <w:tcW w:w="860" w:type="dxa"/>
            <w:vAlign w:val="bottom"/>
            <w:tcBorders>
              <w:bottom w:val="single" w:sz="8" w:color="auto"/>
            </w:tcBorders>
            <w:shd w:val="clear" w:color="auto" w:fill="CEFEE7"/>
          </w:tcPr>
          <w:p>
            <w:pPr>
              <w:spacing w:after="0"/>
              <w:rPr>
                <w:sz w:val="18"/>
                <w:szCs w:val="18"/>
                <w:color w:val="auto"/>
              </w:rPr>
            </w:pPr>
          </w:p>
        </w:tc>
        <w:tc>
          <w:tcPr>
            <w:tcW w:w="460" w:type="dxa"/>
            <w:vAlign w:val="bottom"/>
            <w:tcBorders>
              <w:bottom w:val="single" w:sz="8" w:color="auto"/>
            </w:tcBorders>
            <w:shd w:val="clear" w:color="auto" w:fill="CEFEE7"/>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1,065</w:t>
            </w:r>
          </w:p>
        </w:tc>
        <w:tc>
          <w:tcPr>
            <w:tcW w:w="220" w:type="dxa"/>
            <w:vAlign w:val="bottom"/>
            <w:tcBorders>
              <w:bottom w:val="single" w:sz="8" w:color="auto"/>
            </w:tcBorders>
            <w:shd w:val="clear" w:color="auto" w:fill="CEFEE7"/>
          </w:tcPr>
          <w:p>
            <w:pPr>
              <w:spacing w:after="0"/>
              <w:rPr>
                <w:sz w:val="18"/>
                <w:szCs w:val="18"/>
                <w:color w:val="auto"/>
              </w:rPr>
            </w:pPr>
          </w:p>
        </w:tc>
        <w:tc>
          <w:tcPr>
            <w:tcW w:w="940" w:type="dxa"/>
            <w:vAlign w:val="bottom"/>
            <w:tcBorders>
              <w:bottom w:val="single" w:sz="8" w:color="auto"/>
            </w:tcBorders>
            <w:shd w:val="clear" w:color="auto" w:fill="CEFEE7"/>
          </w:tcPr>
          <w:p>
            <w:pPr>
              <w:ind w:left="7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EE7"/>
          </w:tcPr>
          <w:p>
            <w:pPr>
              <w:spacing w:after="0"/>
              <w:rPr>
                <w:sz w:val="18"/>
                <w:szCs w:val="18"/>
                <w:color w:val="auto"/>
              </w:rPr>
            </w:pPr>
          </w:p>
        </w:tc>
        <w:tc>
          <w:tcPr>
            <w:tcW w:w="700" w:type="dxa"/>
            <w:vAlign w:val="bottom"/>
            <w:tcBorders>
              <w:bottom w:val="single" w:sz="8" w:color="auto"/>
            </w:tcBorders>
            <w:shd w:val="clear" w:color="auto" w:fill="CEFEE7"/>
          </w:tcPr>
          <w:p>
            <w:pPr>
              <w:spacing w:after="0"/>
              <w:rPr>
                <w:sz w:val="18"/>
                <w:szCs w:val="18"/>
                <w:color w:val="auto"/>
              </w:rPr>
            </w:pPr>
          </w:p>
        </w:tc>
        <w:tc>
          <w:tcPr>
            <w:tcW w:w="9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EFEE7"/>
          </w:tcPr>
          <w:p>
            <w:pPr>
              <w:spacing w:after="0"/>
              <w:rPr>
                <w:sz w:val="18"/>
                <w:szCs w:val="18"/>
                <w:color w:val="auto"/>
              </w:rPr>
            </w:pPr>
          </w:p>
        </w:tc>
        <w:tc>
          <w:tcPr>
            <w:tcW w:w="12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213"/>
        </w:trPr>
        <w:tc>
          <w:tcPr>
            <w:tcW w:w="4340" w:type="dxa"/>
            <w:vAlign w:val="bottom"/>
            <w:gridSpan w:val="2"/>
          </w:tcPr>
          <w:p>
            <w:pPr>
              <w:ind w:left="140"/>
              <w:spacing w:after="0"/>
              <w:rPr>
                <w:sz w:val="20"/>
                <w:szCs w:val="20"/>
                <w:color w:val="auto"/>
              </w:rPr>
            </w:pPr>
            <w:r>
              <w:rPr>
                <w:rFonts w:ascii="Arial" w:cs="Arial" w:eastAsia="Arial" w:hAnsi="Arial"/>
                <w:sz w:val="16"/>
                <w:szCs w:val="16"/>
                <w:color w:val="auto"/>
              </w:rPr>
              <w:t>Total</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tcPr>
          <w:p>
            <w:pPr>
              <w:ind w:left="20"/>
              <w:spacing w:after="0"/>
              <w:rPr>
                <w:sz w:val="20"/>
                <w:szCs w:val="20"/>
                <w:color w:val="auto"/>
              </w:rPr>
            </w:pPr>
            <w:r>
              <w:rPr>
                <w:rFonts w:ascii="Arial" w:cs="Arial" w:eastAsia="Arial" w:hAnsi="Arial"/>
                <w:sz w:val="16"/>
                <w:szCs w:val="16"/>
                <w:color w:val="auto"/>
              </w:rPr>
              <w:t>— $</w:t>
            </w:r>
          </w:p>
        </w:tc>
        <w:tc>
          <w:tcPr>
            <w:tcW w:w="900" w:type="dxa"/>
            <w:vAlign w:val="bottom"/>
          </w:tcPr>
          <w:p>
            <w:pPr>
              <w:jc w:val="right"/>
              <w:spacing w:after="0"/>
              <w:rPr>
                <w:sz w:val="20"/>
                <w:szCs w:val="20"/>
                <w:color w:val="auto"/>
              </w:rPr>
            </w:pPr>
            <w:r>
              <w:rPr>
                <w:rFonts w:ascii="Arial" w:cs="Arial" w:eastAsia="Arial" w:hAnsi="Arial"/>
                <w:sz w:val="16"/>
                <w:szCs w:val="16"/>
                <w:color w:val="auto"/>
              </w:rPr>
              <w:t>3,569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(1,527)</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0"/>
        </w:trPr>
        <w:tc>
          <w:tcPr>
            <w:tcW w:w="1360" w:type="dxa"/>
            <w:vAlign w:val="bottom"/>
            <w:tcBorders>
              <w:bottom w:val="single" w:sz="8" w:color="CEFEE7"/>
            </w:tcBorders>
          </w:tcPr>
          <w:p>
            <w:pPr>
              <w:spacing w:after="0" w:line="20" w:lineRule="exact"/>
              <w:rPr>
                <w:sz w:val="1"/>
                <w:szCs w:val="1"/>
                <w:color w:val="auto"/>
              </w:rPr>
            </w:pPr>
          </w:p>
        </w:tc>
        <w:tc>
          <w:tcPr>
            <w:tcW w:w="2980" w:type="dxa"/>
            <w:vAlign w:val="bottom"/>
            <w:tcBorders>
              <w:bottom w:val="single" w:sz="8" w:color="CEFEE7"/>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EFEE7"/>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shd w:val="clear" w:color="auto" w:fill="CEFEE7"/>
          </w:tcPr>
          <w:p>
            <w:pPr>
              <w:spacing w:after="0"/>
              <w:rPr>
                <w:sz w:val="20"/>
                <w:szCs w:val="20"/>
                <w:color w:val="auto"/>
              </w:rPr>
            </w:pPr>
          </w:p>
        </w:tc>
        <w:tc>
          <w:tcPr>
            <w:tcW w:w="2980" w:type="dxa"/>
            <w:vAlign w:val="bottom"/>
            <w:shd w:val="clear" w:color="auto" w:fill="CEFEE7"/>
          </w:tcPr>
          <w:p>
            <w:pPr>
              <w:spacing w:after="0"/>
              <w:rPr>
                <w:sz w:val="20"/>
                <w:szCs w:val="20"/>
                <w:color w:val="auto"/>
              </w:rPr>
            </w:pPr>
          </w:p>
        </w:tc>
        <w:tc>
          <w:tcPr>
            <w:tcW w:w="860" w:type="dxa"/>
            <w:vAlign w:val="bottom"/>
            <w:shd w:val="clear" w:color="auto" w:fill="CEFEE7"/>
          </w:tcPr>
          <w:p>
            <w:pPr>
              <w:spacing w:after="0"/>
              <w:rPr>
                <w:sz w:val="20"/>
                <w:szCs w:val="20"/>
                <w:color w:val="auto"/>
              </w:rPr>
            </w:pPr>
          </w:p>
        </w:tc>
        <w:tc>
          <w:tcPr>
            <w:tcW w:w="460" w:type="dxa"/>
            <w:vAlign w:val="bottom"/>
            <w:shd w:val="clear" w:color="auto" w:fill="CEFEE7"/>
          </w:tcPr>
          <w:p>
            <w:pPr>
              <w:spacing w:after="0"/>
              <w:rPr>
                <w:sz w:val="20"/>
                <w:szCs w:val="20"/>
                <w:color w:val="auto"/>
              </w:rPr>
            </w:pPr>
          </w:p>
        </w:tc>
        <w:tc>
          <w:tcPr>
            <w:tcW w:w="900" w:type="dxa"/>
            <w:vAlign w:val="bottom"/>
            <w:shd w:val="clear" w:color="auto" w:fill="CEFEE7"/>
          </w:tcPr>
          <w:p>
            <w:pPr>
              <w:spacing w:after="0"/>
              <w:rPr>
                <w:sz w:val="20"/>
                <w:szCs w:val="20"/>
                <w:color w:val="auto"/>
              </w:rPr>
            </w:pPr>
          </w:p>
        </w:tc>
        <w:tc>
          <w:tcPr>
            <w:tcW w:w="220" w:type="dxa"/>
            <w:vAlign w:val="bottom"/>
            <w:shd w:val="clear" w:color="auto" w:fill="CEFEE7"/>
          </w:tcPr>
          <w:p>
            <w:pPr>
              <w:spacing w:after="0"/>
              <w:rPr>
                <w:sz w:val="20"/>
                <w:szCs w:val="20"/>
                <w:color w:val="auto"/>
              </w:rPr>
            </w:pPr>
          </w:p>
        </w:tc>
        <w:tc>
          <w:tcPr>
            <w:tcW w:w="940" w:type="dxa"/>
            <w:vAlign w:val="bottom"/>
            <w:shd w:val="clear" w:color="auto" w:fill="CEFEE7"/>
          </w:tcPr>
          <w:p>
            <w:pPr>
              <w:spacing w:after="0"/>
              <w:rPr>
                <w:sz w:val="20"/>
                <w:szCs w:val="20"/>
                <w:color w:val="auto"/>
              </w:rPr>
            </w:pPr>
          </w:p>
        </w:tc>
        <w:tc>
          <w:tcPr>
            <w:tcW w:w="320" w:type="dxa"/>
            <w:vAlign w:val="bottom"/>
            <w:shd w:val="clear" w:color="auto" w:fill="CEFEE7"/>
          </w:tcPr>
          <w:p>
            <w:pPr>
              <w:spacing w:after="0"/>
              <w:rPr>
                <w:sz w:val="20"/>
                <w:szCs w:val="20"/>
                <w:color w:val="auto"/>
              </w:rPr>
            </w:pPr>
          </w:p>
        </w:tc>
        <w:tc>
          <w:tcPr>
            <w:tcW w:w="700" w:type="dxa"/>
            <w:vAlign w:val="bottom"/>
            <w:shd w:val="clear" w:color="auto" w:fill="CEFEE7"/>
          </w:tcPr>
          <w:p>
            <w:pPr>
              <w:spacing w:after="0"/>
              <w:rPr>
                <w:sz w:val="20"/>
                <w:szCs w:val="20"/>
                <w:color w:val="auto"/>
              </w:rPr>
            </w:pPr>
          </w:p>
        </w:tc>
        <w:tc>
          <w:tcPr>
            <w:tcW w:w="900" w:type="dxa"/>
            <w:vAlign w:val="bottom"/>
            <w:shd w:val="clear" w:color="auto" w:fill="CEFEE7"/>
          </w:tcPr>
          <w:p>
            <w:pPr>
              <w:spacing w:after="0"/>
              <w:rPr>
                <w:sz w:val="20"/>
                <w:szCs w:val="20"/>
                <w:color w:val="auto"/>
              </w:rPr>
            </w:pPr>
          </w:p>
        </w:tc>
        <w:tc>
          <w:tcPr>
            <w:tcW w:w="380" w:type="dxa"/>
            <w:vAlign w:val="bottom"/>
            <w:shd w:val="clear" w:color="auto" w:fill="CEFEE7"/>
          </w:tcPr>
          <w:p>
            <w:pPr>
              <w:spacing w:after="0"/>
              <w:rPr>
                <w:sz w:val="20"/>
                <w:szCs w:val="20"/>
                <w:color w:val="auto"/>
              </w:rPr>
            </w:pPr>
          </w:p>
        </w:tc>
        <w:tc>
          <w:tcPr>
            <w:tcW w:w="1220" w:type="dxa"/>
            <w:vAlign w:val="bottom"/>
            <w:shd w:val="clear" w:color="auto" w:fill="CEFEE7"/>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Liabilities: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EFE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860" w:type="dxa"/>
            <w:vAlign w:val="bottom"/>
            <w:shd w:val="clear" w:color="auto" w:fill="CEFEE7"/>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EFEE7"/>
          </w:tcPr>
          <w:p>
            <w:pPr>
              <w:ind w:left="20"/>
              <w:spacing w:after="0"/>
              <w:rPr>
                <w:sz w:val="20"/>
                <w:szCs w:val="20"/>
                <w:color w:val="auto"/>
              </w:rPr>
            </w:pPr>
            <w:r>
              <w:rPr>
                <w:rFonts w:ascii="Arial" w:cs="Arial" w:eastAsia="Arial" w:hAnsi="Arial"/>
                <w:sz w:val="16"/>
                <w:szCs w:val="16"/>
                <w:color w:val="auto"/>
              </w:rPr>
              <w:t>— $</w:t>
            </w:r>
          </w:p>
        </w:tc>
        <w:tc>
          <w:tcPr>
            <w:tcW w:w="9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2,675</w:t>
            </w:r>
          </w:p>
        </w:tc>
        <w:tc>
          <w:tcPr>
            <w:tcW w:w="2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EFEE7"/>
          </w:tcPr>
          <w:p>
            <w:pPr>
              <w:ind w:left="7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EFEE7"/>
          </w:tcPr>
          <w:p>
            <w:pPr>
              <w:jc w:val="right"/>
              <w:ind w:right="5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(1,552)</w:t>
            </w:r>
          </w:p>
        </w:tc>
        <w:tc>
          <w:tcPr>
            <w:tcW w:w="380" w:type="dxa"/>
            <w:vAlign w:val="bottom"/>
            <w:shd w:val="clear" w:color="auto" w:fill="CEFEE7"/>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EFEE7"/>
            </w:tcBorders>
            <w:gridSpan w:val="2"/>
          </w:tcPr>
          <w:p>
            <w:pPr>
              <w:ind w:left="140"/>
              <w:spacing w:after="0"/>
              <w:rPr>
                <w:sz w:val="20"/>
                <w:szCs w:val="20"/>
                <w:color w:val="auto"/>
              </w:rPr>
            </w:pPr>
            <w:r>
              <w:rPr>
                <w:rFonts w:ascii="Arial" w:cs="Arial" w:eastAsia="Arial" w:hAnsi="Arial"/>
                <w:sz w:val="16"/>
                <w:szCs w:val="16"/>
                <w:color w:val="auto"/>
              </w:rPr>
              <w:t>Commodity derivatives - Electric Utilities</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EFEE7"/>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33"/>
        </w:trPr>
        <w:tc>
          <w:tcPr>
            <w:tcW w:w="4340" w:type="dxa"/>
            <w:vAlign w:val="bottom"/>
            <w:gridSpan w:val="2"/>
            <w:shd w:val="clear" w:color="auto" w:fill="CEFEE7"/>
          </w:tcPr>
          <w:p>
            <w:pPr>
              <w:ind w:left="140"/>
              <w:spacing w:after="0"/>
              <w:rPr>
                <w:sz w:val="20"/>
                <w:szCs w:val="20"/>
                <w:color w:val="auto"/>
              </w:rPr>
            </w:pPr>
            <w:r>
              <w:rPr>
                <w:rFonts w:ascii="Arial" w:cs="Arial" w:eastAsia="Arial" w:hAnsi="Arial"/>
                <w:sz w:val="16"/>
                <w:szCs w:val="16"/>
                <w:color w:val="auto"/>
              </w:rPr>
              <w:t>Total</w:t>
            </w:r>
          </w:p>
        </w:tc>
        <w:tc>
          <w:tcPr>
            <w:tcW w:w="860" w:type="dxa"/>
            <w:vAlign w:val="bottom"/>
            <w:shd w:val="clear" w:color="auto" w:fill="CEFEE7"/>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EFEE7"/>
          </w:tcPr>
          <w:p>
            <w:pPr>
              <w:ind w:left="20"/>
              <w:spacing w:after="0"/>
              <w:rPr>
                <w:sz w:val="20"/>
                <w:szCs w:val="20"/>
                <w:color w:val="auto"/>
              </w:rPr>
            </w:pPr>
            <w:r>
              <w:rPr>
                <w:rFonts w:ascii="Arial" w:cs="Arial" w:eastAsia="Arial" w:hAnsi="Arial"/>
                <w:sz w:val="16"/>
                <w:szCs w:val="16"/>
                <w:color w:val="auto"/>
              </w:rPr>
              <w:t>— $</w:t>
            </w:r>
          </w:p>
        </w:tc>
        <w:tc>
          <w:tcPr>
            <w:tcW w:w="9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3,596</w:t>
            </w:r>
          </w:p>
        </w:tc>
        <w:tc>
          <w:tcPr>
            <w:tcW w:w="2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EFEE7"/>
          </w:tcPr>
          <w:p>
            <w:pPr>
              <w:ind w:left="7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EFEE7"/>
          </w:tcPr>
          <w:p>
            <w:pPr>
              <w:jc w:val="right"/>
              <w:ind w:right="5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(1,552)</w:t>
            </w:r>
          </w:p>
        </w:tc>
        <w:tc>
          <w:tcPr>
            <w:tcW w:w="380" w:type="dxa"/>
            <w:vAlign w:val="bottom"/>
            <w:shd w:val="clear" w:color="auto" w:fill="CEFEE7"/>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20"/>
        </w:trPr>
        <w:tc>
          <w:tcPr>
            <w:tcW w:w="1360" w:type="dxa"/>
            <w:vAlign w:val="bottom"/>
            <w:tcBorders>
              <w:top w:val="single" w:sz="8" w:color="CEFEE7"/>
            </w:tcBorders>
          </w:tcPr>
          <w:p>
            <w:pPr>
              <w:spacing w:after="0" w:line="20" w:lineRule="exact"/>
              <w:rPr>
                <w:sz w:val="1"/>
                <w:szCs w:val="1"/>
                <w:color w:val="auto"/>
              </w:rPr>
            </w:pPr>
          </w:p>
        </w:tc>
        <w:tc>
          <w:tcPr>
            <w:tcW w:w="2980" w:type="dxa"/>
            <w:vAlign w:val="bottom"/>
            <w:tcBorders>
              <w:top w:val="single" w:sz="8" w:color="CEFEE7"/>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EFEE7"/>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580" w:hanging="332"/>
        <w:spacing w:after="0" w:line="258" w:lineRule="auto"/>
        <w:tabs>
          <w:tab w:leader="none" w:pos="344" w:val="left"/>
        </w:tabs>
        <w:numPr>
          <w:ilvl w:val="0"/>
          <w:numId w:val="74"/>
        </w:numPr>
        <w:rPr>
          <w:rFonts w:ascii="Arial" w:cs="Arial" w:eastAsia="Arial" w:hAnsi="Arial"/>
          <w:sz w:val="14"/>
          <w:szCs w:val="14"/>
          <w:color w:val="auto"/>
        </w:rPr>
      </w:pPr>
      <w:r>
        <w:rPr>
          <w:rFonts w:ascii="Arial" w:cs="Arial" w:eastAsia="Arial" w:hAnsi="Arial"/>
          <w:sz w:val="14"/>
          <w:szCs w:val="14"/>
          <w:color w:val="auto"/>
        </w:rPr>
        <w:t>As of December 31, 2020, $1.5 million of our commodity derivative assets and $1.6 million of our commodity derivative liabilities, as well as related gross collateral amounts, were subject to master netting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264"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A discussion of the fair value of our Pension and Postretirement Plan assets is included in </w:t>
      </w:r>
      <w:hyperlink w:anchor="page98">
        <w:r>
          <w:rPr>
            <w:rFonts w:ascii="Arial" w:cs="Arial" w:eastAsia="Arial" w:hAnsi="Arial"/>
            <w:sz w:val="16"/>
            <w:szCs w:val="16"/>
            <w:u w:val="single" w:color="auto"/>
            <w:color w:val="0000FF"/>
          </w:rPr>
          <w:t>Note 13</w:t>
        </w:r>
      </w:hyperlink>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Nonrecurring Fair Value Measurement</w:t>
      </w:r>
    </w:p>
    <w:p>
      <w:pPr>
        <w:spacing w:after="0" w:line="24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A discussion of the fair value of our investment in equity securities of a privately held oil and gas company, a Level 3 asset, is included in </w:t>
      </w:r>
      <w:hyperlink w:anchor="page66">
        <w:r>
          <w:rPr>
            <w:rFonts w:ascii="Arial" w:cs="Arial" w:eastAsia="Arial" w:hAnsi="Arial"/>
            <w:sz w:val="16"/>
            <w:szCs w:val="16"/>
            <w:u w:val="single" w:color="auto"/>
            <w:color w:val="0000FF"/>
          </w:rPr>
          <w:t>Note 1</w:t>
        </w:r>
      </w:hyperlink>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Measurements</w:t>
      </w:r>
    </w:p>
    <w:p>
      <w:pPr>
        <w:spacing w:after="0" w:line="24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Consolidated Balance Sheets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2021</w:t>
            </w:r>
          </w:p>
        </w:tc>
        <w:tc>
          <w:tcPr>
            <w:tcW w:w="1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2020</w:t>
            </w:r>
          </w:p>
        </w:tc>
        <w:tc>
          <w:tcPr>
            <w:tcW w:w="1340" w:type="dxa"/>
            <w:vAlign w:val="bottom"/>
            <w:tcBorders>
              <w:bottom w:val="single" w:sz="8" w:color="auto"/>
            </w:tcBorders>
          </w:tcPr>
          <w:p>
            <w:pPr>
              <w:spacing w:after="0"/>
              <w:rPr>
                <w:sz w:val="17"/>
                <w:szCs w:val="17"/>
                <w:color w:val="auto"/>
              </w:rPr>
            </w:pPr>
          </w:p>
        </w:tc>
      </w:tr>
      <w:tr>
        <w:trPr>
          <w:trHeight w:val="210"/>
        </w:trPr>
        <w:tc>
          <w:tcPr>
            <w:tcW w:w="4600" w:type="dxa"/>
            <w:vAlign w:val="bottom"/>
            <w:tcBorders>
              <w:bottom w:val="single" w:sz="8" w:color="CEFFE7"/>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Carrying Amount</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Fair Value</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Carrying Amount</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Fair Value</w:t>
            </w:r>
          </w:p>
        </w:tc>
      </w:tr>
      <w:tr>
        <w:trPr>
          <w:trHeight w:val="213"/>
        </w:trPr>
        <w:tc>
          <w:tcPr>
            <w:tcW w:w="4600" w:type="dxa"/>
            <w:vAlign w:val="bottom"/>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4,126,923</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4,570,619</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3,536,536</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4,208,167</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140" w:hanging="332"/>
        <w:spacing w:after="0" w:line="258" w:lineRule="auto"/>
        <w:tabs>
          <w:tab w:leader="none" w:pos="352" w:val="left"/>
        </w:tabs>
        <w:numPr>
          <w:ilvl w:val="0"/>
          <w:numId w:val="75"/>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480" w:hanging="472"/>
        <w:spacing w:after="0"/>
        <w:tabs>
          <w:tab w:leader="none" w:pos="48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268"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for the period, net of tax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880" w:type="dxa"/>
            <w:vAlign w:val="bottom"/>
          </w:tcPr>
          <w:p>
            <w:pPr>
              <w:ind w:left="460"/>
              <w:spacing w:after="0"/>
              <w:rPr>
                <w:sz w:val="20"/>
                <w:szCs w:val="20"/>
                <w:color w:val="auto"/>
              </w:rPr>
            </w:pPr>
            <w:r>
              <w:rPr>
                <w:rFonts w:ascii="Arial" w:cs="Arial" w:eastAsia="Arial" w:hAnsi="Arial"/>
                <w:sz w:val="16"/>
                <w:szCs w:val="16"/>
                <w:color w:val="auto"/>
              </w:rPr>
              <w:t>Location on the Consolidated</w:t>
            </w:r>
          </w:p>
        </w:tc>
        <w:tc>
          <w:tcPr>
            <w:tcW w:w="180" w:type="dxa"/>
            <w:vAlign w:val="bottom"/>
          </w:tcPr>
          <w:p>
            <w:pPr>
              <w:spacing w:after="0"/>
              <w:rPr>
                <w:sz w:val="18"/>
                <w:szCs w:val="18"/>
                <w:color w:val="auto"/>
              </w:rPr>
            </w:pPr>
          </w:p>
        </w:tc>
        <w:tc>
          <w:tcPr>
            <w:tcW w:w="3600" w:type="dxa"/>
            <w:vAlign w:val="bottom"/>
            <w:gridSpan w:val="3"/>
          </w:tcPr>
          <w:p>
            <w:pPr>
              <w:jc w:val="right"/>
              <w:ind w:right="659"/>
              <w:spacing w:after="0"/>
              <w:rPr>
                <w:sz w:val="20"/>
                <w:szCs w:val="20"/>
                <w:color w:val="auto"/>
              </w:rPr>
            </w:pPr>
            <w:r>
              <w:rPr>
                <w:rFonts w:ascii="Arial" w:cs="Arial" w:eastAsia="Arial" w:hAnsi="Arial"/>
                <w:sz w:val="16"/>
                <w:szCs w:val="16"/>
                <w:color w:val="auto"/>
              </w:rPr>
              <w:t>Amount Reclassified from AOCI</w:t>
            </w:r>
          </w:p>
        </w:tc>
        <w:tc>
          <w:tcPr>
            <w:tcW w:w="0" w:type="dxa"/>
            <w:vAlign w:val="bottom"/>
          </w:tcPr>
          <w:p>
            <w:pPr>
              <w:spacing w:after="0"/>
              <w:rPr>
                <w:sz w:val="1"/>
                <w:szCs w:val="1"/>
                <w:color w:val="auto"/>
              </w:rPr>
            </w:pPr>
          </w:p>
        </w:tc>
      </w:tr>
      <w:tr>
        <w:trPr>
          <w:trHeight w:val="198"/>
        </w:trPr>
        <w:tc>
          <w:tcPr>
            <w:tcW w:w="45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Statements of Income</w:t>
            </w: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December 31, 2021</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December 31, 2020</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Gains and (losses) on cash flow hedges:</w:t>
            </w: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Interest rate swaps</w:t>
            </w:r>
          </w:p>
        </w:tc>
        <w:tc>
          <w:tcPr>
            <w:tcW w:w="28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(2,851)</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177"/>
        </w:trPr>
        <w:tc>
          <w:tcPr>
            <w:tcW w:w="4580" w:type="dxa"/>
            <w:vAlign w:val="bottom"/>
          </w:tcPr>
          <w:p>
            <w:pPr>
              <w:spacing w:after="0"/>
              <w:rPr>
                <w:sz w:val="15"/>
                <w:szCs w:val="15"/>
                <w:color w:val="auto"/>
              </w:rPr>
            </w:pPr>
          </w:p>
        </w:tc>
        <w:tc>
          <w:tcPr>
            <w:tcW w:w="2880" w:type="dxa"/>
            <w:vAlign w:val="bottom"/>
          </w:tcPr>
          <w:p>
            <w:pPr>
              <w:ind w:left="140"/>
              <w:spacing w:after="0" w:line="178" w:lineRule="exact"/>
              <w:rPr>
                <w:sz w:val="20"/>
                <w:szCs w:val="20"/>
                <w:color w:val="auto"/>
              </w:rPr>
            </w:pPr>
            <w:r>
              <w:rPr>
                <w:rFonts w:ascii="Arial" w:cs="Arial" w:eastAsia="Arial" w:hAnsi="Arial"/>
                <w:sz w:val="16"/>
                <w:szCs w:val="16"/>
                <w:color w:val="auto"/>
              </w:rPr>
              <w:t>Fuel, purchased power and cost of</w:t>
            </w: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Commodity contracts</w:t>
            </w:r>
          </w:p>
        </w:tc>
        <w:tc>
          <w:tcPr>
            <w:tcW w:w="28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natural gas sold</w:t>
            </w: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13"/>
        </w:trPr>
        <w:tc>
          <w:tcPr>
            <w:tcW w:w="4580" w:type="dxa"/>
            <w:vAlign w:val="bottom"/>
            <w:shd w:val="clear" w:color="auto" w:fill="CEFFE7"/>
          </w:tcPr>
          <w:p>
            <w:pPr>
              <w:spacing w:after="0"/>
              <w:rPr>
                <w:sz w:val="18"/>
                <w:szCs w:val="18"/>
                <w:color w:val="auto"/>
              </w:rPr>
            </w:pPr>
          </w:p>
        </w:tc>
        <w:tc>
          <w:tcPr>
            <w:tcW w:w="288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(800)</w:t>
            </w:r>
          </w:p>
        </w:tc>
        <w:tc>
          <w:tcPr>
            <w:tcW w:w="180" w:type="dxa"/>
            <w:vAlign w:val="bottom"/>
            <w:shd w:val="clear" w:color="auto" w:fill="CEFFE7"/>
          </w:tcPr>
          <w:p>
            <w:pPr>
              <w:spacing w:after="0"/>
              <w:rPr>
                <w:sz w:val="18"/>
                <w:szCs w:val="18"/>
                <w:color w:val="auto"/>
              </w:rPr>
            </w:pP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(3,452)</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Income tax</w:t>
            </w:r>
          </w:p>
        </w:tc>
        <w:tc>
          <w:tcPr>
            <w:tcW w:w="28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160"/>
        </w:trPr>
        <w:tc>
          <w:tcPr>
            <w:tcW w:w="4580" w:type="dxa"/>
            <w:vAlign w:val="bottom"/>
            <w:shd w:val="clear" w:color="auto" w:fill="CEFFE7"/>
          </w:tcPr>
          <w:p>
            <w:pPr>
              <w:ind w:left="20"/>
              <w:spacing w:after="0" w:line="161" w:lineRule="exact"/>
              <w:rPr>
                <w:sz w:val="20"/>
                <w:szCs w:val="20"/>
                <w:color w:val="auto"/>
              </w:rPr>
            </w:pPr>
            <w:r>
              <w:rPr>
                <w:rFonts w:ascii="Arial" w:cs="Arial" w:eastAsia="Arial" w:hAnsi="Arial"/>
                <w:sz w:val="16"/>
                <w:szCs w:val="16"/>
                <w:color w:val="auto"/>
              </w:rPr>
              <w:t>Total reclassification adjustments related to cash flow hedges,</w:t>
            </w:r>
          </w:p>
        </w:tc>
        <w:tc>
          <w:tcPr>
            <w:tcW w:w="2880" w:type="dxa"/>
            <w:vAlign w:val="bottom"/>
            <w:shd w:val="clear" w:color="auto" w:fill="CEFFE7"/>
          </w:tcPr>
          <w:p>
            <w:pPr>
              <w:spacing w:after="0"/>
              <w:rPr>
                <w:sz w:val="13"/>
                <w:szCs w:val="13"/>
                <w:color w:val="auto"/>
              </w:rPr>
            </w:pPr>
          </w:p>
        </w:tc>
        <w:tc>
          <w:tcPr>
            <w:tcW w:w="1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(625)</w:t>
            </w:r>
          </w:p>
        </w:tc>
        <w:tc>
          <w:tcPr>
            <w:tcW w:w="1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(3,069)</w:t>
            </w:r>
          </w:p>
        </w:tc>
        <w:tc>
          <w:tcPr>
            <w:tcW w:w="0" w:type="dxa"/>
            <w:vAlign w:val="bottom"/>
          </w:tcPr>
          <w:p>
            <w:pPr>
              <w:spacing w:after="0"/>
              <w:rPr>
                <w:sz w:val="1"/>
                <w:szCs w:val="1"/>
                <w:color w:val="auto"/>
              </w:rPr>
            </w:pPr>
          </w:p>
        </w:tc>
      </w:tr>
      <w:tr>
        <w:trPr>
          <w:trHeight w:val="194"/>
        </w:trPr>
        <w:tc>
          <w:tcPr>
            <w:tcW w:w="4580" w:type="dxa"/>
            <w:vAlign w:val="bottom"/>
            <w:tcBorders>
              <w:bottom w:val="single" w:sz="8" w:color="CEFFE7"/>
            </w:tcBorders>
            <w:shd w:val="clear" w:color="auto" w:fill="CEFFE7"/>
          </w:tcPr>
          <w:p>
            <w:pPr>
              <w:ind w:left="20"/>
              <w:spacing w:after="0" w:line="174" w:lineRule="exact"/>
              <w:rPr>
                <w:sz w:val="20"/>
                <w:szCs w:val="20"/>
                <w:color w:val="auto"/>
              </w:rPr>
            </w:pPr>
            <w:r>
              <w:rPr>
                <w:rFonts w:ascii="Arial" w:cs="Arial" w:eastAsia="Arial" w:hAnsi="Arial"/>
                <w:sz w:val="16"/>
                <w:szCs w:val="16"/>
                <w:color w:val="auto"/>
              </w:rPr>
              <w:t>net of tax</w:t>
            </w:r>
          </w:p>
        </w:tc>
        <w:tc>
          <w:tcPr>
            <w:tcW w:w="2880" w:type="dxa"/>
            <w:vAlign w:val="bottom"/>
            <w:tcBorders>
              <w:bottom w:val="single" w:sz="8" w:color="CEFFE7"/>
            </w:tcBorders>
            <w:shd w:val="clear" w:color="auto" w:fill="CEFFE7"/>
          </w:tcPr>
          <w:p>
            <w:pPr>
              <w:spacing w:after="0"/>
              <w:rPr>
                <w:sz w:val="16"/>
                <w:szCs w:val="16"/>
                <w:color w:val="auto"/>
              </w:rPr>
            </w:pPr>
          </w:p>
        </w:tc>
        <w:tc>
          <w:tcPr>
            <w:tcW w:w="180" w:type="dxa"/>
            <w:vAlign w:val="bottom"/>
            <w:tcBorders>
              <w:bottom w:val="single" w:sz="8" w:color="auto"/>
            </w:tcBorders>
            <w:vMerge w:val="continue"/>
            <w:shd w:val="clear" w:color="auto" w:fill="CEFFE7"/>
          </w:tcPr>
          <w:p>
            <w:pPr>
              <w:spacing w:after="0"/>
              <w:rPr>
                <w:sz w:val="16"/>
                <w:szCs w:val="16"/>
                <w:color w:val="auto"/>
              </w:rPr>
            </w:pPr>
          </w:p>
        </w:tc>
        <w:tc>
          <w:tcPr>
            <w:tcW w:w="1700" w:type="dxa"/>
            <w:vAlign w:val="bottom"/>
            <w:tcBorders>
              <w:bottom w:val="single" w:sz="8" w:color="auto"/>
            </w:tcBorders>
            <w:vMerge w:val="continue"/>
            <w:shd w:val="clear" w:color="auto" w:fill="CEFFE7"/>
          </w:tcPr>
          <w:p>
            <w:pPr>
              <w:spacing w:after="0"/>
              <w:rPr>
                <w:sz w:val="16"/>
                <w:szCs w:val="16"/>
                <w:color w:val="auto"/>
              </w:rPr>
            </w:pPr>
          </w:p>
        </w:tc>
        <w:tc>
          <w:tcPr>
            <w:tcW w:w="180" w:type="dxa"/>
            <w:vAlign w:val="bottom"/>
            <w:tcBorders>
              <w:bottom w:val="single" w:sz="8" w:color="auto"/>
            </w:tcBorders>
            <w:vMerge w:val="continue"/>
            <w:shd w:val="clear" w:color="auto" w:fill="CEFFE7"/>
          </w:tcPr>
          <w:p>
            <w:pPr>
              <w:spacing w:after="0"/>
              <w:rPr>
                <w:sz w:val="16"/>
                <w:szCs w:val="16"/>
                <w:color w:val="auto"/>
              </w:rPr>
            </w:pPr>
          </w:p>
        </w:tc>
        <w:tc>
          <w:tcPr>
            <w:tcW w:w="1720" w:type="dxa"/>
            <w:vAlign w:val="bottom"/>
            <w:tcBorders>
              <w:bottom w:val="single" w:sz="8" w:color="auto"/>
            </w:tcBorders>
            <w:vMerge w:val="continue"/>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EFFE7"/>
            </w:tcBorders>
          </w:tcPr>
          <w:p>
            <w:pPr>
              <w:spacing w:after="0" w:line="20" w:lineRule="exact"/>
              <w:rPr>
                <w:sz w:val="1"/>
                <w:szCs w:val="1"/>
                <w:color w:val="auto"/>
              </w:rPr>
            </w:pPr>
          </w:p>
        </w:tc>
        <w:tc>
          <w:tcPr>
            <w:tcW w:w="288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70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7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Amortization of components of defined benefit plans:</w:t>
            </w:r>
          </w:p>
        </w:tc>
        <w:tc>
          <w:tcPr>
            <w:tcW w:w="288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70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7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Prior service cost</w:t>
            </w:r>
          </w:p>
        </w:tc>
        <w:tc>
          <w:tcPr>
            <w:tcW w:w="2880" w:type="dxa"/>
            <w:vAlign w:val="bottom"/>
          </w:tcPr>
          <w:p>
            <w:pPr>
              <w:ind w:left="140"/>
              <w:spacing w:after="0"/>
              <w:rPr>
                <w:sz w:val="20"/>
                <w:szCs w:val="20"/>
                <w:color w:val="auto"/>
              </w:rPr>
            </w:pPr>
            <w:r>
              <w:rPr>
                <w:rFonts w:ascii="Arial" w:cs="Arial" w:eastAsia="Arial" w:hAnsi="Arial"/>
                <w:sz w:val="16"/>
                <w:szCs w:val="16"/>
                <w:color w:val="auto"/>
              </w:rPr>
              <w:t>Operations and maintenance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98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73"/>
        </w:trPr>
        <w:tc>
          <w:tcPr>
            <w:tcW w:w="4580" w:type="dxa"/>
            <w:vAlign w:val="bottom"/>
            <w:shd w:val="clear" w:color="auto" w:fill="CEFFE7"/>
          </w:tcPr>
          <w:p>
            <w:pPr>
              <w:spacing w:after="0"/>
              <w:rPr>
                <w:sz w:val="23"/>
                <w:szCs w:val="23"/>
                <w:color w:val="auto"/>
              </w:rPr>
            </w:pPr>
          </w:p>
        </w:tc>
        <w:tc>
          <w:tcPr>
            <w:tcW w:w="288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7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7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5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Actuarial gain (loss)</w:t>
            </w:r>
          </w:p>
        </w:tc>
        <w:tc>
          <w:tcPr>
            <w:tcW w:w="28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Operations and maintenance</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(2,391)</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w:t>
            </w:r>
          </w:p>
        </w:tc>
        <w:tc>
          <w:tcPr>
            <w:tcW w:w="0" w:type="dxa"/>
            <w:vAlign w:val="bottom"/>
          </w:tcPr>
          <w:p>
            <w:pPr>
              <w:spacing w:after="0"/>
              <w:rPr>
                <w:sz w:val="1"/>
                <w:szCs w:val="1"/>
                <w:color w:val="auto"/>
              </w:rPr>
            </w:pPr>
          </w:p>
        </w:tc>
      </w:tr>
      <w:tr>
        <w:trPr>
          <w:trHeight w:val="210"/>
        </w:trPr>
        <w:tc>
          <w:tcPr>
            <w:tcW w:w="4580" w:type="dxa"/>
            <w:vAlign w:val="bottom"/>
            <w:shd w:val="clear" w:color="auto" w:fill="CEFFE7"/>
          </w:tcPr>
          <w:p>
            <w:pPr>
              <w:spacing w:after="0"/>
              <w:rPr>
                <w:sz w:val="18"/>
                <w:szCs w:val="18"/>
                <w:color w:val="auto"/>
              </w:rPr>
            </w:pPr>
          </w:p>
        </w:tc>
        <w:tc>
          <w:tcPr>
            <w:tcW w:w="2880" w:type="dxa"/>
            <w:vAlign w:val="bottom"/>
            <w:shd w:val="clear" w:color="auto" w:fill="CEFFE7"/>
          </w:tcPr>
          <w:p>
            <w:pPr>
              <w:spacing w:after="0"/>
              <w:rPr>
                <w:sz w:val="18"/>
                <w:szCs w:val="18"/>
                <w:color w:val="auto"/>
              </w:rPr>
            </w:pPr>
          </w:p>
        </w:tc>
        <w:tc>
          <w:tcPr>
            <w:tcW w:w="180" w:type="dxa"/>
            <w:vAlign w:val="bottom"/>
            <w:tcBorders>
              <w:bottom w:val="single" w:sz="8" w:color="auto"/>
            </w:tcBorders>
            <w:shd w:val="clear" w:color="auto" w:fill="CEFFE7"/>
          </w:tcPr>
          <w:p>
            <w:pPr>
              <w:spacing w:after="0"/>
              <w:rPr>
                <w:sz w:val="18"/>
                <w:szCs w:val="18"/>
                <w:color w:val="auto"/>
              </w:rPr>
            </w:pP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(2,293)</w:t>
            </w:r>
          </w:p>
        </w:tc>
        <w:tc>
          <w:tcPr>
            <w:tcW w:w="180" w:type="dxa"/>
            <w:vAlign w:val="bottom"/>
            <w:tcBorders>
              <w:bottom w:val="single" w:sz="8" w:color="auto"/>
            </w:tcBorders>
            <w:shd w:val="clear" w:color="auto" w:fill="CEFFE7"/>
          </w:tcPr>
          <w:p>
            <w:pPr>
              <w:spacing w:after="0"/>
              <w:rPr>
                <w:sz w:val="18"/>
                <w:szCs w:val="18"/>
                <w:color w:val="auto"/>
              </w:rPr>
            </w:pP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(2,284)</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Income tax</w:t>
            </w:r>
          </w:p>
        </w:tc>
        <w:tc>
          <w:tcPr>
            <w:tcW w:w="28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160"/>
        </w:trPr>
        <w:tc>
          <w:tcPr>
            <w:tcW w:w="4580" w:type="dxa"/>
            <w:vAlign w:val="bottom"/>
            <w:shd w:val="clear" w:color="auto" w:fill="CEFFE7"/>
          </w:tcPr>
          <w:p>
            <w:pPr>
              <w:ind w:left="20"/>
              <w:spacing w:after="0" w:line="161" w:lineRule="exact"/>
              <w:rPr>
                <w:sz w:val="20"/>
                <w:szCs w:val="20"/>
                <w:color w:val="auto"/>
              </w:rPr>
            </w:pPr>
            <w:r>
              <w:rPr>
                <w:rFonts w:ascii="Arial" w:cs="Arial" w:eastAsia="Arial" w:hAnsi="Arial"/>
                <w:sz w:val="16"/>
                <w:szCs w:val="16"/>
                <w:color w:val="auto"/>
              </w:rPr>
              <w:t>Total reclassification adjustments related to defined benefit</w:t>
            </w:r>
          </w:p>
        </w:tc>
        <w:tc>
          <w:tcPr>
            <w:tcW w:w="2880" w:type="dxa"/>
            <w:vAlign w:val="bottom"/>
            <w:shd w:val="clear" w:color="auto" w:fill="CEFFE7"/>
          </w:tcPr>
          <w:p>
            <w:pPr>
              <w:spacing w:after="0"/>
              <w:rPr>
                <w:sz w:val="13"/>
                <w:szCs w:val="13"/>
                <w:color w:val="auto"/>
              </w:rPr>
            </w:pPr>
          </w:p>
        </w:tc>
        <w:tc>
          <w:tcPr>
            <w:tcW w:w="1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(1,655)</w:t>
            </w:r>
          </w:p>
        </w:tc>
        <w:tc>
          <w:tcPr>
            <w:tcW w:w="1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194"/>
        </w:trPr>
        <w:tc>
          <w:tcPr>
            <w:tcW w:w="4580" w:type="dxa"/>
            <w:vAlign w:val="bottom"/>
            <w:tcBorders>
              <w:bottom w:val="single" w:sz="8" w:color="CEFFE7"/>
            </w:tcBorders>
            <w:shd w:val="clear" w:color="auto" w:fill="CEFFE7"/>
          </w:tcPr>
          <w:p>
            <w:pPr>
              <w:ind w:left="20"/>
              <w:spacing w:after="0" w:line="174" w:lineRule="exact"/>
              <w:rPr>
                <w:sz w:val="20"/>
                <w:szCs w:val="20"/>
                <w:color w:val="auto"/>
              </w:rPr>
            </w:pPr>
            <w:r>
              <w:rPr>
                <w:rFonts w:ascii="Arial" w:cs="Arial" w:eastAsia="Arial" w:hAnsi="Arial"/>
                <w:sz w:val="16"/>
                <w:szCs w:val="16"/>
                <w:color w:val="auto"/>
              </w:rPr>
              <w:t>plans, net of tax</w:t>
            </w:r>
          </w:p>
        </w:tc>
        <w:tc>
          <w:tcPr>
            <w:tcW w:w="2880" w:type="dxa"/>
            <w:vAlign w:val="bottom"/>
            <w:tcBorders>
              <w:bottom w:val="single" w:sz="8" w:color="CEFFE7"/>
            </w:tcBorders>
            <w:shd w:val="clear" w:color="auto" w:fill="CEFFE7"/>
          </w:tcPr>
          <w:p>
            <w:pPr>
              <w:spacing w:after="0"/>
              <w:rPr>
                <w:sz w:val="16"/>
                <w:szCs w:val="16"/>
                <w:color w:val="auto"/>
              </w:rPr>
            </w:pPr>
          </w:p>
        </w:tc>
        <w:tc>
          <w:tcPr>
            <w:tcW w:w="180" w:type="dxa"/>
            <w:vAlign w:val="bottom"/>
            <w:tcBorders>
              <w:bottom w:val="single" w:sz="8" w:color="auto"/>
            </w:tcBorders>
            <w:vMerge w:val="continue"/>
            <w:shd w:val="clear" w:color="auto" w:fill="CEFFE7"/>
          </w:tcPr>
          <w:p>
            <w:pPr>
              <w:spacing w:after="0"/>
              <w:rPr>
                <w:sz w:val="16"/>
                <w:szCs w:val="16"/>
                <w:color w:val="auto"/>
              </w:rPr>
            </w:pPr>
          </w:p>
        </w:tc>
        <w:tc>
          <w:tcPr>
            <w:tcW w:w="1700" w:type="dxa"/>
            <w:vAlign w:val="bottom"/>
            <w:tcBorders>
              <w:bottom w:val="single" w:sz="8" w:color="auto"/>
            </w:tcBorders>
            <w:vMerge w:val="continue"/>
            <w:shd w:val="clear" w:color="auto" w:fill="CEFFE7"/>
          </w:tcPr>
          <w:p>
            <w:pPr>
              <w:spacing w:after="0"/>
              <w:rPr>
                <w:sz w:val="16"/>
                <w:szCs w:val="16"/>
                <w:color w:val="auto"/>
              </w:rPr>
            </w:pPr>
          </w:p>
        </w:tc>
        <w:tc>
          <w:tcPr>
            <w:tcW w:w="180" w:type="dxa"/>
            <w:vAlign w:val="bottom"/>
            <w:tcBorders>
              <w:bottom w:val="single" w:sz="8" w:color="auto"/>
            </w:tcBorders>
            <w:vMerge w:val="continue"/>
            <w:shd w:val="clear" w:color="auto" w:fill="CEFFE7"/>
          </w:tcPr>
          <w:p>
            <w:pPr>
              <w:spacing w:after="0"/>
              <w:rPr>
                <w:sz w:val="16"/>
                <w:szCs w:val="16"/>
                <w:color w:val="auto"/>
              </w:rPr>
            </w:pPr>
          </w:p>
        </w:tc>
        <w:tc>
          <w:tcPr>
            <w:tcW w:w="1720" w:type="dxa"/>
            <w:vAlign w:val="bottom"/>
            <w:tcBorders>
              <w:bottom w:val="single" w:sz="8" w:color="auto"/>
            </w:tcBorders>
            <w:vMerge w:val="continue"/>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EFFE7"/>
            </w:tcBorders>
          </w:tcPr>
          <w:p>
            <w:pPr>
              <w:spacing w:after="0" w:line="20" w:lineRule="exact"/>
              <w:rPr>
                <w:sz w:val="1"/>
                <w:szCs w:val="1"/>
                <w:color w:val="auto"/>
              </w:rPr>
            </w:pPr>
          </w:p>
        </w:tc>
        <w:tc>
          <w:tcPr>
            <w:tcW w:w="288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70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7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80" w:type="dxa"/>
            <w:vAlign w:val="bottom"/>
            <w:tcBorders>
              <w:bottom w:val="single" w:sz="8" w:color="CEFFE7"/>
            </w:tcBorders>
          </w:tcPr>
          <w:p>
            <w:pPr>
              <w:spacing w:after="0"/>
              <w:rPr>
                <w:sz w:val="18"/>
                <w:szCs w:val="18"/>
                <w:color w:val="auto"/>
              </w:rPr>
            </w:pPr>
          </w:p>
        </w:tc>
        <w:tc>
          <w:tcPr>
            <w:tcW w:w="2880" w:type="dxa"/>
            <w:vAlign w:val="bottom"/>
            <w:tcBorders>
              <w:bottom w:val="single" w:sz="8" w:color="CEFFE7"/>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5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reclassifications</w:t>
            </w:r>
          </w:p>
        </w:tc>
        <w:tc>
          <w:tcPr>
            <w:tcW w:w="2880" w:type="dxa"/>
            <w:vAlign w:val="bottom"/>
            <w:tcBorders>
              <w:bottom w:val="single" w:sz="8" w:color="CEFFE7"/>
            </w:tcBorders>
            <w:shd w:val="clear" w:color="auto" w:fill="CEFFE7"/>
          </w:tcPr>
          <w:p>
            <w:pPr>
              <w:spacing w:after="0"/>
              <w:rPr>
                <w:sz w:val="19"/>
                <w:szCs w:val="19"/>
                <w:color w:val="auto"/>
              </w:rPr>
            </w:pP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(2,280)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(4,418)</w:t>
            </w:r>
          </w:p>
        </w:tc>
        <w:tc>
          <w:tcPr>
            <w:tcW w:w="0" w:type="dxa"/>
            <w:vAlign w:val="bottom"/>
          </w:tcPr>
          <w:p>
            <w:pPr>
              <w:spacing w:after="0"/>
              <w:rPr>
                <w:sz w:val="1"/>
                <w:szCs w:val="1"/>
                <w:color w:val="auto"/>
              </w:rPr>
            </w:pPr>
          </w:p>
        </w:tc>
      </w:tr>
      <w:tr>
        <w:trPr>
          <w:trHeight w:val="20"/>
        </w:trPr>
        <w:tc>
          <w:tcPr>
            <w:tcW w:w="4580" w:type="dxa"/>
            <w:vAlign w:val="bottom"/>
            <w:tcBorders>
              <w:top w:val="single" w:sz="8" w:color="CEFFE7"/>
            </w:tcBorders>
          </w:tcPr>
          <w:p>
            <w:pPr>
              <w:spacing w:after="0" w:line="20" w:lineRule="exact"/>
              <w:rPr>
                <w:sz w:val="1"/>
                <w:szCs w:val="1"/>
                <w:color w:val="auto"/>
              </w:rPr>
            </w:pPr>
          </w:p>
        </w:tc>
        <w:tc>
          <w:tcPr>
            <w:tcW w:w="288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70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7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Consolidated Balance Sheets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color w:val="auto"/>
              </w:rPr>
              <w:t>Derivatives Designated as Cash Flow Hedges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19"/>
              <w:spacing w:after="0" w:line="164" w:lineRule="exact"/>
              <w:rPr>
                <w:sz w:val="20"/>
                <w:szCs w:val="20"/>
                <w:color w:val="auto"/>
              </w:rPr>
            </w:pPr>
            <w:r>
              <w:rPr>
                <w:rFonts w:ascii="Arial" w:cs="Arial" w:eastAsia="Arial" w:hAnsi="Arial"/>
                <w:sz w:val="16"/>
                <w:szCs w:val="16"/>
                <w:color w:val="auto"/>
              </w:rPr>
              <w:t>Employee Benefit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center"/>
              <w:ind w:right="79"/>
              <w:spacing w:after="0"/>
              <w:rPr>
                <w:sz w:val="20"/>
                <w:szCs w:val="20"/>
                <w:color w:val="auto"/>
              </w:rPr>
            </w:pPr>
            <w:r>
              <w:rPr>
                <w:rFonts w:ascii="Arial" w:cs="Arial" w:eastAsia="Arial" w:hAnsi="Arial"/>
                <w:sz w:val="16"/>
                <w:szCs w:val="16"/>
                <w:color w:val="auto"/>
              </w:rPr>
              <w:t>Interest Rate Swaps</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Commodity Derivatives</w:t>
            </w:r>
          </w:p>
        </w:tc>
        <w:tc>
          <w:tcPr>
            <w:tcW w:w="100" w:type="dxa"/>
            <w:vAlign w:val="bottom"/>
          </w:tcPr>
          <w:p>
            <w:pPr>
              <w:spacing w:after="0"/>
              <w:rPr>
                <w:sz w:val="17"/>
                <w:szCs w:val="17"/>
                <w:color w:val="auto"/>
              </w:rPr>
            </w:pPr>
          </w:p>
        </w:tc>
        <w:tc>
          <w:tcPr>
            <w:tcW w:w="1400" w:type="dxa"/>
            <w:vAlign w:val="bottom"/>
          </w:tcPr>
          <w:p>
            <w:pPr>
              <w:jc w:val="center"/>
              <w:ind w:right="19"/>
              <w:spacing w:after="0"/>
              <w:rPr>
                <w:sz w:val="20"/>
                <w:szCs w:val="20"/>
                <w:color w:val="auto"/>
              </w:rPr>
            </w:pPr>
            <w:r>
              <w:rPr>
                <w:rFonts w:ascii="Arial" w:cs="Arial" w:eastAsia="Arial" w:hAnsi="Arial"/>
                <w:sz w:val="16"/>
                <w:szCs w:val="16"/>
                <w:color w:val="auto"/>
              </w:rPr>
              <w:t>Plans</w:t>
            </w:r>
          </w:p>
        </w:tc>
        <w:tc>
          <w:tcPr>
            <w:tcW w:w="30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Arial" w:cs="Arial" w:eastAsia="Arial" w:hAnsi="Arial"/>
                <w:sz w:val="16"/>
                <w:szCs w:val="16"/>
                <w:color w:val="auto"/>
              </w:rPr>
              <w:t>Total</w:t>
            </w:r>
          </w:p>
        </w:tc>
      </w:tr>
      <w:tr>
        <w:trPr>
          <w:trHeight w:val="213"/>
        </w:trPr>
        <w:tc>
          <w:tcPr>
            <w:tcW w:w="20" w:type="dxa"/>
            <w:vAlign w:val="bottom"/>
          </w:tcPr>
          <w:p>
            <w:pPr>
              <w:spacing w:after="0"/>
              <w:rPr>
                <w:sz w:val="18"/>
                <w:szCs w:val="18"/>
                <w:color w:val="auto"/>
              </w:rPr>
            </w:pPr>
          </w:p>
        </w:tc>
        <w:tc>
          <w:tcPr>
            <w:tcW w:w="460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As of December 31, 2020</w:t>
            </w:r>
          </w:p>
        </w:tc>
        <w:tc>
          <w:tcPr>
            <w:tcW w:w="1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(12,558)</w:t>
            </w:r>
          </w:p>
        </w:tc>
        <w:tc>
          <w:tcPr>
            <w:tcW w:w="680" w:type="dxa"/>
            <w:vAlign w:val="bottom"/>
            <w:tcBorders>
              <w:top w:val="single" w:sz="8" w:color="auto"/>
            </w:tcBorders>
            <w:shd w:val="clear" w:color="auto" w:fill="CEFFE7"/>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(14,790)</w:t>
            </w:r>
          </w:p>
        </w:tc>
        <w:tc>
          <w:tcPr>
            <w:tcW w:w="300" w:type="dxa"/>
            <w:vAlign w:val="bottom"/>
            <w:tcBorders>
              <w:top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(27,346)</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6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before reclassifications</w:t>
            </w:r>
          </w:p>
        </w:tc>
        <w:tc>
          <w:tcPr>
            <w:tcW w:w="180" w:type="dxa"/>
            <w:vAlign w:val="bottom"/>
            <w:shd w:val="clear" w:color="auto" w:fill="CEFFE7"/>
          </w:tcPr>
          <w:p>
            <w:pPr>
              <w:spacing w:after="0"/>
              <w:rPr>
                <w:sz w:val="19"/>
                <w:szCs w:val="19"/>
                <w:color w:val="auto"/>
              </w:rPr>
            </w:pPr>
          </w:p>
        </w:tc>
        <w:tc>
          <w:tcPr>
            <w:tcW w:w="1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EFFE7"/>
          </w:tcPr>
          <w:p>
            <w:pPr>
              <w:spacing w:after="0"/>
              <w:rPr>
                <w:sz w:val="19"/>
                <w:szCs w:val="19"/>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3,023</w:t>
            </w:r>
          </w:p>
        </w:tc>
        <w:tc>
          <w:tcPr>
            <w:tcW w:w="10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1,959</w:t>
            </w:r>
          </w:p>
        </w:tc>
        <w:tc>
          <w:tcPr>
            <w:tcW w:w="30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4,982</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6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w:t>
            </w: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As of December 31, 2021</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(10,384)</w:t>
            </w:r>
          </w:p>
        </w:tc>
        <w:tc>
          <w:tcPr>
            <w:tcW w:w="680" w:type="dxa"/>
            <w:vAlign w:val="bottom"/>
            <w:tcBorders>
              <w:bottom w:val="single" w:sz="8" w:color="auto"/>
            </w:tcBorders>
            <w:shd w:val="clear" w:color="auto" w:fill="CEFFE7"/>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(11,176)</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(20,084)</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3640" w:type="dxa"/>
            <w:vAlign w:val="bottom"/>
            <w:tcBorders>
              <w:top w:val="single" w:sz="8" w:color="CEFFE7"/>
              <w:bottom w:val="single" w:sz="8" w:color="auto"/>
            </w:tcBorders>
            <w:gridSpan w:val="3"/>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color w:val="auto"/>
              </w:rPr>
              <w:t>Derivatives Designated as Cash Flow Hedges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19"/>
              <w:spacing w:after="0" w:line="164" w:lineRule="exact"/>
              <w:rPr>
                <w:sz w:val="20"/>
                <w:szCs w:val="20"/>
                <w:color w:val="auto"/>
              </w:rPr>
            </w:pPr>
            <w:r>
              <w:rPr>
                <w:rFonts w:ascii="Arial" w:cs="Arial" w:eastAsia="Arial" w:hAnsi="Arial"/>
                <w:sz w:val="16"/>
                <w:szCs w:val="16"/>
                <w:color w:val="auto"/>
              </w:rPr>
              <w:t>Employee Benefit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center"/>
              <w:ind w:right="79"/>
              <w:spacing w:after="0"/>
              <w:rPr>
                <w:sz w:val="20"/>
                <w:szCs w:val="20"/>
                <w:color w:val="auto"/>
              </w:rPr>
            </w:pPr>
            <w:r>
              <w:rPr>
                <w:rFonts w:ascii="Arial" w:cs="Arial" w:eastAsia="Arial" w:hAnsi="Arial"/>
                <w:sz w:val="16"/>
                <w:szCs w:val="16"/>
                <w:color w:val="auto"/>
              </w:rPr>
              <w:t>Interest Rate Swaps</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Commodity Derivatives</w:t>
            </w:r>
          </w:p>
        </w:tc>
        <w:tc>
          <w:tcPr>
            <w:tcW w:w="100" w:type="dxa"/>
            <w:vAlign w:val="bottom"/>
          </w:tcPr>
          <w:p>
            <w:pPr>
              <w:spacing w:after="0"/>
              <w:rPr>
                <w:sz w:val="17"/>
                <w:szCs w:val="17"/>
                <w:color w:val="auto"/>
              </w:rPr>
            </w:pPr>
          </w:p>
        </w:tc>
        <w:tc>
          <w:tcPr>
            <w:tcW w:w="1400" w:type="dxa"/>
            <w:vAlign w:val="bottom"/>
          </w:tcPr>
          <w:p>
            <w:pPr>
              <w:jc w:val="center"/>
              <w:ind w:right="19"/>
              <w:spacing w:after="0"/>
              <w:rPr>
                <w:sz w:val="20"/>
                <w:szCs w:val="20"/>
                <w:color w:val="auto"/>
              </w:rPr>
            </w:pPr>
            <w:r>
              <w:rPr>
                <w:rFonts w:ascii="Arial" w:cs="Arial" w:eastAsia="Arial" w:hAnsi="Arial"/>
                <w:sz w:val="16"/>
                <w:szCs w:val="16"/>
                <w:color w:val="auto"/>
              </w:rPr>
              <w:t>Plans</w:t>
            </w:r>
          </w:p>
        </w:tc>
        <w:tc>
          <w:tcPr>
            <w:tcW w:w="30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Arial" w:cs="Arial" w:eastAsia="Arial" w:hAnsi="Arial"/>
                <w:sz w:val="16"/>
                <w:szCs w:val="16"/>
                <w:color w:val="auto"/>
              </w:rPr>
              <w:t>Total</w:t>
            </w:r>
          </w:p>
        </w:tc>
      </w:tr>
      <w:tr>
        <w:trPr>
          <w:trHeight w:val="213"/>
        </w:trPr>
        <w:tc>
          <w:tcPr>
            <w:tcW w:w="20" w:type="dxa"/>
            <w:vAlign w:val="bottom"/>
          </w:tcPr>
          <w:p>
            <w:pPr>
              <w:spacing w:after="0"/>
              <w:rPr>
                <w:sz w:val="18"/>
                <w:szCs w:val="18"/>
                <w:color w:val="auto"/>
              </w:rPr>
            </w:pPr>
          </w:p>
        </w:tc>
        <w:tc>
          <w:tcPr>
            <w:tcW w:w="460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As of December 31, 2019</w:t>
            </w:r>
          </w:p>
        </w:tc>
        <w:tc>
          <w:tcPr>
            <w:tcW w:w="1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(15,122)</w:t>
            </w:r>
          </w:p>
        </w:tc>
        <w:tc>
          <w:tcPr>
            <w:tcW w:w="680" w:type="dxa"/>
            <w:vAlign w:val="bottom"/>
            <w:tcBorders>
              <w:top w:val="single" w:sz="8" w:color="auto"/>
            </w:tcBorders>
            <w:shd w:val="clear" w:color="auto" w:fill="CEFFE7"/>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(15,077)</w:t>
            </w:r>
          </w:p>
        </w:tc>
        <w:tc>
          <w:tcPr>
            <w:tcW w:w="300" w:type="dxa"/>
            <w:vAlign w:val="bottom"/>
            <w:tcBorders>
              <w:top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(30,655)</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6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before reclassifications</w:t>
            </w:r>
          </w:p>
        </w:tc>
        <w:tc>
          <w:tcPr>
            <w:tcW w:w="180" w:type="dxa"/>
            <w:vAlign w:val="bottom"/>
            <w:shd w:val="clear" w:color="auto" w:fill="CEFFE7"/>
          </w:tcPr>
          <w:p>
            <w:pPr>
              <w:spacing w:after="0"/>
              <w:rPr>
                <w:sz w:val="19"/>
                <w:szCs w:val="19"/>
                <w:color w:val="auto"/>
              </w:rPr>
            </w:pPr>
          </w:p>
        </w:tc>
        <w:tc>
          <w:tcPr>
            <w:tcW w:w="1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EFFE7"/>
          </w:tcPr>
          <w:p>
            <w:pPr>
              <w:spacing w:after="0"/>
              <w:rPr>
                <w:sz w:val="19"/>
                <w:szCs w:val="19"/>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(1,062)</w:t>
            </w:r>
          </w:p>
        </w:tc>
        <w:tc>
          <w:tcPr>
            <w:tcW w:w="30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(1,109)</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6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2,564</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4,418</w:t>
            </w: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As of December 31, 2020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(12,558)</w:t>
            </w:r>
          </w:p>
        </w:tc>
        <w:tc>
          <w:tcPr>
            <w:tcW w:w="680" w:type="dxa"/>
            <w:vAlign w:val="bottom"/>
            <w:tcBorders>
              <w:bottom w:val="single" w:sz="8" w:color="auto"/>
            </w:tcBorders>
            <w:shd w:val="clear" w:color="auto" w:fill="CEFFE7"/>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(14,790)</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(27,346)</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86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jc w:val="center"/>
              <w:ind w:right="119"/>
              <w:spacing w:after="0"/>
              <w:rPr>
                <w:sz w:val="20"/>
                <w:szCs w:val="20"/>
                <w:color w:val="auto"/>
              </w:rPr>
            </w:pPr>
            <w:r>
              <w:rPr>
                <w:rFonts w:ascii="Arial" w:cs="Arial" w:eastAsia="Arial" w:hAnsi="Arial"/>
                <w:sz w:val="16"/>
                <w:szCs w:val="16"/>
                <w:color w:val="auto"/>
              </w:rPr>
              <w:t>97</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480" w:hanging="472"/>
        <w:spacing w:after="0"/>
        <w:tabs>
          <w:tab w:leader="none" w:pos="48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VARIABLE INTEREST ENTITY</w:t>
      </w:r>
    </w:p>
    <w:p>
      <w:pPr>
        <w:spacing w:after="0" w:line="26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Black Hills Colorado IPP owns and operates a 200 MW, combined-cycle natural gas generating facility located in Pueblo, Colorado. In 2016, Black Hills Electric Generation sold a 49.9%, non-controlling interest in Black Hills Colorado IPP to a third-party buyer. Black Hills Electric Generation is the operator of the facility, which is contracted to provide capacity and energy through 2031 to Colorado Electric.</w:t>
      </w:r>
    </w:p>
    <w:p>
      <w:pPr>
        <w:spacing w:after="0" w:line="22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 xml:space="preserve">The accounting for a partial sale of a subsidiary in which control is maintained and the subsidiary continues to be consolidated is specified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The partial sale is required to be recorded as an equity transaction with no resulting gain or loss on the sale. GAAP requires that non-controlling interests in subsidiaries and affiliates be reported in the equity section of a company’s balance sheet.</w:t>
      </w:r>
    </w:p>
    <w:p>
      <w:pPr>
        <w:spacing w:after="0" w:line="22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Net income available for common stock for the years ended December 31, 2021, 2020 and 2019 was reduced by $15 million, $15 million, and $14 million, respectively, attributable to this non-controlling interest. The net income allocable to the non-controlling interest holder is based on ownership interest with the exception of certain agreed upon adjustments. Distributions of net income attributable to this non-controlling interest are due within 30 days following the end of a quarter, but may be withheld as necessary by Black Hills Electric Generation.</w:t>
      </w:r>
    </w:p>
    <w:p>
      <w:pPr>
        <w:spacing w:after="0" w:line="229"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Black Hills Colorado IPP has been determined to be a VIE in which the Company has a variable interest. Black Hills Electric Generation has been determined to be the primary beneficiary of the VIE as Black Hills Electric Generation is the operator and manager of the generation facility and, as such, has the power to direct the activities that most significantly impact Black Hills Colorado IPP’s economic performance. Black Hills Electric Generation, as the primary beneficiary, continues to consolidate Black Hills Colorado IPP. Black Hills Colorado IPP has not received financial or other support from the Company outside of pre-existing contractual arrangements during the reporting period. Black Hills Colorado IPP does not have any debt and its cash flows from operations are sufficient to support its ongoing operations.</w:t>
      </w:r>
    </w:p>
    <w:p>
      <w:pPr>
        <w:spacing w:after="0" w:line="232"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We have recorded the following assets and liabilities on our consolidated balance sheets related to the VIE described above as of December 31 (in thousands):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8000" w:type="dxa"/>
            <w:vAlign w:val="bottom"/>
            <w:tcBorders>
              <w:bottom w:val="single" w:sz="8" w:color="CEFFE7"/>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r>
      <w:tr>
        <w:trPr>
          <w:trHeight w:val="199"/>
        </w:trPr>
        <w:tc>
          <w:tcPr>
            <w:tcW w:w="8000" w:type="dxa"/>
            <w:vAlign w:val="bottom"/>
            <w:shd w:val="clear" w:color="auto" w:fill="CEFFE7"/>
          </w:tcPr>
          <w:p>
            <w:pPr>
              <w:spacing w:after="0"/>
              <w:rPr>
                <w:sz w:val="20"/>
                <w:szCs w:val="20"/>
                <w:color w:val="auto"/>
              </w:rPr>
            </w:pPr>
            <w:r>
              <w:rPr>
                <w:rFonts w:ascii="Arial" w:cs="Arial" w:eastAsia="Arial" w:hAnsi="Arial"/>
                <w:sz w:val="16"/>
                <w:szCs w:val="16"/>
                <w:color w:val="auto"/>
              </w:rPr>
              <w:t>Assets:</w:t>
            </w:r>
          </w:p>
        </w:tc>
        <w:tc>
          <w:tcPr>
            <w:tcW w:w="340" w:type="dxa"/>
            <w:vAlign w:val="bottom"/>
            <w:shd w:val="clear" w:color="auto" w:fill="CEFFE7"/>
          </w:tcPr>
          <w:p>
            <w:pPr>
              <w:spacing w:after="0"/>
              <w:rPr>
                <w:sz w:val="17"/>
                <w:szCs w:val="17"/>
                <w:color w:val="auto"/>
              </w:rPr>
            </w:pPr>
          </w:p>
        </w:tc>
        <w:tc>
          <w:tcPr>
            <w:tcW w:w="1220" w:type="dxa"/>
            <w:vAlign w:val="bottom"/>
            <w:shd w:val="clear" w:color="auto" w:fill="CEFFE7"/>
          </w:tcPr>
          <w:p>
            <w:pPr>
              <w:spacing w:after="0"/>
              <w:rPr>
                <w:sz w:val="17"/>
                <w:szCs w:val="17"/>
                <w:color w:val="auto"/>
              </w:rPr>
            </w:pPr>
          </w:p>
        </w:tc>
        <w:tc>
          <w:tcPr>
            <w:tcW w:w="42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Current assets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13,220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13,604</w:t>
            </w:r>
          </w:p>
        </w:tc>
      </w:tr>
      <w:tr>
        <w:trPr>
          <w:trHeight w:val="219"/>
        </w:trPr>
        <w:tc>
          <w:tcPr>
            <w:tcW w:w="80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Property, plant and equipment of variable interest entities, net</w:t>
            </w: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189,079</w:t>
            </w:r>
          </w:p>
        </w:tc>
        <w:tc>
          <w:tcPr>
            <w:tcW w:w="42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190,637</w:t>
            </w:r>
          </w:p>
        </w:tc>
      </w:tr>
      <w:tr>
        <w:trPr>
          <w:trHeight w:val="270"/>
        </w:trPr>
        <w:tc>
          <w:tcPr>
            <w:tcW w:w="8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16"/>
        </w:trPr>
        <w:tc>
          <w:tcPr>
            <w:tcW w:w="8000" w:type="dxa"/>
            <w:vAlign w:val="bottom"/>
            <w:shd w:val="clear" w:color="auto" w:fill="CEFFE7"/>
          </w:tcPr>
          <w:p>
            <w:pPr>
              <w:spacing w:after="0"/>
              <w:rPr>
                <w:sz w:val="20"/>
                <w:szCs w:val="20"/>
                <w:color w:val="auto"/>
              </w:rPr>
            </w:pPr>
            <w:r>
              <w:rPr>
                <w:rFonts w:ascii="Arial" w:cs="Arial" w:eastAsia="Arial" w:hAnsi="Arial"/>
                <w:sz w:val="16"/>
                <w:szCs w:val="16"/>
                <w:color w:val="auto"/>
              </w:rPr>
              <w:t>Liabilities:</w:t>
            </w:r>
          </w:p>
        </w:tc>
        <w:tc>
          <w:tcPr>
            <w:tcW w:w="340" w:type="dxa"/>
            <w:vAlign w:val="bottom"/>
            <w:shd w:val="clear" w:color="auto" w:fill="CEFFE7"/>
          </w:tcPr>
          <w:p>
            <w:pPr>
              <w:spacing w:after="0"/>
              <w:rPr>
                <w:sz w:val="18"/>
                <w:szCs w:val="18"/>
                <w:color w:val="auto"/>
              </w:rPr>
            </w:pPr>
          </w:p>
        </w:tc>
        <w:tc>
          <w:tcPr>
            <w:tcW w:w="1220" w:type="dxa"/>
            <w:vAlign w:val="bottom"/>
            <w:shd w:val="clear" w:color="auto" w:fill="CEFFE7"/>
          </w:tcPr>
          <w:p>
            <w:pPr>
              <w:spacing w:after="0"/>
              <w:rPr>
                <w:sz w:val="18"/>
                <w:szCs w:val="18"/>
                <w:color w:val="auto"/>
              </w:rPr>
            </w:pPr>
          </w:p>
        </w:tc>
        <w:tc>
          <w:tcPr>
            <w:tcW w:w="42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r>
      <w:tr>
        <w:trPr>
          <w:trHeight w:val="210"/>
        </w:trPr>
        <w:tc>
          <w:tcPr>
            <w:tcW w:w="8000" w:type="dxa"/>
            <w:vAlign w:val="bottom"/>
          </w:tcPr>
          <w:p>
            <w:pPr>
              <w:ind w:left="1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5,841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5,318</w:t>
            </w:r>
          </w:p>
        </w:tc>
      </w:tr>
    </w:tbl>
    <w:p>
      <w:pPr>
        <w:spacing w:after="0" w:line="200" w:lineRule="exact"/>
        <w:rPr>
          <w:sz w:val="20"/>
          <w:szCs w:val="20"/>
          <w:color w:val="auto"/>
        </w:rPr>
      </w:pPr>
    </w:p>
    <w:p>
      <w:pPr>
        <w:spacing w:after="0" w:line="355" w:lineRule="exact"/>
        <w:rPr>
          <w:sz w:val="20"/>
          <w:szCs w:val="20"/>
          <w:color w:val="auto"/>
        </w:rPr>
      </w:pPr>
    </w:p>
    <w:p>
      <w:pPr>
        <w:ind w:right="8520" w:firstLine="8"/>
        <w:spacing w:after="0" w:line="576" w:lineRule="auto"/>
        <w:tabs>
          <w:tab w:leader="none" w:pos="468"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 Defined Contribution Plans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sponsor a 401(k) retirement savings plan (the 401(k) Plan). Participants in the 401(k) Plan may elect to invest a portion of their eligible compensation in the 401(k) Plan up to the maximum amounts established by the IRS. The 401(k) Plan provides employees the opportunity to invest up to 50% of their eligible compensation on a pre-tax or after-tax basis.</w:t>
      </w: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401(k) Plan provides a Company matching contribution for all eligible participants. Certain eligible participants who are not currently accruing a benefit in the Pension Plan also receive a Company retirement contribution based on the participant’s age and years of service. Vesting of all Company and matching contributions occurs at 20% per year with 100% vesting when the participant has 5 years of service with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Pension Plan</w:t>
      </w:r>
    </w:p>
    <w:p>
      <w:pPr>
        <w:spacing w:after="0" w:line="268" w:lineRule="exact"/>
        <w:rPr>
          <w:sz w:val="20"/>
          <w:szCs w:val="20"/>
          <w:color w:val="auto"/>
        </w:rPr>
      </w:pPr>
    </w:p>
    <w:p>
      <w:pPr>
        <w:jc w:val="both"/>
        <w:ind w:right="520"/>
        <w:spacing w:after="0" w:line="253" w:lineRule="auto"/>
        <w:rPr>
          <w:sz w:val="20"/>
          <w:szCs w:val="20"/>
          <w:color w:val="auto"/>
        </w:rPr>
      </w:pPr>
      <w:r>
        <w:rPr>
          <w:rFonts w:ascii="Arial" w:cs="Arial" w:eastAsia="Arial" w:hAnsi="Arial"/>
          <w:sz w:val="16"/>
          <w:szCs w:val="16"/>
          <w:color w:val="auto"/>
        </w:rPr>
        <w:t>We have one defined benefit pension plan, the Black Hills Retirement Plan (Pension Plan). The Pension Plan covers certain eligible employees of the Company. The benefits for the Pension Plan are based on years of service and calculations of average earnings during a specific time period prior to retirement. The Pension Plan is closed to new employees and frozen for certain employees who did not meet age and service based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 Pension Plan assets are held in a Master Trust. Our Board of Directors has approved the Pension Plan’s investment policy. The objective of the investment policy is to manage assets in such a way that will allow the eventual settlement of our obligations to the Pension Plan’s beneficiaries. To meet this objective, our pension assets are managed by an outside adviser using a portfolio strategy that will provide liquidity to meet the Pension Plan’s benefit payment obligations. The Pension Plan’s assets consist primarily of equity, fixed income and hedged investments.</w:t>
      </w:r>
    </w:p>
    <w:p>
      <w:pPr>
        <w:spacing w:after="0" w:line="229"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expected rate of return on the Pension Plan assets is determined by reviewing the historical and expected returns of both equity and fixed income markets, taking into account asset allocation, the correlation between asset class returns and the mix of active and passive investments. The Pension Plan utilizes a dynamic asset allocation where the target range to return-seeking and liability-hedging assets is determined based on the funded status of the Plan. As of December 31, 2021, the expected rate of return on pension plan assets was based on the targeted asset allocation range of 22% to 30% return-seeking assets and 70% to 78% liability-hedging assets.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Our Pension Plan is funded in compliance with the federal government’s funding requirements.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Assets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percentages of total plan asset by investment category for our Pension Plan at December 31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60" w:type="dxa"/>
            <w:vAlign w:val="bottom"/>
            <w:tcBorders>
              <w:bottom w:val="single" w:sz="8" w:color="CEFFE7"/>
            </w:tcBorders>
          </w:tcPr>
          <w:p>
            <w:pPr>
              <w:spacing w:after="0"/>
              <w:rPr>
                <w:sz w:val="17"/>
                <w:szCs w:val="17"/>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2021</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2020</w:t>
            </w:r>
          </w:p>
        </w:tc>
      </w:tr>
      <w:tr>
        <w:trPr>
          <w:trHeight w:val="213"/>
        </w:trPr>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Equity</w:t>
            </w:r>
          </w:p>
        </w:tc>
        <w:tc>
          <w:tcPr>
            <w:tcW w:w="37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15%</w:t>
            </w:r>
          </w:p>
        </w:tc>
        <w:tc>
          <w:tcPr>
            <w:tcW w:w="37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21%</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374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3740" w:type="dxa"/>
            <w:vAlign w:val="bottom"/>
          </w:tcPr>
          <w:p>
            <w:pPr>
              <w:jc w:val="center"/>
              <w:spacing w:after="0"/>
              <w:rPr>
                <w:sz w:val="20"/>
                <w:szCs w:val="20"/>
                <w:color w:val="auto"/>
              </w:rPr>
            </w:pPr>
            <w:r>
              <w:rPr>
                <w:rFonts w:ascii="Arial" w:cs="Arial" w:eastAsia="Arial" w:hAnsi="Arial"/>
                <w:sz w:val="16"/>
                <w:szCs w:val="16"/>
                <w:color w:val="auto"/>
                <w:w w:val="89"/>
              </w:rPr>
              <w:t>3</w:t>
            </w:r>
          </w:p>
        </w:tc>
      </w:tr>
      <w:tr>
        <w:trPr>
          <w:trHeight w:val="219"/>
        </w:trPr>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Fixed income</w:t>
            </w:r>
          </w:p>
        </w:tc>
        <w:tc>
          <w:tcPr>
            <w:tcW w:w="37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74</w:t>
            </w:r>
          </w:p>
        </w:tc>
        <w:tc>
          <w:tcPr>
            <w:tcW w:w="37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69</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Cash</w:t>
            </w:r>
          </w:p>
        </w:tc>
        <w:tc>
          <w:tcPr>
            <w:tcW w:w="37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3740" w:type="dxa"/>
            <w:vAlign w:val="bottom"/>
          </w:tcPr>
          <w:p>
            <w:pPr>
              <w:jc w:val="center"/>
              <w:spacing w:after="0"/>
              <w:rPr>
                <w:sz w:val="20"/>
                <w:szCs w:val="20"/>
                <w:color w:val="auto"/>
              </w:rPr>
            </w:pPr>
            <w:r>
              <w:rPr>
                <w:rFonts w:ascii="Arial" w:cs="Arial" w:eastAsia="Arial" w:hAnsi="Arial"/>
                <w:sz w:val="16"/>
                <w:szCs w:val="16"/>
                <w:color w:val="auto"/>
                <w:w w:val="89"/>
              </w:rPr>
              <w:t>3</w:t>
            </w:r>
          </w:p>
        </w:tc>
      </w:tr>
      <w:tr>
        <w:trPr>
          <w:trHeight w:val="216"/>
        </w:trPr>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Hedge funds</w:t>
            </w:r>
          </w:p>
        </w:tc>
        <w:tc>
          <w:tcPr>
            <w:tcW w:w="3740" w:type="dxa"/>
            <w:vAlign w:val="bottom"/>
            <w:tcBorders>
              <w:bottom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w w:val="89"/>
              </w:rPr>
              <w:t>3</w:t>
            </w:r>
          </w:p>
        </w:tc>
        <w:tc>
          <w:tcPr>
            <w:tcW w:w="3740" w:type="dxa"/>
            <w:vAlign w:val="bottom"/>
            <w:tcBorders>
              <w:bottom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w w:val="89"/>
              </w:rPr>
              <w:t>4</w:t>
            </w:r>
          </w:p>
        </w:tc>
      </w:tr>
      <w:tr>
        <w:trPr>
          <w:trHeight w:val="213"/>
        </w:trPr>
        <w:tc>
          <w:tcPr>
            <w:tcW w:w="3760" w:type="dxa"/>
            <w:vAlign w:val="bottom"/>
          </w:tcPr>
          <w:p>
            <w:pPr>
              <w:ind w:left="220"/>
              <w:spacing w:after="0"/>
              <w:rPr>
                <w:sz w:val="20"/>
                <w:szCs w:val="20"/>
                <w:color w:val="auto"/>
              </w:rPr>
            </w:pPr>
            <w:r>
              <w:rPr>
                <w:rFonts w:ascii="Arial" w:cs="Arial" w:eastAsia="Arial" w:hAnsi="Arial"/>
                <w:sz w:val="16"/>
                <w:szCs w:val="16"/>
                <w:color w:val="auto"/>
              </w:rPr>
              <w:t>Total</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100%</w:t>
            </w:r>
          </w:p>
        </w:tc>
      </w:tr>
      <w:tr>
        <w:trPr>
          <w:trHeight w:val="20"/>
        </w:trPr>
        <w:tc>
          <w:tcPr>
            <w:tcW w:w="3760" w:type="dxa"/>
            <w:vAlign w:val="bottom"/>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Non-qualified Defined Benefit Plans</w:t>
      </w:r>
    </w:p>
    <w:p>
      <w:pPr>
        <w:spacing w:after="0" w:line="268"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We have various supplemental retirement plans for key executives of the Company. The plans are non-qualified defined benefit and defined contribution plans (Supplemental Plans). The Supplemental Plans are subject to various vesting schedules and are funded on a cash basis as benefits are paid.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Non-pension Defined Benefit Postretirement Healthcare Plan</w:t>
      </w:r>
    </w:p>
    <w:p>
      <w:pPr>
        <w:spacing w:after="0" w:line="268"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BHC sponsors a retiree healthcare plan (Healthcare Plan) for employees who meet certain age and service requirements at retirement. Healthcare Plan benefits are subject to premiums, deductibles, co-payment provisions and other limitations. A portion of the Healthcare Plan for participating business units are pre-funded via VEBA trusts. Pre-65 retirees as well as a grandfathered group of post-65 retirees receive their retiree medical benefits through the Black Hills self-insured retiree medical plans. Healthcare coverage for post-65 Medicare-eligible retirees is provided through an individual market healthcare exchange.</w:t>
      </w:r>
    </w:p>
    <w:p>
      <w:pPr>
        <w:spacing w:after="0" w:line="230"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We fund the Healthcare Plan on a cash basis as benefits are paid. The Healthcare Plan provides for partial pre-funding via VEBA trusts. Assets related to this pre-funding are held in trust and are for the benefit of the union and non-union employees located in the states of Arkansas, Iowa and Kansas. We do not pre-fund the Healthcare Plan for those employees outside Arkansas, Iowa and Kansas.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Contributions</w:t>
      </w:r>
    </w:p>
    <w:p>
      <w:pPr>
        <w:spacing w:after="0" w:line="26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Contributions to the Pension Plan are cash contributions made directly to the Master Trust. Healthcare and Supplemental Plan contributions are made in the form of benefit payments. Healthcare benefits include company and participant paid premiums. Contributions for the years ended December 31 were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6"/>
                <w:szCs w:val="16"/>
                <w:color w:val="auto"/>
              </w:rPr>
            </w:pPr>
          </w:p>
        </w:tc>
      </w:tr>
      <w:tr>
        <w:trPr>
          <w:trHeight w:val="161"/>
        </w:trPr>
        <w:tc>
          <w:tcPr>
            <w:tcW w:w="20" w:type="dxa"/>
            <w:vAlign w:val="bottom"/>
          </w:tcPr>
          <w:p>
            <w:pPr>
              <w:spacing w:after="0"/>
              <w:rPr>
                <w:sz w:val="14"/>
                <w:szCs w:val="14"/>
                <w:color w:val="auto"/>
              </w:rPr>
            </w:pPr>
          </w:p>
        </w:tc>
        <w:tc>
          <w:tcPr>
            <w:tcW w:w="3980" w:type="dxa"/>
            <w:vAlign w:val="bottom"/>
            <w:gridSpan w:val="3"/>
          </w:tcPr>
          <w:p>
            <w:pPr>
              <w:ind w:left="20"/>
              <w:spacing w:after="0" w:line="161" w:lineRule="exact"/>
              <w:rPr>
                <w:sz w:val="20"/>
                <w:szCs w:val="20"/>
                <w:color w:val="auto"/>
              </w:rPr>
            </w:pPr>
            <w:r>
              <w:rPr>
                <w:rFonts w:ascii="Arial" w:cs="Arial" w:eastAsia="Arial" w:hAnsi="Arial"/>
                <w:sz w:val="16"/>
                <w:szCs w:val="16"/>
                <w:color w:val="auto"/>
              </w:rPr>
              <w:t>Defined Contribution Plan</w:t>
            </w:r>
          </w:p>
        </w:tc>
        <w:tc>
          <w:tcPr>
            <w:tcW w:w="3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Company retirement contributions</w:t>
            </w:r>
          </w:p>
        </w:tc>
        <w:tc>
          <w:tcPr>
            <w:tcW w:w="4280" w:type="dxa"/>
            <w:vAlign w:val="bottom"/>
            <w:gridSpan w:val="2"/>
            <w:shd w:val="clear" w:color="auto" w:fill="CEFFE7"/>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11,332</w:t>
            </w:r>
          </w:p>
        </w:tc>
        <w:tc>
          <w:tcPr>
            <w:tcW w:w="40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10,455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80" w:type="dxa"/>
            <w:vAlign w:val="bottom"/>
            <w:gridSpan w:val="3"/>
          </w:tcPr>
          <w:p>
            <w:pPr>
              <w:ind w:left="20"/>
              <w:spacing w:after="0"/>
              <w:rPr>
                <w:sz w:val="20"/>
                <w:szCs w:val="20"/>
                <w:color w:val="auto"/>
              </w:rPr>
            </w:pPr>
            <w:r>
              <w:rPr>
                <w:rFonts w:ascii="Arial" w:cs="Arial" w:eastAsia="Arial" w:hAnsi="Arial"/>
                <w:sz w:val="16"/>
                <w:szCs w:val="16"/>
                <w:color w:val="auto"/>
              </w:rPr>
              <w:t>Company matching contributions</w:t>
            </w:r>
          </w:p>
        </w:tc>
        <w:tc>
          <w:tcPr>
            <w:tcW w:w="4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15,938</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15,240</w:t>
            </w:r>
          </w:p>
        </w:tc>
        <w:tc>
          <w:tcPr>
            <w:tcW w:w="20" w:type="dxa"/>
            <w:vAlign w:val="bottom"/>
          </w:tcPr>
          <w:p>
            <w:pPr>
              <w:spacing w:after="0"/>
              <w:rPr>
                <w:sz w:val="18"/>
                <w:szCs w:val="18"/>
                <w:color w:val="auto"/>
              </w:rPr>
            </w:pPr>
          </w:p>
        </w:tc>
      </w:tr>
      <w:tr>
        <w:trPr>
          <w:trHeight w:val="87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900" w:type="dxa"/>
            <w:vAlign w:val="bottom"/>
          </w:tcPr>
          <w:p>
            <w:pPr>
              <w:jc w:val="right"/>
              <w:ind w:right="2099"/>
              <w:spacing w:after="0"/>
              <w:rPr>
                <w:sz w:val="20"/>
                <w:szCs w:val="20"/>
                <w:color w:val="auto"/>
              </w:rPr>
            </w:pPr>
            <w:r>
              <w:rPr>
                <w:rFonts w:ascii="Arial" w:cs="Arial" w:eastAsia="Arial" w:hAnsi="Arial"/>
                <w:sz w:val="16"/>
                <w:szCs w:val="16"/>
                <w:color w:val="auto"/>
              </w:rPr>
              <w:t>99</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7900" w:type="dxa"/>
            <w:vAlign w:val="bottom"/>
            <w:gridSpan w:val="5"/>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824"/>
        </w:trPr>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2020</w:t>
            </w:r>
          </w:p>
        </w:tc>
      </w:tr>
      <w:tr>
        <w:trPr>
          <w:trHeight w:val="162"/>
        </w:trPr>
        <w:tc>
          <w:tcPr>
            <w:tcW w:w="20" w:type="dxa"/>
            <w:vAlign w:val="bottom"/>
          </w:tcPr>
          <w:p>
            <w:pPr>
              <w:spacing w:after="0"/>
              <w:rPr>
                <w:sz w:val="14"/>
                <w:szCs w:val="14"/>
                <w:color w:val="auto"/>
              </w:rPr>
            </w:pPr>
          </w:p>
        </w:tc>
        <w:tc>
          <w:tcPr>
            <w:tcW w:w="7880" w:type="dxa"/>
            <w:vAlign w:val="bottom"/>
            <w:gridSpan w:val="4"/>
          </w:tcPr>
          <w:p>
            <w:pPr>
              <w:ind w:left="20"/>
              <w:spacing w:after="0" w:line="161" w:lineRule="exact"/>
              <w:rPr>
                <w:sz w:val="20"/>
                <w:szCs w:val="20"/>
                <w:color w:val="auto"/>
              </w:rPr>
            </w:pPr>
            <w:r>
              <w:rPr>
                <w:rFonts w:ascii="Arial" w:cs="Arial" w:eastAsia="Arial" w:hAnsi="Arial"/>
                <w:sz w:val="16"/>
                <w:szCs w:val="16"/>
                <w:color w:val="auto"/>
              </w:rPr>
              <w:t>Defined Benefit Plans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Defined Benefit Pension Plan</w:t>
            </w:r>
          </w:p>
        </w:tc>
        <w:tc>
          <w:tcPr>
            <w:tcW w:w="3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EFFE7"/>
          </w:tcPr>
          <w:p>
            <w:pPr>
              <w:jc w:val="right"/>
              <w:ind w:right="179"/>
              <w:spacing w:after="0"/>
              <w:rPr>
                <w:sz w:val="20"/>
                <w:szCs w:val="20"/>
                <w:color w:val="auto"/>
              </w:rPr>
            </w:pPr>
            <w:r>
              <w:rPr>
                <w:rFonts w:ascii="Arial" w:cs="Arial" w:eastAsia="Arial" w:hAnsi="Arial"/>
                <w:sz w:val="16"/>
                <w:szCs w:val="16"/>
                <w:color w:val="auto"/>
              </w:rPr>
              <w:t>— $</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12,700</w:t>
            </w:r>
          </w:p>
        </w:tc>
      </w:tr>
      <w:tr>
        <w:trPr>
          <w:trHeight w:val="213"/>
        </w:trPr>
        <w:tc>
          <w:tcPr>
            <w:tcW w:w="20" w:type="dxa"/>
            <w:vAlign w:val="bottom"/>
          </w:tcPr>
          <w:p>
            <w:pPr>
              <w:spacing w:after="0"/>
              <w:rPr>
                <w:sz w:val="18"/>
                <w:szCs w:val="18"/>
                <w:color w:val="auto"/>
              </w:rPr>
            </w:pPr>
          </w:p>
        </w:tc>
        <w:tc>
          <w:tcPr>
            <w:tcW w:w="7880" w:type="dxa"/>
            <w:vAlign w:val="bottom"/>
            <w:gridSpan w:val="4"/>
          </w:tcPr>
          <w:p>
            <w:pPr>
              <w:ind w:left="20"/>
              <w:spacing w:after="0"/>
              <w:rPr>
                <w:sz w:val="20"/>
                <w:szCs w:val="20"/>
                <w:color w:val="auto"/>
              </w:rPr>
            </w:pPr>
            <w:r>
              <w:rPr>
                <w:rFonts w:ascii="Arial" w:cs="Arial" w:eastAsia="Arial" w:hAnsi="Arial"/>
                <w:sz w:val="16"/>
                <w:szCs w:val="16"/>
                <w:color w:val="auto"/>
              </w:rPr>
              <w:t>Non-Pension Defined Benefit Postretirement Healthcare Plan</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6,432</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6,058</w:t>
            </w:r>
          </w:p>
        </w:tc>
      </w:tr>
      <w:tr>
        <w:trPr>
          <w:trHeight w:val="219"/>
        </w:trPr>
        <w:tc>
          <w:tcPr>
            <w:tcW w:w="20" w:type="dxa"/>
            <w:vAlign w:val="bottom"/>
          </w:tcPr>
          <w:p>
            <w:pPr>
              <w:spacing w:after="0"/>
              <w:rPr>
                <w:sz w:val="19"/>
                <w:szCs w:val="19"/>
                <w:color w:val="auto"/>
              </w:rPr>
            </w:pPr>
          </w:p>
        </w:tc>
        <w:tc>
          <w:tcPr>
            <w:tcW w:w="788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Supplemental Non-Qualified Defined Benefit Plans</w:t>
            </w:r>
          </w:p>
        </w:tc>
        <w:tc>
          <w:tcPr>
            <w:tcW w:w="3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2,576</w:t>
            </w:r>
          </w:p>
        </w:tc>
        <w:tc>
          <w:tcPr>
            <w:tcW w:w="40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2,674</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While we do not have required contributions, we expect to make $3.9 million in contributions to our Pension Plan in 2022.</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the assets that were accounted for at fair value on a recurring basis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Pension Plan</w:t>
            </w: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rPr>
              <w:t>December 31, 2021</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28"/>
              <w:spacing w:after="0" w:line="147" w:lineRule="exact"/>
              <w:rPr>
                <w:sz w:val="20"/>
                <w:szCs w:val="20"/>
                <w:color w:val="auto"/>
              </w:rPr>
            </w:pPr>
            <w:r>
              <w:rPr>
                <w:rFonts w:ascii="Arial" w:cs="Arial" w:eastAsia="Arial" w:hAnsi="Arial"/>
                <w:sz w:val="14"/>
                <w:szCs w:val="14"/>
                <w:color w:val="auto"/>
                <w:w w:val="96"/>
              </w:rPr>
              <w:t>Total</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ind w:right="128"/>
              <w:spacing w:after="0" w:line="135" w:lineRule="exact"/>
              <w:rPr>
                <w:sz w:val="20"/>
                <w:szCs w:val="20"/>
                <w:color w:val="auto"/>
              </w:rPr>
            </w:pPr>
            <w:r>
              <w:rPr>
                <w:rFonts w:ascii="Arial" w:cs="Arial" w:eastAsia="Arial" w:hAnsi="Arial"/>
                <w:sz w:val="14"/>
                <w:szCs w:val="14"/>
                <w:color w:val="auto"/>
              </w:rPr>
              <w:t>Investments</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center"/>
              <w:ind w:right="6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Level 1</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color w:val="auto"/>
              </w:rPr>
              <w:t>Level 2</w:t>
            </w:r>
          </w:p>
        </w:tc>
        <w:tc>
          <w:tcPr>
            <w:tcW w:w="300" w:type="dxa"/>
            <w:vAlign w:val="bottom"/>
          </w:tcPr>
          <w:p>
            <w:pPr>
              <w:spacing w:after="0"/>
              <w:rPr>
                <w:sz w:val="11"/>
                <w:szCs w:val="11"/>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Level 3</w:t>
            </w:r>
          </w:p>
        </w:tc>
        <w:tc>
          <w:tcPr>
            <w:tcW w:w="128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Measured at Fair</w:t>
            </w:r>
          </w:p>
        </w:tc>
        <w:tc>
          <w:tcPr>
            <w:tcW w:w="300" w:type="dxa"/>
            <w:vAlign w:val="bottom"/>
          </w:tcPr>
          <w:p>
            <w:pPr>
              <w:spacing w:after="0"/>
              <w:rPr>
                <w:sz w:val="11"/>
                <w:szCs w:val="11"/>
                <w:color w:val="auto"/>
              </w:rPr>
            </w:pPr>
          </w:p>
        </w:tc>
        <w:tc>
          <w:tcPr>
            <w:tcW w:w="960" w:type="dxa"/>
            <w:vAlign w:val="bottom"/>
            <w:vMerge w:val="restart"/>
          </w:tcPr>
          <w:p>
            <w:pPr>
              <w:jc w:val="right"/>
              <w:ind w:right="328"/>
              <w:spacing w:after="0"/>
              <w:rPr>
                <w:sz w:val="20"/>
                <w:szCs w:val="20"/>
                <w:color w:val="auto"/>
              </w:rPr>
            </w:pPr>
            <w:r>
              <w:rPr>
                <w:rFonts w:ascii="Arial" w:cs="Arial" w:eastAsia="Arial" w:hAnsi="Arial"/>
                <w:sz w:val="14"/>
                <w:szCs w:val="14"/>
                <w:color w:val="auto"/>
              </w:rPr>
              <w:t xml:space="preserve">NAV </w:t>
            </w:r>
            <w:r>
              <w:rPr>
                <w:rFonts w:ascii="Arial" w:cs="Arial" w:eastAsia="Arial" w:hAnsi="Arial"/>
                <w:sz w:val="9"/>
                <w:szCs w:val="9"/>
                <w:color w:val="auto"/>
              </w:rPr>
              <w:t>(a)</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CEFFE7"/>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rPr>
              <w:t>Value</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Investments</w:t>
            </w:r>
          </w:p>
        </w:tc>
        <w:tc>
          <w:tcPr>
            <w:tcW w:w="0" w:type="dxa"/>
            <w:vAlign w:val="bottom"/>
          </w:tcPr>
          <w:p>
            <w:pPr>
              <w:spacing w:after="0"/>
              <w:rPr>
                <w:sz w:val="1"/>
                <w:szCs w:val="1"/>
                <w:color w:val="auto"/>
              </w:rPr>
            </w:pPr>
          </w:p>
        </w:tc>
      </w:tr>
      <w:tr>
        <w:trPr>
          <w:trHeight w:val="183"/>
        </w:trPr>
        <w:tc>
          <w:tcPr>
            <w:tcW w:w="3740" w:type="dxa"/>
            <w:vAlign w:val="bottom"/>
            <w:shd w:val="clear" w:color="auto" w:fill="CEFFE7"/>
          </w:tcPr>
          <w:p>
            <w:pPr>
              <w:spacing w:after="0"/>
              <w:rPr>
                <w:sz w:val="20"/>
                <w:szCs w:val="20"/>
                <w:color w:val="auto"/>
              </w:rPr>
            </w:pPr>
            <w:r>
              <w:rPr>
                <w:rFonts w:ascii="Arial" w:cs="Arial" w:eastAsia="Arial" w:hAnsi="Arial"/>
                <w:sz w:val="14"/>
                <w:szCs w:val="14"/>
                <w:color w:val="auto"/>
              </w:rPr>
              <w:t>Common Collective Trust - Cash and Cash Equivalents</w:t>
            </w:r>
          </w:p>
        </w:tc>
        <w:tc>
          <w:tcPr>
            <w:tcW w:w="840" w:type="dxa"/>
            <w:vAlign w:val="bottom"/>
            <w:shd w:val="clear" w:color="auto" w:fill="CEFFE7"/>
          </w:tcPr>
          <w:p>
            <w:pPr>
              <w:jc w:val="right"/>
              <w:ind w:right="68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EFFE7"/>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6,009</w:t>
            </w:r>
          </w:p>
        </w:tc>
        <w:tc>
          <w:tcPr>
            <w:tcW w:w="3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ind w:lef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6,009</w:t>
            </w:r>
          </w:p>
        </w:tc>
        <w:tc>
          <w:tcPr>
            <w:tcW w:w="3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6,009</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4"/>
                <w:szCs w:val="14"/>
                <w:color w:val="auto"/>
              </w:rPr>
              <w:t>Common Collective Trust - Equity</w:t>
            </w:r>
          </w:p>
        </w:tc>
        <w:tc>
          <w:tcPr>
            <w:tcW w:w="840" w:type="dxa"/>
            <w:vAlign w:val="bottom"/>
          </w:tcPr>
          <w:p>
            <w:pPr>
              <w:spacing w:after="0"/>
              <w:rPr>
                <w:sz w:val="16"/>
                <w:szCs w:val="16"/>
                <w:color w:val="auto"/>
              </w:rPr>
            </w:pPr>
          </w:p>
        </w:tc>
        <w:tc>
          <w:tcPr>
            <w:tcW w:w="320" w:type="dxa"/>
            <w:vAlign w:val="bottom"/>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70,262</w:t>
            </w:r>
          </w:p>
        </w:tc>
        <w:tc>
          <w:tcPr>
            <w:tcW w:w="300" w:type="dxa"/>
            <w:vAlign w:val="bottom"/>
          </w:tcPr>
          <w:p>
            <w:pPr>
              <w:spacing w:after="0"/>
              <w:rPr>
                <w:sz w:val="16"/>
                <w:szCs w:val="16"/>
                <w:color w:val="auto"/>
              </w:rPr>
            </w:pP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70,262</w:t>
            </w:r>
          </w:p>
        </w:tc>
        <w:tc>
          <w:tcPr>
            <w:tcW w:w="3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70,262</w:t>
            </w:r>
          </w:p>
        </w:tc>
        <w:tc>
          <w:tcPr>
            <w:tcW w:w="0" w:type="dxa"/>
            <w:vAlign w:val="bottom"/>
          </w:tcPr>
          <w:p>
            <w:pPr>
              <w:spacing w:after="0"/>
              <w:rPr>
                <w:sz w:val="1"/>
                <w:szCs w:val="1"/>
                <w:color w:val="auto"/>
              </w:rPr>
            </w:pPr>
          </w:p>
        </w:tc>
      </w:tr>
      <w:tr>
        <w:trPr>
          <w:trHeight w:val="189"/>
        </w:trPr>
        <w:tc>
          <w:tcPr>
            <w:tcW w:w="3740" w:type="dxa"/>
            <w:vAlign w:val="bottom"/>
            <w:shd w:val="clear" w:color="auto" w:fill="CEFFE7"/>
          </w:tcPr>
          <w:p>
            <w:pPr>
              <w:spacing w:after="0"/>
              <w:rPr>
                <w:sz w:val="20"/>
                <w:szCs w:val="20"/>
                <w:color w:val="auto"/>
              </w:rPr>
            </w:pPr>
            <w:r>
              <w:rPr>
                <w:rFonts w:ascii="Arial" w:cs="Arial" w:eastAsia="Arial" w:hAnsi="Arial"/>
                <w:sz w:val="14"/>
                <w:szCs w:val="14"/>
                <w:color w:val="auto"/>
              </w:rPr>
              <w:t>Common Collective Trust - Fixed Income</w:t>
            </w:r>
          </w:p>
        </w:tc>
        <w:tc>
          <w:tcPr>
            <w:tcW w:w="840" w:type="dxa"/>
            <w:vAlign w:val="bottom"/>
            <w:shd w:val="clear" w:color="auto" w:fill="CEFFE7"/>
          </w:tcPr>
          <w:p>
            <w:pPr>
              <w:spacing w:after="0"/>
              <w:rPr>
                <w:sz w:val="16"/>
                <w:szCs w:val="16"/>
                <w:color w:val="auto"/>
              </w:rPr>
            </w:pPr>
          </w:p>
        </w:tc>
        <w:tc>
          <w:tcPr>
            <w:tcW w:w="320" w:type="dxa"/>
            <w:vAlign w:val="bottom"/>
            <w:shd w:val="clear" w:color="auto" w:fill="CEFFE7"/>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EFFE7"/>
          </w:tcPr>
          <w:p>
            <w:pPr>
              <w:spacing w:after="0"/>
              <w:rPr>
                <w:sz w:val="16"/>
                <w:szCs w:val="16"/>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339,219</w:t>
            </w:r>
          </w:p>
        </w:tc>
        <w:tc>
          <w:tcPr>
            <w:tcW w:w="300" w:type="dxa"/>
            <w:vAlign w:val="bottom"/>
            <w:shd w:val="clear" w:color="auto" w:fill="CEFFE7"/>
          </w:tcPr>
          <w:p>
            <w:pPr>
              <w:spacing w:after="0"/>
              <w:rPr>
                <w:sz w:val="16"/>
                <w:szCs w:val="16"/>
                <w:color w:val="auto"/>
              </w:rPr>
            </w:pPr>
          </w:p>
        </w:tc>
        <w:tc>
          <w:tcPr>
            <w:tcW w:w="960" w:type="dxa"/>
            <w:vAlign w:val="bottom"/>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6"/>
                <w:szCs w:val="16"/>
                <w:color w:val="auto"/>
              </w:rPr>
            </w:pPr>
          </w:p>
        </w:tc>
        <w:tc>
          <w:tcPr>
            <w:tcW w:w="10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339,219</w:t>
            </w:r>
          </w:p>
        </w:tc>
        <w:tc>
          <w:tcPr>
            <w:tcW w:w="300" w:type="dxa"/>
            <w:vAlign w:val="bottom"/>
            <w:shd w:val="clear" w:color="auto" w:fill="CEFFE7"/>
          </w:tcPr>
          <w:p>
            <w:pPr>
              <w:spacing w:after="0"/>
              <w:rPr>
                <w:sz w:val="16"/>
                <w:szCs w:val="16"/>
                <w:color w:val="auto"/>
              </w:rPr>
            </w:pPr>
          </w:p>
        </w:tc>
        <w:tc>
          <w:tcPr>
            <w:tcW w:w="9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6"/>
                <w:szCs w:val="16"/>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339,219</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4"/>
                <w:szCs w:val="14"/>
                <w:color w:val="auto"/>
              </w:rPr>
              <w:t>Common Collective Trust - Real Estate</w:t>
            </w:r>
          </w:p>
        </w:tc>
        <w:tc>
          <w:tcPr>
            <w:tcW w:w="840" w:type="dxa"/>
            <w:vAlign w:val="bottom"/>
          </w:tcPr>
          <w:p>
            <w:pPr>
              <w:spacing w:after="0"/>
              <w:rPr>
                <w:sz w:val="16"/>
                <w:szCs w:val="16"/>
                <w:color w:val="auto"/>
              </w:rPr>
            </w:pPr>
          </w:p>
        </w:tc>
        <w:tc>
          <w:tcPr>
            <w:tcW w:w="320" w:type="dxa"/>
            <w:vAlign w:val="bottom"/>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30,407</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30,407</w:t>
            </w:r>
          </w:p>
        </w:tc>
        <w:tc>
          <w:tcPr>
            <w:tcW w:w="0" w:type="dxa"/>
            <w:vAlign w:val="bottom"/>
          </w:tcPr>
          <w:p>
            <w:pPr>
              <w:spacing w:after="0"/>
              <w:rPr>
                <w:sz w:val="1"/>
                <w:szCs w:val="1"/>
                <w:color w:val="auto"/>
              </w:rPr>
            </w:pPr>
          </w:p>
        </w:tc>
      </w:tr>
      <w:tr>
        <w:trPr>
          <w:trHeight w:val="189"/>
        </w:trPr>
        <w:tc>
          <w:tcPr>
            <w:tcW w:w="3740" w:type="dxa"/>
            <w:vAlign w:val="bottom"/>
            <w:shd w:val="clear" w:color="auto" w:fill="CEFFE7"/>
          </w:tcPr>
          <w:p>
            <w:pPr>
              <w:spacing w:after="0"/>
              <w:rPr>
                <w:sz w:val="20"/>
                <w:szCs w:val="20"/>
                <w:color w:val="auto"/>
              </w:rPr>
            </w:pPr>
            <w:r>
              <w:rPr>
                <w:rFonts w:ascii="Arial" w:cs="Arial" w:eastAsia="Arial" w:hAnsi="Arial"/>
                <w:sz w:val="14"/>
                <w:szCs w:val="14"/>
                <w:color w:val="auto"/>
              </w:rPr>
              <w:t>Hedge Funds</w:t>
            </w:r>
          </w:p>
        </w:tc>
        <w:tc>
          <w:tcPr>
            <w:tcW w:w="840" w:type="dxa"/>
            <w:vAlign w:val="bottom"/>
            <w:tcBorders>
              <w:bottom w:val="single" w:sz="8" w:color="auto"/>
            </w:tcBorders>
            <w:shd w:val="clear" w:color="auto" w:fill="CEFFE7"/>
          </w:tcPr>
          <w:p>
            <w:pPr>
              <w:spacing w:after="0"/>
              <w:rPr>
                <w:sz w:val="16"/>
                <w:szCs w:val="16"/>
                <w:color w:val="auto"/>
              </w:rPr>
            </w:pPr>
          </w:p>
        </w:tc>
        <w:tc>
          <w:tcPr>
            <w:tcW w:w="320" w:type="dxa"/>
            <w:vAlign w:val="bottom"/>
            <w:tcBorders>
              <w:bottom w:val="single" w:sz="8" w:color="auto"/>
            </w:tcBorders>
            <w:shd w:val="clear" w:color="auto" w:fill="CEFFE7"/>
          </w:tcPr>
          <w:p>
            <w:pPr>
              <w:ind w:left="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EFFE7"/>
          </w:tcPr>
          <w:p>
            <w:pPr>
              <w:spacing w:after="0"/>
              <w:rPr>
                <w:sz w:val="16"/>
                <w:szCs w:val="16"/>
                <w:color w:val="auto"/>
              </w:rPr>
            </w:pP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EFFE7"/>
          </w:tcPr>
          <w:p>
            <w:pPr>
              <w:spacing w:after="0"/>
              <w:rPr>
                <w:sz w:val="16"/>
                <w:szCs w:val="16"/>
                <w:color w:val="auto"/>
              </w:rPr>
            </w:pPr>
          </w:p>
        </w:tc>
        <w:tc>
          <w:tcPr>
            <w:tcW w:w="960" w:type="dxa"/>
            <w:vAlign w:val="bottom"/>
            <w:tcBorders>
              <w:bottom w:val="single" w:sz="8" w:color="auto"/>
            </w:tcBorders>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6"/>
                <w:szCs w:val="16"/>
                <w:color w:val="auto"/>
              </w:rPr>
            </w:pPr>
          </w:p>
        </w:tc>
        <w:tc>
          <w:tcPr>
            <w:tcW w:w="106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EFFE7"/>
          </w:tcPr>
          <w:p>
            <w:pPr>
              <w:spacing w:after="0"/>
              <w:rPr>
                <w:sz w:val="16"/>
                <w:szCs w:val="16"/>
                <w:color w:val="auto"/>
              </w:rPr>
            </w:pPr>
          </w:p>
        </w:tc>
        <w:tc>
          <w:tcPr>
            <w:tcW w:w="96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12,490</w:t>
            </w:r>
          </w:p>
        </w:tc>
        <w:tc>
          <w:tcPr>
            <w:tcW w:w="220" w:type="dxa"/>
            <w:vAlign w:val="bottom"/>
            <w:tcBorders>
              <w:bottom w:val="single" w:sz="8" w:color="auto"/>
            </w:tcBorders>
            <w:shd w:val="clear" w:color="auto" w:fill="CEFFE7"/>
          </w:tcPr>
          <w:p>
            <w:pPr>
              <w:spacing w:after="0"/>
              <w:rPr>
                <w:sz w:val="16"/>
                <w:szCs w:val="16"/>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12,490</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20"/>
                <w:szCs w:val="20"/>
                <w:color w:val="auto"/>
              </w:rPr>
            </w:pPr>
            <w:r>
              <w:rPr>
                <w:rFonts w:ascii="Arial" w:cs="Arial" w:eastAsia="Arial" w:hAnsi="Arial"/>
                <w:sz w:val="14"/>
                <w:szCs w:val="14"/>
                <w:color w:val="auto"/>
              </w:rPr>
              <w:t>Total investments measured at fair value</w:t>
            </w:r>
          </w:p>
        </w:tc>
        <w:tc>
          <w:tcPr>
            <w:tcW w:w="8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415,490</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415,490</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42,897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458,387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Pension Plan</w:t>
            </w: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rPr>
              <w:t>December 31, 2020</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28"/>
              <w:spacing w:after="0" w:line="147" w:lineRule="exact"/>
              <w:rPr>
                <w:sz w:val="20"/>
                <w:szCs w:val="20"/>
                <w:color w:val="auto"/>
              </w:rPr>
            </w:pPr>
            <w:r>
              <w:rPr>
                <w:rFonts w:ascii="Arial" w:cs="Arial" w:eastAsia="Arial" w:hAnsi="Arial"/>
                <w:sz w:val="14"/>
                <w:szCs w:val="14"/>
                <w:color w:val="auto"/>
                <w:w w:val="96"/>
              </w:rPr>
              <w:t>Total</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ind w:right="128"/>
              <w:spacing w:after="0" w:line="135" w:lineRule="exact"/>
              <w:rPr>
                <w:sz w:val="20"/>
                <w:szCs w:val="20"/>
                <w:color w:val="auto"/>
              </w:rPr>
            </w:pPr>
            <w:r>
              <w:rPr>
                <w:rFonts w:ascii="Arial" w:cs="Arial" w:eastAsia="Arial" w:hAnsi="Arial"/>
                <w:sz w:val="14"/>
                <w:szCs w:val="14"/>
                <w:color w:val="auto"/>
              </w:rPr>
              <w:t>Investments</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center"/>
              <w:ind w:right="6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Level 1</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color w:val="auto"/>
              </w:rPr>
              <w:t>Level 2</w:t>
            </w:r>
          </w:p>
        </w:tc>
        <w:tc>
          <w:tcPr>
            <w:tcW w:w="300" w:type="dxa"/>
            <w:vAlign w:val="bottom"/>
          </w:tcPr>
          <w:p>
            <w:pPr>
              <w:spacing w:after="0"/>
              <w:rPr>
                <w:sz w:val="11"/>
                <w:szCs w:val="11"/>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Level 3</w:t>
            </w:r>
          </w:p>
        </w:tc>
        <w:tc>
          <w:tcPr>
            <w:tcW w:w="128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Measured at Fair</w:t>
            </w:r>
          </w:p>
        </w:tc>
        <w:tc>
          <w:tcPr>
            <w:tcW w:w="300" w:type="dxa"/>
            <w:vAlign w:val="bottom"/>
          </w:tcPr>
          <w:p>
            <w:pPr>
              <w:spacing w:after="0"/>
              <w:rPr>
                <w:sz w:val="11"/>
                <w:szCs w:val="11"/>
                <w:color w:val="auto"/>
              </w:rPr>
            </w:pPr>
          </w:p>
        </w:tc>
        <w:tc>
          <w:tcPr>
            <w:tcW w:w="960" w:type="dxa"/>
            <w:vAlign w:val="bottom"/>
            <w:vMerge w:val="restart"/>
          </w:tcPr>
          <w:p>
            <w:pPr>
              <w:jc w:val="right"/>
              <w:ind w:right="328"/>
              <w:spacing w:after="0"/>
              <w:rPr>
                <w:sz w:val="20"/>
                <w:szCs w:val="20"/>
                <w:color w:val="auto"/>
              </w:rPr>
            </w:pPr>
            <w:r>
              <w:rPr>
                <w:rFonts w:ascii="Arial" w:cs="Arial" w:eastAsia="Arial" w:hAnsi="Arial"/>
                <w:sz w:val="14"/>
                <w:szCs w:val="14"/>
                <w:color w:val="auto"/>
              </w:rPr>
              <w:t xml:space="preserve">NAV </w:t>
            </w:r>
            <w:r>
              <w:rPr>
                <w:rFonts w:ascii="Arial" w:cs="Arial" w:eastAsia="Arial" w:hAnsi="Arial"/>
                <w:sz w:val="18"/>
                <w:szCs w:val="18"/>
                <w:color w:val="auto"/>
                <w:vertAlign w:val="superscript"/>
              </w:rPr>
              <w:t>(a)</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CEFFE7"/>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rPr>
              <w:t>Value</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Investments</w:t>
            </w:r>
          </w:p>
        </w:tc>
        <w:tc>
          <w:tcPr>
            <w:tcW w:w="0" w:type="dxa"/>
            <w:vAlign w:val="bottom"/>
          </w:tcPr>
          <w:p>
            <w:pPr>
              <w:spacing w:after="0"/>
              <w:rPr>
                <w:sz w:val="1"/>
                <w:szCs w:val="1"/>
                <w:color w:val="auto"/>
              </w:rPr>
            </w:pPr>
          </w:p>
        </w:tc>
      </w:tr>
      <w:tr>
        <w:trPr>
          <w:trHeight w:val="183"/>
        </w:trPr>
        <w:tc>
          <w:tcPr>
            <w:tcW w:w="3740" w:type="dxa"/>
            <w:vAlign w:val="bottom"/>
            <w:shd w:val="clear" w:color="auto" w:fill="CEFFE7"/>
          </w:tcPr>
          <w:p>
            <w:pPr>
              <w:spacing w:after="0"/>
              <w:rPr>
                <w:sz w:val="20"/>
                <w:szCs w:val="20"/>
                <w:color w:val="auto"/>
              </w:rPr>
            </w:pPr>
            <w:r>
              <w:rPr>
                <w:rFonts w:ascii="Arial" w:cs="Arial" w:eastAsia="Arial" w:hAnsi="Arial"/>
                <w:sz w:val="14"/>
                <w:szCs w:val="14"/>
                <w:color w:val="auto"/>
              </w:rPr>
              <w:t>Common Collective Trust - Cash and Cash Equivalents</w:t>
            </w:r>
          </w:p>
        </w:tc>
        <w:tc>
          <w:tcPr>
            <w:tcW w:w="840" w:type="dxa"/>
            <w:vAlign w:val="bottom"/>
            <w:shd w:val="clear" w:color="auto" w:fill="CEFFE7"/>
          </w:tcPr>
          <w:p>
            <w:pPr>
              <w:spacing w:after="0"/>
              <w:rPr>
                <w:sz w:val="15"/>
                <w:szCs w:val="15"/>
                <w:color w:val="auto"/>
              </w:rPr>
            </w:pPr>
          </w:p>
        </w:tc>
        <w:tc>
          <w:tcPr>
            <w:tcW w:w="320" w:type="dxa"/>
            <w:vAlign w:val="bottom"/>
            <w:shd w:val="clear" w:color="auto" w:fill="CEFFE7"/>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EFFE7"/>
          </w:tcPr>
          <w:p>
            <w:pPr>
              <w:spacing w:after="0"/>
              <w:rPr>
                <w:sz w:val="15"/>
                <w:szCs w:val="15"/>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16,810</w:t>
            </w:r>
          </w:p>
        </w:tc>
        <w:tc>
          <w:tcPr>
            <w:tcW w:w="300" w:type="dxa"/>
            <w:vAlign w:val="bottom"/>
            <w:shd w:val="clear" w:color="auto" w:fill="CEFFE7"/>
          </w:tcPr>
          <w:p>
            <w:pPr>
              <w:spacing w:after="0"/>
              <w:rPr>
                <w:sz w:val="15"/>
                <w:szCs w:val="15"/>
                <w:color w:val="auto"/>
              </w:rPr>
            </w:pPr>
          </w:p>
        </w:tc>
        <w:tc>
          <w:tcPr>
            <w:tcW w:w="960" w:type="dxa"/>
            <w:vAlign w:val="bottom"/>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5"/>
                <w:szCs w:val="15"/>
                <w:color w:val="auto"/>
              </w:rPr>
            </w:pPr>
          </w:p>
        </w:tc>
        <w:tc>
          <w:tcPr>
            <w:tcW w:w="10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16,810</w:t>
            </w:r>
          </w:p>
        </w:tc>
        <w:tc>
          <w:tcPr>
            <w:tcW w:w="300" w:type="dxa"/>
            <w:vAlign w:val="bottom"/>
            <w:shd w:val="clear" w:color="auto" w:fill="CEFFE7"/>
          </w:tcPr>
          <w:p>
            <w:pPr>
              <w:spacing w:after="0"/>
              <w:rPr>
                <w:sz w:val="15"/>
                <w:szCs w:val="15"/>
                <w:color w:val="auto"/>
              </w:rPr>
            </w:pPr>
          </w:p>
        </w:tc>
        <w:tc>
          <w:tcPr>
            <w:tcW w:w="9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5"/>
                <w:szCs w:val="15"/>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16,810</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4"/>
                <w:szCs w:val="14"/>
                <w:color w:val="auto"/>
              </w:rPr>
              <w:t>Common Collective Trust - Equity</w:t>
            </w:r>
          </w:p>
        </w:tc>
        <w:tc>
          <w:tcPr>
            <w:tcW w:w="840" w:type="dxa"/>
            <w:vAlign w:val="bottom"/>
          </w:tcPr>
          <w:p>
            <w:pPr>
              <w:spacing w:after="0"/>
              <w:rPr>
                <w:sz w:val="16"/>
                <w:szCs w:val="16"/>
                <w:color w:val="auto"/>
              </w:rPr>
            </w:pPr>
          </w:p>
        </w:tc>
        <w:tc>
          <w:tcPr>
            <w:tcW w:w="320" w:type="dxa"/>
            <w:vAlign w:val="bottom"/>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100,311</w:t>
            </w:r>
          </w:p>
        </w:tc>
        <w:tc>
          <w:tcPr>
            <w:tcW w:w="300" w:type="dxa"/>
            <w:vAlign w:val="bottom"/>
          </w:tcPr>
          <w:p>
            <w:pPr>
              <w:spacing w:after="0"/>
              <w:rPr>
                <w:sz w:val="16"/>
                <w:szCs w:val="16"/>
                <w:color w:val="auto"/>
              </w:rPr>
            </w:pP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100,311</w:t>
            </w:r>
          </w:p>
        </w:tc>
        <w:tc>
          <w:tcPr>
            <w:tcW w:w="3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100,311</w:t>
            </w:r>
          </w:p>
        </w:tc>
        <w:tc>
          <w:tcPr>
            <w:tcW w:w="0" w:type="dxa"/>
            <w:vAlign w:val="bottom"/>
          </w:tcPr>
          <w:p>
            <w:pPr>
              <w:spacing w:after="0"/>
              <w:rPr>
                <w:sz w:val="1"/>
                <w:szCs w:val="1"/>
                <w:color w:val="auto"/>
              </w:rPr>
            </w:pPr>
          </w:p>
        </w:tc>
      </w:tr>
      <w:tr>
        <w:trPr>
          <w:trHeight w:val="189"/>
        </w:trPr>
        <w:tc>
          <w:tcPr>
            <w:tcW w:w="3740" w:type="dxa"/>
            <w:vAlign w:val="bottom"/>
            <w:shd w:val="clear" w:color="auto" w:fill="CEFFE7"/>
          </w:tcPr>
          <w:p>
            <w:pPr>
              <w:spacing w:after="0"/>
              <w:rPr>
                <w:sz w:val="20"/>
                <w:szCs w:val="20"/>
                <w:color w:val="auto"/>
              </w:rPr>
            </w:pPr>
            <w:r>
              <w:rPr>
                <w:rFonts w:ascii="Arial" w:cs="Arial" w:eastAsia="Arial" w:hAnsi="Arial"/>
                <w:sz w:val="14"/>
                <w:szCs w:val="14"/>
                <w:color w:val="auto"/>
              </w:rPr>
              <w:t>Common Collective Trust - Fixed Income</w:t>
            </w:r>
          </w:p>
        </w:tc>
        <w:tc>
          <w:tcPr>
            <w:tcW w:w="840" w:type="dxa"/>
            <w:vAlign w:val="bottom"/>
            <w:shd w:val="clear" w:color="auto" w:fill="CEFFE7"/>
          </w:tcPr>
          <w:p>
            <w:pPr>
              <w:spacing w:after="0"/>
              <w:rPr>
                <w:sz w:val="16"/>
                <w:szCs w:val="16"/>
                <w:color w:val="auto"/>
              </w:rPr>
            </w:pPr>
          </w:p>
        </w:tc>
        <w:tc>
          <w:tcPr>
            <w:tcW w:w="320" w:type="dxa"/>
            <w:vAlign w:val="bottom"/>
            <w:shd w:val="clear" w:color="auto" w:fill="CEFFE7"/>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EFFE7"/>
          </w:tcPr>
          <w:p>
            <w:pPr>
              <w:spacing w:after="0"/>
              <w:rPr>
                <w:sz w:val="16"/>
                <w:szCs w:val="16"/>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324,845</w:t>
            </w:r>
          </w:p>
        </w:tc>
        <w:tc>
          <w:tcPr>
            <w:tcW w:w="300" w:type="dxa"/>
            <w:vAlign w:val="bottom"/>
            <w:shd w:val="clear" w:color="auto" w:fill="CEFFE7"/>
          </w:tcPr>
          <w:p>
            <w:pPr>
              <w:spacing w:after="0"/>
              <w:rPr>
                <w:sz w:val="16"/>
                <w:szCs w:val="16"/>
                <w:color w:val="auto"/>
              </w:rPr>
            </w:pPr>
          </w:p>
        </w:tc>
        <w:tc>
          <w:tcPr>
            <w:tcW w:w="960" w:type="dxa"/>
            <w:vAlign w:val="bottom"/>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6"/>
                <w:szCs w:val="16"/>
                <w:color w:val="auto"/>
              </w:rPr>
            </w:pPr>
          </w:p>
        </w:tc>
        <w:tc>
          <w:tcPr>
            <w:tcW w:w="10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324,845</w:t>
            </w:r>
          </w:p>
        </w:tc>
        <w:tc>
          <w:tcPr>
            <w:tcW w:w="300" w:type="dxa"/>
            <w:vAlign w:val="bottom"/>
            <w:shd w:val="clear" w:color="auto" w:fill="CEFFE7"/>
          </w:tcPr>
          <w:p>
            <w:pPr>
              <w:spacing w:after="0"/>
              <w:rPr>
                <w:sz w:val="16"/>
                <w:szCs w:val="16"/>
                <w:color w:val="auto"/>
              </w:rPr>
            </w:pPr>
          </w:p>
        </w:tc>
        <w:tc>
          <w:tcPr>
            <w:tcW w:w="9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6"/>
                <w:szCs w:val="16"/>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324,845</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4"/>
                <w:szCs w:val="14"/>
                <w:color w:val="auto"/>
              </w:rPr>
              <w:t>Common Collective Trust - Real Estate</w:t>
            </w:r>
          </w:p>
        </w:tc>
        <w:tc>
          <w:tcPr>
            <w:tcW w:w="840" w:type="dxa"/>
            <w:vAlign w:val="bottom"/>
          </w:tcPr>
          <w:p>
            <w:pPr>
              <w:spacing w:after="0"/>
              <w:rPr>
                <w:sz w:val="16"/>
                <w:szCs w:val="16"/>
                <w:color w:val="auto"/>
              </w:rPr>
            </w:pPr>
          </w:p>
        </w:tc>
        <w:tc>
          <w:tcPr>
            <w:tcW w:w="320" w:type="dxa"/>
            <w:vAlign w:val="bottom"/>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14,301</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14,301</w:t>
            </w:r>
          </w:p>
        </w:tc>
        <w:tc>
          <w:tcPr>
            <w:tcW w:w="0" w:type="dxa"/>
            <w:vAlign w:val="bottom"/>
          </w:tcPr>
          <w:p>
            <w:pPr>
              <w:spacing w:after="0"/>
              <w:rPr>
                <w:sz w:val="1"/>
                <w:szCs w:val="1"/>
                <w:color w:val="auto"/>
              </w:rPr>
            </w:pPr>
          </w:p>
        </w:tc>
      </w:tr>
      <w:tr>
        <w:trPr>
          <w:trHeight w:val="189"/>
        </w:trPr>
        <w:tc>
          <w:tcPr>
            <w:tcW w:w="3740" w:type="dxa"/>
            <w:vAlign w:val="bottom"/>
            <w:shd w:val="clear" w:color="auto" w:fill="CEFFE7"/>
          </w:tcPr>
          <w:p>
            <w:pPr>
              <w:spacing w:after="0"/>
              <w:rPr>
                <w:sz w:val="20"/>
                <w:szCs w:val="20"/>
                <w:color w:val="auto"/>
              </w:rPr>
            </w:pPr>
            <w:r>
              <w:rPr>
                <w:rFonts w:ascii="Arial" w:cs="Arial" w:eastAsia="Arial" w:hAnsi="Arial"/>
                <w:sz w:val="14"/>
                <w:szCs w:val="14"/>
                <w:color w:val="auto"/>
              </w:rPr>
              <w:t>Hedge Funds</w:t>
            </w:r>
          </w:p>
        </w:tc>
        <w:tc>
          <w:tcPr>
            <w:tcW w:w="840" w:type="dxa"/>
            <w:vAlign w:val="bottom"/>
            <w:tcBorders>
              <w:bottom w:val="single" w:sz="8" w:color="auto"/>
            </w:tcBorders>
            <w:shd w:val="clear" w:color="auto" w:fill="CEFFE7"/>
          </w:tcPr>
          <w:p>
            <w:pPr>
              <w:spacing w:after="0"/>
              <w:rPr>
                <w:sz w:val="16"/>
                <w:szCs w:val="16"/>
                <w:color w:val="auto"/>
              </w:rPr>
            </w:pPr>
          </w:p>
        </w:tc>
        <w:tc>
          <w:tcPr>
            <w:tcW w:w="320" w:type="dxa"/>
            <w:vAlign w:val="bottom"/>
            <w:tcBorders>
              <w:bottom w:val="single" w:sz="8" w:color="auto"/>
            </w:tcBorders>
            <w:shd w:val="clear" w:color="auto" w:fill="CEFFE7"/>
          </w:tcPr>
          <w:p>
            <w:pPr>
              <w:ind w:left="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EFFE7"/>
          </w:tcPr>
          <w:p>
            <w:pPr>
              <w:spacing w:after="0"/>
              <w:rPr>
                <w:sz w:val="16"/>
                <w:szCs w:val="16"/>
                <w:color w:val="auto"/>
              </w:rPr>
            </w:pP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EFFE7"/>
          </w:tcPr>
          <w:p>
            <w:pPr>
              <w:spacing w:after="0"/>
              <w:rPr>
                <w:sz w:val="16"/>
                <w:szCs w:val="16"/>
                <w:color w:val="auto"/>
              </w:rPr>
            </w:pPr>
          </w:p>
        </w:tc>
        <w:tc>
          <w:tcPr>
            <w:tcW w:w="960" w:type="dxa"/>
            <w:vAlign w:val="bottom"/>
            <w:tcBorders>
              <w:bottom w:val="single" w:sz="8" w:color="auto"/>
            </w:tcBorders>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6"/>
                <w:szCs w:val="16"/>
                <w:color w:val="auto"/>
              </w:rPr>
            </w:pPr>
          </w:p>
        </w:tc>
        <w:tc>
          <w:tcPr>
            <w:tcW w:w="106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EFFE7"/>
          </w:tcPr>
          <w:p>
            <w:pPr>
              <w:spacing w:after="0"/>
              <w:rPr>
                <w:sz w:val="16"/>
                <w:szCs w:val="16"/>
                <w:color w:val="auto"/>
              </w:rPr>
            </w:pPr>
          </w:p>
        </w:tc>
        <w:tc>
          <w:tcPr>
            <w:tcW w:w="96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17,454</w:t>
            </w:r>
          </w:p>
        </w:tc>
        <w:tc>
          <w:tcPr>
            <w:tcW w:w="220" w:type="dxa"/>
            <w:vAlign w:val="bottom"/>
            <w:tcBorders>
              <w:bottom w:val="single" w:sz="8" w:color="auto"/>
            </w:tcBorders>
            <w:shd w:val="clear" w:color="auto" w:fill="CEFFE7"/>
          </w:tcPr>
          <w:p>
            <w:pPr>
              <w:spacing w:after="0"/>
              <w:rPr>
                <w:sz w:val="16"/>
                <w:szCs w:val="16"/>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17,454</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20"/>
                <w:szCs w:val="20"/>
                <w:color w:val="auto"/>
              </w:rPr>
            </w:pPr>
            <w:r>
              <w:rPr>
                <w:rFonts w:ascii="Arial" w:cs="Arial" w:eastAsia="Arial" w:hAnsi="Arial"/>
                <w:sz w:val="14"/>
                <w:szCs w:val="14"/>
                <w:color w:val="auto"/>
              </w:rPr>
              <w:t>Total investments measured at fair value</w:t>
            </w:r>
          </w:p>
        </w:tc>
        <w:tc>
          <w:tcPr>
            <w:tcW w:w="8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441,966</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441,966</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31,755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473,721</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120" w:hanging="332"/>
        <w:spacing w:after="0" w:line="249" w:lineRule="auto"/>
        <w:tabs>
          <w:tab w:leader="none" w:pos="352" w:val="left"/>
        </w:tabs>
        <w:numPr>
          <w:ilvl w:val="0"/>
          <w:numId w:val="79"/>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NAV per share (or its equivalent) for practical expedient have not been classified in the fair value hierarchy. The fair value amounts presented in these tables for these investments are intended to permit reconciliation of the fair value hierarchy to the amounts presented in the reconciliation of changes in the plan’s benefit obligations and fair value of plan assets above.</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Non-pension Defined Benefit Postretirement Healthcare Plan</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December 31, 2021</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28"/>
              <w:spacing w:after="0" w:line="147" w:lineRule="exact"/>
              <w:rPr>
                <w:sz w:val="20"/>
                <w:szCs w:val="20"/>
                <w:color w:val="auto"/>
              </w:rPr>
            </w:pPr>
            <w:r>
              <w:rPr>
                <w:rFonts w:ascii="Arial" w:cs="Arial" w:eastAsia="Arial" w:hAnsi="Arial"/>
                <w:sz w:val="14"/>
                <w:szCs w:val="14"/>
                <w:color w:val="auto"/>
                <w:w w:val="96"/>
              </w:rPr>
              <w:t>Total</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128"/>
              <w:spacing w:after="0" w:line="135" w:lineRule="exact"/>
              <w:rPr>
                <w:sz w:val="20"/>
                <w:szCs w:val="20"/>
                <w:color w:val="auto"/>
              </w:rPr>
            </w:pPr>
            <w:r>
              <w:rPr>
                <w:rFonts w:ascii="Arial" w:cs="Arial" w:eastAsia="Arial" w:hAnsi="Arial"/>
                <w:sz w:val="14"/>
                <w:szCs w:val="14"/>
                <w:color w:val="auto"/>
              </w:rPr>
              <w:t>Investments</w:t>
            </w:r>
          </w:p>
        </w:tc>
        <w:tc>
          <w:tcPr>
            <w:tcW w:w="200" w:type="dxa"/>
            <w:vAlign w:val="bottom"/>
          </w:tcPr>
          <w:p>
            <w:pPr>
              <w:spacing w:after="0"/>
              <w:rPr>
                <w:sz w:val="11"/>
                <w:szCs w:val="11"/>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color w:val="auto"/>
              </w:rPr>
              <w:t>Level 1</w:t>
            </w:r>
          </w:p>
        </w:tc>
        <w:tc>
          <w:tcPr>
            <w:tcW w:w="320" w:type="dxa"/>
            <w:vAlign w:val="bottom"/>
          </w:tcPr>
          <w:p>
            <w:pPr>
              <w:spacing w:after="0"/>
              <w:rPr>
                <w:sz w:val="11"/>
                <w:szCs w:val="11"/>
                <w:color w:val="auto"/>
              </w:rPr>
            </w:pPr>
          </w:p>
        </w:tc>
        <w:tc>
          <w:tcPr>
            <w:tcW w:w="920" w:type="dxa"/>
            <w:vAlign w:val="bottom"/>
            <w:vMerge w:val="restart"/>
          </w:tcPr>
          <w:p>
            <w:pPr>
              <w:ind w:left="120"/>
              <w:spacing w:after="0"/>
              <w:rPr>
                <w:sz w:val="20"/>
                <w:szCs w:val="20"/>
                <w:color w:val="auto"/>
              </w:rPr>
            </w:pPr>
            <w:r>
              <w:rPr>
                <w:rFonts w:ascii="Arial" w:cs="Arial" w:eastAsia="Arial" w:hAnsi="Arial"/>
                <w:sz w:val="14"/>
                <w:szCs w:val="14"/>
                <w:color w:val="auto"/>
              </w:rPr>
              <w:t>Level 2</w:t>
            </w:r>
          </w:p>
        </w:tc>
        <w:tc>
          <w:tcPr>
            <w:tcW w:w="340" w:type="dxa"/>
            <w:vAlign w:val="bottom"/>
          </w:tcPr>
          <w:p>
            <w:pPr>
              <w:spacing w:after="0"/>
              <w:rPr>
                <w:sz w:val="11"/>
                <w:szCs w:val="11"/>
                <w:color w:val="auto"/>
              </w:rPr>
            </w:pPr>
          </w:p>
        </w:tc>
        <w:tc>
          <w:tcPr>
            <w:tcW w:w="1040" w:type="dxa"/>
            <w:vAlign w:val="bottom"/>
            <w:vMerge w:val="restart"/>
          </w:tcPr>
          <w:p>
            <w:pPr>
              <w:jc w:val="center"/>
              <w:ind w:right="268"/>
              <w:spacing w:after="0"/>
              <w:rPr>
                <w:sz w:val="20"/>
                <w:szCs w:val="20"/>
                <w:color w:val="auto"/>
              </w:rPr>
            </w:pPr>
            <w:r>
              <w:rPr>
                <w:rFonts w:ascii="Arial" w:cs="Arial" w:eastAsia="Arial" w:hAnsi="Arial"/>
                <w:sz w:val="14"/>
                <w:szCs w:val="14"/>
                <w:color w:val="auto"/>
              </w:rPr>
              <w:t>Level 3</w:t>
            </w:r>
          </w:p>
        </w:tc>
        <w:tc>
          <w:tcPr>
            <w:tcW w:w="1220" w:type="dxa"/>
            <w:vAlign w:val="bottom"/>
            <w:gridSpan w:val="2"/>
          </w:tcPr>
          <w:p>
            <w:pPr>
              <w:jc w:val="center"/>
              <w:spacing w:after="0" w:line="135" w:lineRule="exact"/>
              <w:rPr>
                <w:sz w:val="20"/>
                <w:szCs w:val="20"/>
                <w:color w:val="auto"/>
              </w:rPr>
            </w:pPr>
            <w:r>
              <w:rPr>
                <w:rFonts w:ascii="Arial" w:cs="Arial" w:eastAsia="Arial" w:hAnsi="Arial"/>
                <w:sz w:val="14"/>
                <w:szCs w:val="14"/>
                <w:color w:val="auto"/>
              </w:rPr>
              <w:t>Measured at Fair</w:t>
            </w: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148"/>
              <w:spacing w:after="0"/>
              <w:rPr>
                <w:sz w:val="20"/>
                <w:szCs w:val="20"/>
                <w:color w:val="auto"/>
              </w:rPr>
            </w:pPr>
            <w:r>
              <w:rPr>
                <w:rFonts w:ascii="Arial" w:cs="Arial" w:eastAsia="Arial" w:hAnsi="Arial"/>
                <w:sz w:val="14"/>
                <w:szCs w:val="14"/>
                <w:color w:val="auto"/>
              </w:rPr>
              <w:t>Value</w:t>
            </w:r>
          </w:p>
        </w:tc>
        <w:tc>
          <w:tcPr>
            <w:tcW w:w="2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Investments</w:t>
            </w:r>
          </w:p>
        </w:tc>
        <w:tc>
          <w:tcPr>
            <w:tcW w:w="0" w:type="dxa"/>
            <w:vAlign w:val="bottom"/>
          </w:tcPr>
          <w:p>
            <w:pPr>
              <w:spacing w:after="0"/>
              <w:rPr>
                <w:sz w:val="1"/>
                <w:szCs w:val="1"/>
                <w:color w:val="auto"/>
              </w:rPr>
            </w:pPr>
          </w:p>
        </w:tc>
      </w:tr>
      <w:tr>
        <w:trPr>
          <w:trHeight w:val="189"/>
        </w:trPr>
        <w:tc>
          <w:tcPr>
            <w:tcW w:w="4980" w:type="dxa"/>
            <w:vAlign w:val="bottom"/>
            <w:shd w:val="clear" w:color="auto" w:fill="CEFFE7"/>
          </w:tcPr>
          <w:p>
            <w:pPr>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7,972</w:t>
            </w:r>
          </w:p>
        </w:tc>
        <w:tc>
          <w:tcPr>
            <w:tcW w:w="32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EFFE7"/>
          </w:tcPr>
          <w:p>
            <w:pPr>
              <w:ind w:left="7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EFFE7"/>
          </w:tcPr>
          <w:p>
            <w:pPr>
              <w:jc w:val="right"/>
              <w:ind w:right="68"/>
              <w:spacing w:after="0"/>
              <w:rPr>
                <w:sz w:val="20"/>
                <w:szCs w:val="20"/>
                <w:color w:val="auto"/>
              </w:rPr>
            </w:pPr>
            <w:r>
              <w:rPr>
                <w:rFonts w:ascii="Arial" w:cs="Arial" w:eastAsia="Arial" w:hAnsi="Arial"/>
                <w:sz w:val="14"/>
                <w:szCs w:val="14"/>
                <w:color w:val="auto"/>
              </w:rPr>
              <w:t>7,972</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7,972</w:t>
            </w:r>
          </w:p>
        </w:tc>
        <w:tc>
          <w:tcPr>
            <w:tcW w:w="0" w:type="dxa"/>
            <w:vAlign w:val="bottom"/>
          </w:tcPr>
          <w:p>
            <w:pPr>
              <w:spacing w:after="0"/>
              <w:rPr>
                <w:sz w:val="1"/>
                <w:szCs w:val="1"/>
                <w:color w:val="auto"/>
              </w:rPr>
            </w:pPr>
          </w:p>
        </w:tc>
      </w:tr>
      <w:tr>
        <w:trPr>
          <w:trHeight w:val="183"/>
        </w:trPr>
        <w:tc>
          <w:tcPr>
            <w:tcW w:w="4980" w:type="dxa"/>
            <w:vAlign w:val="bottom"/>
          </w:tcPr>
          <w:p>
            <w:pPr>
              <w:spacing w:after="0"/>
              <w:rPr>
                <w:sz w:val="20"/>
                <w:szCs w:val="20"/>
                <w:color w:val="auto"/>
              </w:rPr>
            </w:pPr>
            <w:r>
              <w:rPr>
                <w:rFonts w:ascii="Arial" w:cs="Arial" w:eastAsia="Arial" w:hAnsi="Arial"/>
                <w:sz w:val="14"/>
                <w:szCs w:val="14"/>
                <w:color w:val="auto"/>
              </w:rPr>
              <w:t>Total investments measured at fair value</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7,972</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Non-pension Defined Benefit Postretirement Healthcare Plan</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December 31, 2020</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28"/>
              <w:spacing w:after="0" w:line="147" w:lineRule="exact"/>
              <w:rPr>
                <w:sz w:val="20"/>
                <w:szCs w:val="20"/>
                <w:color w:val="auto"/>
              </w:rPr>
            </w:pPr>
            <w:r>
              <w:rPr>
                <w:rFonts w:ascii="Arial" w:cs="Arial" w:eastAsia="Arial" w:hAnsi="Arial"/>
                <w:sz w:val="14"/>
                <w:szCs w:val="14"/>
                <w:color w:val="auto"/>
                <w:w w:val="96"/>
              </w:rPr>
              <w:t>Total</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128"/>
              <w:spacing w:after="0" w:line="135" w:lineRule="exact"/>
              <w:rPr>
                <w:sz w:val="20"/>
                <w:szCs w:val="20"/>
                <w:color w:val="auto"/>
              </w:rPr>
            </w:pPr>
            <w:r>
              <w:rPr>
                <w:rFonts w:ascii="Arial" w:cs="Arial" w:eastAsia="Arial" w:hAnsi="Arial"/>
                <w:sz w:val="14"/>
                <w:szCs w:val="14"/>
                <w:color w:val="auto"/>
              </w:rPr>
              <w:t>Investments</w:t>
            </w:r>
          </w:p>
        </w:tc>
        <w:tc>
          <w:tcPr>
            <w:tcW w:w="200" w:type="dxa"/>
            <w:vAlign w:val="bottom"/>
          </w:tcPr>
          <w:p>
            <w:pPr>
              <w:spacing w:after="0"/>
              <w:rPr>
                <w:sz w:val="11"/>
                <w:szCs w:val="11"/>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color w:val="auto"/>
              </w:rPr>
              <w:t>Level 1</w:t>
            </w:r>
          </w:p>
        </w:tc>
        <w:tc>
          <w:tcPr>
            <w:tcW w:w="320" w:type="dxa"/>
            <w:vAlign w:val="bottom"/>
          </w:tcPr>
          <w:p>
            <w:pPr>
              <w:spacing w:after="0"/>
              <w:rPr>
                <w:sz w:val="11"/>
                <w:szCs w:val="11"/>
                <w:color w:val="auto"/>
              </w:rPr>
            </w:pPr>
          </w:p>
        </w:tc>
        <w:tc>
          <w:tcPr>
            <w:tcW w:w="920" w:type="dxa"/>
            <w:vAlign w:val="bottom"/>
            <w:vMerge w:val="restart"/>
          </w:tcPr>
          <w:p>
            <w:pPr>
              <w:ind w:left="120"/>
              <w:spacing w:after="0"/>
              <w:rPr>
                <w:sz w:val="20"/>
                <w:szCs w:val="20"/>
                <w:color w:val="auto"/>
              </w:rPr>
            </w:pPr>
            <w:r>
              <w:rPr>
                <w:rFonts w:ascii="Arial" w:cs="Arial" w:eastAsia="Arial" w:hAnsi="Arial"/>
                <w:sz w:val="14"/>
                <w:szCs w:val="14"/>
                <w:color w:val="auto"/>
              </w:rPr>
              <w:t>Level 2</w:t>
            </w:r>
          </w:p>
        </w:tc>
        <w:tc>
          <w:tcPr>
            <w:tcW w:w="340" w:type="dxa"/>
            <w:vAlign w:val="bottom"/>
          </w:tcPr>
          <w:p>
            <w:pPr>
              <w:spacing w:after="0"/>
              <w:rPr>
                <w:sz w:val="11"/>
                <w:szCs w:val="11"/>
                <w:color w:val="auto"/>
              </w:rPr>
            </w:pPr>
          </w:p>
        </w:tc>
        <w:tc>
          <w:tcPr>
            <w:tcW w:w="1040" w:type="dxa"/>
            <w:vAlign w:val="bottom"/>
            <w:vMerge w:val="restart"/>
          </w:tcPr>
          <w:p>
            <w:pPr>
              <w:jc w:val="center"/>
              <w:ind w:right="268"/>
              <w:spacing w:after="0"/>
              <w:rPr>
                <w:sz w:val="20"/>
                <w:szCs w:val="20"/>
                <w:color w:val="auto"/>
              </w:rPr>
            </w:pPr>
            <w:r>
              <w:rPr>
                <w:rFonts w:ascii="Arial" w:cs="Arial" w:eastAsia="Arial" w:hAnsi="Arial"/>
                <w:sz w:val="14"/>
                <w:szCs w:val="14"/>
                <w:color w:val="auto"/>
              </w:rPr>
              <w:t>Level 3</w:t>
            </w:r>
          </w:p>
        </w:tc>
        <w:tc>
          <w:tcPr>
            <w:tcW w:w="1220" w:type="dxa"/>
            <w:vAlign w:val="bottom"/>
            <w:gridSpan w:val="2"/>
          </w:tcPr>
          <w:p>
            <w:pPr>
              <w:jc w:val="center"/>
              <w:spacing w:after="0" w:line="135" w:lineRule="exact"/>
              <w:rPr>
                <w:sz w:val="20"/>
                <w:szCs w:val="20"/>
                <w:color w:val="auto"/>
              </w:rPr>
            </w:pPr>
            <w:r>
              <w:rPr>
                <w:rFonts w:ascii="Arial" w:cs="Arial" w:eastAsia="Arial" w:hAnsi="Arial"/>
                <w:sz w:val="14"/>
                <w:szCs w:val="14"/>
                <w:color w:val="auto"/>
              </w:rPr>
              <w:t>Measured at Fair</w:t>
            </w: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80" w:type="dxa"/>
            <w:vAlign w:val="bottom"/>
            <w:tcBorders>
              <w:bottom w:val="single" w:sz="8" w:color="CEFFE7"/>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Value</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Investments</w:t>
            </w:r>
          </w:p>
        </w:tc>
        <w:tc>
          <w:tcPr>
            <w:tcW w:w="0" w:type="dxa"/>
            <w:vAlign w:val="bottom"/>
          </w:tcPr>
          <w:p>
            <w:pPr>
              <w:spacing w:after="0"/>
              <w:rPr>
                <w:sz w:val="1"/>
                <w:szCs w:val="1"/>
                <w:color w:val="auto"/>
              </w:rPr>
            </w:pPr>
          </w:p>
        </w:tc>
      </w:tr>
      <w:tr>
        <w:trPr>
          <w:trHeight w:val="183"/>
        </w:trPr>
        <w:tc>
          <w:tcPr>
            <w:tcW w:w="4980" w:type="dxa"/>
            <w:vAlign w:val="bottom"/>
            <w:shd w:val="clear" w:color="auto" w:fill="CEFFE7"/>
          </w:tcPr>
          <w:p>
            <w:pPr>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8,165</w:t>
            </w:r>
          </w:p>
        </w:tc>
        <w:tc>
          <w:tcPr>
            <w:tcW w:w="32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EFFE7"/>
          </w:tcPr>
          <w:p>
            <w:pPr>
              <w:ind w:left="7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EFFE7"/>
          </w:tcPr>
          <w:p>
            <w:pPr>
              <w:jc w:val="right"/>
              <w:ind w:right="68"/>
              <w:spacing w:after="0"/>
              <w:rPr>
                <w:sz w:val="20"/>
                <w:szCs w:val="20"/>
                <w:color w:val="auto"/>
              </w:rPr>
            </w:pPr>
            <w:r>
              <w:rPr>
                <w:rFonts w:ascii="Arial" w:cs="Arial" w:eastAsia="Arial" w:hAnsi="Arial"/>
                <w:sz w:val="14"/>
                <w:szCs w:val="14"/>
                <w:color w:val="auto"/>
              </w:rPr>
              <w:t>8,165</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8,165</w:t>
            </w:r>
          </w:p>
        </w:tc>
        <w:tc>
          <w:tcPr>
            <w:tcW w:w="0" w:type="dxa"/>
            <w:vAlign w:val="bottom"/>
          </w:tcPr>
          <w:p>
            <w:pPr>
              <w:spacing w:after="0"/>
              <w:rPr>
                <w:sz w:val="1"/>
                <w:szCs w:val="1"/>
                <w:color w:val="auto"/>
              </w:rPr>
            </w:pPr>
          </w:p>
        </w:tc>
      </w:tr>
      <w:tr>
        <w:trPr>
          <w:trHeight w:val="183"/>
        </w:trPr>
        <w:tc>
          <w:tcPr>
            <w:tcW w:w="4980" w:type="dxa"/>
            <w:vAlign w:val="bottom"/>
          </w:tcPr>
          <w:p>
            <w:pPr>
              <w:spacing w:after="0"/>
              <w:rPr>
                <w:sz w:val="20"/>
                <w:szCs w:val="20"/>
                <w:color w:val="auto"/>
              </w:rPr>
            </w:pPr>
            <w:r>
              <w:rPr>
                <w:rFonts w:ascii="Arial" w:cs="Arial" w:eastAsia="Arial" w:hAnsi="Arial"/>
                <w:sz w:val="14"/>
                <w:szCs w:val="14"/>
                <w:color w:val="auto"/>
              </w:rPr>
              <w:t>Total investments measured at fair value</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8,165</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assets of the benefit plans, including methods and assumptions used to estimate the fair value of these assets, is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Pension Plan</w:t>
      </w:r>
    </w:p>
    <w:p>
      <w:pPr>
        <w:spacing w:after="0" w:line="232"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i w:val="1"/>
          <w:iCs w:val="1"/>
          <w:color w:val="auto"/>
        </w:rPr>
        <w:t xml:space="preserve">Common Collective Trust Funds: </w:t>
      </w:r>
      <w:r>
        <w:rPr>
          <w:rFonts w:ascii="Arial" w:cs="Arial" w:eastAsia="Arial" w:hAnsi="Arial"/>
          <w:sz w:val="16"/>
          <w:szCs w:val="16"/>
          <w:color w:val="auto"/>
        </w:rPr>
        <w:t>These funds are valued based upon the redemption price of units held by the Pension Plan, which is based on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the common collective trust funds’ underlying assets. Unit values are determined by the financial institution sponsoring such funds by dividing the fund’s net assets at fair value by its units outstanding at the valuation dates. The Pension Plan’s investments in common collective trust funds, with the exception of shares of the common collective trust-real estate are categorized as Level 2.</w:t>
      </w:r>
    </w:p>
    <w:p>
      <w:pPr>
        <w:spacing w:after="0" w:line="14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i w:val="1"/>
          <w:iCs w:val="1"/>
          <w:color w:val="auto"/>
        </w:rPr>
        <w:t>Common Collective Trust-Real Estate Funds</w:t>
      </w:r>
      <w:r>
        <w:rPr>
          <w:rFonts w:ascii="Arial" w:cs="Arial" w:eastAsia="Arial" w:hAnsi="Arial"/>
          <w:sz w:val="16"/>
          <w:szCs w:val="16"/>
          <w:color w:val="auto"/>
        </w:rPr>
        <w:t>: These funds are valued based on various factors of the underlying real estate properties, including market</w:t>
      </w:r>
      <w:r>
        <w:rPr>
          <w:rFonts w:ascii="Arial" w:cs="Arial" w:eastAsia="Arial" w:hAnsi="Arial"/>
          <w:sz w:val="16"/>
          <w:szCs w:val="16"/>
          <w:i w:val="1"/>
          <w:iCs w:val="1"/>
          <w:color w:val="auto"/>
        </w:rPr>
        <w:t xml:space="preserve"> </w:t>
      </w:r>
      <w:r>
        <w:rPr>
          <w:rFonts w:ascii="Arial" w:cs="Arial" w:eastAsia="Arial" w:hAnsi="Arial"/>
          <w:sz w:val="16"/>
          <w:szCs w:val="16"/>
          <w:color w:val="auto"/>
        </w:rPr>
        <w:t>rent, market rent growth, occupancy levels, etc. As part of the trustee’s valuation process, properties are externally appraised generally on an annual basis. The appraisals are conducted by reputable independent appraisal firms and signed by appraisers that are members of the Appraisal Institute, with professional designation of Member, Appraisal Institute. All external appraisals are performed in accordance with the Uniform Standards of Professional Appraisal Practices. We receive monthly statements from the trustee, along with the annual schedule of investments and rely on these reports for pricing the units of the fund. Some of the funds without participant withdrawal limitations are categorized as Level 2.</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investments are measured at NAV and are not classified in the fair value hierarchy, in accordance with accounting guidance:</w:t>
      </w:r>
    </w:p>
    <w:p>
      <w:pPr>
        <w:spacing w:after="0" w:line="178" w:lineRule="exact"/>
        <w:rPr>
          <w:sz w:val="20"/>
          <w:szCs w:val="20"/>
          <w:color w:val="auto"/>
        </w:rPr>
      </w:pPr>
    </w:p>
    <w:p>
      <w:pPr>
        <w:ind w:left="340" w:right="460"/>
        <w:spacing w:after="0" w:line="281" w:lineRule="auto"/>
        <w:rPr>
          <w:sz w:val="20"/>
          <w:szCs w:val="20"/>
          <w:color w:val="auto"/>
        </w:rPr>
      </w:pPr>
      <w:r>
        <w:rPr>
          <w:rFonts w:ascii="Arial" w:cs="Arial" w:eastAsia="Arial" w:hAnsi="Arial"/>
          <w:sz w:val="16"/>
          <w:szCs w:val="16"/>
          <w:i w:val="1"/>
          <w:iCs w:val="1"/>
          <w:color w:val="auto"/>
        </w:rPr>
        <w:t>Common Collective Trust-Real Estate Fund</w:t>
      </w:r>
      <w:r>
        <w:rPr>
          <w:rFonts w:ascii="Arial" w:cs="Arial" w:eastAsia="Arial" w:hAnsi="Arial"/>
          <w:sz w:val="16"/>
          <w:szCs w:val="16"/>
          <w:color w:val="auto"/>
        </w:rPr>
        <w:t>: This is the same fund as above except that certain of the funds’ assets contain participant withdrawal</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with restrictions on redemption and are therefore not included in the fair value hierarchy.</w:t>
      </w:r>
    </w:p>
    <w:p>
      <w:pPr>
        <w:spacing w:after="0" w:line="123" w:lineRule="exact"/>
        <w:rPr>
          <w:sz w:val="20"/>
          <w:szCs w:val="20"/>
          <w:color w:val="auto"/>
        </w:rPr>
      </w:pPr>
    </w:p>
    <w:p>
      <w:pPr>
        <w:ind w:left="340" w:right="20"/>
        <w:spacing w:after="0" w:line="253" w:lineRule="auto"/>
        <w:rPr>
          <w:sz w:val="20"/>
          <w:szCs w:val="20"/>
          <w:color w:val="auto"/>
        </w:rPr>
      </w:pPr>
      <w:r>
        <w:rPr>
          <w:rFonts w:ascii="Arial" w:cs="Arial" w:eastAsia="Arial" w:hAnsi="Arial"/>
          <w:sz w:val="16"/>
          <w:szCs w:val="16"/>
          <w:i w:val="1"/>
          <w:iCs w:val="1"/>
          <w:color w:val="auto"/>
        </w:rPr>
        <w:t xml:space="preserve">Hedge Funds: </w:t>
      </w:r>
      <w:r>
        <w:rPr>
          <w:rFonts w:ascii="Arial" w:cs="Arial" w:eastAsia="Arial" w:hAnsi="Arial"/>
          <w:sz w:val="16"/>
          <w:szCs w:val="16"/>
          <w:color w:val="auto"/>
        </w:rPr>
        <w:t>These funds represent investments in other investment funds that seek a return utilizing a number of diverse investment strategies. The</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strategies, when combined, aim to reduce volatility and risk while attempting to deliver positive returns under all market conditions. Amounts are reported on a one-month lag. The fair value of hedge funds is determined using net asset value per share based on the fair value of the hedge fund’s underlying investments. 10% of the shares may be redeemed at the end of each month with a 15-day notice and full redemptions are available at the end of each quarter with 60-day notice and is limited to a percentage of the total net assets value of the fund. The net asset values are based on the fair value of each fund’s underlying investments. There are no unfunded commitments related to these hedge funds.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Non-pension Defined Benefit Postretirement Healthcare Plan</w:t>
      </w:r>
    </w:p>
    <w:p>
      <w:pPr>
        <w:spacing w:after="0" w:line="232"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This represents an investment in Northern Institutional Government Assets Portfolio, which is a government money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fund. As shares held reflect quoted prices in an active market, they are categorized as Level 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Plan Information</w:t>
      </w:r>
    </w:p>
    <w:p>
      <w:pPr>
        <w:spacing w:after="0" w:line="26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following tables provide a reconciliation of the employee benefit plan obligations and fair value of employee benefit plan assets, amounts recognized in the Consolidated Balance Sheets, accumulated benefit obligation, and reconciliation of components of the net periodic expense and elements of AOCI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gridSpan w:val="2"/>
          </w:tcPr>
          <w:p>
            <w:pPr>
              <w:spacing w:after="0"/>
              <w:rPr>
                <w:sz w:val="20"/>
                <w:szCs w:val="20"/>
                <w:color w:val="auto"/>
              </w:rPr>
            </w:pPr>
            <w:r>
              <w:rPr>
                <w:rFonts w:ascii="Arial" w:cs="Arial" w:eastAsia="Arial" w:hAnsi="Arial"/>
                <w:sz w:val="16"/>
                <w:szCs w:val="16"/>
                <w:color w:val="auto"/>
              </w:rPr>
              <w:t>Employee Benefit Plan Obligations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1"/>
        </w:trPr>
        <w:tc>
          <w:tcPr>
            <w:tcW w:w="2500" w:type="dxa"/>
            <w:vAlign w:val="bottom"/>
            <w:tcBorders>
              <w:top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3"/>
          </w:tcPr>
          <w:p>
            <w:pPr>
              <w:jc w:val="center"/>
              <w:ind w:right="119"/>
              <w:spacing w:after="0"/>
              <w:rPr>
                <w:sz w:val="20"/>
                <w:szCs w:val="20"/>
                <w:color w:val="auto"/>
              </w:rPr>
            </w:pPr>
            <w:r>
              <w:rPr>
                <w:rFonts w:ascii="Arial" w:cs="Arial" w:eastAsia="Arial" w:hAnsi="Arial"/>
                <w:sz w:val="16"/>
                <w:szCs w:val="16"/>
                <w:color w:val="auto"/>
              </w:rPr>
              <w:t>Supplemental Non-qualified</w:t>
            </w:r>
          </w:p>
        </w:tc>
        <w:tc>
          <w:tcPr>
            <w:tcW w:w="2260" w:type="dxa"/>
            <w:vAlign w:val="bottom"/>
            <w:gridSpan w:val="4"/>
          </w:tcPr>
          <w:p>
            <w:pPr>
              <w:jc w:val="center"/>
              <w:spacing w:after="0"/>
              <w:rPr>
                <w:sz w:val="20"/>
                <w:szCs w:val="20"/>
                <w:color w:val="auto"/>
              </w:rPr>
            </w:pPr>
            <w:r>
              <w:rPr>
                <w:rFonts w:ascii="Arial" w:cs="Arial" w:eastAsia="Arial" w:hAnsi="Arial"/>
                <w:sz w:val="16"/>
                <w:szCs w:val="16"/>
                <w:color w:val="auto"/>
              </w:rPr>
              <w:t>Non-pension Defined Benefit</w:t>
            </w:r>
          </w:p>
        </w:tc>
      </w:tr>
      <w:tr>
        <w:trPr>
          <w:trHeight w:val="162"/>
        </w:trPr>
        <w:tc>
          <w:tcPr>
            <w:tcW w:w="2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3"/>
          </w:tcPr>
          <w:p>
            <w:pPr>
              <w:jc w:val="right"/>
              <w:ind w:right="179"/>
              <w:spacing w:after="0" w:line="162" w:lineRule="exact"/>
              <w:rPr>
                <w:sz w:val="20"/>
                <w:szCs w:val="20"/>
                <w:color w:val="auto"/>
              </w:rPr>
            </w:pPr>
            <w:r>
              <w:rPr>
                <w:rFonts w:ascii="Arial" w:cs="Arial" w:eastAsia="Arial" w:hAnsi="Arial"/>
                <w:sz w:val="16"/>
                <w:szCs w:val="16"/>
                <w:color w:val="auto"/>
              </w:rPr>
              <w:t>Defined Benefit Pension</w:t>
            </w:r>
          </w:p>
        </w:tc>
        <w:tc>
          <w:tcPr>
            <w:tcW w:w="200" w:type="dxa"/>
            <w:vAlign w:val="bottom"/>
          </w:tcPr>
          <w:p>
            <w:pPr>
              <w:spacing w:after="0"/>
              <w:rPr>
                <w:sz w:val="14"/>
                <w:szCs w:val="14"/>
                <w:color w:val="auto"/>
              </w:rPr>
            </w:pPr>
          </w:p>
        </w:tc>
        <w:tc>
          <w:tcPr>
            <w:tcW w:w="1380" w:type="dxa"/>
            <w:vAlign w:val="bottom"/>
            <w:gridSpan w:val="2"/>
          </w:tcPr>
          <w:p>
            <w:pPr>
              <w:jc w:val="center"/>
              <w:ind w:left="579"/>
              <w:spacing w:after="0" w:line="162" w:lineRule="exact"/>
              <w:rPr>
                <w:sz w:val="20"/>
                <w:szCs w:val="20"/>
                <w:color w:val="auto"/>
              </w:rPr>
            </w:pPr>
            <w:r>
              <w:rPr>
                <w:rFonts w:ascii="Arial" w:cs="Arial" w:eastAsia="Arial" w:hAnsi="Arial"/>
                <w:sz w:val="16"/>
                <w:szCs w:val="16"/>
                <w:color w:val="auto"/>
              </w:rPr>
              <w:t>Defined</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3"/>
          </w:tcPr>
          <w:p>
            <w:pPr>
              <w:jc w:val="center"/>
              <w:ind w:right="59"/>
              <w:spacing w:after="0" w:line="162" w:lineRule="exact"/>
              <w:rPr>
                <w:sz w:val="20"/>
                <w:szCs w:val="20"/>
                <w:color w:val="auto"/>
              </w:rPr>
            </w:pPr>
            <w:r>
              <w:rPr>
                <w:rFonts w:ascii="Arial" w:cs="Arial" w:eastAsia="Arial" w:hAnsi="Arial"/>
                <w:sz w:val="16"/>
                <w:szCs w:val="16"/>
                <w:color w:val="auto"/>
              </w:rPr>
              <w:t>Postretirement Healthcare</w:t>
            </w:r>
          </w:p>
        </w:tc>
      </w:tr>
      <w:tr>
        <w:trPr>
          <w:trHeight w:val="198"/>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Plan</w:t>
            </w: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center"/>
              <w:ind w:right="119"/>
              <w:spacing w:after="0"/>
              <w:rPr>
                <w:sz w:val="20"/>
                <w:szCs w:val="20"/>
                <w:color w:val="auto"/>
              </w:rPr>
            </w:pPr>
            <w:r>
              <w:rPr>
                <w:rFonts w:ascii="Arial" w:cs="Arial" w:eastAsia="Arial" w:hAnsi="Arial"/>
                <w:sz w:val="16"/>
                <w:szCs w:val="16"/>
                <w:color w:val="auto"/>
                <w:w w:val="99"/>
              </w:rPr>
              <w:t>Benefit Plans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color w:val="auto"/>
                <w:w w:val="99"/>
              </w:rPr>
              <w:t>Plan</w:t>
            </w:r>
          </w:p>
        </w:tc>
        <w:tc>
          <w:tcPr>
            <w:tcW w:w="840" w:type="dxa"/>
            <w:vAlign w:val="bottom"/>
            <w:tcBorders>
              <w:bottom w:val="single" w:sz="8" w:color="auto"/>
            </w:tcBorders>
          </w:tcPr>
          <w:p>
            <w:pPr>
              <w:spacing w:after="0"/>
              <w:rPr>
                <w:sz w:val="17"/>
                <w:szCs w:val="17"/>
                <w:color w:val="auto"/>
              </w:rPr>
            </w:pPr>
          </w:p>
        </w:tc>
      </w:tr>
      <w:tr>
        <w:trPr>
          <w:trHeight w:val="209"/>
        </w:trPr>
        <w:tc>
          <w:tcPr>
            <w:tcW w:w="42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As of December 31,</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Change in benefit obligation:</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42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Projected benefit obligation at beginning of year</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514,008</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485,376</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55,054</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54,088</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70,238</w:t>
            </w:r>
          </w:p>
        </w:tc>
        <w:tc>
          <w:tcPr>
            <w:tcW w:w="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65,277</w:t>
            </w:r>
          </w:p>
        </w:tc>
      </w:tr>
      <w:tr>
        <w:trPr>
          <w:trHeight w:val="216"/>
        </w:trPr>
        <w:tc>
          <w:tcPr>
            <w:tcW w:w="42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Service cost </w:t>
            </w:r>
            <w:r>
              <w:rPr>
                <w:rFonts w:ascii="Arial" w:cs="Arial" w:eastAsia="Arial" w:hAnsi="Arial"/>
                <w:sz w:val="21"/>
                <w:szCs w:val="21"/>
                <w:color w:val="auto"/>
                <w:vertAlign w:val="superscript"/>
              </w:rPr>
              <w:t>(a)</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5,038</w:t>
            </w:r>
          </w:p>
        </w:tc>
        <w:tc>
          <w:tcPr>
            <w:tcW w:w="28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5,411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3,149</w:t>
            </w:r>
          </w:p>
        </w:tc>
        <w:tc>
          <w:tcPr>
            <w:tcW w:w="3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1,579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2,237</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2,056</w:t>
            </w:r>
          </w:p>
        </w:tc>
      </w:tr>
      <w:tr>
        <w:trPr>
          <w:trHeight w:val="216"/>
        </w:trPr>
        <w:tc>
          <w:tcPr>
            <w:tcW w:w="42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Interest cost</w:t>
            </w:r>
          </w:p>
        </w:tc>
        <w:tc>
          <w:tcPr>
            <w:tcW w:w="160" w:type="dxa"/>
            <w:vAlign w:val="bottom"/>
            <w:shd w:val="clear" w:color="auto" w:fill="CEFFE7"/>
          </w:tcPr>
          <w:p>
            <w:pPr>
              <w:spacing w:after="0"/>
              <w:rPr>
                <w:sz w:val="18"/>
                <w:szCs w:val="18"/>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9,313</w:t>
            </w:r>
          </w:p>
        </w:tc>
        <w:tc>
          <w:tcPr>
            <w:tcW w:w="280" w:type="dxa"/>
            <w:vAlign w:val="bottom"/>
            <w:shd w:val="clear" w:color="auto" w:fill="CEFFE7"/>
          </w:tcPr>
          <w:p>
            <w:pPr>
              <w:spacing w:after="0"/>
              <w:rPr>
                <w:sz w:val="18"/>
                <w:szCs w:val="18"/>
                <w:color w:val="auto"/>
              </w:rPr>
            </w:pPr>
          </w:p>
        </w:tc>
        <w:tc>
          <w:tcPr>
            <w:tcW w:w="8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13,426</w:t>
            </w:r>
          </w:p>
        </w:tc>
        <w:tc>
          <w:tcPr>
            <w:tcW w:w="200" w:type="dxa"/>
            <w:vAlign w:val="bottom"/>
            <w:shd w:val="clear" w:color="auto" w:fill="CEFFE7"/>
          </w:tcPr>
          <w:p>
            <w:pPr>
              <w:spacing w:after="0"/>
              <w:rPr>
                <w:sz w:val="18"/>
                <w:szCs w:val="18"/>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706</w:t>
            </w:r>
          </w:p>
        </w:tc>
        <w:tc>
          <w:tcPr>
            <w:tcW w:w="340" w:type="dxa"/>
            <w:vAlign w:val="bottom"/>
            <w:shd w:val="clear" w:color="auto" w:fill="CEFFE7"/>
          </w:tcPr>
          <w:p>
            <w:pPr>
              <w:spacing w:after="0"/>
              <w:rPr>
                <w:sz w:val="18"/>
                <w:szCs w:val="18"/>
                <w:color w:val="auto"/>
              </w:rPr>
            </w:pPr>
          </w:p>
        </w:tc>
        <w:tc>
          <w:tcPr>
            <w:tcW w:w="9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1,099</w:t>
            </w:r>
          </w:p>
        </w:tc>
        <w:tc>
          <w:tcPr>
            <w:tcW w:w="20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1,058</w:t>
            </w:r>
          </w:p>
        </w:tc>
        <w:tc>
          <w:tcPr>
            <w:tcW w:w="28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1,649</w:t>
            </w: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Actuarial (gain) loss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(14,037)</w:t>
            </w:r>
          </w:p>
        </w:tc>
        <w:tc>
          <w:tcPr>
            <w:tcW w:w="28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47,064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(1,073)</w:t>
            </w:r>
          </w:p>
        </w:tc>
        <w:tc>
          <w:tcPr>
            <w:tcW w:w="3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962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(5,165)</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5,804</w:t>
            </w:r>
          </w:p>
        </w:tc>
      </w:tr>
      <w:tr>
        <w:trPr>
          <w:trHeight w:val="219"/>
        </w:trPr>
        <w:tc>
          <w:tcPr>
            <w:tcW w:w="42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Amendments</w:t>
            </w:r>
          </w:p>
        </w:tc>
        <w:tc>
          <w:tcPr>
            <w:tcW w:w="16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(561)</w:t>
            </w:r>
          </w:p>
        </w:tc>
        <w:tc>
          <w:tcPr>
            <w:tcW w:w="280" w:type="dxa"/>
            <w:vAlign w:val="bottom"/>
            <w:shd w:val="clear" w:color="auto" w:fill="CEFFE7"/>
          </w:tcPr>
          <w:p>
            <w:pPr>
              <w:spacing w:after="0"/>
              <w:rPr>
                <w:sz w:val="19"/>
                <w:szCs w:val="19"/>
                <w:color w:val="auto"/>
              </w:rPr>
            </w:pPr>
          </w:p>
        </w:tc>
        <w:tc>
          <w:tcPr>
            <w:tcW w:w="8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EFFE7"/>
          </w:tcPr>
          <w:p>
            <w:pPr>
              <w:spacing w:after="0"/>
              <w:rPr>
                <w:sz w:val="19"/>
                <w:szCs w:val="19"/>
                <w:color w:val="auto"/>
              </w:rPr>
            </w:pPr>
          </w:p>
        </w:tc>
        <w:tc>
          <w:tcPr>
            <w:tcW w:w="9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Benefits paid</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(35,499)</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(37,269)</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(2,576)</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(2,674)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(6,432)</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(6,058)</w:t>
            </w:r>
          </w:p>
        </w:tc>
      </w:tr>
      <w:tr>
        <w:trPr>
          <w:trHeight w:val="216"/>
        </w:trPr>
        <w:tc>
          <w:tcPr>
            <w:tcW w:w="42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Plan participants’ contributions</w:t>
            </w:r>
          </w:p>
        </w:tc>
        <w:tc>
          <w:tcPr>
            <w:tcW w:w="16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EFFE7"/>
          </w:tcPr>
          <w:p>
            <w:pPr>
              <w:spacing w:after="0"/>
              <w:rPr>
                <w:sz w:val="18"/>
                <w:szCs w:val="18"/>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1,548</w:t>
            </w:r>
          </w:p>
        </w:tc>
        <w:tc>
          <w:tcPr>
            <w:tcW w:w="28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1,510</w:t>
            </w: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Projected benefit obligation at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478,262</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514,008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55,260</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55,054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63,484</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70,238</w:t>
            </w:r>
          </w:p>
        </w:tc>
      </w:tr>
      <w:tr>
        <w:trPr>
          <w:trHeight w:val="21"/>
        </w:trPr>
        <w:tc>
          <w:tcPr>
            <w:tcW w:w="2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740" w:hanging="332"/>
        <w:spacing w:after="0" w:line="258" w:lineRule="auto"/>
        <w:tabs>
          <w:tab w:leader="none" w:pos="352" w:val="left"/>
        </w:tabs>
        <w:numPr>
          <w:ilvl w:val="0"/>
          <w:numId w:val="80"/>
        </w:numPr>
        <w:rPr>
          <w:rFonts w:ascii="Arial" w:cs="Arial" w:eastAsia="Arial" w:hAnsi="Arial"/>
          <w:sz w:val="14"/>
          <w:szCs w:val="14"/>
          <w:color w:val="auto"/>
        </w:rPr>
      </w:pPr>
      <w:r>
        <w:rPr>
          <w:rFonts w:ascii="Arial" w:cs="Arial" w:eastAsia="Arial" w:hAnsi="Arial"/>
          <w:sz w:val="14"/>
          <w:szCs w:val="14"/>
          <w:color w:val="auto"/>
        </w:rPr>
        <w:t>For the year ended December 31, 2020, Service Cost for the Supplemental Non-qualified Defined Benefit Plans includes a $1.4 million correction of a prior year overstatement of Projected benefit obligation.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Fair Value Employee Benefit Plan Assets</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92"/>
        </w:trPr>
        <w:tc>
          <w:tcPr>
            <w:tcW w:w="2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2"/>
          </w:tcPr>
          <w:p>
            <w:pPr>
              <w:jc w:val="center"/>
              <w:ind w:right="119"/>
              <w:spacing w:after="0"/>
              <w:rPr>
                <w:sz w:val="20"/>
                <w:szCs w:val="20"/>
                <w:color w:val="auto"/>
              </w:rPr>
            </w:pPr>
            <w:r>
              <w:rPr>
                <w:rFonts w:ascii="Arial" w:cs="Arial" w:eastAsia="Arial" w:hAnsi="Arial"/>
                <w:sz w:val="16"/>
                <w:szCs w:val="16"/>
                <w:color w:val="auto"/>
              </w:rPr>
              <w:t>Supplemental Non-qualified</w:t>
            </w:r>
          </w:p>
        </w:tc>
        <w:tc>
          <w:tcPr>
            <w:tcW w:w="2260" w:type="dxa"/>
            <w:vAlign w:val="bottom"/>
            <w:gridSpan w:val="4"/>
          </w:tcPr>
          <w:p>
            <w:pPr>
              <w:jc w:val="center"/>
              <w:spacing w:after="0"/>
              <w:rPr>
                <w:sz w:val="20"/>
                <w:szCs w:val="20"/>
                <w:color w:val="auto"/>
              </w:rPr>
            </w:pPr>
            <w:r>
              <w:rPr>
                <w:rFonts w:ascii="Arial" w:cs="Arial" w:eastAsia="Arial" w:hAnsi="Arial"/>
                <w:sz w:val="16"/>
                <w:szCs w:val="16"/>
                <w:color w:val="auto"/>
              </w:rPr>
              <w:t>Non-pension Defined Benefit</w:t>
            </w:r>
          </w:p>
        </w:tc>
      </w:tr>
      <w:tr>
        <w:trPr>
          <w:trHeight w:val="159"/>
        </w:trPr>
        <w:tc>
          <w:tcPr>
            <w:tcW w:w="29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3"/>
          </w:tcPr>
          <w:p>
            <w:pPr>
              <w:jc w:val="right"/>
              <w:ind w:right="499"/>
              <w:spacing w:after="0" w:line="159" w:lineRule="exact"/>
              <w:rPr>
                <w:sz w:val="20"/>
                <w:szCs w:val="20"/>
                <w:color w:val="auto"/>
              </w:rPr>
            </w:pPr>
            <w:r>
              <w:rPr>
                <w:rFonts w:ascii="Arial" w:cs="Arial" w:eastAsia="Arial" w:hAnsi="Arial"/>
                <w:sz w:val="16"/>
                <w:szCs w:val="16"/>
                <w:color w:val="auto"/>
              </w:rPr>
              <w:t>Defined Benefit</w:t>
            </w:r>
          </w:p>
        </w:tc>
        <w:tc>
          <w:tcPr>
            <w:tcW w:w="200" w:type="dxa"/>
            <w:vAlign w:val="bottom"/>
          </w:tcPr>
          <w:p>
            <w:pPr>
              <w:spacing w:after="0"/>
              <w:rPr>
                <w:sz w:val="13"/>
                <w:szCs w:val="13"/>
                <w:color w:val="auto"/>
              </w:rPr>
            </w:pPr>
          </w:p>
        </w:tc>
        <w:tc>
          <w:tcPr>
            <w:tcW w:w="1380" w:type="dxa"/>
            <w:vAlign w:val="bottom"/>
          </w:tcPr>
          <w:p>
            <w:pPr>
              <w:jc w:val="center"/>
              <w:ind w:left="579"/>
              <w:spacing w:after="0" w:line="159" w:lineRule="exact"/>
              <w:rPr>
                <w:sz w:val="20"/>
                <w:szCs w:val="20"/>
                <w:color w:val="auto"/>
              </w:rPr>
            </w:pPr>
            <w:r>
              <w:rPr>
                <w:rFonts w:ascii="Arial" w:cs="Arial" w:eastAsia="Arial" w:hAnsi="Arial"/>
                <w:sz w:val="16"/>
                <w:szCs w:val="16"/>
                <w:color w:val="auto"/>
              </w:rPr>
              <w:t>Defined</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3"/>
          </w:tcPr>
          <w:p>
            <w:pPr>
              <w:jc w:val="center"/>
              <w:ind w:right="59"/>
              <w:spacing w:after="0" w:line="159" w:lineRule="exact"/>
              <w:rPr>
                <w:sz w:val="20"/>
                <w:szCs w:val="20"/>
                <w:color w:val="auto"/>
              </w:rPr>
            </w:pPr>
            <w:r>
              <w:rPr>
                <w:rFonts w:ascii="Arial" w:cs="Arial" w:eastAsia="Arial" w:hAnsi="Arial"/>
                <w:sz w:val="16"/>
                <w:szCs w:val="16"/>
                <w:color w:val="auto"/>
              </w:rPr>
              <w:t>Postretirement Healthcare</w:t>
            </w:r>
          </w:p>
        </w:tc>
      </w:tr>
      <w:tr>
        <w:trPr>
          <w:trHeight w:val="203"/>
        </w:trPr>
        <w:tc>
          <w:tcPr>
            <w:tcW w:w="2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color w:val="auto"/>
              </w:rPr>
              <w:t>Pension Plan</w:t>
            </w:r>
          </w:p>
        </w:tc>
        <w:tc>
          <w:tcPr>
            <w:tcW w:w="2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jc w:val="center"/>
              <w:ind w:right="119"/>
              <w:spacing w:after="0"/>
              <w:rPr>
                <w:sz w:val="20"/>
                <w:szCs w:val="20"/>
                <w:color w:val="auto"/>
              </w:rPr>
            </w:pPr>
            <w:r>
              <w:rPr>
                <w:rFonts w:ascii="Arial" w:cs="Arial" w:eastAsia="Arial" w:hAnsi="Arial"/>
                <w:sz w:val="16"/>
                <w:szCs w:val="16"/>
                <w:color w:val="auto"/>
                <w:w w:val="99"/>
              </w:rPr>
              <w:t>Benefit Plans</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left="579"/>
              <w:spacing w:after="0" w:line="204" w:lineRule="exact"/>
              <w:rPr>
                <w:sz w:val="20"/>
                <w:szCs w:val="20"/>
                <w:color w:val="auto"/>
              </w:rPr>
            </w:pPr>
            <w:r>
              <w:rPr>
                <w:rFonts w:ascii="Arial" w:cs="Arial" w:eastAsia="Arial" w:hAnsi="Arial"/>
                <w:sz w:val="16"/>
                <w:szCs w:val="16"/>
                <w:color w:val="auto"/>
                <w:w w:val="89"/>
              </w:rPr>
              <w:t xml:space="preserve">Plan </w:t>
            </w:r>
            <w:r>
              <w:rPr>
                <w:rFonts w:ascii="Arial" w:cs="Arial" w:eastAsia="Arial" w:hAnsi="Arial"/>
                <w:sz w:val="21"/>
                <w:szCs w:val="21"/>
                <w:color w:val="auto"/>
                <w:w w:val="89"/>
                <w:vertAlign w:val="superscript"/>
              </w:rPr>
              <w:t>(a)</w:t>
            </w:r>
          </w:p>
        </w:tc>
        <w:tc>
          <w:tcPr>
            <w:tcW w:w="800" w:type="dxa"/>
            <w:vAlign w:val="bottom"/>
            <w:tcBorders>
              <w:bottom w:val="single" w:sz="8" w:color="auto"/>
            </w:tcBorders>
          </w:tcPr>
          <w:p>
            <w:pPr>
              <w:spacing w:after="0"/>
              <w:rPr>
                <w:sz w:val="17"/>
                <w:szCs w:val="17"/>
                <w:color w:val="auto"/>
              </w:rPr>
            </w:pPr>
          </w:p>
        </w:tc>
      </w:tr>
      <w:tr>
        <w:trPr>
          <w:trHeight w:val="206"/>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December 31,</w:t>
            </w:r>
          </w:p>
        </w:tc>
        <w:tc>
          <w:tcPr>
            <w:tcW w:w="1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2021</w:t>
            </w: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r>
      <w:tr>
        <w:trPr>
          <w:trHeight w:val="210"/>
        </w:trPr>
        <w:tc>
          <w:tcPr>
            <w:tcW w:w="2940" w:type="dxa"/>
            <w:vAlign w:val="bottom"/>
          </w:tcPr>
          <w:p>
            <w:pPr>
              <w:ind w:left="20"/>
              <w:spacing w:after="0"/>
              <w:rPr>
                <w:sz w:val="20"/>
                <w:szCs w:val="20"/>
                <w:color w:val="auto"/>
              </w:rPr>
            </w:pPr>
            <w:r>
              <w:rPr>
                <w:rFonts w:ascii="Arial" w:cs="Arial" w:eastAsia="Arial" w:hAnsi="Arial"/>
                <w:sz w:val="16"/>
                <w:szCs w:val="16"/>
                <w:color w:val="auto"/>
              </w:rPr>
              <w:t>Change in fair value of plan assets: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2940" w:type="dxa"/>
            <w:vAlign w:val="bottom"/>
            <w:shd w:val="clear" w:color="auto" w:fill="CEFFE7"/>
          </w:tcPr>
          <w:p>
            <w:pPr>
              <w:ind w:left="20"/>
              <w:spacing w:after="0"/>
              <w:rPr>
                <w:sz w:val="20"/>
                <w:szCs w:val="20"/>
                <w:color w:val="auto"/>
              </w:rPr>
            </w:pPr>
            <w:r>
              <w:rPr>
                <w:rFonts w:ascii="Arial" w:cs="Arial" w:eastAsia="Arial" w:hAnsi="Arial"/>
                <w:sz w:val="16"/>
                <w:szCs w:val="16"/>
                <w:color w:val="auto"/>
              </w:rPr>
              <w:t>Beginning fair value of plan assets</w:t>
            </w:r>
          </w:p>
        </w:tc>
        <w:tc>
          <w:tcPr>
            <w:tcW w:w="1580" w:type="dxa"/>
            <w:vAlign w:val="bottom"/>
            <w:gridSpan w:val="2"/>
            <w:shd w:val="clear" w:color="auto" w:fill="CEFFE7"/>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473,721</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434,284</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EFFE7"/>
          </w:tcPr>
          <w:p>
            <w:pPr>
              <w:ind w:left="820"/>
              <w:spacing w:after="0"/>
              <w:rPr>
                <w:sz w:val="20"/>
                <w:szCs w:val="20"/>
                <w:color w:val="auto"/>
              </w:rPr>
            </w:pPr>
            <w:r>
              <w:rPr>
                <w:rFonts w:ascii="Arial" w:cs="Arial" w:eastAsia="Arial" w:hAnsi="Arial"/>
                <w:sz w:val="16"/>
                <w:szCs w:val="16"/>
                <w:color w:val="auto"/>
              </w:rPr>
              <w:t>— $</w:t>
            </w:r>
          </w:p>
        </w:tc>
        <w:tc>
          <w:tcPr>
            <w:tcW w:w="9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8,165</w:t>
            </w:r>
          </w:p>
        </w:tc>
        <w:tc>
          <w:tcPr>
            <w:tcW w:w="32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8,305</w:t>
            </w: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Investment income (loss)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20,165</w:t>
            </w:r>
          </w:p>
        </w:tc>
        <w:tc>
          <w:tcPr>
            <w:tcW w:w="2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64,006</w:t>
            </w:r>
          </w:p>
        </w:tc>
        <w:tc>
          <w:tcPr>
            <w:tcW w:w="200" w:type="dxa"/>
            <w:vAlign w:val="bottom"/>
          </w:tcPr>
          <w:p>
            <w:pPr>
              <w:spacing w:after="0"/>
              <w:rPr>
                <w:sz w:val="18"/>
                <w:szCs w:val="18"/>
                <w:color w:val="auto"/>
              </w:rPr>
            </w:pPr>
          </w:p>
        </w:tc>
        <w:tc>
          <w:tcPr>
            <w:tcW w:w="1380" w:type="dxa"/>
            <w:vAlign w:val="bottom"/>
          </w:tcPr>
          <w:p>
            <w:pPr>
              <w:ind w:left="8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2940" w:type="dxa"/>
            <w:vAlign w:val="bottom"/>
            <w:shd w:val="clear" w:color="auto" w:fill="CEFFE7"/>
          </w:tcPr>
          <w:p>
            <w:pPr>
              <w:ind w:left="20"/>
              <w:spacing w:after="0"/>
              <w:rPr>
                <w:sz w:val="20"/>
                <w:szCs w:val="20"/>
                <w:color w:val="auto"/>
              </w:rPr>
            </w:pPr>
            <w:r>
              <w:rPr>
                <w:rFonts w:ascii="Arial" w:cs="Arial" w:eastAsia="Arial" w:hAnsi="Arial"/>
                <w:sz w:val="16"/>
                <w:szCs w:val="16"/>
                <w:color w:val="auto"/>
              </w:rPr>
              <w:t>Employer contributions</w:t>
            </w:r>
          </w:p>
        </w:tc>
        <w:tc>
          <w:tcPr>
            <w:tcW w:w="134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19"/>
                <w:szCs w:val="19"/>
                <w:color w:val="auto"/>
              </w:rPr>
            </w:pPr>
          </w:p>
        </w:tc>
        <w:tc>
          <w:tcPr>
            <w:tcW w:w="90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12,700</w:t>
            </w:r>
          </w:p>
        </w:tc>
        <w:tc>
          <w:tcPr>
            <w:tcW w:w="200" w:type="dxa"/>
            <w:vAlign w:val="bottom"/>
            <w:shd w:val="clear" w:color="auto" w:fill="CEFFE7"/>
          </w:tcPr>
          <w:p>
            <w:pPr>
              <w:spacing w:after="0"/>
              <w:rPr>
                <w:sz w:val="19"/>
                <w:szCs w:val="19"/>
                <w:color w:val="auto"/>
              </w:rPr>
            </w:pPr>
          </w:p>
        </w:tc>
        <w:tc>
          <w:tcPr>
            <w:tcW w:w="1380" w:type="dxa"/>
            <w:vAlign w:val="bottom"/>
            <w:shd w:val="clear" w:color="auto" w:fill="CEFFE7"/>
          </w:tcPr>
          <w:p>
            <w:pPr>
              <w:ind w:left="580"/>
              <w:spacing w:after="0"/>
              <w:rPr>
                <w:sz w:val="20"/>
                <w:szCs w:val="20"/>
                <w:color w:val="auto"/>
              </w:rPr>
            </w:pPr>
            <w:r>
              <w:rPr>
                <w:rFonts w:ascii="Arial" w:cs="Arial" w:eastAsia="Arial" w:hAnsi="Arial"/>
                <w:sz w:val="16"/>
                <w:szCs w:val="16"/>
                <w:color w:val="auto"/>
              </w:rPr>
              <w:t>2,576</w:t>
            </w:r>
          </w:p>
        </w:tc>
        <w:tc>
          <w:tcPr>
            <w:tcW w:w="9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2,674</w:t>
            </w:r>
          </w:p>
        </w:tc>
        <w:tc>
          <w:tcPr>
            <w:tcW w:w="2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4,726</w:t>
            </w:r>
          </w:p>
        </w:tc>
        <w:tc>
          <w:tcPr>
            <w:tcW w:w="3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4,374</w:t>
            </w: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Retiree contributions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80" w:type="dxa"/>
            <w:vAlign w:val="bottom"/>
          </w:tcPr>
          <w:p>
            <w:pPr>
              <w:ind w:left="8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1,548</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1,511</w:t>
            </w:r>
          </w:p>
        </w:tc>
      </w:tr>
      <w:tr>
        <w:trPr>
          <w:trHeight w:val="216"/>
        </w:trPr>
        <w:tc>
          <w:tcPr>
            <w:tcW w:w="2940" w:type="dxa"/>
            <w:vAlign w:val="bottom"/>
            <w:shd w:val="clear" w:color="auto" w:fill="CEFFE7"/>
          </w:tcPr>
          <w:p>
            <w:pPr>
              <w:ind w:left="20"/>
              <w:spacing w:after="0"/>
              <w:rPr>
                <w:sz w:val="20"/>
                <w:szCs w:val="20"/>
                <w:color w:val="auto"/>
              </w:rPr>
            </w:pPr>
            <w:r>
              <w:rPr>
                <w:rFonts w:ascii="Arial" w:cs="Arial" w:eastAsia="Arial" w:hAnsi="Arial"/>
                <w:sz w:val="16"/>
                <w:szCs w:val="16"/>
                <w:color w:val="auto"/>
              </w:rPr>
              <w:t>Benefits paid</w:t>
            </w:r>
          </w:p>
        </w:tc>
        <w:tc>
          <w:tcPr>
            <w:tcW w:w="1340" w:type="dxa"/>
            <w:vAlign w:val="bottom"/>
            <w:shd w:val="clear" w:color="auto" w:fill="CEFFE7"/>
          </w:tcPr>
          <w:p>
            <w:pPr>
              <w:spacing w:after="0"/>
              <w:rPr>
                <w:sz w:val="18"/>
                <w:szCs w:val="18"/>
                <w:color w:val="auto"/>
              </w:rPr>
            </w:pPr>
          </w:p>
        </w:tc>
        <w:tc>
          <w:tcPr>
            <w:tcW w:w="2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(35,499)</w:t>
            </w:r>
          </w:p>
        </w:tc>
        <w:tc>
          <w:tcPr>
            <w:tcW w:w="24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(37,269)</w:t>
            </w:r>
          </w:p>
        </w:tc>
        <w:tc>
          <w:tcPr>
            <w:tcW w:w="200" w:type="dxa"/>
            <w:vAlign w:val="bottom"/>
            <w:tcBorders>
              <w:bottom w:val="single" w:sz="8" w:color="auto"/>
            </w:tcBorders>
            <w:shd w:val="clear" w:color="auto" w:fill="CEFFE7"/>
          </w:tcPr>
          <w:p>
            <w:pPr>
              <w:spacing w:after="0"/>
              <w:rPr>
                <w:sz w:val="18"/>
                <w:szCs w:val="18"/>
                <w:color w:val="auto"/>
              </w:rPr>
            </w:pPr>
          </w:p>
        </w:tc>
        <w:tc>
          <w:tcPr>
            <w:tcW w:w="1380" w:type="dxa"/>
            <w:vAlign w:val="bottom"/>
            <w:tcBorders>
              <w:bottom w:val="single" w:sz="8" w:color="auto"/>
            </w:tcBorders>
            <w:shd w:val="clear" w:color="auto" w:fill="CEFFE7"/>
          </w:tcPr>
          <w:p>
            <w:pPr>
              <w:ind w:left="500"/>
              <w:spacing w:after="0"/>
              <w:rPr>
                <w:sz w:val="20"/>
                <w:szCs w:val="20"/>
                <w:color w:val="auto"/>
              </w:rPr>
            </w:pPr>
            <w:r>
              <w:rPr>
                <w:rFonts w:ascii="Arial" w:cs="Arial" w:eastAsia="Arial" w:hAnsi="Arial"/>
                <w:sz w:val="16"/>
                <w:szCs w:val="16"/>
                <w:color w:val="auto"/>
              </w:rPr>
              <w:t>(2,576)</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(2,674)</w:t>
            </w:r>
          </w:p>
        </w:tc>
        <w:tc>
          <w:tcPr>
            <w:tcW w:w="20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(6,432)</w:t>
            </w:r>
          </w:p>
        </w:tc>
        <w:tc>
          <w:tcPr>
            <w:tcW w:w="32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(6,058)</w:t>
            </w: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Ending fair value of plan assets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458,387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473,721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ind w:left="820"/>
              <w:spacing w:after="0"/>
              <w:rPr>
                <w:sz w:val="20"/>
                <w:szCs w:val="20"/>
                <w:color w:val="auto"/>
              </w:rPr>
            </w:pPr>
            <w:r>
              <w:rPr>
                <w:rFonts w:ascii="Arial" w:cs="Arial" w:eastAsia="Arial" w:hAnsi="Arial"/>
                <w:sz w:val="16"/>
                <w:szCs w:val="16"/>
                <w:color w:val="auto"/>
              </w:rPr>
              <w:t>—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7,972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8,165</w:t>
            </w:r>
          </w:p>
        </w:tc>
      </w:tr>
      <w:tr>
        <w:trPr>
          <w:trHeight w:val="21"/>
        </w:trPr>
        <w:tc>
          <w:tcPr>
            <w:tcW w:w="2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Assets of VEBA trusts.</w:t>
      </w:r>
    </w:p>
    <w:p>
      <w:pPr>
        <w:spacing w:after="0" w:line="241"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In 2012, we froze our Pension Plan and closed it to new participants. Since then, we have implemented various de-risking strategies including lump sum buyouts, the purchase of annuities and the reduction of return-seeking assets over time to a more liability-hedged portfolio. As a result, capital markets volatility driven by the COVID-19 pandemic did not materially affect our unfunded status.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Amounts Recognized in the Consolidated Balance Sheets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06"/>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3"/>
          </w:tcPr>
          <w:p>
            <w:pPr>
              <w:jc w:val="center"/>
              <w:spacing w:after="0"/>
              <w:rPr>
                <w:sz w:val="20"/>
                <w:szCs w:val="20"/>
                <w:color w:val="auto"/>
              </w:rPr>
            </w:pPr>
            <w:r>
              <w:rPr>
                <w:rFonts w:ascii="Arial" w:cs="Arial" w:eastAsia="Arial" w:hAnsi="Arial"/>
                <w:sz w:val="16"/>
                <w:szCs w:val="16"/>
                <w:color w:val="auto"/>
              </w:rPr>
              <w:t>Supplemental</w:t>
            </w:r>
          </w:p>
        </w:tc>
        <w:tc>
          <w:tcPr>
            <w:tcW w:w="2280" w:type="dxa"/>
            <w:vAlign w:val="bottom"/>
            <w:gridSpan w:val="4"/>
          </w:tcPr>
          <w:p>
            <w:pPr>
              <w:jc w:val="center"/>
              <w:spacing w:after="0"/>
              <w:rPr>
                <w:sz w:val="20"/>
                <w:szCs w:val="20"/>
                <w:color w:val="auto"/>
              </w:rPr>
            </w:pPr>
            <w:r>
              <w:rPr>
                <w:rFonts w:ascii="Arial" w:cs="Arial" w:eastAsia="Arial" w:hAnsi="Arial"/>
                <w:sz w:val="16"/>
                <w:szCs w:val="16"/>
                <w:color w:val="auto"/>
              </w:rPr>
              <w:t>Non-pension Defined Benefit</w:t>
            </w:r>
          </w:p>
        </w:tc>
      </w:t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3"/>
          </w:tcPr>
          <w:p>
            <w:pPr>
              <w:jc w:val="right"/>
              <w:ind w:right="459"/>
              <w:spacing w:after="0" w:line="162" w:lineRule="exact"/>
              <w:rPr>
                <w:sz w:val="20"/>
                <w:szCs w:val="20"/>
                <w:color w:val="auto"/>
              </w:rPr>
            </w:pPr>
            <w:r>
              <w:rPr>
                <w:rFonts w:ascii="Arial" w:cs="Arial" w:eastAsia="Arial" w:hAnsi="Arial"/>
                <w:sz w:val="16"/>
                <w:szCs w:val="16"/>
                <w:color w:val="auto"/>
              </w:rPr>
              <w:t>Defined Benefit</w:t>
            </w:r>
          </w:p>
        </w:tc>
        <w:tc>
          <w:tcPr>
            <w:tcW w:w="240" w:type="dxa"/>
            <w:vAlign w:val="bottom"/>
          </w:tcPr>
          <w:p>
            <w:pPr>
              <w:spacing w:after="0"/>
              <w:rPr>
                <w:sz w:val="14"/>
                <w:szCs w:val="14"/>
                <w:color w:val="auto"/>
              </w:rPr>
            </w:pPr>
          </w:p>
        </w:tc>
        <w:tc>
          <w:tcPr>
            <w:tcW w:w="2280" w:type="dxa"/>
            <w:vAlign w:val="bottom"/>
            <w:gridSpan w:val="3"/>
          </w:tcPr>
          <w:p>
            <w:pPr>
              <w:jc w:val="center"/>
              <w:spacing w:after="0" w:line="162" w:lineRule="exact"/>
              <w:rPr>
                <w:sz w:val="20"/>
                <w:szCs w:val="20"/>
                <w:color w:val="auto"/>
              </w:rPr>
            </w:pPr>
            <w:r>
              <w:rPr>
                <w:rFonts w:ascii="Arial" w:cs="Arial" w:eastAsia="Arial" w:hAnsi="Arial"/>
                <w:sz w:val="16"/>
                <w:szCs w:val="16"/>
                <w:color w:val="auto"/>
              </w:rPr>
              <w:t>Non-qualified Defined Benefit</w:t>
            </w:r>
          </w:p>
        </w:tc>
        <w:tc>
          <w:tcPr>
            <w:tcW w:w="220" w:type="dxa"/>
            <w:vAlign w:val="bottom"/>
          </w:tcPr>
          <w:p>
            <w:pPr>
              <w:spacing w:after="0"/>
              <w:rPr>
                <w:sz w:val="14"/>
                <w:szCs w:val="14"/>
                <w:color w:val="auto"/>
              </w:rPr>
            </w:pPr>
          </w:p>
        </w:tc>
        <w:tc>
          <w:tcPr>
            <w:tcW w:w="2060" w:type="dxa"/>
            <w:vAlign w:val="bottom"/>
            <w:gridSpan w:val="3"/>
          </w:tcPr>
          <w:p>
            <w:pPr>
              <w:jc w:val="center"/>
              <w:ind w:right="59"/>
              <w:spacing w:after="0" w:line="162" w:lineRule="exact"/>
              <w:rPr>
                <w:sz w:val="20"/>
                <w:szCs w:val="20"/>
                <w:color w:val="auto"/>
              </w:rPr>
            </w:pPr>
            <w:r>
              <w:rPr>
                <w:rFonts w:ascii="Arial" w:cs="Arial" w:eastAsia="Arial" w:hAnsi="Arial"/>
                <w:sz w:val="16"/>
                <w:szCs w:val="16"/>
                <w:color w:val="auto"/>
              </w:rPr>
              <w:t>Postretirement Healthcare</w:t>
            </w:r>
          </w:p>
        </w:tc>
      </w:tr>
      <w:tr>
        <w:trPr>
          <w:trHeight w:val="198"/>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color w:val="auto"/>
              </w:rPr>
              <w:t>Pension Plan</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left="739"/>
              <w:spacing w:after="0"/>
              <w:rPr>
                <w:sz w:val="20"/>
                <w:szCs w:val="20"/>
                <w:color w:val="auto"/>
              </w:rPr>
            </w:pPr>
            <w:r>
              <w:rPr>
                <w:rFonts w:ascii="Arial" w:cs="Arial" w:eastAsia="Arial" w:hAnsi="Arial"/>
                <w:sz w:val="16"/>
                <w:szCs w:val="16"/>
                <w:color w:val="auto"/>
                <w:w w:val="99"/>
              </w:rPr>
              <w:t>Plans</w:t>
            </w: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color w:val="auto"/>
                <w:w w:val="99"/>
              </w:rPr>
              <w:t>Plan</w:t>
            </w:r>
          </w:p>
        </w:tc>
        <w:tc>
          <w:tcPr>
            <w:tcW w:w="840" w:type="dxa"/>
            <w:vAlign w:val="bottom"/>
            <w:tcBorders>
              <w:bottom w:val="single" w:sz="8" w:color="auto"/>
            </w:tcBorders>
          </w:tcPr>
          <w:p>
            <w:pPr>
              <w:spacing w:after="0"/>
              <w:rPr>
                <w:sz w:val="17"/>
                <w:szCs w:val="17"/>
                <w:color w:val="auto"/>
              </w:rPr>
            </w:pPr>
          </w:p>
        </w:tc>
      </w:tr>
      <w:tr>
        <w:trPr>
          <w:trHeight w:val="20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December 31,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r>
      <w:tr>
        <w:trPr>
          <w:trHeight w:val="213"/>
        </w:trPr>
        <w:tc>
          <w:tcPr>
            <w:tcW w:w="4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Regulatory assets</w:t>
            </w:r>
          </w:p>
        </w:tc>
        <w:tc>
          <w:tcPr>
            <w:tcW w:w="340" w:type="dxa"/>
            <w:vAlign w:val="bottom"/>
            <w:gridSpan w:val="2"/>
            <w:shd w:val="clear" w:color="auto" w:fill="CEFFE7"/>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67,403</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86,677</w:t>
            </w:r>
          </w:p>
        </w:tc>
        <w:tc>
          <w:tcPr>
            <w:tcW w:w="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EFFE7"/>
          </w:tcPr>
          <w:p>
            <w:pPr>
              <w:jc w:val="right"/>
              <w:ind w:right="139"/>
              <w:spacing w:after="0"/>
              <w:rPr>
                <w:sz w:val="20"/>
                <w:szCs w:val="20"/>
                <w:color w:val="auto"/>
              </w:rPr>
            </w:pPr>
            <w:r>
              <w:rPr>
                <w:rFonts w:ascii="Arial" w:cs="Arial" w:eastAsia="Arial" w:hAnsi="Arial"/>
                <w:sz w:val="16"/>
                <w:szCs w:val="16"/>
                <w:color w:val="auto"/>
              </w:rPr>
              <w:t>— $</w:t>
            </w:r>
          </w:p>
        </w:tc>
        <w:tc>
          <w:tcPr>
            <w:tcW w:w="9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11,660</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16,102</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2,156</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1,927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4,584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4,931</w:t>
            </w:r>
          </w:p>
        </w:tc>
      </w:tr>
      <w:tr>
        <w:trPr>
          <w:trHeight w:val="219"/>
        </w:trPr>
        <w:tc>
          <w:tcPr>
            <w:tcW w:w="4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Non-current liabilities</w:t>
            </w:r>
          </w:p>
        </w:tc>
        <w:tc>
          <w:tcPr>
            <w:tcW w:w="340" w:type="dxa"/>
            <w:vAlign w:val="bottom"/>
            <w:gridSpan w:val="2"/>
            <w:shd w:val="clear" w:color="auto" w:fill="CEFFE7"/>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19,872</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40,287</w:t>
            </w:r>
          </w:p>
        </w:tc>
        <w:tc>
          <w:tcPr>
            <w:tcW w:w="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53,104</w:t>
            </w:r>
          </w:p>
        </w:tc>
        <w:tc>
          <w:tcPr>
            <w:tcW w:w="3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53,127</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50,949</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57,142</w:t>
            </w:r>
          </w:p>
        </w:tc>
      </w:tr>
      <w:tr>
        <w:trPr>
          <w:trHeight w:val="210"/>
        </w:trPr>
        <w:tc>
          <w:tcPr>
            <w:tcW w:w="4160" w:type="dxa"/>
            <w:vAlign w:val="bottom"/>
          </w:tcPr>
          <w:p>
            <w:pPr>
              <w:ind w:left="20"/>
              <w:spacing w:after="0"/>
              <w:rPr>
                <w:sz w:val="20"/>
                <w:szCs w:val="20"/>
                <w:color w:val="auto"/>
              </w:rPr>
            </w:pPr>
            <w:r>
              <w:rPr>
                <w:rFonts w:ascii="Arial" w:cs="Arial" w:eastAsia="Arial" w:hAnsi="Arial"/>
                <w:sz w:val="16"/>
                <w:szCs w:val="16"/>
                <w:color w:val="auto"/>
              </w:rPr>
              <w:t>Regulatory liabilities</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3,830</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3,607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2,447</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4"/>
        </w:trPr>
        <w:tc>
          <w:tcPr>
            <w:tcW w:w="2700" w:type="dxa"/>
            <w:vAlign w:val="bottom"/>
            <w:gridSpan w:val="3"/>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2700" w:type="dxa"/>
            <w:vAlign w:val="bottom"/>
            <w:gridSpan w:val="3"/>
          </w:tcPr>
          <w:p>
            <w:pPr>
              <w:spacing w:after="0"/>
              <w:rPr>
                <w:sz w:val="20"/>
                <w:szCs w:val="20"/>
                <w:color w:val="auto"/>
              </w:rPr>
            </w:pPr>
            <w:r>
              <w:rPr>
                <w:rFonts w:ascii="Arial" w:cs="Arial" w:eastAsia="Arial" w:hAnsi="Arial"/>
                <w:sz w:val="16"/>
                <w:szCs w:val="16"/>
                <w:color w:val="auto"/>
              </w:rPr>
              <w:t>Accumulated Benefit Obligation</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center"/>
              <w:ind w:left="25"/>
              <w:spacing w:after="0"/>
              <w:rPr>
                <w:sz w:val="20"/>
                <w:szCs w:val="20"/>
                <w:color w:val="auto"/>
              </w:rPr>
            </w:pPr>
            <w:r>
              <w:rPr>
                <w:rFonts w:ascii="Arial" w:cs="Arial" w:eastAsia="Arial" w:hAnsi="Arial"/>
                <w:sz w:val="16"/>
                <w:szCs w:val="16"/>
                <w:color w:val="auto"/>
              </w:rPr>
              <w:t>Supplemental</w:t>
            </w:r>
          </w:p>
        </w:tc>
        <w:tc>
          <w:tcPr>
            <w:tcW w:w="320" w:type="dxa"/>
            <w:vAlign w:val="bottom"/>
          </w:tcPr>
          <w:p>
            <w:pPr>
              <w:spacing w:after="0"/>
              <w:rPr>
                <w:sz w:val="18"/>
                <w:szCs w:val="18"/>
                <w:color w:val="auto"/>
              </w:rPr>
            </w:pPr>
          </w:p>
        </w:tc>
        <w:tc>
          <w:tcPr>
            <w:tcW w:w="2360" w:type="dxa"/>
            <w:vAlign w:val="bottom"/>
            <w:gridSpan w:val="5"/>
          </w:tcPr>
          <w:p>
            <w:pPr>
              <w:jc w:val="center"/>
              <w:ind w:left="85"/>
              <w:spacing w:after="0"/>
              <w:rPr>
                <w:sz w:val="20"/>
                <w:szCs w:val="20"/>
                <w:color w:val="auto"/>
              </w:rPr>
            </w:pPr>
            <w:r>
              <w:rPr>
                <w:rFonts w:ascii="Arial" w:cs="Arial" w:eastAsia="Arial" w:hAnsi="Arial"/>
                <w:sz w:val="16"/>
                <w:szCs w:val="16"/>
                <w:color w:val="auto"/>
              </w:rPr>
              <w:t>Non-pension Defined Benefit</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center"/>
              <w:ind w:left="225"/>
              <w:spacing w:after="0" w:line="162" w:lineRule="exact"/>
              <w:rPr>
                <w:sz w:val="20"/>
                <w:szCs w:val="20"/>
                <w:color w:val="auto"/>
              </w:rPr>
            </w:pPr>
            <w:r>
              <w:rPr>
                <w:rFonts w:ascii="Arial" w:cs="Arial" w:eastAsia="Arial" w:hAnsi="Arial"/>
                <w:sz w:val="16"/>
                <w:szCs w:val="16"/>
                <w:color w:val="auto"/>
              </w:rPr>
              <w:t>Defined Benefit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5"/>
          </w:tcPr>
          <w:p>
            <w:pPr>
              <w:jc w:val="center"/>
              <w:spacing w:after="0" w:line="162" w:lineRule="exact"/>
              <w:rPr>
                <w:sz w:val="20"/>
                <w:szCs w:val="20"/>
                <w:color w:val="auto"/>
              </w:rPr>
            </w:pPr>
            <w:r>
              <w:rPr>
                <w:rFonts w:ascii="Arial" w:cs="Arial" w:eastAsia="Arial" w:hAnsi="Arial"/>
                <w:sz w:val="16"/>
                <w:szCs w:val="16"/>
                <w:color w:val="auto"/>
              </w:rPr>
              <w:t>Non-qualified Defined Benefit</w:t>
            </w:r>
          </w:p>
        </w:tc>
        <w:tc>
          <w:tcPr>
            <w:tcW w:w="2360" w:type="dxa"/>
            <w:vAlign w:val="bottom"/>
            <w:gridSpan w:val="5"/>
          </w:tcPr>
          <w:p>
            <w:pPr>
              <w:jc w:val="center"/>
              <w:ind w:left="85"/>
              <w:spacing w:after="0" w:line="162" w:lineRule="exact"/>
              <w:rPr>
                <w:sz w:val="20"/>
                <w:szCs w:val="20"/>
                <w:color w:val="auto"/>
              </w:rPr>
            </w:pPr>
            <w:r>
              <w:rPr>
                <w:rFonts w:ascii="Arial" w:cs="Arial" w:eastAsia="Arial" w:hAnsi="Arial"/>
                <w:sz w:val="16"/>
                <w:szCs w:val="16"/>
                <w:color w:val="auto"/>
              </w:rPr>
              <w:t>Postretirement Healthcare</w:t>
            </w:r>
          </w:p>
        </w:tc>
        <w:tc>
          <w:tcPr>
            <w:tcW w:w="0" w:type="dxa"/>
            <w:vAlign w:val="bottom"/>
          </w:tcPr>
          <w:p>
            <w:pPr>
              <w:spacing w:after="0"/>
              <w:rPr>
                <w:sz w:val="1"/>
                <w:szCs w:val="1"/>
                <w:color w:val="auto"/>
              </w:rPr>
            </w:pPr>
          </w:p>
        </w:tc>
      </w:tr>
      <w:tr>
        <w:trPr>
          <w:trHeight w:val="198"/>
        </w:trPr>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right="104"/>
              <w:spacing w:after="0"/>
              <w:rPr>
                <w:sz w:val="20"/>
                <w:szCs w:val="20"/>
                <w:color w:val="auto"/>
              </w:rPr>
            </w:pPr>
            <w:r>
              <w:rPr>
                <w:rFonts w:ascii="Arial" w:cs="Arial" w:eastAsia="Arial" w:hAnsi="Arial"/>
                <w:sz w:val="16"/>
                <w:szCs w:val="16"/>
                <w:color w:val="auto"/>
              </w:rPr>
              <w:t>Pension Plan</w:t>
            </w:r>
          </w:p>
        </w:tc>
        <w:tc>
          <w:tcPr>
            <w:tcW w:w="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486"/>
              <w:spacing w:after="0"/>
              <w:rPr>
                <w:sz w:val="20"/>
                <w:szCs w:val="20"/>
                <w:color w:val="auto"/>
              </w:rPr>
            </w:pPr>
            <w:r>
              <w:rPr>
                <w:rFonts w:ascii="Arial" w:cs="Arial" w:eastAsia="Arial" w:hAnsi="Arial"/>
                <w:sz w:val="16"/>
                <w:szCs w:val="16"/>
                <w:color w:val="auto"/>
                <w:w w:val="99"/>
              </w:rPr>
              <w:t>Plans</w:t>
            </w: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left="87"/>
              <w:spacing w:after="0"/>
              <w:rPr>
                <w:sz w:val="20"/>
                <w:szCs w:val="20"/>
                <w:color w:val="auto"/>
              </w:rPr>
            </w:pPr>
            <w:r>
              <w:rPr>
                <w:rFonts w:ascii="Arial" w:cs="Arial" w:eastAsia="Arial" w:hAnsi="Arial"/>
                <w:sz w:val="16"/>
                <w:szCs w:val="16"/>
                <w:color w:val="auto"/>
                <w:w w:val="99"/>
              </w:rPr>
              <w:t>Plan</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As of December 31,</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6"/>
                <w:szCs w:val="16"/>
                <w:color w:val="auto"/>
              </w:rPr>
              <w:t>2021</w:t>
            </w: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6"/>
                <w:szCs w:val="16"/>
                <w:color w:val="auto"/>
                <w:w w:val="95"/>
              </w:rPr>
              <w:t>2020</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2021</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6"/>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33"/>
        </w:trPr>
        <w:tc>
          <w:tcPr>
            <w:tcW w:w="270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Accumulated Benefit Obligation</w:t>
            </w:r>
          </w:p>
        </w:tc>
        <w:tc>
          <w:tcPr>
            <w:tcW w:w="420" w:type="dxa"/>
            <w:vAlign w:val="bottom"/>
            <w:shd w:val="clear" w:color="auto" w:fill="CEFFE7"/>
          </w:tcPr>
          <w:p>
            <w:pPr>
              <w:spacing w:after="0"/>
              <w:rPr>
                <w:sz w:val="20"/>
                <w:szCs w:val="20"/>
                <w:color w:val="auto"/>
              </w:rPr>
            </w:pPr>
          </w:p>
        </w:tc>
        <w:tc>
          <w:tcPr>
            <w:tcW w:w="200" w:type="dxa"/>
            <w:vAlign w:val="bottom"/>
            <w:shd w:val="clear" w:color="auto" w:fill="CEFFE7"/>
          </w:tcPr>
          <w:p>
            <w:pPr>
              <w:spacing w:after="0"/>
              <w:rPr>
                <w:sz w:val="20"/>
                <w:szCs w:val="20"/>
                <w:color w:val="auto"/>
              </w:rPr>
            </w:pPr>
          </w:p>
        </w:tc>
        <w:tc>
          <w:tcPr>
            <w:tcW w:w="680" w:type="dxa"/>
            <w:vAlign w:val="bottom"/>
            <w:shd w:val="clear" w:color="auto" w:fill="CEFFE7"/>
          </w:tcPr>
          <w:p>
            <w:pPr>
              <w:spacing w:after="0"/>
              <w:rPr>
                <w:sz w:val="20"/>
                <w:szCs w:val="20"/>
                <w:color w:val="auto"/>
              </w:rPr>
            </w:pPr>
          </w:p>
        </w:tc>
        <w:tc>
          <w:tcPr>
            <w:tcW w:w="380" w:type="dxa"/>
            <w:vAlign w:val="bottom"/>
            <w:gridSpan w:val="2"/>
            <w:shd w:val="clear" w:color="auto" w:fill="CEFFE7"/>
          </w:tcPr>
          <w:p>
            <w:pPr>
              <w:ind w:left="280"/>
              <w:spacing w:after="0"/>
              <w:rPr>
                <w:sz w:val="20"/>
                <w:szCs w:val="20"/>
                <w:color w:val="auto"/>
              </w:rPr>
            </w:pPr>
            <w:r>
              <w:rPr>
                <w:rFonts w:ascii="Arial" w:cs="Arial" w:eastAsia="Arial" w:hAnsi="Arial"/>
                <w:sz w:val="16"/>
                <w:szCs w:val="16"/>
                <w:color w:val="auto"/>
                <w:w w:val="89"/>
              </w:rPr>
              <w:t>$</w:t>
            </w:r>
          </w:p>
        </w:tc>
        <w:tc>
          <w:tcPr>
            <w:tcW w:w="1320" w:type="dxa"/>
            <w:vAlign w:val="bottom"/>
            <w:gridSpan w:val="3"/>
            <w:shd w:val="clear" w:color="auto" w:fill="CEFFE7"/>
          </w:tcPr>
          <w:p>
            <w:pPr>
              <w:jc w:val="right"/>
              <w:ind w:right="188"/>
              <w:spacing w:after="0"/>
              <w:rPr>
                <w:sz w:val="20"/>
                <w:szCs w:val="20"/>
                <w:color w:val="auto"/>
              </w:rPr>
            </w:pPr>
            <w:r>
              <w:rPr>
                <w:rFonts w:ascii="Arial" w:cs="Arial" w:eastAsia="Arial" w:hAnsi="Arial"/>
                <w:sz w:val="16"/>
                <w:szCs w:val="16"/>
                <w:color w:val="auto"/>
              </w:rPr>
              <w:t>466,505 $</w:t>
            </w:r>
          </w:p>
        </w:tc>
        <w:tc>
          <w:tcPr>
            <w:tcW w:w="7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498,815</w:t>
            </w:r>
          </w:p>
        </w:tc>
        <w:tc>
          <w:tcPr>
            <w:tcW w:w="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EFFE7"/>
          </w:tcPr>
          <w:p>
            <w:pPr>
              <w:spacing w:after="0"/>
              <w:rPr>
                <w:sz w:val="20"/>
                <w:szCs w:val="20"/>
                <w:color w:val="auto"/>
              </w:rPr>
            </w:pPr>
          </w:p>
        </w:tc>
        <w:tc>
          <w:tcPr>
            <w:tcW w:w="9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55,260 $</w:t>
            </w:r>
          </w:p>
        </w:tc>
        <w:tc>
          <w:tcPr>
            <w:tcW w:w="10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54,779</w:t>
            </w:r>
          </w:p>
        </w:tc>
        <w:tc>
          <w:tcPr>
            <w:tcW w:w="600" w:type="dxa"/>
            <w:vAlign w:val="bottom"/>
            <w:shd w:val="clear" w:color="auto" w:fill="CEFFE7"/>
          </w:tcPr>
          <w:p>
            <w:pPr>
              <w:jc w:val="right"/>
              <w:ind w:right="265"/>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EFFE7"/>
          </w:tcPr>
          <w:p>
            <w:pPr>
              <w:jc w:val="right"/>
              <w:ind w:right="67"/>
              <w:spacing w:after="0"/>
              <w:rPr>
                <w:sz w:val="20"/>
                <w:szCs w:val="20"/>
                <w:color w:val="auto"/>
              </w:rPr>
            </w:pPr>
            <w:r>
              <w:rPr>
                <w:rFonts w:ascii="Arial" w:cs="Arial" w:eastAsia="Arial" w:hAnsi="Arial"/>
                <w:sz w:val="16"/>
                <w:szCs w:val="16"/>
                <w:color w:val="auto"/>
              </w:rPr>
              <w:t>63,484 $</w:t>
            </w:r>
          </w:p>
        </w:tc>
        <w:tc>
          <w:tcPr>
            <w:tcW w:w="120" w:type="dxa"/>
            <w:vAlign w:val="bottom"/>
            <w:shd w:val="clear" w:color="auto" w:fill="CEFFE7"/>
          </w:tcPr>
          <w:p>
            <w:pPr>
              <w:spacing w:after="0"/>
              <w:rPr>
                <w:sz w:val="20"/>
                <w:szCs w:val="20"/>
                <w:color w:val="auto"/>
              </w:rPr>
            </w:pPr>
          </w:p>
        </w:tc>
        <w:tc>
          <w:tcPr>
            <w:tcW w:w="760" w:type="dxa"/>
            <w:vAlign w:val="bottom"/>
            <w:shd w:val="clear" w:color="auto" w:fill="CEFFE7"/>
          </w:tcPr>
          <w:p>
            <w:pPr>
              <w:jc w:val="right"/>
              <w:ind w:right="6"/>
              <w:spacing w:after="0"/>
              <w:rPr>
                <w:sz w:val="20"/>
                <w:szCs w:val="20"/>
                <w:color w:val="auto"/>
              </w:rPr>
            </w:pPr>
            <w:r>
              <w:rPr>
                <w:rFonts w:ascii="Arial" w:cs="Arial" w:eastAsia="Arial" w:hAnsi="Arial"/>
                <w:sz w:val="16"/>
                <w:szCs w:val="16"/>
                <w:color w:val="auto"/>
              </w:rPr>
              <w:t>70,238</w:t>
            </w:r>
          </w:p>
        </w:tc>
        <w:tc>
          <w:tcPr>
            <w:tcW w:w="0" w:type="dxa"/>
            <w:vAlign w:val="bottom"/>
          </w:tcPr>
          <w:p>
            <w:pPr>
              <w:spacing w:after="0"/>
              <w:rPr>
                <w:sz w:val="1"/>
                <w:szCs w:val="1"/>
                <w:color w:val="auto"/>
              </w:rPr>
            </w:pPr>
          </w:p>
        </w:tc>
      </w:tr>
      <w:tr>
        <w:trPr>
          <w:trHeight w:val="20"/>
        </w:trPr>
        <w:tc>
          <w:tcPr>
            <w:tcW w:w="2700" w:type="dxa"/>
            <w:vAlign w:val="bottom"/>
            <w:tcBorders>
              <w:top w:val="single" w:sz="8" w:color="CEFFE7"/>
              <w:bottom w:val="single" w:sz="8" w:color="CEFFE7"/>
            </w:tcBorders>
            <w:gridSpan w:val="3"/>
            <w:vMerge w:val="restart"/>
          </w:tcPr>
          <w:p>
            <w:pPr>
              <w:spacing w:after="0"/>
              <w:rPr>
                <w:sz w:val="20"/>
                <w:szCs w:val="20"/>
                <w:color w:val="auto"/>
              </w:rPr>
            </w:pPr>
            <w:r>
              <w:rPr>
                <w:rFonts w:ascii="Arial" w:cs="Arial" w:eastAsia="Arial" w:hAnsi="Arial"/>
                <w:sz w:val="16"/>
                <w:szCs w:val="16"/>
                <w:color w:val="auto"/>
              </w:rPr>
              <w:t>Components of Net Periodic Expense</w:t>
            </w:r>
          </w:p>
        </w:tc>
        <w:tc>
          <w:tcPr>
            <w:tcW w:w="42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tcBorders>
          </w:tcPr>
          <w:p>
            <w:pPr>
              <w:spacing w:after="0" w:line="20" w:lineRule="exact"/>
              <w:rPr>
                <w:sz w:val="1"/>
                <w:szCs w:val="1"/>
                <w:color w:val="auto"/>
              </w:rPr>
            </w:pPr>
          </w:p>
        </w:tc>
        <w:tc>
          <w:tcPr>
            <w:tcW w:w="68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700" w:type="dxa"/>
            <w:vAlign w:val="bottom"/>
            <w:tcBorders>
              <w:bottom w:val="single" w:sz="8" w:color="auto"/>
            </w:tcBorders>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jc w:val="right"/>
              <w:ind w:right="65"/>
              <w:spacing w:after="0"/>
              <w:rPr>
                <w:sz w:val="20"/>
                <w:szCs w:val="20"/>
                <w:color w:val="auto"/>
              </w:rPr>
            </w:pPr>
            <w:r>
              <w:rPr>
                <w:rFonts w:ascii="Arial" w:cs="Arial" w:eastAsia="Arial" w:hAnsi="Arial"/>
                <w:sz w:val="14"/>
                <w:szCs w:val="14"/>
                <w:color w:val="auto"/>
              </w:rPr>
              <w:t>Defined Benefit</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color w:val="auto"/>
              </w:rPr>
              <w:t>Supplemental</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5"/>
          </w:tcPr>
          <w:p>
            <w:pPr>
              <w:jc w:val="center"/>
              <w:ind w:right="206"/>
              <w:spacing w:after="0"/>
              <w:rPr>
                <w:sz w:val="20"/>
                <w:szCs w:val="20"/>
                <w:color w:val="auto"/>
              </w:rPr>
            </w:pPr>
            <w:r>
              <w:rPr>
                <w:rFonts w:ascii="Arial" w:cs="Arial" w:eastAsia="Arial" w:hAnsi="Arial"/>
                <w:sz w:val="14"/>
                <w:szCs w:val="14"/>
                <w:color w:val="auto"/>
              </w:rPr>
              <w:t>Non-pension Defined Benefit</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Pension Plan</w:t>
            </w: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66"/>
              <w:spacing w:after="0"/>
              <w:rPr>
                <w:sz w:val="20"/>
                <w:szCs w:val="20"/>
                <w:color w:val="auto"/>
              </w:rPr>
            </w:pPr>
            <w:r>
              <w:rPr>
                <w:rFonts w:ascii="Arial" w:cs="Arial" w:eastAsia="Arial" w:hAnsi="Arial"/>
                <w:sz w:val="14"/>
                <w:szCs w:val="14"/>
                <w:color w:val="auto"/>
              </w:rPr>
              <w:t>Non-qualified Defined Benefit Plans</w:t>
            </w:r>
          </w:p>
        </w:tc>
        <w:tc>
          <w:tcPr>
            <w:tcW w:w="3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center"/>
              <w:ind w:right="206"/>
              <w:spacing w:after="0"/>
              <w:rPr>
                <w:sz w:val="20"/>
                <w:szCs w:val="20"/>
                <w:color w:val="auto"/>
              </w:rPr>
            </w:pPr>
            <w:r>
              <w:rPr>
                <w:rFonts w:ascii="Arial" w:cs="Arial" w:eastAsia="Arial" w:hAnsi="Arial"/>
                <w:sz w:val="14"/>
                <w:szCs w:val="14"/>
                <w:color w:val="auto"/>
              </w:rPr>
              <w:t>Postretirement Healthcare Plan</w:t>
            </w:r>
          </w:p>
        </w:tc>
        <w:tc>
          <w:tcPr>
            <w:tcW w:w="0" w:type="dxa"/>
            <w:vAlign w:val="bottom"/>
          </w:tcPr>
          <w:p>
            <w:pPr>
              <w:spacing w:after="0"/>
              <w:rPr>
                <w:sz w:val="1"/>
                <w:szCs w:val="1"/>
                <w:color w:val="auto"/>
              </w:rPr>
            </w:pPr>
          </w:p>
        </w:tc>
      </w:tr>
      <w:tr>
        <w:trPr>
          <w:trHeight w:val="183"/>
        </w:trPr>
        <w:tc>
          <w:tcPr>
            <w:tcW w:w="2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For the years ended December 31,</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2021</w:t>
            </w:r>
          </w:p>
        </w:tc>
        <w:tc>
          <w:tcPr>
            <w:tcW w:w="8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2019</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166"/>
              <w:spacing w:after="0"/>
              <w:rPr>
                <w:sz w:val="20"/>
                <w:szCs w:val="20"/>
                <w:color w:val="auto"/>
              </w:rPr>
            </w:pPr>
            <w:r>
              <w:rPr>
                <w:rFonts w:ascii="Arial" w:cs="Arial" w:eastAsia="Arial" w:hAnsi="Arial"/>
                <w:sz w:val="14"/>
                <w:szCs w:val="14"/>
                <w:color w:val="auto"/>
              </w:rPr>
              <w:t>2021</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color w:val="auto"/>
              </w:rPr>
              <w:t>2020</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color w:val="auto"/>
              </w:rPr>
              <w:t>2019</w:t>
            </w: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color w:val="auto"/>
                <w:w w:val="96"/>
              </w:rPr>
              <w:t>2021</w:t>
            </w: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207"/>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3"/>
        </w:trPr>
        <w:tc>
          <w:tcPr>
            <w:tcW w:w="2700" w:type="dxa"/>
            <w:vAlign w:val="bottom"/>
            <w:gridSpan w:val="3"/>
            <w:shd w:val="clear" w:color="auto" w:fill="CEFFE7"/>
          </w:tcPr>
          <w:p>
            <w:pPr>
              <w:ind w:left="20"/>
              <w:spacing w:after="0" w:line="182" w:lineRule="exact"/>
              <w:rPr>
                <w:sz w:val="20"/>
                <w:szCs w:val="20"/>
                <w:color w:val="auto"/>
              </w:rPr>
            </w:pPr>
            <w:r>
              <w:rPr>
                <w:rFonts w:ascii="Arial" w:cs="Arial" w:eastAsia="Arial" w:hAnsi="Arial"/>
                <w:sz w:val="14"/>
                <w:szCs w:val="14"/>
                <w:color w:val="auto"/>
              </w:rPr>
              <w:t xml:space="preserve">Service cost </w:t>
            </w:r>
            <w:r>
              <w:rPr>
                <w:rFonts w:ascii="Arial" w:cs="Arial" w:eastAsia="Arial" w:hAnsi="Arial"/>
                <w:sz w:val="18"/>
                <w:szCs w:val="18"/>
                <w:color w:val="auto"/>
                <w:vertAlign w:val="superscript"/>
              </w:rPr>
              <w:t>(a)</w:t>
            </w:r>
          </w:p>
        </w:tc>
        <w:tc>
          <w:tcPr>
            <w:tcW w:w="620" w:type="dxa"/>
            <w:vAlign w:val="bottom"/>
            <w:gridSpan w:val="2"/>
            <w:shd w:val="clear" w:color="auto" w:fill="CEFFE7"/>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5,038</w:t>
            </w:r>
          </w:p>
        </w:tc>
        <w:tc>
          <w:tcPr>
            <w:tcW w:w="260" w:type="dxa"/>
            <w:vAlign w:val="bottom"/>
            <w:shd w:val="clear" w:color="auto" w:fill="CEFFE7"/>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5"/>
                <w:szCs w:val="15"/>
                <w:color w:val="auto"/>
              </w:rPr>
            </w:pPr>
          </w:p>
        </w:tc>
        <w:tc>
          <w:tcPr>
            <w:tcW w:w="4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5,411</w:t>
            </w:r>
          </w:p>
        </w:tc>
        <w:tc>
          <w:tcPr>
            <w:tcW w:w="220" w:type="dxa"/>
            <w:vAlign w:val="bottom"/>
            <w:shd w:val="clear" w:color="auto" w:fill="CEFFE7"/>
          </w:tcPr>
          <w:p>
            <w:pPr>
              <w:jc w:val="right"/>
              <w:ind w:right="25"/>
              <w:spacing w:after="0"/>
              <w:rPr>
                <w:sz w:val="20"/>
                <w:szCs w:val="20"/>
                <w:color w:val="auto"/>
              </w:rPr>
            </w:pPr>
            <w:r>
              <w:rPr>
                <w:rFonts w:ascii="Arial" w:cs="Arial" w:eastAsia="Arial" w:hAnsi="Arial"/>
                <w:sz w:val="14"/>
                <w:szCs w:val="14"/>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5,383</w:t>
            </w:r>
          </w:p>
        </w:tc>
        <w:tc>
          <w:tcPr>
            <w:tcW w:w="3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EFFE7"/>
          </w:tcPr>
          <w:p>
            <w:pPr>
              <w:jc w:val="right"/>
              <w:spacing w:after="0"/>
              <w:rPr>
                <w:sz w:val="20"/>
                <w:szCs w:val="20"/>
                <w:color w:val="auto"/>
              </w:rPr>
            </w:pPr>
            <w:r>
              <w:rPr>
                <w:rFonts w:ascii="Arial" w:cs="Arial" w:eastAsia="Arial" w:hAnsi="Arial"/>
                <w:sz w:val="14"/>
                <w:szCs w:val="14"/>
                <w:color w:val="auto"/>
              </w:rPr>
              <w:t>3,149</w:t>
            </w:r>
          </w:p>
        </w:tc>
        <w:tc>
          <w:tcPr>
            <w:tcW w:w="200" w:type="dxa"/>
            <w:vAlign w:val="bottom"/>
            <w:shd w:val="clear" w:color="auto" w:fill="CEFFE7"/>
          </w:tcPr>
          <w:p>
            <w:pPr>
              <w:ind w:left="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1,579</w:t>
            </w:r>
          </w:p>
        </w:tc>
        <w:tc>
          <w:tcPr>
            <w:tcW w:w="300" w:type="dxa"/>
            <w:vAlign w:val="bottom"/>
            <w:shd w:val="clear" w:color="auto" w:fill="CEFFE7"/>
          </w:tcPr>
          <w:p>
            <w:pPr>
              <w:jc w:val="right"/>
              <w:ind w:right="65"/>
              <w:spacing w:after="0"/>
              <w:rPr>
                <w:sz w:val="20"/>
                <w:szCs w:val="20"/>
                <w:color w:val="auto"/>
              </w:rPr>
            </w:pPr>
            <w:r>
              <w:rPr>
                <w:rFonts w:ascii="Arial" w:cs="Arial" w:eastAsia="Arial" w:hAnsi="Arial"/>
                <w:sz w:val="14"/>
                <w:szCs w:val="14"/>
                <w:color w:val="auto"/>
              </w:rPr>
              <w:t>$</w:t>
            </w:r>
          </w:p>
        </w:tc>
        <w:tc>
          <w:tcPr>
            <w:tcW w:w="700" w:type="dxa"/>
            <w:vAlign w:val="bottom"/>
            <w:shd w:val="clear" w:color="auto" w:fill="CEFFE7"/>
          </w:tcPr>
          <w:p>
            <w:pPr>
              <w:jc w:val="right"/>
              <w:ind w:right="46"/>
              <w:spacing w:after="0"/>
              <w:rPr>
                <w:sz w:val="20"/>
                <w:szCs w:val="20"/>
                <w:color w:val="auto"/>
              </w:rPr>
            </w:pPr>
            <w:r>
              <w:rPr>
                <w:rFonts w:ascii="Arial" w:cs="Arial" w:eastAsia="Arial" w:hAnsi="Arial"/>
                <w:sz w:val="14"/>
                <w:szCs w:val="14"/>
                <w:color w:val="auto"/>
              </w:rPr>
              <w:t>4,995</w:t>
            </w:r>
          </w:p>
        </w:tc>
        <w:tc>
          <w:tcPr>
            <w:tcW w:w="32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2,237</w:t>
            </w:r>
          </w:p>
        </w:tc>
        <w:tc>
          <w:tcPr>
            <w:tcW w:w="280" w:type="dxa"/>
            <w:vAlign w:val="bottom"/>
            <w:shd w:val="clear" w:color="auto" w:fill="CEFFE7"/>
          </w:tcPr>
          <w:p>
            <w:pPr>
              <w:jc w:val="right"/>
              <w:ind w:right="105"/>
              <w:spacing w:after="0"/>
              <w:rPr>
                <w:sz w:val="20"/>
                <w:szCs w:val="20"/>
                <w:color w:val="auto"/>
              </w:rPr>
            </w:pPr>
            <w:r>
              <w:rPr>
                <w:rFonts w:ascii="Arial" w:cs="Arial" w:eastAsia="Arial" w:hAnsi="Arial"/>
                <w:sz w:val="14"/>
                <w:szCs w:val="14"/>
                <w:color w:val="auto"/>
              </w:rPr>
              <w:t>$</w:t>
            </w:r>
          </w:p>
        </w:tc>
        <w:tc>
          <w:tcPr>
            <w:tcW w:w="6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2,056</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1,815</w:t>
            </w:r>
          </w:p>
        </w:tc>
        <w:tc>
          <w:tcPr>
            <w:tcW w:w="0" w:type="dxa"/>
            <w:vAlign w:val="bottom"/>
          </w:tcPr>
          <w:p>
            <w:pPr>
              <w:spacing w:after="0"/>
              <w:rPr>
                <w:sz w:val="1"/>
                <w:szCs w:val="1"/>
                <w:color w:val="auto"/>
              </w:rPr>
            </w:pPr>
          </w:p>
        </w:tc>
      </w:tr>
      <w:tr>
        <w:trPr>
          <w:trHeight w:val="189"/>
        </w:trPr>
        <w:tc>
          <w:tcPr>
            <w:tcW w:w="2700" w:type="dxa"/>
            <w:vAlign w:val="bottom"/>
            <w:gridSpan w:val="3"/>
          </w:tcPr>
          <w:p>
            <w:pPr>
              <w:ind w:left="20"/>
              <w:spacing w:after="0"/>
              <w:rPr>
                <w:sz w:val="20"/>
                <w:szCs w:val="20"/>
                <w:color w:val="auto"/>
              </w:rPr>
            </w:pPr>
            <w:r>
              <w:rPr>
                <w:rFonts w:ascii="Arial" w:cs="Arial" w:eastAsia="Arial" w:hAnsi="Arial"/>
                <w:sz w:val="14"/>
                <w:szCs w:val="14"/>
                <w:color w:val="auto"/>
              </w:rPr>
              <w:t>Interest cost</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9,313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7"/>
              </w:rPr>
              <w:t>13,426</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17,374</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706</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1,099</w:t>
            </w:r>
          </w:p>
        </w:tc>
        <w:tc>
          <w:tcPr>
            <w:tcW w:w="300" w:type="dxa"/>
            <w:vAlign w:val="bottom"/>
          </w:tcPr>
          <w:p>
            <w:pPr>
              <w:spacing w:after="0"/>
              <w:rPr>
                <w:sz w:val="16"/>
                <w:szCs w:val="16"/>
                <w:color w:val="auto"/>
              </w:rPr>
            </w:pPr>
          </w:p>
        </w:tc>
        <w:tc>
          <w:tcPr>
            <w:tcW w:w="700" w:type="dxa"/>
            <w:vAlign w:val="bottom"/>
          </w:tcPr>
          <w:p>
            <w:pPr>
              <w:jc w:val="right"/>
              <w:ind w:right="46"/>
              <w:spacing w:after="0"/>
              <w:rPr>
                <w:sz w:val="20"/>
                <w:szCs w:val="20"/>
                <w:color w:val="auto"/>
              </w:rPr>
            </w:pPr>
            <w:r>
              <w:rPr>
                <w:rFonts w:ascii="Arial" w:cs="Arial" w:eastAsia="Arial" w:hAnsi="Arial"/>
                <w:sz w:val="14"/>
                <w:szCs w:val="14"/>
                <w:color w:val="auto"/>
              </w:rPr>
              <w:t>1,295</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1,058</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1,649</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2,247</w:t>
            </w:r>
          </w:p>
        </w:tc>
        <w:tc>
          <w:tcPr>
            <w:tcW w:w="0" w:type="dxa"/>
            <w:vAlign w:val="bottom"/>
          </w:tcPr>
          <w:p>
            <w:pPr>
              <w:spacing w:after="0"/>
              <w:rPr>
                <w:sz w:val="1"/>
                <w:szCs w:val="1"/>
                <w:color w:val="auto"/>
              </w:rPr>
            </w:pPr>
          </w:p>
        </w:tc>
      </w:tr>
      <w:tr>
        <w:trPr>
          <w:trHeight w:val="189"/>
        </w:trPr>
        <w:tc>
          <w:tcPr>
            <w:tcW w:w="2700" w:type="dxa"/>
            <w:vAlign w:val="bottom"/>
            <w:gridSpan w:val="3"/>
            <w:shd w:val="clear" w:color="auto" w:fill="CEFFE7"/>
          </w:tcPr>
          <w:p>
            <w:pPr>
              <w:ind w:left="20"/>
              <w:spacing w:after="0"/>
              <w:rPr>
                <w:sz w:val="20"/>
                <w:szCs w:val="20"/>
                <w:color w:val="auto"/>
              </w:rPr>
            </w:pPr>
            <w:r>
              <w:rPr>
                <w:rFonts w:ascii="Arial" w:cs="Arial" w:eastAsia="Arial" w:hAnsi="Arial"/>
                <w:sz w:val="14"/>
                <w:szCs w:val="14"/>
                <w:color w:val="auto"/>
              </w:rPr>
              <w:t>Expected return on assets</w:t>
            </w:r>
          </w:p>
        </w:tc>
        <w:tc>
          <w:tcPr>
            <w:tcW w:w="42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(20,876)</w:t>
            </w:r>
          </w:p>
        </w:tc>
        <w:tc>
          <w:tcPr>
            <w:tcW w:w="860" w:type="dxa"/>
            <w:vAlign w:val="bottom"/>
            <w:gridSpan w:val="3"/>
            <w:shd w:val="clear" w:color="auto" w:fill="CEFFE7"/>
          </w:tcPr>
          <w:p>
            <w:pPr>
              <w:jc w:val="right"/>
              <w:spacing w:after="0"/>
              <w:rPr>
                <w:sz w:val="20"/>
                <w:szCs w:val="20"/>
                <w:color w:val="auto"/>
              </w:rPr>
            </w:pPr>
            <w:r>
              <w:rPr>
                <w:rFonts w:ascii="Arial" w:cs="Arial" w:eastAsia="Arial" w:hAnsi="Arial"/>
                <w:sz w:val="14"/>
                <w:szCs w:val="14"/>
                <w:color w:val="auto"/>
              </w:rPr>
              <w:t>(22,591)</w:t>
            </w:r>
          </w:p>
        </w:tc>
        <w:tc>
          <w:tcPr>
            <w:tcW w:w="220" w:type="dxa"/>
            <w:vAlign w:val="bottom"/>
            <w:shd w:val="clear" w:color="auto" w:fill="CEFFE7"/>
          </w:tcPr>
          <w:p>
            <w:pPr>
              <w:spacing w:after="0"/>
              <w:rPr>
                <w:sz w:val="16"/>
                <w:szCs w:val="16"/>
                <w:color w:val="auto"/>
              </w:rPr>
            </w:pPr>
          </w:p>
        </w:tc>
        <w:tc>
          <w:tcPr>
            <w:tcW w:w="920" w:type="dxa"/>
            <w:vAlign w:val="bottom"/>
            <w:gridSpan w:val="2"/>
            <w:shd w:val="clear" w:color="auto" w:fill="CEFFE7"/>
          </w:tcPr>
          <w:p>
            <w:pPr>
              <w:jc w:val="right"/>
              <w:ind w:right="184"/>
              <w:spacing w:after="0"/>
              <w:rPr>
                <w:sz w:val="20"/>
                <w:szCs w:val="20"/>
                <w:color w:val="auto"/>
              </w:rPr>
            </w:pPr>
            <w:r>
              <w:rPr>
                <w:rFonts w:ascii="Arial" w:cs="Arial" w:eastAsia="Arial" w:hAnsi="Arial"/>
                <w:sz w:val="14"/>
                <w:szCs w:val="14"/>
                <w:color w:val="auto"/>
              </w:rPr>
              <w:t>(24,401)</w:t>
            </w:r>
          </w:p>
        </w:tc>
        <w:tc>
          <w:tcPr>
            <w:tcW w:w="400" w:type="dxa"/>
            <w:vAlign w:val="bottom"/>
            <w:shd w:val="clear" w:color="auto" w:fill="CEFFE7"/>
          </w:tcPr>
          <w:p>
            <w:pPr>
              <w:spacing w:after="0"/>
              <w:rPr>
                <w:sz w:val="16"/>
                <w:szCs w:val="16"/>
                <w:color w:val="auto"/>
              </w:rPr>
            </w:pPr>
          </w:p>
        </w:tc>
        <w:tc>
          <w:tcPr>
            <w:tcW w:w="3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46"/>
              <w:spacing w:after="0"/>
              <w:rPr>
                <w:sz w:val="20"/>
                <w:szCs w:val="20"/>
                <w:color w:val="auto"/>
              </w:rPr>
            </w:pPr>
            <w:r>
              <w:rPr>
                <w:rFonts w:ascii="Arial" w:cs="Arial" w:eastAsia="Arial" w:hAnsi="Arial"/>
                <w:sz w:val="14"/>
                <w:szCs w:val="14"/>
                <w:color w:val="auto"/>
              </w:rPr>
              <w:t>—</w:t>
            </w:r>
          </w:p>
        </w:tc>
        <w:tc>
          <w:tcPr>
            <w:tcW w:w="320" w:type="dxa"/>
            <w:vAlign w:val="bottom"/>
            <w:shd w:val="clear" w:color="auto" w:fill="CEFFE7"/>
          </w:tcPr>
          <w:p>
            <w:pPr>
              <w:spacing w:after="0"/>
              <w:rPr>
                <w:sz w:val="16"/>
                <w:szCs w:val="16"/>
                <w:color w:val="auto"/>
              </w:rPr>
            </w:pPr>
          </w:p>
        </w:tc>
        <w:tc>
          <w:tcPr>
            <w:tcW w:w="6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(136)</w:t>
            </w:r>
          </w:p>
        </w:tc>
        <w:tc>
          <w:tcPr>
            <w:tcW w:w="280" w:type="dxa"/>
            <w:vAlign w:val="bottom"/>
            <w:shd w:val="clear" w:color="auto" w:fill="CEFFE7"/>
          </w:tcPr>
          <w:p>
            <w:pPr>
              <w:spacing w:after="0"/>
              <w:rPr>
                <w:sz w:val="16"/>
                <w:szCs w:val="16"/>
                <w:color w:val="auto"/>
              </w:rPr>
            </w:pPr>
          </w:p>
        </w:tc>
        <w:tc>
          <w:tcPr>
            <w:tcW w:w="6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EFFE7"/>
          </w:tcPr>
          <w:p>
            <w:pPr>
              <w:spacing w:after="0"/>
              <w:rPr>
                <w:sz w:val="16"/>
                <w:szCs w:val="16"/>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89"/>
        </w:trPr>
        <w:tc>
          <w:tcPr>
            <w:tcW w:w="2700" w:type="dxa"/>
            <w:vAlign w:val="bottom"/>
            <w:gridSpan w:val="3"/>
          </w:tcPr>
          <w:p>
            <w:pPr>
              <w:ind w:left="20"/>
              <w:spacing w:after="0"/>
              <w:rPr>
                <w:sz w:val="20"/>
                <w:szCs w:val="20"/>
                <w:color w:val="auto"/>
              </w:rPr>
            </w:pPr>
            <w:r>
              <w:rPr>
                <w:rFonts w:ascii="Arial" w:cs="Arial" w:eastAsia="Arial" w:hAnsi="Arial"/>
                <w:sz w:val="14"/>
                <w:szCs w:val="14"/>
                <w:color w:val="auto"/>
              </w:rPr>
              <w:t>Net amortization of prior service cost</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6"/>
                <w:szCs w:val="16"/>
                <w:color w:val="auto"/>
              </w:rPr>
            </w:pPr>
          </w:p>
        </w:tc>
        <w:tc>
          <w:tcPr>
            <w:tcW w:w="700" w:type="dxa"/>
            <w:vAlign w:val="bottom"/>
          </w:tcPr>
          <w:p>
            <w:pPr>
              <w:jc w:val="right"/>
              <w:ind w:right="46"/>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(434)</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89"/>
        </w:trPr>
        <w:tc>
          <w:tcPr>
            <w:tcW w:w="2700" w:type="dxa"/>
            <w:vAlign w:val="bottom"/>
            <w:gridSpan w:val="3"/>
            <w:shd w:val="clear" w:color="auto" w:fill="CEFFE7"/>
          </w:tcPr>
          <w:p>
            <w:pPr>
              <w:ind w:left="20"/>
              <w:spacing w:after="0"/>
              <w:rPr>
                <w:sz w:val="20"/>
                <w:szCs w:val="20"/>
                <w:color w:val="auto"/>
              </w:rPr>
            </w:pPr>
            <w:r>
              <w:rPr>
                <w:rFonts w:ascii="Arial" w:cs="Arial" w:eastAsia="Arial" w:hAnsi="Arial"/>
                <w:sz w:val="14"/>
                <w:szCs w:val="14"/>
                <w:color w:val="auto"/>
              </w:rPr>
              <w:t>Recognized net actuarial loss (gain)</w:t>
            </w:r>
          </w:p>
        </w:tc>
        <w:tc>
          <w:tcPr>
            <w:tcW w:w="420" w:type="dxa"/>
            <w:vAlign w:val="bottom"/>
            <w:shd w:val="clear" w:color="auto" w:fill="CEFFE7"/>
          </w:tcPr>
          <w:p>
            <w:pPr>
              <w:spacing w:after="0"/>
              <w:rPr>
                <w:sz w:val="16"/>
                <w:szCs w:val="16"/>
                <w:color w:val="auto"/>
              </w:rPr>
            </w:pPr>
          </w:p>
        </w:tc>
        <w:tc>
          <w:tcPr>
            <w:tcW w:w="200" w:type="dxa"/>
            <w:vAlign w:val="bottom"/>
            <w:tcBorders>
              <w:bottom w:val="single" w:sz="8" w:color="auto"/>
            </w:tcBorders>
            <w:shd w:val="clear" w:color="auto" w:fill="CEFFE7"/>
          </w:tcPr>
          <w:p>
            <w:pPr>
              <w:spacing w:after="0"/>
              <w:rPr>
                <w:sz w:val="16"/>
                <w:szCs w:val="16"/>
                <w:color w:val="auto"/>
              </w:rPr>
            </w:pP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7,315</w:t>
            </w:r>
          </w:p>
        </w:tc>
        <w:tc>
          <w:tcPr>
            <w:tcW w:w="260" w:type="dxa"/>
            <w:vAlign w:val="bottom"/>
            <w:tcBorders>
              <w:bottom w:val="single" w:sz="8" w:color="auto"/>
            </w:tcBorders>
            <w:shd w:val="clear" w:color="auto" w:fill="CEFFE7"/>
          </w:tcPr>
          <w:p>
            <w:pPr>
              <w:spacing w:after="0"/>
              <w:rPr>
                <w:sz w:val="16"/>
                <w:szCs w:val="16"/>
                <w:color w:val="auto"/>
              </w:rPr>
            </w:pPr>
          </w:p>
        </w:tc>
        <w:tc>
          <w:tcPr>
            <w:tcW w:w="120" w:type="dxa"/>
            <w:vAlign w:val="bottom"/>
            <w:tcBorders>
              <w:bottom w:val="single" w:sz="8" w:color="auto"/>
            </w:tcBorders>
            <w:shd w:val="clear" w:color="auto" w:fill="CEFFE7"/>
          </w:tcPr>
          <w:p>
            <w:pPr>
              <w:spacing w:after="0"/>
              <w:rPr>
                <w:sz w:val="16"/>
                <w:szCs w:val="16"/>
                <w:color w:val="auto"/>
              </w:rPr>
            </w:pPr>
          </w:p>
        </w:tc>
        <w:tc>
          <w:tcPr>
            <w:tcW w:w="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8,372</w:t>
            </w:r>
          </w:p>
        </w:tc>
        <w:tc>
          <w:tcPr>
            <w:tcW w:w="220" w:type="dxa"/>
            <w:vAlign w:val="bottom"/>
            <w:tcBorders>
              <w:bottom w:val="single" w:sz="8" w:color="auto"/>
            </w:tcBorders>
            <w:shd w:val="clear" w:color="auto" w:fill="CEFFE7"/>
          </w:tcPr>
          <w:p>
            <w:pPr>
              <w:spacing w:after="0"/>
              <w:rPr>
                <w:sz w:val="16"/>
                <w:szCs w:val="16"/>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3,763</w:t>
            </w:r>
          </w:p>
        </w:tc>
        <w:tc>
          <w:tcPr>
            <w:tcW w:w="300" w:type="dxa"/>
            <w:vAlign w:val="bottom"/>
            <w:tcBorders>
              <w:bottom w:val="single" w:sz="8" w:color="auto"/>
            </w:tcBorders>
            <w:shd w:val="clear" w:color="auto" w:fill="CEFFE7"/>
          </w:tcPr>
          <w:p>
            <w:pPr>
              <w:spacing w:after="0"/>
              <w:rPr>
                <w:sz w:val="16"/>
                <w:szCs w:val="16"/>
                <w:color w:val="auto"/>
              </w:rPr>
            </w:pPr>
          </w:p>
        </w:tc>
        <w:tc>
          <w:tcPr>
            <w:tcW w:w="70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4"/>
                <w:szCs w:val="14"/>
                <w:color w:val="auto"/>
              </w:rPr>
              <w:t>1,754</w:t>
            </w:r>
          </w:p>
        </w:tc>
        <w:tc>
          <w:tcPr>
            <w:tcW w:w="200" w:type="dxa"/>
            <w:vAlign w:val="bottom"/>
            <w:tcBorders>
              <w:bottom w:val="single" w:sz="8" w:color="auto"/>
            </w:tcBorders>
            <w:shd w:val="clear" w:color="auto" w:fill="CEFFE7"/>
          </w:tcPr>
          <w:p>
            <w:pPr>
              <w:spacing w:after="0"/>
              <w:rPr>
                <w:sz w:val="16"/>
                <w:szCs w:val="16"/>
                <w:color w:val="auto"/>
              </w:rPr>
            </w:pP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1,702</w:t>
            </w:r>
          </w:p>
        </w:tc>
        <w:tc>
          <w:tcPr>
            <w:tcW w:w="300" w:type="dxa"/>
            <w:vAlign w:val="bottom"/>
            <w:tcBorders>
              <w:bottom w:val="single" w:sz="8" w:color="auto"/>
            </w:tcBorders>
            <w:shd w:val="clear" w:color="auto" w:fill="CEFFE7"/>
          </w:tcPr>
          <w:p>
            <w:pPr>
              <w:spacing w:after="0"/>
              <w:rPr>
                <w:sz w:val="16"/>
                <w:szCs w:val="16"/>
                <w:color w:val="auto"/>
              </w:rPr>
            </w:pPr>
          </w:p>
        </w:tc>
        <w:tc>
          <w:tcPr>
            <w:tcW w:w="700" w:type="dxa"/>
            <w:vAlign w:val="bottom"/>
            <w:tcBorders>
              <w:bottom w:val="single" w:sz="8" w:color="auto"/>
            </w:tcBorders>
            <w:shd w:val="clear" w:color="auto" w:fill="CEFFE7"/>
          </w:tcPr>
          <w:p>
            <w:pPr>
              <w:jc w:val="right"/>
              <w:ind w:right="46"/>
              <w:spacing w:after="0"/>
              <w:rPr>
                <w:sz w:val="20"/>
                <w:szCs w:val="20"/>
                <w:color w:val="auto"/>
              </w:rPr>
            </w:pPr>
            <w:r>
              <w:rPr>
                <w:rFonts w:ascii="Arial" w:cs="Arial" w:eastAsia="Arial" w:hAnsi="Arial"/>
                <w:sz w:val="14"/>
                <w:szCs w:val="14"/>
                <w:color w:val="auto"/>
              </w:rPr>
              <w:t>535</w:t>
            </w:r>
          </w:p>
        </w:tc>
        <w:tc>
          <w:tcPr>
            <w:tcW w:w="320" w:type="dxa"/>
            <w:vAlign w:val="bottom"/>
            <w:tcBorders>
              <w:bottom w:val="single" w:sz="8" w:color="auto"/>
            </w:tcBorders>
            <w:shd w:val="clear" w:color="auto" w:fill="CEFFE7"/>
          </w:tcPr>
          <w:p>
            <w:pPr>
              <w:spacing w:after="0"/>
              <w:rPr>
                <w:sz w:val="16"/>
                <w:szCs w:val="16"/>
                <w:color w:val="auto"/>
              </w:rPr>
            </w:pP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466</w:t>
            </w:r>
          </w:p>
        </w:tc>
        <w:tc>
          <w:tcPr>
            <w:tcW w:w="280" w:type="dxa"/>
            <w:vAlign w:val="bottom"/>
            <w:tcBorders>
              <w:bottom w:val="single" w:sz="8" w:color="auto"/>
            </w:tcBorders>
            <w:shd w:val="clear" w:color="auto" w:fill="CEFFE7"/>
          </w:tcPr>
          <w:p>
            <w:pPr>
              <w:spacing w:after="0"/>
              <w:rPr>
                <w:sz w:val="16"/>
                <w:szCs w:val="16"/>
                <w:color w:val="auto"/>
              </w:rPr>
            </w:pP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auto"/>
            </w:tcBorders>
            <w:shd w:val="clear" w:color="auto" w:fill="CEFFE7"/>
          </w:tcPr>
          <w:p>
            <w:pPr>
              <w:spacing w:after="0"/>
              <w:rPr>
                <w:sz w:val="16"/>
                <w:szCs w:val="16"/>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700" w:type="dxa"/>
            <w:vAlign w:val="bottom"/>
            <w:gridSpan w:val="3"/>
          </w:tcPr>
          <w:p>
            <w:pPr>
              <w:ind w:left="20"/>
              <w:spacing w:after="0"/>
              <w:rPr>
                <w:sz w:val="20"/>
                <w:szCs w:val="20"/>
                <w:color w:val="auto"/>
              </w:rPr>
            </w:pPr>
            <w:r>
              <w:rPr>
                <w:rFonts w:ascii="Arial" w:cs="Arial" w:eastAsia="Arial" w:hAnsi="Arial"/>
                <w:sz w:val="14"/>
                <w:szCs w:val="14"/>
                <w:color w:val="auto"/>
              </w:rPr>
              <w:t>Net periodic expense</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790</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4,618</w:t>
            </w:r>
          </w:p>
        </w:tc>
        <w:tc>
          <w:tcPr>
            <w:tcW w:w="220" w:type="dxa"/>
            <w:vAlign w:val="bottom"/>
          </w:tcPr>
          <w:p>
            <w:pPr>
              <w:jc w:val="right"/>
              <w:ind w:right="25"/>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2,145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5,609</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4,382</w:t>
            </w:r>
          </w:p>
        </w:tc>
        <w:tc>
          <w:tcPr>
            <w:tcW w:w="300" w:type="dxa"/>
            <w:vAlign w:val="bottom"/>
          </w:tcPr>
          <w:p>
            <w:pPr>
              <w:jc w:val="right"/>
              <w:ind w:right="65"/>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6"/>
              <w:spacing w:after="0"/>
              <w:rPr>
                <w:sz w:val="20"/>
                <w:szCs w:val="20"/>
                <w:color w:val="auto"/>
              </w:rPr>
            </w:pPr>
            <w:r>
              <w:rPr>
                <w:rFonts w:ascii="Arial" w:cs="Arial" w:eastAsia="Arial" w:hAnsi="Arial"/>
                <w:sz w:val="14"/>
                <w:szCs w:val="14"/>
                <w:color w:val="auto"/>
              </w:rPr>
              <w:t>6,827</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3,191</w:t>
            </w:r>
          </w:p>
        </w:tc>
        <w:tc>
          <w:tcPr>
            <w:tcW w:w="280" w:type="dxa"/>
            <w:vAlign w:val="bottom"/>
          </w:tcPr>
          <w:p>
            <w:pPr>
              <w:jc w:val="right"/>
              <w:ind w:right="105"/>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2,997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3,434</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740" w:hanging="332"/>
        <w:spacing w:after="0" w:line="258" w:lineRule="auto"/>
        <w:tabs>
          <w:tab w:leader="none" w:pos="352" w:val="left"/>
        </w:tabs>
        <w:numPr>
          <w:ilvl w:val="0"/>
          <w:numId w:val="82"/>
        </w:numPr>
        <w:rPr>
          <w:rFonts w:ascii="Arial" w:cs="Arial" w:eastAsia="Arial" w:hAnsi="Arial"/>
          <w:sz w:val="14"/>
          <w:szCs w:val="14"/>
          <w:color w:val="auto"/>
        </w:rPr>
      </w:pPr>
      <w:r>
        <w:rPr>
          <w:rFonts w:ascii="Arial" w:cs="Arial" w:eastAsia="Arial" w:hAnsi="Arial"/>
          <w:sz w:val="14"/>
          <w:szCs w:val="14"/>
          <w:color w:val="auto"/>
        </w:rPr>
        <w:t>For the year ended December 31, 2020, Service Cost for the Supplemental Non-qualified Defined Benefit Plans includes a $1.4 million correction of a prior year overstatement of Projected benefit obligation.</w:t>
      </w:r>
    </w:p>
    <w:p>
      <w:pPr>
        <w:spacing w:after="0" w:line="21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For the years ended December 31, 2021, 2020 and 2019, Service costs were recorded in Operations and maintenance expense while non service costs were recorded in Other expense on the Consolidated Statements of Income.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gridSpan w:val="3"/>
          </w:tcPr>
          <w:p>
            <w:pPr>
              <w:spacing w:after="0"/>
              <w:rPr>
                <w:sz w:val="20"/>
                <w:szCs w:val="20"/>
                <w:color w:val="auto"/>
              </w:rPr>
            </w:pPr>
            <w:r>
              <w:rPr>
                <w:rFonts w:ascii="Arial" w:cs="Arial" w:eastAsia="Arial" w:hAnsi="Arial"/>
                <w:sz w:val="16"/>
                <w:szCs w:val="16"/>
                <w:color w:val="auto"/>
              </w:rPr>
              <w:t>AOCI Amounts (After-Tax)</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left="399"/>
              <w:spacing w:after="0"/>
              <w:rPr>
                <w:sz w:val="20"/>
                <w:szCs w:val="20"/>
                <w:color w:val="auto"/>
              </w:rPr>
            </w:pPr>
            <w:r>
              <w:rPr>
                <w:rFonts w:ascii="Arial" w:cs="Arial" w:eastAsia="Arial" w:hAnsi="Arial"/>
                <w:sz w:val="16"/>
                <w:szCs w:val="16"/>
                <w:color w:val="auto"/>
              </w:rPr>
              <w:t>Supplemental</w:t>
            </w:r>
          </w:p>
        </w:tc>
        <w:tc>
          <w:tcPr>
            <w:tcW w:w="460" w:type="dxa"/>
            <w:vAlign w:val="bottom"/>
          </w:tcPr>
          <w:p>
            <w:pPr>
              <w:spacing w:after="0"/>
              <w:rPr>
                <w:sz w:val="18"/>
                <w:szCs w:val="18"/>
                <w:color w:val="auto"/>
              </w:rPr>
            </w:pPr>
          </w:p>
        </w:tc>
        <w:tc>
          <w:tcPr>
            <w:tcW w:w="2380" w:type="dxa"/>
            <w:vAlign w:val="bottom"/>
            <w:gridSpan w:val="5"/>
          </w:tcPr>
          <w:p>
            <w:pPr>
              <w:jc w:val="center"/>
              <w:ind w:left="79"/>
              <w:spacing w:after="0"/>
              <w:rPr>
                <w:sz w:val="20"/>
                <w:szCs w:val="20"/>
                <w:color w:val="auto"/>
              </w:rPr>
            </w:pPr>
            <w:r>
              <w:rPr>
                <w:rFonts w:ascii="Arial" w:cs="Arial" w:eastAsia="Arial" w:hAnsi="Arial"/>
                <w:sz w:val="16"/>
                <w:szCs w:val="16"/>
                <w:color w:val="auto"/>
              </w:rPr>
              <w:t>Non-pension Defined Benefit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Defined Benefit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3"/>
          </w:tcPr>
          <w:p>
            <w:pPr>
              <w:jc w:val="center"/>
              <w:spacing w:after="0" w:line="162" w:lineRule="exact"/>
              <w:rPr>
                <w:sz w:val="20"/>
                <w:szCs w:val="20"/>
                <w:color w:val="auto"/>
              </w:rPr>
            </w:pPr>
            <w:r>
              <w:rPr>
                <w:rFonts w:ascii="Arial" w:cs="Arial" w:eastAsia="Arial" w:hAnsi="Arial"/>
                <w:sz w:val="16"/>
                <w:szCs w:val="16"/>
                <w:color w:val="auto"/>
              </w:rPr>
              <w:t>Non-qualified Defined Benefit</w:t>
            </w:r>
          </w:p>
        </w:tc>
        <w:tc>
          <w:tcPr>
            <w:tcW w:w="2380" w:type="dxa"/>
            <w:vAlign w:val="bottom"/>
            <w:gridSpan w:val="5"/>
          </w:tcPr>
          <w:p>
            <w:pPr>
              <w:jc w:val="center"/>
              <w:ind w:left="59"/>
              <w:spacing w:after="0" w:line="162" w:lineRule="exact"/>
              <w:rPr>
                <w:sz w:val="20"/>
                <w:szCs w:val="20"/>
                <w:color w:val="auto"/>
              </w:rPr>
            </w:pPr>
            <w:r>
              <w:rPr>
                <w:rFonts w:ascii="Arial" w:cs="Arial" w:eastAsia="Arial" w:hAnsi="Arial"/>
                <w:sz w:val="16"/>
                <w:szCs w:val="16"/>
                <w:color w:val="auto"/>
              </w:rPr>
              <w:t>Postretirement Healthcare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Pension Plan</w:t>
            </w: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center"/>
              <w:ind w:left="399"/>
              <w:spacing w:after="0"/>
              <w:rPr>
                <w:sz w:val="20"/>
                <w:szCs w:val="20"/>
                <w:color w:val="auto"/>
              </w:rPr>
            </w:pPr>
            <w:r>
              <w:rPr>
                <w:rFonts w:ascii="Arial" w:cs="Arial" w:eastAsia="Arial" w:hAnsi="Arial"/>
                <w:sz w:val="16"/>
                <w:szCs w:val="16"/>
                <w:color w:val="auto"/>
              </w:rPr>
              <w:t>Plans</w:t>
            </w:r>
          </w:p>
        </w:tc>
        <w:tc>
          <w:tcPr>
            <w:tcW w:w="4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left="379"/>
              <w:spacing w:after="0"/>
              <w:rPr>
                <w:sz w:val="20"/>
                <w:szCs w:val="20"/>
                <w:color w:val="auto"/>
              </w:rPr>
            </w:pPr>
            <w:r>
              <w:rPr>
                <w:rFonts w:ascii="Arial" w:cs="Arial" w:eastAsia="Arial" w:hAnsi="Arial"/>
                <w:sz w:val="16"/>
                <w:szCs w:val="16"/>
                <w:color w:val="auto"/>
                <w:w w:val="99"/>
              </w:rPr>
              <w:t>Plan</w:t>
            </w: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As of December 31,</w:t>
            </w:r>
          </w:p>
        </w:tc>
        <w:tc>
          <w:tcPr>
            <w:tcW w:w="10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color w:val="auto"/>
              </w:rPr>
              <w:t>2021</w:t>
            </w:r>
          </w:p>
        </w:tc>
        <w:tc>
          <w:tcPr>
            <w:tcW w:w="120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color w:val="auto"/>
              </w:rPr>
              <w:t>2020</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2021</w:t>
            </w:r>
          </w:p>
        </w:tc>
        <w:tc>
          <w:tcPr>
            <w:tcW w:w="118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2020</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95"/>
              </w:rPr>
              <w:t>2021</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Net (gain) loss</w:t>
            </w:r>
          </w:p>
        </w:tc>
        <w:tc>
          <w:tcPr>
            <w:tcW w:w="1060" w:type="dxa"/>
            <w:vAlign w:val="bottom"/>
            <w:shd w:val="clear" w:color="auto" w:fill="CEFFE7"/>
          </w:tcPr>
          <w:p>
            <w:pPr>
              <w:spacing w:after="0"/>
              <w:rPr>
                <w:sz w:val="18"/>
                <w:szCs w:val="18"/>
                <w:color w:val="auto"/>
              </w:rPr>
            </w:pPr>
          </w:p>
        </w:tc>
        <w:tc>
          <w:tcPr>
            <w:tcW w:w="920" w:type="dxa"/>
            <w:vAlign w:val="bottom"/>
            <w:gridSpan w:val="2"/>
            <w:shd w:val="clear" w:color="auto" w:fill="CEFFE7"/>
          </w:tcPr>
          <w:p>
            <w:pPr>
              <w:jc w:val="center"/>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4,398</w:t>
            </w:r>
          </w:p>
        </w:tc>
        <w:tc>
          <w:tcPr>
            <w:tcW w:w="58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5,511</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7,159</w:t>
            </w:r>
          </w:p>
        </w:tc>
        <w:tc>
          <w:tcPr>
            <w:tcW w:w="720" w:type="dxa"/>
            <w:vAlign w:val="bottom"/>
            <w:shd w:val="clear" w:color="auto" w:fill="CEFFE7"/>
          </w:tcPr>
          <w:p>
            <w:pPr>
              <w:ind w:left="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9,323</w:t>
            </w:r>
          </w:p>
        </w:tc>
        <w:tc>
          <w:tcPr>
            <w:tcW w:w="52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(308)</w:t>
            </w:r>
          </w:p>
        </w:tc>
        <w:tc>
          <w:tcPr>
            <w:tcW w:w="300" w:type="dxa"/>
            <w:vAlign w:val="bottom"/>
            <w:shd w:val="clear" w:color="auto" w:fill="CEFFE7"/>
          </w:tcPr>
          <w:p>
            <w:pPr>
              <w:jc w:val="center"/>
              <w:ind w:right="79"/>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4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Prior service cost (gain)</w:t>
            </w:r>
          </w:p>
        </w:tc>
        <w:tc>
          <w:tcPr>
            <w:tcW w:w="1060" w:type="dxa"/>
            <w:vAlign w:val="bottom"/>
            <w:tcBorders>
              <w:bottom w:val="single" w:sz="8" w:color="CEFFE7"/>
            </w:tcBorders>
          </w:tcPr>
          <w:p>
            <w:pPr>
              <w:spacing w:after="0"/>
              <w:rPr>
                <w:sz w:val="18"/>
                <w:szCs w:val="18"/>
                <w:color w:val="auto"/>
              </w:rPr>
            </w:pPr>
          </w:p>
        </w:tc>
        <w:tc>
          <w:tcPr>
            <w:tcW w:w="440" w:type="dxa"/>
            <w:vAlign w:val="bottom"/>
            <w:tcBorders>
              <w:bottom w:val="single" w:sz="8" w:color="CEFFE7"/>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w w:val="98"/>
              </w:rPr>
              <w:t>(46)</w:t>
            </w:r>
          </w:p>
        </w:tc>
        <w:tc>
          <w:tcPr>
            <w:tcW w:w="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00" w:type="dxa"/>
            <w:vAlign w:val="bottom"/>
            <w:gridSpan w:val="3"/>
            <w:shd w:val="clear" w:color="auto" w:fill="CEFFE7"/>
          </w:tcPr>
          <w:p>
            <w:pPr>
              <w:ind w:left="20"/>
              <w:spacing w:after="0" w:line="161" w:lineRule="exact"/>
              <w:rPr>
                <w:sz w:val="20"/>
                <w:szCs w:val="20"/>
                <w:color w:val="auto"/>
              </w:rPr>
            </w:pPr>
            <w:r>
              <w:rPr>
                <w:rFonts w:ascii="Arial" w:cs="Arial" w:eastAsia="Arial" w:hAnsi="Arial"/>
                <w:sz w:val="16"/>
                <w:szCs w:val="16"/>
                <w:color w:val="auto"/>
              </w:rPr>
              <w:t>Total amounts included in AOCI, after-tax not yet</w:t>
            </w:r>
          </w:p>
        </w:tc>
        <w:tc>
          <w:tcPr>
            <w:tcW w:w="440" w:type="dxa"/>
            <w:vAlign w:val="bottom"/>
            <w:vMerge w:val="restart"/>
            <w:shd w:val="clear" w:color="auto" w:fill="CEFFE7"/>
          </w:tcPr>
          <w:p>
            <w:pPr>
              <w:spacing w:after="0"/>
              <w:rPr>
                <w:sz w:val="13"/>
                <w:szCs w:val="13"/>
                <w:color w:val="auto"/>
              </w:rPr>
            </w:pPr>
          </w:p>
        </w:tc>
        <w:tc>
          <w:tcPr>
            <w:tcW w:w="480" w:type="dxa"/>
            <w:vAlign w:val="bottom"/>
            <w:vMerge w:val="restart"/>
            <w:shd w:val="clear" w:color="auto" w:fill="CEFFE7"/>
          </w:tcPr>
          <w:p>
            <w:pPr>
              <w:jc w:val="center"/>
              <w:ind w:right="279"/>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EFFE7"/>
          </w:tcPr>
          <w:p>
            <w:pPr>
              <w:ind w:left="100"/>
              <w:spacing w:after="0"/>
              <w:rPr>
                <w:sz w:val="20"/>
                <w:szCs w:val="20"/>
                <w:color w:val="auto"/>
              </w:rPr>
            </w:pPr>
            <w:r>
              <w:rPr>
                <w:rFonts w:ascii="Arial" w:cs="Arial" w:eastAsia="Arial" w:hAnsi="Arial"/>
                <w:sz w:val="16"/>
                <w:szCs w:val="16"/>
                <w:color w:val="auto"/>
              </w:rPr>
              <w:t>4,352</w:t>
            </w:r>
          </w:p>
        </w:tc>
        <w:tc>
          <w:tcPr>
            <w:tcW w:w="580" w:type="dxa"/>
            <w:vAlign w:val="bottom"/>
            <w:vMerge w:val="restart"/>
            <w:shd w:val="clear" w:color="auto" w:fill="CEFFE7"/>
          </w:tcPr>
          <w:p>
            <w:pPr>
              <w:jc w:val="right"/>
              <w:ind w:right="379"/>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EFFE7"/>
          </w:tcPr>
          <w:p>
            <w:pPr>
              <w:jc w:val="right"/>
              <w:ind w:right="99"/>
              <w:spacing w:after="0"/>
              <w:rPr>
                <w:sz w:val="20"/>
                <w:szCs w:val="20"/>
                <w:color w:val="auto"/>
              </w:rPr>
            </w:pPr>
            <w:r>
              <w:rPr>
                <w:rFonts w:ascii="Arial" w:cs="Arial" w:eastAsia="Arial" w:hAnsi="Arial"/>
                <w:sz w:val="16"/>
                <w:szCs w:val="16"/>
                <w:color w:val="auto"/>
              </w:rPr>
              <w:t>5,511</w:t>
            </w:r>
          </w:p>
        </w:tc>
        <w:tc>
          <w:tcPr>
            <w:tcW w:w="1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7,159</w:t>
            </w:r>
          </w:p>
        </w:tc>
        <w:tc>
          <w:tcPr>
            <w:tcW w:w="720" w:type="dxa"/>
            <w:vAlign w:val="bottom"/>
            <w:vMerge w:val="restart"/>
            <w:shd w:val="clear" w:color="auto" w:fill="CEFFE7"/>
          </w:tcPr>
          <w:p>
            <w:pPr>
              <w:ind w:left="60"/>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9,323</w:t>
            </w:r>
          </w:p>
        </w:tc>
        <w:tc>
          <w:tcPr>
            <w:tcW w:w="520" w:type="dxa"/>
            <w:vAlign w:val="bottom"/>
            <w:vMerge w:val="restart"/>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(335)</w:t>
            </w:r>
          </w:p>
        </w:tc>
        <w:tc>
          <w:tcPr>
            <w:tcW w:w="300" w:type="dxa"/>
            <w:vAlign w:val="bottom"/>
            <w:vMerge w:val="restart"/>
            <w:shd w:val="clear" w:color="auto" w:fill="CEFFE7"/>
          </w:tcPr>
          <w:p>
            <w:pPr>
              <w:jc w:val="center"/>
              <w:ind w:right="7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tcBorders>
              <w:bottom w:val="single" w:sz="8" w:color="CEFFE7"/>
            </w:tcBorders>
            <w:gridSpan w:val="3"/>
            <w:shd w:val="clear" w:color="auto" w:fill="CEFFE7"/>
          </w:tcPr>
          <w:p>
            <w:pPr>
              <w:ind w:left="20"/>
              <w:spacing w:after="0" w:line="174" w:lineRule="exact"/>
              <w:rPr>
                <w:sz w:val="20"/>
                <w:szCs w:val="20"/>
                <w:color w:val="auto"/>
              </w:rPr>
            </w:pPr>
            <w:r>
              <w:rPr>
                <w:rFonts w:ascii="Arial" w:cs="Arial" w:eastAsia="Arial" w:hAnsi="Arial"/>
                <w:sz w:val="16"/>
                <w:szCs w:val="16"/>
                <w:color w:val="auto"/>
              </w:rPr>
              <w:t>recognized as components of net periodic expense</w:t>
            </w:r>
          </w:p>
        </w:tc>
        <w:tc>
          <w:tcPr>
            <w:tcW w:w="440" w:type="dxa"/>
            <w:vAlign w:val="bottom"/>
            <w:tcBorders>
              <w:bottom w:val="single" w:sz="8" w:color="CEFFE7"/>
            </w:tcBorders>
            <w:vMerge w:val="continue"/>
            <w:shd w:val="clear" w:color="auto" w:fill="CEFFE7"/>
          </w:tcPr>
          <w:p>
            <w:pPr>
              <w:spacing w:after="0"/>
              <w:rPr>
                <w:sz w:val="16"/>
                <w:szCs w:val="16"/>
                <w:color w:val="auto"/>
              </w:rPr>
            </w:pPr>
          </w:p>
        </w:tc>
        <w:tc>
          <w:tcPr>
            <w:tcW w:w="480" w:type="dxa"/>
            <w:vAlign w:val="bottom"/>
            <w:tcBorders>
              <w:bottom w:val="single" w:sz="8" w:color="auto"/>
            </w:tcBorders>
            <w:vMerge w:val="continue"/>
            <w:shd w:val="clear" w:color="auto" w:fill="CEFFE7"/>
          </w:tcPr>
          <w:p>
            <w:pPr>
              <w:spacing w:after="0"/>
              <w:rPr>
                <w:sz w:val="16"/>
                <w:szCs w:val="16"/>
                <w:color w:val="auto"/>
              </w:rPr>
            </w:pPr>
          </w:p>
        </w:tc>
        <w:tc>
          <w:tcPr>
            <w:tcW w:w="580" w:type="dxa"/>
            <w:vAlign w:val="bottom"/>
            <w:tcBorders>
              <w:bottom w:val="single" w:sz="8" w:color="auto"/>
            </w:tcBorders>
            <w:vMerge w:val="continue"/>
            <w:shd w:val="clear" w:color="auto" w:fill="CEFFE7"/>
          </w:tcPr>
          <w:p>
            <w:pPr>
              <w:spacing w:after="0"/>
              <w:rPr>
                <w:sz w:val="16"/>
                <w:szCs w:val="16"/>
                <w:color w:val="auto"/>
              </w:rPr>
            </w:pPr>
          </w:p>
        </w:tc>
        <w:tc>
          <w:tcPr>
            <w:tcW w:w="580" w:type="dxa"/>
            <w:vAlign w:val="bottom"/>
            <w:tcBorders>
              <w:bottom w:val="single" w:sz="8" w:color="auto"/>
            </w:tcBorders>
            <w:vMerge w:val="continue"/>
            <w:shd w:val="clear" w:color="auto" w:fill="CEFFE7"/>
          </w:tcPr>
          <w:p>
            <w:pPr>
              <w:spacing w:after="0"/>
              <w:rPr>
                <w:sz w:val="16"/>
                <w:szCs w:val="16"/>
                <w:color w:val="auto"/>
              </w:rPr>
            </w:pPr>
          </w:p>
        </w:tc>
        <w:tc>
          <w:tcPr>
            <w:tcW w:w="620" w:type="dxa"/>
            <w:vAlign w:val="bottom"/>
            <w:tcBorders>
              <w:bottom w:val="single" w:sz="8" w:color="auto"/>
            </w:tcBorders>
            <w:vMerge w:val="continue"/>
            <w:shd w:val="clear" w:color="auto" w:fill="CEFFE7"/>
          </w:tcPr>
          <w:p>
            <w:pPr>
              <w:spacing w:after="0"/>
              <w:rPr>
                <w:sz w:val="16"/>
                <w:szCs w:val="16"/>
                <w:color w:val="auto"/>
              </w:rPr>
            </w:pPr>
          </w:p>
        </w:tc>
        <w:tc>
          <w:tcPr>
            <w:tcW w:w="140" w:type="dxa"/>
            <w:vAlign w:val="bottom"/>
            <w:tcBorders>
              <w:bottom w:val="single" w:sz="8" w:color="auto"/>
            </w:tcBorders>
            <w:vMerge w:val="continue"/>
            <w:shd w:val="clear" w:color="auto" w:fill="CEFFE7"/>
          </w:tcPr>
          <w:p>
            <w:pPr>
              <w:spacing w:after="0"/>
              <w:rPr>
                <w:sz w:val="16"/>
                <w:szCs w:val="16"/>
                <w:color w:val="auto"/>
              </w:rPr>
            </w:pPr>
          </w:p>
        </w:tc>
        <w:tc>
          <w:tcPr>
            <w:tcW w:w="1020" w:type="dxa"/>
            <w:vAlign w:val="bottom"/>
            <w:tcBorders>
              <w:bottom w:val="single" w:sz="8" w:color="auto"/>
            </w:tcBorders>
            <w:vMerge w:val="continue"/>
            <w:shd w:val="clear" w:color="auto" w:fill="CEFFE7"/>
          </w:tcPr>
          <w:p>
            <w:pPr>
              <w:spacing w:after="0"/>
              <w:rPr>
                <w:sz w:val="16"/>
                <w:szCs w:val="16"/>
                <w:color w:val="auto"/>
              </w:rPr>
            </w:pPr>
          </w:p>
        </w:tc>
        <w:tc>
          <w:tcPr>
            <w:tcW w:w="720" w:type="dxa"/>
            <w:vAlign w:val="bottom"/>
            <w:tcBorders>
              <w:bottom w:val="single" w:sz="8" w:color="auto"/>
            </w:tcBorders>
            <w:vMerge w:val="continue"/>
            <w:shd w:val="clear" w:color="auto" w:fill="CEFFE7"/>
          </w:tcPr>
          <w:p>
            <w:pPr>
              <w:spacing w:after="0"/>
              <w:rPr>
                <w:sz w:val="16"/>
                <w:szCs w:val="16"/>
                <w:color w:val="auto"/>
              </w:rPr>
            </w:pPr>
          </w:p>
        </w:tc>
        <w:tc>
          <w:tcPr>
            <w:tcW w:w="460" w:type="dxa"/>
            <w:vAlign w:val="bottom"/>
            <w:tcBorders>
              <w:bottom w:val="single" w:sz="8" w:color="auto"/>
            </w:tcBorders>
            <w:vMerge w:val="continue"/>
            <w:shd w:val="clear" w:color="auto" w:fill="CEFFE7"/>
          </w:tcPr>
          <w:p>
            <w:pPr>
              <w:spacing w:after="0"/>
              <w:rPr>
                <w:sz w:val="16"/>
                <w:szCs w:val="16"/>
                <w:color w:val="auto"/>
              </w:rPr>
            </w:pPr>
          </w:p>
        </w:tc>
        <w:tc>
          <w:tcPr>
            <w:tcW w:w="520" w:type="dxa"/>
            <w:vAlign w:val="bottom"/>
            <w:tcBorders>
              <w:bottom w:val="single" w:sz="8" w:color="auto"/>
            </w:tcBorders>
            <w:vMerge w:val="continue"/>
            <w:shd w:val="clear" w:color="auto" w:fill="CEFFE7"/>
          </w:tcPr>
          <w:p>
            <w:pPr>
              <w:spacing w:after="0"/>
              <w:rPr>
                <w:sz w:val="16"/>
                <w:szCs w:val="16"/>
                <w:color w:val="auto"/>
              </w:rPr>
            </w:pPr>
          </w:p>
        </w:tc>
        <w:tc>
          <w:tcPr>
            <w:tcW w:w="720" w:type="dxa"/>
            <w:vAlign w:val="bottom"/>
            <w:tcBorders>
              <w:bottom w:val="single" w:sz="8" w:color="auto"/>
            </w:tcBorders>
            <w:vMerge w:val="continue"/>
            <w:shd w:val="clear" w:color="auto" w:fill="CEFFE7"/>
          </w:tcPr>
          <w:p>
            <w:pPr>
              <w:spacing w:after="0"/>
              <w:rPr>
                <w:sz w:val="16"/>
                <w:szCs w:val="16"/>
                <w:color w:val="auto"/>
              </w:rPr>
            </w:pPr>
          </w:p>
        </w:tc>
        <w:tc>
          <w:tcPr>
            <w:tcW w:w="300" w:type="dxa"/>
            <w:vAlign w:val="bottom"/>
            <w:tcBorders>
              <w:bottom w:val="single" w:sz="8" w:color="auto"/>
            </w:tcBorders>
            <w:vMerge w:val="continue"/>
            <w:shd w:val="clear" w:color="auto" w:fill="CEFFE7"/>
          </w:tcPr>
          <w:p>
            <w:pPr>
              <w:spacing w:after="0"/>
              <w:rPr>
                <w:sz w:val="16"/>
                <w:szCs w:val="16"/>
                <w:color w:val="auto"/>
              </w:rPr>
            </w:pPr>
          </w:p>
        </w:tc>
        <w:tc>
          <w:tcPr>
            <w:tcW w:w="820" w:type="dxa"/>
            <w:vAlign w:val="bottom"/>
            <w:tcBorders>
              <w:bottom w:val="single" w:sz="8" w:color="auto"/>
            </w:tcBorders>
            <w:vMerge w:val="continue"/>
            <w:shd w:val="clear" w:color="auto" w:fill="CEFFE7"/>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Assumptions</w:t>
            </w: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276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80" w:type="dxa"/>
            <w:vAlign w:val="bottom"/>
            <w:gridSpan w:val="3"/>
          </w:tcPr>
          <w:p>
            <w:pPr>
              <w:jc w:val="center"/>
              <w:ind w:left="699"/>
              <w:spacing w:after="0"/>
              <w:rPr>
                <w:sz w:val="20"/>
                <w:szCs w:val="20"/>
                <w:color w:val="auto"/>
              </w:rPr>
            </w:pPr>
            <w:r>
              <w:rPr>
                <w:rFonts w:ascii="Arial" w:cs="Arial" w:eastAsia="Arial" w:hAnsi="Arial"/>
                <w:sz w:val="16"/>
                <w:szCs w:val="16"/>
                <w:color w:val="auto"/>
              </w:rPr>
              <w:t>Defined Benefit</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gridSpan w:val="3"/>
          </w:tcPr>
          <w:p>
            <w:pPr>
              <w:jc w:val="center"/>
              <w:ind w:left="339"/>
              <w:spacing w:after="0"/>
              <w:rPr>
                <w:sz w:val="20"/>
                <w:szCs w:val="20"/>
                <w:color w:val="auto"/>
              </w:rPr>
            </w:pPr>
            <w:r>
              <w:rPr>
                <w:rFonts w:ascii="Arial" w:cs="Arial" w:eastAsia="Arial" w:hAnsi="Arial"/>
                <w:sz w:val="16"/>
                <w:szCs w:val="16"/>
                <w:color w:val="auto"/>
              </w:rPr>
              <w:t>Supplemental</w:t>
            </w:r>
          </w:p>
        </w:tc>
        <w:tc>
          <w:tcPr>
            <w:tcW w:w="720" w:type="dxa"/>
            <w:vAlign w:val="bottom"/>
          </w:tcPr>
          <w:p>
            <w:pPr>
              <w:spacing w:after="0"/>
              <w:rPr>
                <w:sz w:val="24"/>
                <w:szCs w:val="24"/>
                <w:color w:val="auto"/>
              </w:rPr>
            </w:pPr>
          </w:p>
        </w:tc>
        <w:tc>
          <w:tcPr>
            <w:tcW w:w="2840" w:type="dxa"/>
            <w:vAlign w:val="bottom"/>
            <w:gridSpan w:val="6"/>
          </w:tcPr>
          <w:p>
            <w:pPr>
              <w:jc w:val="center"/>
              <w:spacing w:after="0"/>
              <w:rPr>
                <w:sz w:val="20"/>
                <w:szCs w:val="20"/>
                <w:color w:val="auto"/>
              </w:rPr>
            </w:pPr>
            <w:r>
              <w:rPr>
                <w:rFonts w:ascii="Arial" w:cs="Arial" w:eastAsia="Arial" w:hAnsi="Arial"/>
                <w:sz w:val="16"/>
                <w:szCs w:val="16"/>
                <w:color w:val="auto"/>
              </w:rPr>
              <w:t>Non-pension Defined Benefit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80" w:type="dxa"/>
            <w:vAlign w:val="bottom"/>
            <w:tcBorders>
              <w:bottom w:val="single" w:sz="8" w:color="auto"/>
            </w:tcBorders>
            <w:gridSpan w:val="3"/>
          </w:tcPr>
          <w:p>
            <w:pPr>
              <w:jc w:val="center"/>
              <w:ind w:left="699"/>
              <w:spacing w:after="0"/>
              <w:rPr>
                <w:sz w:val="20"/>
                <w:szCs w:val="20"/>
                <w:color w:val="auto"/>
              </w:rPr>
            </w:pPr>
            <w:r>
              <w:rPr>
                <w:rFonts w:ascii="Arial" w:cs="Arial" w:eastAsia="Arial" w:hAnsi="Arial"/>
                <w:sz w:val="16"/>
                <w:szCs w:val="16"/>
                <w:color w:val="auto"/>
              </w:rPr>
              <w:t>Pension Plan</w:t>
            </w:r>
          </w:p>
        </w:tc>
        <w:tc>
          <w:tcPr>
            <w:tcW w:w="5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jc w:val="center"/>
              <w:ind w:left="199"/>
              <w:spacing w:after="0"/>
              <w:rPr>
                <w:sz w:val="20"/>
                <w:szCs w:val="20"/>
                <w:color w:val="auto"/>
              </w:rPr>
            </w:pPr>
            <w:r>
              <w:rPr>
                <w:rFonts w:ascii="Arial" w:cs="Arial" w:eastAsia="Arial" w:hAnsi="Arial"/>
                <w:sz w:val="16"/>
                <w:szCs w:val="16"/>
                <w:color w:val="auto"/>
              </w:rPr>
              <w:t>Non-qualified Defined Benefit Plans</w:t>
            </w:r>
          </w:p>
        </w:tc>
        <w:tc>
          <w:tcPr>
            <w:tcW w:w="28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color w:val="auto"/>
              </w:rPr>
              <w:t>Postretirement Healthcare Plan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40" w:type="dxa"/>
            <w:vAlign w:val="bottom"/>
            <w:gridSpan w:val="2"/>
          </w:tcPr>
          <w:p>
            <w:pPr>
              <w:spacing w:after="0" w:line="164" w:lineRule="exact"/>
              <w:rPr>
                <w:sz w:val="20"/>
                <w:szCs w:val="20"/>
                <w:color w:val="auto"/>
              </w:rPr>
            </w:pPr>
            <w:r>
              <w:rPr>
                <w:rFonts w:ascii="Arial" w:cs="Arial" w:eastAsia="Arial" w:hAnsi="Arial"/>
                <w:sz w:val="16"/>
                <w:szCs w:val="16"/>
                <w:color w:val="auto"/>
              </w:rPr>
              <w:t>Weighted-average assumptions used</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 determine benefit obligations:</w:t>
            </w: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920" w:type="dxa"/>
            <w:vAlign w:val="bottom"/>
            <w:tcBorders>
              <w:bottom w:val="single" w:sz="8" w:color="auto"/>
            </w:tcBorders>
            <w:gridSpan w:val="2"/>
          </w:tcPr>
          <w:p>
            <w:pPr>
              <w:jc w:val="center"/>
              <w:ind w:right="199"/>
              <w:spacing w:after="0"/>
              <w:rPr>
                <w:sz w:val="20"/>
                <w:szCs w:val="20"/>
                <w:color w:val="auto"/>
              </w:rPr>
            </w:pPr>
            <w:r>
              <w:rPr>
                <w:rFonts w:ascii="Arial" w:cs="Arial" w:eastAsia="Arial" w:hAnsi="Arial"/>
                <w:sz w:val="16"/>
                <w:szCs w:val="16"/>
                <w:color w:val="auto"/>
              </w:rPr>
              <w:t>2020</w:t>
            </w: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2019</w:t>
            </w:r>
          </w:p>
        </w:tc>
        <w:tc>
          <w:tcPr>
            <w:tcW w:w="5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5"/>
              </w:rPr>
              <w:t>2021</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color w:val="auto"/>
              </w:rPr>
              <w:t>2020</w:t>
            </w: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2019</w:t>
            </w:r>
          </w:p>
        </w:tc>
        <w:tc>
          <w:tcPr>
            <w:tcW w:w="9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2021</w:t>
            </w:r>
          </w:p>
        </w:tc>
        <w:tc>
          <w:tcPr>
            <w:tcW w:w="72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EFFE7"/>
          </w:tcPr>
          <w:p>
            <w:pPr>
              <w:spacing w:after="0"/>
              <w:rPr>
                <w:sz w:val="18"/>
                <w:szCs w:val="18"/>
                <w:color w:val="auto"/>
              </w:rPr>
            </w:pPr>
          </w:p>
        </w:tc>
        <w:tc>
          <w:tcPr>
            <w:tcW w:w="274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Discount rate</w:t>
            </w:r>
          </w:p>
        </w:tc>
        <w:tc>
          <w:tcPr>
            <w:tcW w:w="10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2.88 %</w:t>
            </w:r>
          </w:p>
        </w:tc>
        <w:tc>
          <w:tcPr>
            <w:tcW w:w="920" w:type="dxa"/>
            <w:vAlign w:val="bottom"/>
            <w:gridSpan w:val="2"/>
            <w:shd w:val="clear" w:color="auto" w:fill="CEFFE7"/>
          </w:tcPr>
          <w:p>
            <w:pPr>
              <w:jc w:val="center"/>
              <w:ind w:left="19"/>
              <w:spacing w:after="0"/>
              <w:rPr>
                <w:sz w:val="20"/>
                <w:szCs w:val="20"/>
                <w:color w:val="auto"/>
              </w:rPr>
            </w:pPr>
            <w:r>
              <w:rPr>
                <w:rFonts w:ascii="Arial" w:cs="Arial" w:eastAsia="Arial" w:hAnsi="Arial"/>
                <w:sz w:val="16"/>
                <w:szCs w:val="16"/>
                <w:color w:val="auto"/>
              </w:rPr>
              <w:t>2.56 %</w:t>
            </w:r>
          </w:p>
        </w:tc>
        <w:tc>
          <w:tcPr>
            <w:tcW w:w="1160" w:type="dxa"/>
            <w:vAlign w:val="bottom"/>
            <w:gridSpan w:val="2"/>
            <w:shd w:val="clear" w:color="auto" w:fill="CEFFE7"/>
          </w:tcPr>
          <w:p>
            <w:pPr>
              <w:ind w:left="260"/>
              <w:spacing w:after="0"/>
              <w:rPr>
                <w:sz w:val="20"/>
                <w:szCs w:val="20"/>
                <w:color w:val="auto"/>
              </w:rPr>
            </w:pPr>
            <w:r>
              <w:rPr>
                <w:rFonts w:ascii="Arial" w:cs="Arial" w:eastAsia="Arial" w:hAnsi="Arial"/>
                <w:sz w:val="16"/>
                <w:szCs w:val="16"/>
                <w:color w:val="auto"/>
              </w:rPr>
              <w:t>3.27 %</w:t>
            </w:r>
          </w:p>
        </w:tc>
        <w:tc>
          <w:tcPr>
            <w:tcW w:w="6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2.77 %</w:t>
            </w:r>
          </w:p>
        </w:tc>
        <w:tc>
          <w:tcPr>
            <w:tcW w:w="140" w:type="dxa"/>
            <w:vAlign w:val="bottom"/>
            <w:shd w:val="clear" w:color="auto" w:fill="CEFFE7"/>
          </w:tcPr>
          <w:p>
            <w:pPr>
              <w:spacing w:after="0"/>
              <w:rPr>
                <w:sz w:val="18"/>
                <w:szCs w:val="18"/>
                <w:color w:val="auto"/>
              </w:rPr>
            </w:pPr>
          </w:p>
        </w:tc>
        <w:tc>
          <w:tcPr>
            <w:tcW w:w="1020" w:type="dxa"/>
            <w:vAlign w:val="bottom"/>
            <w:shd w:val="clear" w:color="auto" w:fill="CEFFE7"/>
          </w:tcPr>
          <w:p>
            <w:pPr>
              <w:ind w:left="280"/>
              <w:spacing w:after="0"/>
              <w:rPr>
                <w:sz w:val="20"/>
                <w:szCs w:val="20"/>
                <w:color w:val="auto"/>
              </w:rPr>
            </w:pPr>
            <w:r>
              <w:rPr>
                <w:rFonts w:ascii="Arial" w:cs="Arial" w:eastAsia="Arial" w:hAnsi="Arial"/>
                <w:sz w:val="16"/>
                <w:szCs w:val="16"/>
                <w:color w:val="auto"/>
              </w:rPr>
              <w:t>2.41 %</w:t>
            </w: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3.14 %</w:t>
            </w:r>
          </w:p>
        </w:tc>
        <w:tc>
          <w:tcPr>
            <w:tcW w:w="460" w:type="dxa"/>
            <w:vAlign w:val="bottom"/>
            <w:shd w:val="clear" w:color="auto" w:fill="CEFFE7"/>
          </w:tcPr>
          <w:p>
            <w:pPr>
              <w:spacing w:after="0"/>
              <w:rPr>
                <w:sz w:val="18"/>
                <w:szCs w:val="18"/>
                <w:color w:val="auto"/>
              </w:rPr>
            </w:pPr>
          </w:p>
        </w:tc>
        <w:tc>
          <w:tcPr>
            <w:tcW w:w="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2.79 %</w:t>
            </w:r>
          </w:p>
        </w:tc>
        <w:tc>
          <w:tcPr>
            <w:tcW w:w="1020" w:type="dxa"/>
            <w:vAlign w:val="bottom"/>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2.41 %</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3.15 %</w:t>
            </w:r>
          </w:p>
        </w:tc>
        <w:tc>
          <w:tcPr>
            <w:tcW w:w="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740" w:type="dxa"/>
            <w:vAlign w:val="bottom"/>
            <w:gridSpan w:val="2"/>
          </w:tcPr>
          <w:p>
            <w:pPr>
              <w:spacing w:after="0" w:line="178" w:lineRule="exact"/>
              <w:rPr>
                <w:sz w:val="20"/>
                <w:szCs w:val="20"/>
                <w:color w:val="auto"/>
              </w:rPr>
            </w:pPr>
            <w:r>
              <w:rPr>
                <w:rFonts w:ascii="Arial" w:cs="Arial" w:eastAsia="Arial" w:hAnsi="Arial"/>
                <w:sz w:val="16"/>
                <w:szCs w:val="16"/>
                <w:color w:val="auto"/>
              </w:rPr>
              <w:t>Rate of increase in compensation</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Arial" w:cs="Arial" w:eastAsia="Arial" w:hAnsi="Arial"/>
                <w:sz w:val="16"/>
                <w:szCs w:val="16"/>
                <w:color w:val="auto"/>
              </w:rPr>
              <w:t>levels</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3.08 %</w:t>
            </w:r>
          </w:p>
        </w:tc>
        <w:tc>
          <w:tcPr>
            <w:tcW w:w="920" w:type="dxa"/>
            <w:vAlign w:val="bottom"/>
            <w:gridSpan w:val="2"/>
          </w:tcPr>
          <w:p>
            <w:pPr>
              <w:jc w:val="center"/>
              <w:ind w:left="19"/>
              <w:spacing w:after="0"/>
              <w:rPr>
                <w:sz w:val="20"/>
                <w:szCs w:val="20"/>
                <w:color w:val="auto"/>
              </w:rPr>
            </w:pPr>
            <w:r>
              <w:rPr>
                <w:rFonts w:ascii="Arial" w:cs="Arial" w:eastAsia="Arial" w:hAnsi="Arial"/>
                <w:sz w:val="16"/>
                <w:szCs w:val="16"/>
                <w:color w:val="auto"/>
              </w:rPr>
              <w:t>3.34 %</w:t>
            </w:r>
          </w:p>
        </w:tc>
        <w:tc>
          <w:tcPr>
            <w:tcW w:w="1160" w:type="dxa"/>
            <w:vAlign w:val="bottom"/>
            <w:gridSpan w:val="2"/>
          </w:tcPr>
          <w:p>
            <w:pPr>
              <w:ind w:left="260"/>
              <w:spacing w:after="0"/>
              <w:rPr>
                <w:sz w:val="20"/>
                <w:szCs w:val="20"/>
                <w:color w:val="auto"/>
              </w:rPr>
            </w:pPr>
            <w:r>
              <w:rPr>
                <w:rFonts w:ascii="Arial" w:cs="Arial" w:eastAsia="Arial" w:hAnsi="Arial"/>
                <w:sz w:val="16"/>
                <w:szCs w:val="16"/>
                <w:color w:val="auto"/>
              </w:rPr>
              <w:t>3.49 %</w:t>
            </w:r>
          </w:p>
        </w:tc>
        <w:tc>
          <w:tcPr>
            <w:tcW w:w="620" w:type="dxa"/>
            <w:vAlign w:val="bottom"/>
          </w:tcPr>
          <w:p>
            <w:pPr>
              <w:jc w:val="right"/>
              <w:spacing w:after="0"/>
              <w:rPr>
                <w:sz w:val="20"/>
                <w:szCs w:val="20"/>
                <w:color w:val="auto"/>
              </w:rPr>
            </w:pPr>
            <w:r>
              <w:rPr>
                <w:rFonts w:ascii="Arial" w:cs="Arial" w:eastAsia="Arial" w:hAnsi="Arial"/>
                <w:sz w:val="16"/>
                <w:szCs w:val="16"/>
                <w:color w:val="auto"/>
              </w:rPr>
              <w:t>5.00 %</w:t>
            </w:r>
          </w:p>
        </w:tc>
        <w:tc>
          <w:tcPr>
            <w:tcW w:w="140" w:type="dxa"/>
            <w:vAlign w:val="bottom"/>
          </w:tcPr>
          <w:p>
            <w:pPr>
              <w:spacing w:after="0"/>
              <w:rPr>
                <w:sz w:val="16"/>
                <w:szCs w:val="16"/>
                <w:color w:val="auto"/>
              </w:rPr>
            </w:pPr>
          </w:p>
        </w:tc>
        <w:tc>
          <w:tcPr>
            <w:tcW w:w="1020" w:type="dxa"/>
            <w:vAlign w:val="bottom"/>
          </w:tcPr>
          <w:p>
            <w:pPr>
              <w:ind w:left="280"/>
              <w:spacing w:after="0"/>
              <w:rPr>
                <w:sz w:val="20"/>
                <w:szCs w:val="20"/>
                <w:color w:val="auto"/>
              </w:rPr>
            </w:pPr>
            <w:r>
              <w:rPr>
                <w:rFonts w:ascii="Arial" w:cs="Arial" w:eastAsia="Arial" w:hAnsi="Arial"/>
                <w:sz w:val="16"/>
                <w:szCs w:val="16"/>
                <w:color w:val="auto"/>
              </w:rPr>
              <w:t>5.00 %</w:t>
            </w:r>
          </w:p>
        </w:tc>
        <w:tc>
          <w:tcPr>
            <w:tcW w:w="720" w:type="dxa"/>
            <w:vAlign w:val="bottom"/>
          </w:tcPr>
          <w:p>
            <w:pPr>
              <w:jc w:val="right"/>
              <w:spacing w:after="0"/>
              <w:rPr>
                <w:sz w:val="20"/>
                <w:szCs w:val="20"/>
                <w:color w:val="auto"/>
              </w:rPr>
            </w:pPr>
            <w:r>
              <w:rPr>
                <w:rFonts w:ascii="Arial" w:cs="Arial" w:eastAsia="Arial" w:hAnsi="Arial"/>
                <w:sz w:val="16"/>
                <w:szCs w:val="16"/>
                <w:color w:val="auto"/>
              </w:rPr>
              <w:t>5.00 %</w:t>
            </w:r>
          </w:p>
        </w:tc>
        <w:tc>
          <w:tcPr>
            <w:tcW w:w="4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N/A</w:t>
            </w:r>
          </w:p>
        </w:tc>
        <w:tc>
          <w:tcPr>
            <w:tcW w:w="1020" w:type="dxa"/>
            <w:vAlign w:val="bottom"/>
            <w:gridSpan w:val="2"/>
          </w:tcPr>
          <w:p>
            <w:pPr>
              <w:jc w:val="center"/>
              <w:ind w:left="479"/>
              <w:spacing w:after="0"/>
              <w:rPr>
                <w:sz w:val="20"/>
                <w:szCs w:val="20"/>
                <w:color w:val="auto"/>
              </w:rPr>
            </w:pPr>
            <w:r>
              <w:rPr>
                <w:rFonts w:ascii="Arial" w:cs="Arial" w:eastAsia="Arial" w:hAnsi="Arial"/>
                <w:sz w:val="16"/>
                <w:szCs w:val="16"/>
                <w:color w:val="auto"/>
                <w:w w:val="97"/>
              </w:rPr>
              <w:t>N/A</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103</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276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92"/>
        </w:trPr>
        <w:tc>
          <w:tcPr>
            <w:tcW w:w="1360" w:type="dxa"/>
            <w:vAlign w:val="bottom"/>
            <w:tcBorders>
              <w:top w:val="single" w:sz="8" w:color="0000FF"/>
            </w:tcBorders>
          </w:tcPr>
          <w:p>
            <w:pPr>
              <w:spacing w:after="0"/>
              <w:rPr>
                <w:sz w:val="24"/>
                <w:szCs w:val="24"/>
                <w:color w:val="auto"/>
              </w:rPr>
            </w:pPr>
          </w:p>
        </w:tc>
        <w:tc>
          <w:tcPr>
            <w:tcW w:w="1400" w:type="dxa"/>
            <w:vAlign w:val="bottom"/>
          </w:tcPr>
          <w:p>
            <w:pPr>
              <w:spacing w:after="0"/>
              <w:rPr>
                <w:sz w:val="24"/>
                <w:szCs w:val="24"/>
                <w:color w:val="auto"/>
              </w:rPr>
            </w:pPr>
          </w:p>
        </w:tc>
        <w:tc>
          <w:tcPr>
            <w:tcW w:w="2020" w:type="dxa"/>
            <w:vAlign w:val="bottom"/>
            <w:gridSpan w:val="2"/>
          </w:tcPr>
          <w:p>
            <w:pPr>
              <w:jc w:val="center"/>
              <w:ind w:left="659"/>
              <w:spacing w:after="0"/>
              <w:rPr>
                <w:sz w:val="20"/>
                <w:szCs w:val="20"/>
                <w:color w:val="auto"/>
              </w:rPr>
            </w:pPr>
            <w:r>
              <w:rPr>
                <w:rFonts w:ascii="Arial" w:cs="Arial" w:eastAsia="Arial" w:hAnsi="Arial"/>
                <w:sz w:val="16"/>
                <w:szCs w:val="16"/>
                <w:color w:val="auto"/>
              </w:rPr>
              <w:t>Defined Benefit</w:t>
            </w:r>
          </w:p>
        </w:tc>
        <w:tc>
          <w:tcPr>
            <w:tcW w:w="840" w:type="dxa"/>
            <w:vAlign w:val="bottom"/>
          </w:tcPr>
          <w:p>
            <w:pPr>
              <w:spacing w:after="0"/>
              <w:rPr>
                <w:sz w:val="24"/>
                <w:szCs w:val="24"/>
                <w:color w:val="auto"/>
              </w:rPr>
            </w:pPr>
          </w:p>
        </w:tc>
        <w:tc>
          <w:tcPr>
            <w:tcW w:w="2000" w:type="dxa"/>
            <w:vAlign w:val="bottom"/>
            <w:gridSpan w:val="2"/>
          </w:tcPr>
          <w:p>
            <w:pPr>
              <w:jc w:val="center"/>
              <w:ind w:left="679"/>
              <w:spacing w:after="0"/>
              <w:rPr>
                <w:sz w:val="20"/>
                <w:szCs w:val="20"/>
                <w:color w:val="auto"/>
              </w:rPr>
            </w:pPr>
            <w:r>
              <w:rPr>
                <w:rFonts w:ascii="Arial" w:cs="Arial" w:eastAsia="Arial" w:hAnsi="Arial"/>
                <w:sz w:val="16"/>
                <w:szCs w:val="16"/>
                <w:color w:val="auto"/>
              </w:rPr>
              <w:t>Supplemental</w:t>
            </w:r>
          </w:p>
        </w:tc>
        <w:tc>
          <w:tcPr>
            <w:tcW w:w="920" w:type="dxa"/>
            <w:vAlign w:val="bottom"/>
          </w:tcPr>
          <w:p>
            <w:pPr>
              <w:spacing w:after="0"/>
              <w:rPr>
                <w:sz w:val="24"/>
                <w:szCs w:val="24"/>
                <w:color w:val="auto"/>
              </w:rPr>
            </w:pPr>
          </w:p>
        </w:tc>
        <w:tc>
          <w:tcPr>
            <w:tcW w:w="2700" w:type="dxa"/>
            <w:vAlign w:val="bottom"/>
            <w:gridSpan w:val="3"/>
          </w:tcPr>
          <w:p>
            <w:pPr>
              <w:jc w:val="center"/>
              <w:spacing w:after="0"/>
              <w:rPr>
                <w:sz w:val="20"/>
                <w:szCs w:val="20"/>
                <w:color w:val="auto"/>
              </w:rPr>
            </w:pPr>
            <w:r>
              <w:rPr>
                <w:rFonts w:ascii="Arial" w:cs="Arial" w:eastAsia="Arial" w:hAnsi="Arial"/>
                <w:sz w:val="16"/>
                <w:szCs w:val="16"/>
                <w:color w:val="auto"/>
              </w:rPr>
              <w:t>Non-pension Defined Benefit</w:t>
            </w:r>
          </w:p>
        </w:tc>
      </w:tr>
      <w:tr>
        <w:trPr>
          <w:trHeight w:val="195"/>
        </w:trPr>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Pension Plan</w:t>
            </w:r>
          </w:p>
        </w:tc>
        <w:tc>
          <w:tcPr>
            <w:tcW w:w="8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6"/>
                <w:szCs w:val="16"/>
                <w:color w:val="auto"/>
              </w:rPr>
              <w:t>Non-qualified Defined Benefit Plans</w:t>
            </w: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Postretirement Healthcare Plan</w:t>
            </w:r>
          </w:p>
        </w:tc>
      </w:tr>
      <w:tr>
        <w:trPr>
          <w:trHeight w:val="163"/>
        </w:trPr>
        <w:tc>
          <w:tcPr>
            <w:tcW w:w="2760" w:type="dxa"/>
            <w:vAlign w:val="bottom"/>
            <w:gridSpan w:val="2"/>
          </w:tcPr>
          <w:p>
            <w:pPr>
              <w:ind w:left="20"/>
              <w:spacing w:after="0" w:line="164" w:lineRule="exact"/>
              <w:rPr>
                <w:sz w:val="20"/>
                <w:szCs w:val="20"/>
                <w:color w:val="auto"/>
              </w:rPr>
            </w:pPr>
            <w:r>
              <w:rPr>
                <w:rFonts w:ascii="Arial" w:cs="Arial" w:eastAsia="Arial" w:hAnsi="Arial"/>
                <w:sz w:val="16"/>
                <w:szCs w:val="16"/>
                <w:color w:val="auto"/>
              </w:rPr>
              <w:t>Weighted-average assumptions used</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7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to determine net periodic benefit cost</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8"/>
        </w:trPr>
        <w:tc>
          <w:tcPr>
            <w:tcW w:w="27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for plan year:</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2020</w:t>
            </w: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2019</w:t>
            </w: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9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rPr>
              <w:t>2020</w:t>
            </w: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2019</w:t>
            </w: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9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2019</w:t>
            </w:r>
          </w:p>
        </w:tc>
      </w:tr>
      <w:tr>
        <w:trPr>
          <w:trHeight w:val="213"/>
        </w:trPr>
        <w:tc>
          <w:tcPr>
            <w:tcW w:w="2760" w:type="dxa"/>
            <w:vAlign w:val="bottom"/>
            <w:gridSpan w:val="2"/>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Discount rate </w:t>
            </w:r>
            <w:r>
              <w:rPr>
                <w:rFonts w:ascii="Arial" w:cs="Arial" w:eastAsia="Arial" w:hAnsi="Arial"/>
                <w:sz w:val="21"/>
                <w:szCs w:val="21"/>
                <w:color w:val="auto"/>
                <w:vertAlign w:val="superscript"/>
              </w:rPr>
              <w:t>(a)</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2.56 %</w:t>
            </w:r>
          </w:p>
        </w:tc>
        <w:tc>
          <w:tcPr>
            <w:tcW w:w="11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3.27 %</w:t>
            </w:r>
          </w:p>
        </w:tc>
        <w:tc>
          <w:tcPr>
            <w:tcW w:w="8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4.40 %</w:t>
            </w:r>
          </w:p>
        </w:tc>
        <w:tc>
          <w:tcPr>
            <w:tcW w:w="10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2.41 %</w:t>
            </w:r>
          </w:p>
        </w:tc>
        <w:tc>
          <w:tcPr>
            <w:tcW w:w="94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3.14 %</w:t>
            </w:r>
          </w:p>
        </w:tc>
        <w:tc>
          <w:tcPr>
            <w:tcW w:w="92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4.34 %</w:t>
            </w:r>
          </w:p>
        </w:tc>
        <w:tc>
          <w:tcPr>
            <w:tcW w:w="10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2.41 %</w:t>
            </w:r>
          </w:p>
        </w:tc>
        <w:tc>
          <w:tcPr>
            <w:tcW w:w="92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3.15 %</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4.28 %</w:t>
            </w:r>
          </w:p>
        </w:tc>
      </w:tr>
      <w:tr>
        <w:trPr>
          <w:trHeight w:val="175"/>
        </w:trPr>
        <w:tc>
          <w:tcPr>
            <w:tcW w:w="27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Expected long-term rate of return on</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3"/>
        </w:trPr>
        <w:tc>
          <w:tcPr>
            <w:tcW w:w="2760" w:type="dxa"/>
            <w:vAlign w:val="bottom"/>
            <w:gridSpan w:val="2"/>
          </w:tcPr>
          <w:p>
            <w:pPr>
              <w:ind w:left="20"/>
              <w:spacing w:after="0" w:line="204" w:lineRule="exact"/>
              <w:rPr>
                <w:sz w:val="20"/>
                <w:szCs w:val="20"/>
                <w:color w:val="auto"/>
              </w:rPr>
            </w:pPr>
            <w:r>
              <w:rPr>
                <w:rFonts w:ascii="Arial" w:cs="Arial" w:eastAsia="Arial" w:hAnsi="Arial"/>
                <w:sz w:val="16"/>
                <w:szCs w:val="16"/>
                <w:color w:val="auto"/>
              </w:rPr>
              <w:t xml:space="preserve">assets </w:t>
            </w:r>
            <w:r>
              <w:rPr>
                <w:rFonts w:ascii="Arial" w:cs="Arial" w:eastAsia="Arial" w:hAnsi="Arial"/>
                <w:sz w:val="21"/>
                <w:szCs w:val="21"/>
                <w:color w:val="auto"/>
                <w:vertAlign w:val="superscript"/>
              </w:rPr>
              <w:t>(b)</w:t>
            </w:r>
          </w:p>
        </w:tc>
        <w:tc>
          <w:tcPr>
            <w:tcW w:w="900" w:type="dxa"/>
            <w:vAlign w:val="bottom"/>
          </w:tcPr>
          <w:p>
            <w:pPr>
              <w:jc w:val="right"/>
              <w:spacing w:after="0"/>
              <w:rPr>
                <w:sz w:val="20"/>
                <w:szCs w:val="20"/>
                <w:color w:val="auto"/>
              </w:rPr>
            </w:pPr>
            <w:r>
              <w:rPr>
                <w:rFonts w:ascii="Arial" w:cs="Arial" w:eastAsia="Arial" w:hAnsi="Arial"/>
                <w:sz w:val="16"/>
                <w:szCs w:val="16"/>
                <w:color w:val="auto"/>
              </w:rPr>
              <w:t>4.50 %</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5.25 %</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6.00 %</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N/A</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N/A</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1.80 %</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2.35 %</w:t>
            </w:r>
          </w:p>
        </w:tc>
        <w:tc>
          <w:tcPr>
            <w:tcW w:w="780" w:type="dxa"/>
            <w:vAlign w:val="bottom"/>
          </w:tcPr>
          <w:p>
            <w:pPr>
              <w:jc w:val="right"/>
              <w:spacing w:after="0"/>
              <w:rPr>
                <w:sz w:val="20"/>
                <w:szCs w:val="20"/>
                <w:color w:val="auto"/>
              </w:rPr>
            </w:pPr>
            <w:r>
              <w:rPr>
                <w:rFonts w:ascii="Arial" w:cs="Arial" w:eastAsia="Arial" w:hAnsi="Arial"/>
                <w:sz w:val="16"/>
                <w:szCs w:val="16"/>
                <w:color w:val="auto"/>
              </w:rPr>
              <w:t>3.00 %</w:t>
            </w:r>
          </w:p>
        </w:tc>
      </w:tr>
      <w:tr>
        <w:trPr>
          <w:trHeight w:val="177"/>
        </w:trPr>
        <w:tc>
          <w:tcPr>
            <w:tcW w:w="2760" w:type="dxa"/>
            <w:vAlign w:val="bottom"/>
            <w:gridSpan w:val="2"/>
            <w:shd w:val="clear" w:color="auto" w:fill="CEFFE7"/>
          </w:tcPr>
          <w:p>
            <w:pPr>
              <w:ind w:left="20"/>
              <w:spacing w:after="0" w:line="178" w:lineRule="exact"/>
              <w:rPr>
                <w:sz w:val="20"/>
                <w:szCs w:val="20"/>
                <w:color w:val="auto"/>
              </w:rPr>
            </w:pPr>
            <w:r>
              <w:rPr>
                <w:rFonts w:ascii="Arial" w:cs="Arial" w:eastAsia="Arial" w:hAnsi="Arial"/>
                <w:sz w:val="16"/>
                <w:szCs w:val="16"/>
                <w:color w:val="auto"/>
              </w:rPr>
              <w:t>Rate of increase in compensation</w:t>
            </w:r>
          </w:p>
        </w:tc>
        <w:tc>
          <w:tcPr>
            <w:tcW w:w="900" w:type="dxa"/>
            <w:vAlign w:val="bottom"/>
            <w:shd w:val="clear" w:color="auto" w:fill="CEFFE7"/>
          </w:tcPr>
          <w:p>
            <w:pPr>
              <w:spacing w:after="0"/>
              <w:rPr>
                <w:sz w:val="15"/>
                <w:szCs w:val="15"/>
                <w:color w:val="auto"/>
              </w:rPr>
            </w:pPr>
          </w:p>
        </w:tc>
        <w:tc>
          <w:tcPr>
            <w:tcW w:w="112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c>
          <w:tcPr>
            <w:tcW w:w="1060" w:type="dxa"/>
            <w:vAlign w:val="bottom"/>
            <w:shd w:val="clear" w:color="auto" w:fill="CEFFE7"/>
          </w:tcPr>
          <w:p>
            <w:pPr>
              <w:spacing w:after="0"/>
              <w:rPr>
                <w:sz w:val="15"/>
                <w:szCs w:val="15"/>
                <w:color w:val="auto"/>
              </w:rPr>
            </w:pPr>
          </w:p>
        </w:tc>
        <w:tc>
          <w:tcPr>
            <w:tcW w:w="940" w:type="dxa"/>
            <w:vAlign w:val="bottom"/>
            <w:shd w:val="clear" w:color="auto" w:fill="CEFFE7"/>
          </w:tcPr>
          <w:p>
            <w:pPr>
              <w:spacing w:after="0"/>
              <w:rPr>
                <w:sz w:val="15"/>
                <w:szCs w:val="15"/>
                <w:color w:val="auto"/>
              </w:rPr>
            </w:pPr>
          </w:p>
        </w:tc>
        <w:tc>
          <w:tcPr>
            <w:tcW w:w="920" w:type="dxa"/>
            <w:vAlign w:val="bottom"/>
            <w:shd w:val="clear" w:color="auto" w:fill="CEFFE7"/>
          </w:tcPr>
          <w:p>
            <w:pPr>
              <w:spacing w:after="0"/>
              <w:rPr>
                <w:sz w:val="15"/>
                <w:szCs w:val="15"/>
                <w:color w:val="auto"/>
              </w:rPr>
            </w:pPr>
          </w:p>
        </w:tc>
        <w:tc>
          <w:tcPr>
            <w:tcW w:w="1000" w:type="dxa"/>
            <w:vAlign w:val="bottom"/>
            <w:shd w:val="clear" w:color="auto" w:fill="CEFFE7"/>
          </w:tcPr>
          <w:p>
            <w:pPr>
              <w:spacing w:after="0"/>
              <w:rPr>
                <w:sz w:val="15"/>
                <w:szCs w:val="15"/>
                <w:color w:val="auto"/>
              </w:rPr>
            </w:pPr>
          </w:p>
        </w:tc>
        <w:tc>
          <w:tcPr>
            <w:tcW w:w="920" w:type="dxa"/>
            <w:vAlign w:val="bottom"/>
            <w:shd w:val="clear" w:color="auto" w:fill="CEFFE7"/>
          </w:tcPr>
          <w:p>
            <w:pPr>
              <w:spacing w:after="0"/>
              <w:rPr>
                <w:sz w:val="15"/>
                <w:szCs w:val="15"/>
                <w:color w:val="auto"/>
              </w:rPr>
            </w:pPr>
          </w:p>
        </w:tc>
        <w:tc>
          <w:tcPr>
            <w:tcW w:w="780" w:type="dxa"/>
            <w:vAlign w:val="bottom"/>
            <w:shd w:val="clear" w:color="auto" w:fill="CEFFE7"/>
          </w:tcPr>
          <w:p>
            <w:pPr>
              <w:spacing w:after="0"/>
              <w:rPr>
                <w:sz w:val="15"/>
                <w:szCs w:val="15"/>
                <w:color w:val="auto"/>
              </w:rPr>
            </w:pPr>
          </w:p>
        </w:tc>
      </w:tr>
      <w:tr>
        <w:trPr>
          <w:trHeight w:val="201"/>
        </w:trPr>
        <w:tc>
          <w:tcPr>
            <w:tcW w:w="27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levels</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3.34 %</w:t>
            </w:r>
          </w:p>
        </w:tc>
        <w:tc>
          <w:tcPr>
            <w:tcW w:w="11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3.49 %</w:t>
            </w:r>
          </w:p>
        </w:tc>
        <w:tc>
          <w:tcPr>
            <w:tcW w:w="8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3.52 %</w:t>
            </w:r>
          </w:p>
        </w:tc>
        <w:tc>
          <w:tcPr>
            <w:tcW w:w="10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5.00 %</w:t>
            </w:r>
          </w:p>
        </w:tc>
        <w:tc>
          <w:tcPr>
            <w:tcW w:w="94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5.00 %</w:t>
            </w:r>
          </w:p>
        </w:tc>
        <w:tc>
          <w:tcPr>
            <w:tcW w:w="92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5.00 %</w:t>
            </w:r>
          </w:p>
        </w:tc>
        <w:tc>
          <w:tcPr>
            <w:tcW w:w="10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N/A</w:t>
            </w:r>
          </w:p>
        </w:tc>
        <w:tc>
          <w:tcPr>
            <w:tcW w:w="92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N/A</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N/A</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estimated discount rate for the Defined Benefit Pension Plan is 2.88% for the calculation of the 2022 net periodic pension costs.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expected rate of return on plan assets is 4.25% for the calculation of the 2022 net periodic pension cost.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60" w:type="dxa"/>
            <w:vAlign w:val="bottom"/>
          </w:tcPr>
          <w:p>
            <w:pPr>
              <w:spacing w:after="0"/>
              <w:rPr>
                <w:sz w:val="20"/>
                <w:szCs w:val="20"/>
                <w:color w:val="auto"/>
              </w:rPr>
            </w:pPr>
            <w:r>
              <w:rPr>
                <w:rFonts w:ascii="Arial" w:cs="Arial" w:eastAsia="Arial" w:hAnsi="Arial"/>
                <w:sz w:val="16"/>
                <w:szCs w:val="16"/>
                <w:color w:val="auto"/>
              </w:rPr>
              <w:t>The healthcare benefit obligation at December 31 was determined as follows:</w:t>
            </w:r>
          </w:p>
        </w:tc>
        <w:tc>
          <w:tcPr>
            <w:tcW w:w="236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313"/>
        </w:trPr>
        <w:tc>
          <w:tcPr>
            <w:tcW w:w="6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2021</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2020</w:t>
            </w:r>
          </w:p>
        </w:tc>
      </w:tr>
      <w:tr>
        <w:trPr>
          <w:trHeight w:val="212"/>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Trend Rate - Medical</w:t>
            </w: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7"/>
        </w:trPr>
        <w:tc>
          <w:tcPr>
            <w:tcW w:w="6460" w:type="dxa"/>
            <w:vAlign w:val="bottom"/>
            <w:shd w:val="clear" w:color="auto" w:fill="CEFFE7"/>
          </w:tcPr>
          <w:p>
            <w:pPr>
              <w:ind w:left="220"/>
              <w:spacing w:after="0"/>
              <w:rPr>
                <w:sz w:val="20"/>
                <w:szCs w:val="20"/>
                <w:color w:val="auto"/>
              </w:rPr>
            </w:pPr>
            <w:r>
              <w:rPr>
                <w:rFonts w:ascii="Arial" w:cs="Arial" w:eastAsia="Arial" w:hAnsi="Arial"/>
                <w:sz w:val="16"/>
                <w:szCs w:val="16"/>
                <w:color w:val="auto"/>
              </w:rPr>
              <w:t>Pre-65 for next year - All Plans</w:t>
            </w:r>
          </w:p>
        </w:tc>
        <w:tc>
          <w:tcPr>
            <w:tcW w:w="23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6.05%</w:t>
            </w:r>
          </w:p>
        </w:tc>
        <w:tc>
          <w:tcPr>
            <w:tcW w:w="24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6.10%</w:t>
            </w: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Pre-65 Ultimate trend rate - Black Hills Corp</w:t>
            </w:r>
          </w:p>
        </w:tc>
        <w:tc>
          <w:tcPr>
            <w:tcW w:w="2360" w:type="dxa"/>
            <w:vAlign w:val="bottom"/>
          </w:tcPr>
          <w:p>
            <w:pPr>
              <w:jc w:val="center"/>
              <w:spacing w:after="0"/>
              <w:rPr>
                <w:sz w:val="20"/>
                <w:szCs w:val="20"/>
                <w:color w:val="auto"/>
              </w:rPr>
            </w:pPr>
            <w:r>
              <w:rPr>
                <w:rFonts w:ascii="Arial" w:cs="Arial" w:eastAsia="Arial" w:hAnsi="Arial"/>
                <w:sz w:val="16"/>
                <w:szCs w:val="16"/>
                <w:color w:val="auto"/>
              </w:rPr>
              <w:t>4.50%</w:t>
            </w:r>
          </w:p>
        </w:tc>
        <w:tc>
          <w:tcPr>
            <w:tcW w:w="2420" w:type="dxa"/>
            <w:vAlign w:val="bottom"/>
          </w:tcPr>
          <w:p>
            <w:pPr>
              <w:jc w:val="center"/>
              <w:spacing w:after="0"/>
              <w:rPr>
                <w:sz w:val="20"/>
                <w:szCs w:val="20"/>
                <w:color w:val="auto"/>
              </w:rPr>
            </w:pPr>
            <w:r>
              <w:rPr>
                <w:rFonts w:ascii="Arial" w:cs="Arial" w:eastAsia="Arial" w:hAnsi="Arial"/>
                <w:sz w:val="16"/>
                <w:szCs w:val="16"/>
                <w:color w:val="auto"/>
              </w:rPr>
              <w:t>4.50%</w:t>
            </w:r>
          </w:p>
        </w:tc>
      </w:tr>
      <w:tr>
        <w:trPr>
          <w:trHeight w:val="219"/>
        </w:trPr>
        <w:tc>
          <w:tcPr>
            <w:tcW w:w="6460" w:type="dxa"/>
            <w:vAlign w:val="bottom"/>
            <w:shd w:val="clear" w:color="auto" w:fill="CEFFE7"/>
          </w:tcPr>
          <w:p>
            <w:pPr>
              <w:ind w:left="220"/>
              <w:spacing w:after="0"/>
              <w:rPr>
                <w:sz w:val="20"/>
                <w:szCs w:val="20"/>
                <w:color w:val="auto"/>
              </w:rPr>
            </w:pPr>
            <w:r>
              <w:rPr>
                <w:rFonts w:ascii="Arial" w:cs="Arial" w:eastAsia="Arial" w:hAnsi="Arial"/>
                <w:sz w:val="16"/>
                <w:szCs w:val="16"/>
                <w:color w:val="auto"/>
              </w:rPr>
              <w:t>Trend Year</w:t>
            </w:r>
          </w:p>
        </w:tc>
        <w:tc>
          <w:tcPr>
            <w:tcW w:w="23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2030</w:t>
            </w:r>
          </w:p>
        </w:tc>
        <w:tc>
          <w:tcPr>
            <w:tcW w:w="24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2027</w:t>
            </w:r>
          </w:p>
        </w:tc>
      </w:tr>
      <w:tr>
        <w:trPr>
          <w:trHeight w:val="270"/>
        </w:trPr>
        <w:tc>
          <w:tcPr>
            <w:tcW w:w="64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16"/>
        </w:trPr>
        <w:tc>
          <w:tcPr>
            <w:tcW w:w="6460" w:type="dxa"/>
            <w:vAlign w:val="bottom"/>
            <w:shd w:val="clear" w:color="auto" w:fill="CEFFE7"/>
          </w:tcPr>
          <w:p>
            <w:pPr>
              <w:ind w:left="220"/>
              <w:spacing w:after="0"/>
              <w:rPr>
                <w:sz w:val="20"/>
                <w:szCs w:val="20"/>
                <w:color w:val="auto"/>
              </w:rPr>
            </w:pPr>
            <w:r>
              <w:rPr>
                <w:rFonts w:ascii="Arial" w:cs="Arial" w:eastAsia="Arial" w:hAnsi="Arial"/>
                <w:sz w:val="16"/>
                <w:szCs w:val="16"/>
                <w:color w:val="auto"/>
              </w:rPr>
              <w:t>Post-65 for next year - All Plans</w:t>
            </w:r>
          </w:p>
        </w:tc>
        <w:tc>
          <w:tcPr>
            <w:tcW w:w="23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5.10%</w:t>
            </w:r>
          </w:p>
        </w:tc>
        <w:tc>
          <w:tcPr>
            <w:tcW w:w="24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4.92%</w:t>
            </w: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Post-65 Ultimate trend rate - Black Hills Corp</w:t>
            </w:r>
          </w:p>
        </w:tc>
        <w:tc>
          <w:tcPr>
            <w:tcW w:w="2360" w:type="dxa"/>
            <w:vAlign w:val="bottom"/>
          </w:tcPr>
          <w:p>
            <w:pPr>
              <w:jc w:val="center"/>
              <w:spacing w:after="0"/>
              <w:rPr>
                <w:sz w:val="20"/>
                <w:szCs w:val="20"/>
                <w:color w:val="auto"/>
              </w:rPr>
            </w:pPr>
            <w:r>
              <w:rPr>
                <w:rFonts w:ascii="Arial" w:cs="Arial" w:eastAsia="Arial" w:hAnsi="Arial"/>
                <w:sz w:val="16"/>
                <w:szCs w:val="16"/>
                <w:color w:val="auto"/>
              </w:rPr>
              <w:t>4.50%</w:t>
            </w:r>
          </w:p>
        </w:tc>
        <w:tc>
          <w:tcPr>
            <w:tcW w:w="2420" w:type="dxa"/>
            <w:vAlign w:val="bottom"/>
          </w:tcPr>
          <w:p>
            <w:pPr>
              <w:jc w:val="center"/>
              <w:spacing w:after="0"/>
              <w:rPr>
                <w:sz w:val="20"/>
                <w:szCs w:val="20"/>
                <w:color w:val="auto"/>
              </w:rPr>
            </w:pPr>
            <w:r>
              <w:rPr>
                <w:rFonts w:ascii="Arial" w:cs="Arial" w:eastAsia="Arial" w:hAnsi="Arial"/>
                <w:sz w:val="16"/>
                <w:szCs w:val="16"/>
                <w:color w:val="auto"/>
              </w:rPr>
              <w:t>4.50%</w:t>
            </w:r>
          </w:p>
        </w:tc>
      </w:tr>
      <w:tr>
        <w:trPr>
          <w:trHeight w:val="219"/>
        </w:trPr>
        <w:tc>
          <w:tcPr>
            <w:tcW w:w="6460" w:type="dxa"/>
            <w:vAlign w:val="bottom"/>
            <w:shd w:val="clear" w:color="auto" w:fill="CEFFE7"/>
          </w:tcPr>
          <w:p>
            <w:pPr>
              <w:ind w:left="220"/>
              <w:spacing w:after="0"/>
              <w:rPr>
                <w:sz w:val="20"/>
                <w:szCs w:val="20"/>
                <w:color w:val="auto"/>
              </w:rPr>
            </w:pPr>
            <w:r>
              <w:rPr>
                <w:rFonts w:ascii="Arial" w:cs="Arial" w:eastAsia="Arial" w:hAnsi="Arial"/>
                <w:sz w:val="16"/>
                <w:szCs w:val="16"/>
                <w:color w:val="auto"/>
              </w:rPr>
              <w:t>Trend Year</w:t>
            </w:r>
          </w:p>
        </w:tc>
        <w:tc>
          <w:tcPr>
            <w:tcW w:w="23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2030</w:t>
            </w:r>
          </w:p>
        </w:tc>
        <w:tc>
          <w:tcPr>
            <w:tcW w:w="24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2029</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benefit payments to employees, which reflect future service, are expected to be paid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380" w:type="dxa"/>
            <w:vAlign w:val="bottom"/>
            <w:gridSpan w:val="2"/>
          </w:tcPr>
          <w:p>
            <w:pPr>
              <w:jc w:val="right"/>
              <w:ind w:right="19"/>
              <w:spacing w:after="0"/>
              <w:rPr>
                <w:sz w:val="20"/>
                <w:szCs w:val="20"/>
                <w:color w:val="auto"/>
              </w:rPr>
            </w:pPr>
            <w:r>
              <w:rPr>
                <w:rFonts w:ascii="Arial" w:cs="Arial" w:eastAsia="Arial" w:hAnsi="Arial"/>
                <w:sz w:val="16"/>
                <w:szCs w:val="16"/>
                <w:color w:val="auto"/>
              </w:rPr>
              <w:t>Supplemental Non-qualified Defined Benefit</w:t>
            </w:r>
          </w:p>
        </w:tc>
        <w:tc>
          <w:tcPr>
            <w:tcW w:w="300" w:type="dxa"/>
            <w:vAlign w:val="bottom"/>
          </w:tcPr>
          <w:p>
            <w:pPr>
              <w:spacing w:after="0"/>
              <w:rPr>
                <w:sz w:val="16"/>
                <w:szCs w:val="16"/>
                <w:color w:val="auto"/>
              </w:rPr>
            </w:pPr>
          </w:p>
        </w:tc>
        <w:tc>
          <w:tcPr>
            <w:tcW w:w="2680" w:type="dxa"/>
            <w:vAlign w:val="bottom"/>
          </w:tcPr>
          <w:p>
            <w:pPr>
              <w:jc w:val="right"/>
              <w:ind w:right="339"/>
              <w:spacing w:after="0"/>
              <w:rPr>
                <w:sz w:val="20"/>
                <w:szCs w:val="20"/>
                <w:color w:val="auto"/>
              </w:rPr>
            </w:pPr>
            <w:r>
              <w:rPr>
                <w:rFonts w:ascii="Arial" w:cs="Arial" w:eastAsia="Arial" w:hAnsi="Arial"/>
                <w:sz w:val="16"/>
                <w:szCs w:val="16"/>
                <w:color w:val="auto"/>
              </w:rPr>
              <w:t>Non-pension Defined Benefit</w:t>
            </w:r>
          </w:p>
        </w:tc>
      </w:tr>
      <w:tr>
        <w:trPr>
          <w:trHeight w:val="198"/>
        </w:trPr>
        <w:tc>
          <w:tcPr>
            <w:tcW w:w="2660" w:type="dxa"/>
            <w:vAlign w:val="bottom"/>
            <w:tcBorders>
              <w:bottom w:val="single" w:sz="8" w:color="CEFFE7"/>
            </w:tcBorders>
          </w:tcPr>
          <w:p>
            <w:pPr>
              <w:spacing w:after="0"/>
              <w:rPr>
                <w:sz w:val="17"/>
                <w:szCs w:val="17"/>
                <w:color w:val="auto"/>
              </w:rPr>
            </w:pPr>
          </w:p>
        </w:tc>
        <w:tc>
          <w:tcPr>
            <w:tcW w:w="2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Defined Benefit Pension Plan</w:t>
            </w:r>
          </w:p>
        </w:tc>
        <w:tc>
          <w:tcPr>
            <w:tcW w:w="8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color w:val="auto"/>
              </w:rPr>
              <w:t>Plans</w:t>
            </w:r>
          </w:p>
        </w:tc>
        <w:tc>
          <w:tcPr>
            <w:tcW w:w="3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Postretirement Healthcare Plan</w:t>
            </w:r>
          </w:p>
        </w:tc>
      </w:tr>
      <w:tr>
        <w:trPr>
          <w:trHeight w:val="212"/>
        </w:trPr>
        <w:tc>
          <w:tcPr>
            <w:tcW w:w="2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2022</w:t>
            </w:r>
          </w:p>
        </w:tc>
        <w:tc>
          <w:tcPr>
            <w:tcW w:w="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26,249</w:t>
            </w:r>
          </w:p>
        </w:tc>
        <w:tc>
          <w:tcPr>
            <w:tcW w:w="840" w:type="dxa"/>
            <w:vAlign w:val="bottom"/>
            <w:shd w:val="clear" w:color="auto" w:fill="CEFFE7"/>
          </w:tcPr>
          <w:p>
            <w:pPr>
              <w:jc w:val="right"/>
              <w:ind w:right="599"/>
              <w:spacing w:after="0"/>
              <w:rPr>
                <w:sz w:val="20"/>
                <w:szCs w:val="20"/>
                <w:color w:val="auto"/>
              </w:rPr>
            </w:pPr>
            <w:r>
              <w:rPr>
                <w:rFonts w:ascii="Arial" w:cs="Arial" w:eastAsia="Arial" w:hAnsi="Arial"/>
                <w:sz w:val="16"/>
                <w:szCs w:val="16"/>
                <w:color w:val="auto"/>
              </w:rPr>
              <w:t>$</w:t>
            </w:r>
          </w:p>
        </w:tc>
        <w:tc>
          <w:tcPr>
            <w:tcW w:w="25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2,156</w:t>
            </w:r>
          </w:p>
        </w:tc>
        <w:tc>
          <w:tcPr>
            <w:tcW w:w="30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5,806</w:t>
            </w: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2023</w:t>
            </w:r>
          </w:p>
        </w:tc>
        <w:tc>
          <w:tcPr>
            <w:tcW w:w="80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27,133</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540" w:type="dxa"/>
            <w:vAlign w:val="bottom"/>
          </w:tcPr>
          <w:p>
            <w:pPr>
              <w:jc w:val="right"/>
              <w:ind w:right="19"/>
              <w:spacing w:after="0"/>
              <w:rPr>
                <w:sz w:val="20"/>
                <w:szCs w:val="20"/>
                <w:color w:val="auto"/>
              </w:rPr>
            </w:pPr>
            <w:r>
              <w:rPr>
                <w:rFonts w:ascii="Arial" w:cs="Arial" w:eastAsia="Arial" w:hAnsi="Arial"/>
                <w:sz w:val="16"/>
                <w:szCs w:val="16"/>
                <w:color w:val="auto"/>
              </w:rPr>
              <w:t>2,224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80" w:type="dxa"/>
            <w:vAlign w:val="bottom"/>
          </w:tcPr>
          <w:p>
            <w:pPr>
              <w:jc w:val="right"/>
              <w:spacing w:after="0"/>
              <w:rPr>
                <w:sz w:val="20"/>
                <w:szCs w:val="20"/>
                <w:color w:val="auto"/>
              </w:rPr>
            </w:pPr>
            <w:r>
              <w:rPr>
                <w:rFonts w:ascii="Arial" w:cs="Arial" w:eastAsia="Arial" w:hAnsi="Arial"/>
                <w:sz w:val="16"/>
                <w:szCs w:val="16"/>
                <w:color w:val="auto"/>
              </w:rPr>
              <w:t>5,334</w:t>
            </w:r>
          </w:p>
        </w:tc>
      </w:tr>
      <w:tr>
        <w:trPr>
          <w:trHeight w:val="219"/>
        </w:trPr>
        <w:tc>
          <w:tcPr>
            <w:tcW w:w="2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2024</w:t>
            </w:r>
          </w:p>
        </w:tc>
        <w:tc>
          <w:tcPr>
            <w:tcW w:w="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27,683</w:t>
            </w:r>
          </w:p>
        </w:tc>
        <w:tc>
          <w:tcPr>
            <w:tcW w:w="840" w:type="dxa"/>
            <w:vAlign w:val="bottom"/>
            <w:shd w:val="clear" w:color="auto" w:fill="CEFFE7"/>
          </w:tcPr>
          <w:p>
            <w:pPr>
              <w:jc w:val="right"/>
              <w:ind w:right="599"/>
              <w:spacing w:after="0"/>
              <w:rPr>
                <w:sz w:val="20"/>
                <w:szCs w:val="20"/>
                <w:color w:val="auto"/>
              </w:rPr>
            </w:pPr>
            <w:r>
              <w:rPr>
                <w:rFonts w:ascii="Arial" w:cs="Arial" w:eastAsia="Arial" w:hAnsi="Arial"/>
                <w:sz w:val="16"/>
                <w:szCs w:val="16"/>
                <w:color w:val="auto"/>
              </w:rPr>
              <w:t>$</w:t>
            </w:r>
          </w:p>
        </w:tc>
        <w:tc>
          <w:tcPr>
            <w:tcW w:w="25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2,410</w:t>
            </w:r>
          </w:p>
        </w:tc>
        <w:tc>
          <w:tcPr>
            <w:tcW w:w="30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5,042</w:t>
            </w: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2025</w:t>
            </w:r>
          </w:p>
        </w:tc>
        <w:tc>
          <w:tcPr>
            <w:tcW w:w="80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28,650</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540" w:type="dxa"/>
            <w:vAlign w:val="bottom"/>
          </w:tcPr>
          <w:p>
            <w:pPr>
              <w:jc w:val="right"/>
              <w:ind w:right="19"/>
              <w:spacing w:after="0"/>
              <w:rPr>
                <w:sz w:val="20"/>
                <w:szCs w:val="20"/>
                <w:color w:val="auto"/>
              </w:rPr>
            </w:pPr>
            <w:r>
              <w:rPr>
                <w:rFonts w:ascii="Arial" w:cs="Arial" w:eastAsia="Arial" w:hAnsi="Arial"/>
                <w:sz w:val="16"/>
                <w:szCs w:val="16"/>
                <w:color w:val="auto"/>
              </w:rPr>
              <w:t>2,757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80" w:type="dxa"/>
            <w:vAlign w:val="bottom"/>
          </w:tcPr>
          <w:p>
            <w:pPr>
              <w:jc w:val="right"/>
              <w:spacing w:after="0"/>
              <w:rPr>
                <w:sz w:val="20"/>
                <w:szCs w:val="20"/>
                <w:color w:val="auto"/>
              </w:rPr>
            </w:pPr>
            <w:r>
              <w:rPr>
                <w:rFonts w:ascii="Arial" w:cs="Arial" w:eastAsia="Arial" w:hAnsi="Arial"/>
                <w:sz w:val="16"/>
                <w:szCs w:val="16"/>
                <w:color w:val="auto"/>
              </w:rPr>
              <w:t>4,865</w:t>
            </w:r>
          </w:p>
        </w:tc>
      </w:tr>
      <w:tr>
        <w:trPr>
          <w:trHeight w:val="219"/>
        </w:trPr>
        <w:tc>
          <w:tcPr>
            <w:tcW w:w="2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2026</w:t>
            </w:r>
          </w:p>
        </w:tc>
        <w:tc>
          <w:tcPr>
            <w:tcW w:w="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28,968</w:t>
            </w:r>
          </w:p>
        </w:tc>
        <w:tc>
          <w:tcPr>
            <w:tcW w:w="840" w:type="dxa"/>
            <w:vAlign w:val="bottom"/>
            <w:shd w:val="clear" w:color="auto" w:fill="CEFFE7"/>
          </w:tcPr>
          <w:p>
            <w:pPr>
              <w:jc w:val="right"/>
              <w:ind w:right="599"/>
              <w:spacing w:after="0"/>
              <w:rPr>
                <w:sz w:val="20"/>
                <w:szCs w:val="20"/>
                <w:color w:val="auto"/>
              </w:rPr>
            </w:pPr>
            <w:r>
              <w:rPr>
                <w:rFonts w:ascii="Arial" w:cs="Arial" w:eastAsia="Arial" w:hAnsi="Arial"/>
                <w:sz w:val="16"/>
                <w:szCs w:val="16"/>
                <w:color w:val="auto"/>
              </w:rPr>
              <w:t>$</w:t>
            </w:r>
          </w:p>
        </w:tc>
        <w:tc>
          <w:tcPr>
            <w:tcW w:w="25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2,782</w:t>
            </w:r>
          </w:p>
        </w:tc>
        <w:tc>
          <w:tcPr>
            <w:tcW w:w="30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4,752</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2027-2031</w:t>
            </w:r>
          </w:p>
        </w:tc>
        <w:tc>
          <w:tcPr>
            <w:tcW w:w="80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144,422</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540" w:type="dxa"/>
            <w:vAlign w:val="bottom"/>
          </w:tcPr>
          <w:p>
            <w:pPr>
              <w:jc w:val="right"/>
              <w:ind w:right="19"/>
              <w:spacing w:after="0"/>
              <w:rPr>
                <w:sz w:val="20"/>
                <w:szCs w:val="20"/>
                <w:color w:val="auto"/>
              </w:rPr>
            </w:pPr>
            <w:r>
              <w:rPr>
                <w:rFonts w:ascii="Arial" w:cs="Arial" w:eastAsia="Arial" w:hAnsi="Arial"/>
                <w:sz w:val="16"/>
                <w:szCs w:val="16"/>
                <w:color w:val="auto"/>
              </w:rPr>
              <w:t>12,553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80" w:type="dxa"/>
            <w:vAlign w:val="bottom"/>
          </w:tcPr>
          <w:p>
            <w:pPr>
              <w:jc w:val="right"/>
              <w:spacing w:after="0"/>
              <w:rPr>
                <w:sz w:val="20"/>
                <w:szCs w:val="20"/>
                <w:color w:val="auto"/>
              </w:rPr>
            </w:pPr>
            <w:r>
              <w:rPr>
                <w:rFonts w:ascii="Arial" w:cs="Arial" w:eastAsia="Arial" w:hAnsi="Arial"/>
                <w:sz w:val="16"/>
                <w:szCs w:val="16"/>
                <w:color w:val="auto"/>
              </w:rPr>
              <w:t>21,615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SHARE-BASED COMPENSATION PLANS</w:t>
      </w:r>
    </w:p>
    <w:p>
      <w:pPr>
        <w:spacing w:after="0" w:line="268" w:lineRule="exact"/>
        <w:rPr>
          <w:sz w:val="20"/>
          <w:szCs w:val="20"/>
          <w:color w:val="auto"/>
        </w:rPr>
      </w:pPr>
    </w:p>
    <w:p>
      <w:pPr>
        <w:ind w:right="920"/>
        <w:spacing w:after="0" w:line="260" w:lineRule="auto"/>
        <w:rPr>
          <w:sz w:val="20"/>
          <w:szCs w:val="20"/>
          <w:color w:val="auto"/>
        </w:rPr>
      </w:pPr>
      <w:r>
        <w:rPr>
          <w:rFonts w:ascii="Arial" w:cs="Arial" w:eastAsia="Arial" w:hAnsi="Arial"/>
          <w:sz w:val="16"/>
          <w:szCs w:val="16"/>
          <w:color w:val="auto"/>
        </w:rPr>
        <w:t>Our 2015 Omnibus Incentive Plan allows for the granting of stock, restricted stock, restricted stock units, stock options, performance shares and performance share units. We had 416,325 shares available to grant at December 31, 2021.</w:t>
      </w:r>
    </w:p>
    <w:p>
      <w:pPr>
        <w:spacing w:after="0" w:line="222"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Compensation expense is determined using the grant date fair value estimated in accordance with the provisions of accounting standards for stock compensation and is recognized over the vesting periods of the individual awards. As of December 31, 2021, total unrecognized compensation expense related to non-vested stock awards was approximately $14 million and is expected to be recognized over a weighted-average period of two years. Stock-based compensation expense, which is included in Operations and maintenance on the accompanying Consolidated Statements of Income, was as follows for the years ended December 31 (in thousands):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6420" w:type="dxa"/>
            <w:vAlign w:val="bottom"/>
            <w:tcBorders>
              <w:bottom w:val="single" w:sz="8" w:color="CEFFE7"/>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2019</w:t>
            </w:r>
          </w:p>
        </w:tc>
      </w:tr>
      <w:tr>
        <w:trPr>
          <w:trHeight w:val="213"/>
        </w:trPr>
        <w:tc>
          <w:tcPr>
            <w:tcW w:w="6420" w:type="dxa"/>
            <w:vAlign w:val="bottom"/>
            <w:shd w:val="clear" w:color="auto" w:fill="CEFFE7"/>
          </w:tcPr>
          <w:p>
            <w:pPr>
              <w:ind w:left="2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shd w:val="clear" w:color="auto" w:fill="CEFFE7"/>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9,655</w:t>
            </w:r>
          </w:p>
        </w:tc>
        <w:tc>
          <w:tcPr>
            <w:tcW w:w="1060" w:type="dxa"/>
            <w:vAlign w:val="bottom"/>
            <w:shd w:val="clear" w:color="auto" w:fill="CEFFE7"/>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5,373</w:t>
            </w:r>
          </w:p>
        </w:tc>
        <w:tc>
          <w:tcPr>
            <w:tcW w:w="40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12,095</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Restricted Stock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restricted stock and restricted stock unit awards equals the market price of our stock on the date of grant.</w:t>
      </w:r>
    </w:p>
    <w:p>
      <w:pPr>
        <w:spacing w:after="0" w:line="24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shares carry a restriction on the ability to sell the shares until the shares vest. The shares substantially vest over three years, contingent on continued employment. Compensation expense related to the awards is recognized over the vesting period.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20" w:type="dxa"/>
            <w:vAlign w:val="bottom"/>
            <w:gridSpan w:val="3"/>
          </w:tcPr>
          <w:p>
            <w:pPr>
              <w:spacing w:after="0"/>
              <w:rPr>
                <w:sz w:val="20"/>
                <w:szCs w:val="20"/>
                <w:color w:val="auto"/>
              </w:rPr>
            </w:pPr>
            <w:r>
              <w:rPr>
                <w:rFonts w:ascii="Arial" w:cs="Arial" w:eastAsia="Arial" w:hAnsi="Arial"/>
                <w:sz w:val="16"/>
                <w:szCs w:val="16"/>
                <w:color w:val="auto"/>
              </w:rPr>
              <w:t>A summary of the status of the restricted stock and restricted stock units at December 31, 2021, was as follows: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291"/>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jc w:val="right"/>
              <w:ind w:right="39"/>
              <w:spacing w:after="0"/>
              <w:rPr>
                <w:sz w:val="20"/>
                <w:szCs w:val="20"/>
                <w:color w:val="auto"/>
              </w:rPr>
            </w:pPr>
            <w:r>
              <w:rPr>
                <w:rFonts w:ascii="Arial" w:cs="Arial" w:eastAsia="Arial" w:hAnsi="Arial"/>
                <w:sz w:val="16"/>
                <w:szCs w:val="16"/>
                <w:color w:val="auto"/>
              </w:rPr>
              <w:t>Weighted-Average Grant Date</w:t>
            </w:r>
          </w:p>
        </w:tc>
      </w:tr>
      <w:tr>
        <w:trPr>
          <w:trHeight w:val="198"/>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160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color w:val="auto"/>
              </w:rPr>
              <w:t>Restricted Stock</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Fair Value</w:t>
            </w: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600" w:type="dxa"/>
            <w:vAlign w:val="bottom"/>
          </w:tcPr>
          <w:p>
            <w:pPr>
              <w:jc w:val="center"/>
              <w:ind w:left="279"/>
              <w:spacing w:after="0"/>
              <w:rPr>
                <w:sz w:val="20"/>
                <w:szCs w:val="20"/>
                <w:color w:val="auto"/>
              </w:rPr>
            </w:pPr>
            <w:r>
              <w:rPr>
                <w:rFonts w:ascii="Arial" w:cs="Arial" w:eastAsia="Arial" w:hAnsi="Arial"/>
                <w:sz w:val="16"/>
                <w:szCs w:val="16"/>
                <w:color w:val="auto"/>
              </w:rPr>
              <w:t>(in thousands)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40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Balance at January 1, 2021</w:t>
            </w:r>
          </w:p>
        </w:tc>
        <w:tc>
          <w:tcPr>
            <w:tcW w:w="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69.05</w:t>
            </w:r>
          </w:p>
        </w:tc>
      </w:tr>
      <w:tr>
        <w:trPr>
          <w:trHeight w:val="213"/>
        </w:trPr>
        <w:tc>
          <w:tcPr>
            <w:tcW w:w="2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6"/>
                <w:szCs w:val="16"/>
                <w:color w:val="auto"/>
              </w:rPr>
              <w:t>Granted</w:t>
            </w:r>
          </w:p>
        </w:tc>
        <w:tc>
          <w:tcPr>
            <w:tcW w:w="36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65.64</w:t>
            </w:r>
          </w:p>
        </w:tc>
      </w:tr>
      <w:tr>
        <w:trPr>
          <w:trHeight w:val="219"/>
        </w:trPr>
        <w:tc>
          <w:tcPr>
            <w:tcW w:w="20" w:type="dxa"/>
            <w:vAlign w:val="bottom"/>
          </w:tcPr>
          <w:p>
            <w:pPr>
              <w:spacing w:after="0"/>
              <w:rPr>
                <w:sz w:val="19"/>
                <w:szCs w:val="19"/>
                <w:color w:val="auto"/>
              </w:rPr>
            </w:pPr>
          </w:p>
        </w:tc>
        <w:tc>
          <w:tcPr>
            <w:tcW w:w="840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Vested</w:t>
            </w:r>
          </w:p>
        </w:tc>
        <w:tc>
          <w:tcPr>
            <w:tcW w:w="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EFFE7"/>
          </w:tcPr>
          <w:p>
            <w:pPr>
              <w:spacing w:after="0"/>
              <w:rPr>
                <w:sz w:val="19"/>
                <w:szCs w:val="19"/>
                <w:color w:val="auto"/>
              </w:rPr>
            </w:pPr>
          </w:p>
        </w:tc>
        <w:tc>
          <w:tcPr>
            <w:tcW w:w="2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67.85</w:t>
            </w:r>
          </w:p>
        </w:tc>
      </w:tr>
      <w:tr>
        <w:trPr>
          <w:trHeight w:val="213"/>
        </w:trPr>
        <w:tc>
          <w:tcPr>
            <w:tcW w:w="20" w:type="dxa"/>
            <w:vAlign w:val="bottom"/>
          </w:tcPr>
          <w:p>
            <w:pPr>
              <w:spacing w:after="0"/>
              <w:rPr>
                <w:sz w:val="18"/>
                <w:szCs w:val="18"/>
                <w:color w:val="auto"/>
              </w:rPr>
            </w:pPr>
          </w:p>
        </w:tc>
        <w:tc>
          <w:tcPr>
            <w:tcW w:w="680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Forfeited</w:t>
            </w:r>
          </w:p>
        </w:tc>
        <w:tc>
          <w:tcPr>
            <w:tcW w:w="16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69.59</w:t>
            </w:r>
          </w:p>
        </w:tc>
      </w:tr>
      <w:tr>
        <w:trPr>
          <w:trHeight w:val="232"/>
        </w:trPr>
        <w:tc>
          <w:tcPr>
            <w:tcW w:w="20" w:type="dxa"/>
            <w:vAlign w:val="bottom"/>
          </w:tcPr>
          <w:p>
            <w:pPr>
              <w:spacing w:after="0"/>
              <w:rPr>
                <w:sz w:val="20"/>
                <w:szCs w:val="20"/>
                <w:color w:val="auto"/>
              </w:rPr>
            </w:pPr>
          </w:p>
        </w:tc>
        <w:tc>
          <w:tcPr>
            <w:tcW w:w="840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Balance at December 31, 2021</w:t>
            </w:r>
          </w:p>
        </w:tc>
        <w:tc>
          <w:tcPr>
            <w:tcW w:w="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67.64</w:t>
            </w: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EFFE7"/>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weighted-average grant-date fair value of restricted stock granted and the total fair value of shares vested during the years ended December 31, were as follows: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ind w:right="99"/>
              <w:spacing w:after="0"/>
              <w:rPr>
                <w:sz w:val="20"/>
                <w:szCs w:val="20"/>
                <w:color w:val="auto"/>
              </w:rPr>
            </w:pPr>
            <w:r>
              <w:rPr>
                <w:rFonts w:ascii="Arial" w:cs="Arial" w:eastAsia="Arial" w:hAnsi="Arial"/>
                <w:sz w:val="16"/>
                <w:szCs w:val="16"/>
                <w:color w:val="auto"/>
              </w:rPr>
              <w:t>Weighted-Average Grant</w:t>
            </w:r>
          </w:p>
        </w:tc>
        <w:tc>
          <w:tcPr>
            <w:tcW w:w="160" w:type="dxa"/>
            <w:vAlign w:val="bottom"/>
          </w:tcPr>
          <w:p>
            <w:pPr>
              <w:spacing w:after="0"/>
              <w:rPr>
                <w:sz w:val="16"/>
                <w:szCs w:val="16"/>
                <w:color w:val="auto"/>
              </w:rPr>
            </w:pPr>
          </w:p>
        </w:tc>
        <w:tc>
          <w:tcPr>
            <w:tcW w:w="2060" w:type="dxa"/>
            <w:vAlign w:val="bottom"/>
          </w:tcPr>
          <w:p>
            <w:pPr>
              <w:jc w:val="center"/>
              <w:ind w:right="59"/>
              <w:spacing w:after="0"/>
              <w:rPr>
                <w:sz w:val="20"/>
                <w:szCs w:val="20"/>
                <w:color w:val="auto"/>
              </w:rPr>
            </w:pPr>
            <w:r>
              <w:rPr>
                <w:rFonts w:ascii="Arial" w:cs="Arial" w:eastAsia="Arial" w:hAnsi="Arial"/>
                <w:sz w:val="16"/>
                <w:szCs w:val="16"/>
                <w:color w:val="auto"/>
                <w:w w:val="98"/>
              </w:rPr>
              <w:t>Total Fair Value of Shares</w:t>
            </w:r>
          </w:p>
        </w:tc>
      </w:tr>
      <w:tr>
        <w:trPr>
          <w:trHeight w:val="198"/>
        </w:trPr>
        <w:tc>
          <w:tcPr>
            <w:tcW w:w="6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Date Fair Value</w:t>
            </w:r>
          </w:p>
        </w:tc>
        <w:tc>
          <w:tcPr>
            <w:tcW w:w="1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6"/>
              </w:rPr>
              <w:t>Vested</w:t>
            </w:r>
          </w:p>
        </w:tc>
      </w:tr>
      <w:tr>
        <w:trPr>
          <w:trHeight w:val="210"/>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jc w:val="center"/>
              <w:ind w:right="59"/>
              <w:spacing w:after="0"/>
              <w:rPr>
                <w:sz w:val="20"/>
                <w:szCs w:val="20"/>
                <w:color w:val="auto"/>
              </w:rPr>
            </w:pPr>
            <w:r>
              <w:rPr>
                <w:rFonts w:ascii="Arial" w:cs="Arial" w:eastAsia="Arial" w:hAnsi="Arial"/>
                <w:sz w:val="16"/>
                <w:szCs w:val="16"/>
                <w:color w:val="auto"/>
              </w:rPr>
              <w:t>(in thousands)</w:t>
            </w:r>
          </w:p>
        </w:tc>
      </w:tr>
      <w:tr>
        <w:trPr>
          <w:trHeight w:val="219"/>
        </w:trPr>
        <w:tc>
          <w:tcPr>
            <w:tcW w:w="6780" w:type="dxa"/>
            <w:vAlign w:val="bottom"/>
            <w:shd w:val="clear" w:color="auto" w:fill="CEFFE7"/>
          </w:tcPr>
          <w:p>
            <w:pPr>
              <w:jc w:val="right"/>
              <w:ind w:right="6339"/>
              <w:spacing w:after="0"/>
              <w:rPr>
                <w:sz w:val="20"/>
                <w:szCs w:val="20"/>
                <w:color w:val="auto"/>
              </w:rPr>
            </w:pPr>
            <w:r>
              <w:rPr>
                <w:rFonts w:ascii="Arial" w:cs="Arial" w:eastAsia="Arial" w:hAnsi="Arial"/>
                <w:sz w:val="16"/>
                <w:szCs w:val="16"/>
                <w:color w:val="auto"/>
                <w:w w:val="95"/>
              </w:rPr>
              <w:t>2021</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65.64</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5,400</w:t>
            </w:r>
          </w:p>
        </w:tc>
      </w:tr>
      <w:tr>
        <w:trPr>
          <w:trHeight w:val="213"/>
        </w:trPr>
        <w:tc>
          <w:tcPr>
            <w:tcW w:w="6780" w:type="dxa"/>
            <w:vAlign w:val="bottom"/>
          </w:tcPr>
          <w:p>
            <w:pPr>
              <w:jc w:val="right"/>
              <w:ind w:right="6339"/>
              <w:spacing w:after="0"/>
              <w:rPr>
                <w:sz w:val="20"/>
                <w:szCs w:val="20"/>
                <w:color w:val="auto"/>
              </w:rPr>
            </w:pPr>
            <w:r>
              <w:rPr>
                <w:rFonts w:ascii="Arial" w:cs="Arial" w:eastAsia="Arial" w:hAnsi="Arial"/>
                <w:sz w:val="16"/>
                <w:szCs w:val="16"/>
                <w:color w:val="auto"/>
                <w:w w:val="95"/>
              </w:rPr>
              <w:t>2020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69.49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6,722</w:t>
            </w:r>
          </w:p>
        </w:tc>
      </w:tr>
      <w:tr>
        <w:trPr>
          <w:trHeight w:val="219"/>
        </w:trPr>
        <w:tc>
          <w:tcPr>
            <w:tcW w:w="6780" w:type="dxa"/>
            <w:vAlign w:val="bottom"/>
            <w:shd w:val="clear" w:color="auto" w:fill="CEFFE7"/>
          </w:tcPr>
          <w:p>
            <w:pPr>
              <w:jc w:val="right"/>
              <w:ind w:right="6339"/>
              <w:spacing w:after="0"/>
              <w:rPr>
                <w:sz w:val="20"/>
                <w:szCs w:val="20"/>
                <w:color w:val="auto"/>
              </w:rPr>
            </w:pPr>
            <w:r>
              <w:rPr>
                <w:rFonts w:ascii="Arial" w:cs="Arial" w:eastAsia="Arial" w:hAnsi="Arial"/>
                <w:sz w:val="16"/>
                <w:szCs w:val="16"/>
                <w:color w:val="auto"/>
                <w:w w:val="95"/>
              </w:rPr>
              <w:t>2019</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73.66</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8,438</w:t>
            </w:r>
          </w:p>
        </w:tc>
      </w:tr>
    </w:tbl>
    <w:p>
      <w:pPr>
        <w:spacing w:after="0" w:line="339"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As of December 31, 2021, there was $11 million of unrecognized compensation expense related to non-vested restricted stock that is expected to be recognized over a weighted-average period of 2.2 years.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 Share Plan</w:t>
      </w:r>
    </w:p>
    <w:p>
      <w:pPr>
        <w:spacing w:after="0" w:line="248"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Prior to 2021, certain officers of the Company and its subsidiaries became participants in a market-based performance share award plan. Performance shares are awarded based on our total shareholder return over designated performance periods as measured against a selected peer group. In addition, certain stock price performance must be achieved for a payout to occur. The final value of the performance shares will vary according to the number of shares of common stock that are ultimately granted based upon the actual level of attainment of the performance criteria.</w:t>
      </w:r>
    </w:p>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These performance awards are paid 50% in cash and 50% in common stock. The cash portion accrued is classified as a liability and the stock portion is classified as equity. In the event of a change-in-control, performance awards are paid 100% in cash. If it is determined that a change-in-control is probable, the equity portion of $2.1 million at December 31, 2021 would be reclassified as a liability.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184"/>
        </w:trPr>
        <w:tc>
          <w:tcPr>
            <w:tcW w:w="224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2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7260" w:type="dxa"/>
            <w:vAlign w:val="bottom"/>
            <w:gridSpan w:val="6"/>
          </w:tcPr>
          <w:p>
            <w:pPr>
              <w:spacing w:after="0"/>
              <w:rPr>
                <w:sz w:val="20"/>
                <w:szCs w:val="20"/>
                <w:color w:val="auto"/>
              </w:rPr>
            </w:pPr>
            <w:r>
              <w:rPr>
                <w:rFonts w:ascii="Arial" w:cs="Arial" w:eastAsia="Arial" w:hAnsi="Arial"/>
                <w:sz w:val="16"/>
                <w:szCs w:val="16"/>
                <w:color w:val="auto"/>
              </w:rPr>
              <w:t>The outstanding performance periods at December 31, 2021 were as follows (shares in thousands):</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color w:val="auto"/>
              </w:rPr>
              <w:t>Possible Payout Range of Target</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gridSpan w:val="2"/>
          </w:tcPr>
          <w:p>
            <w:pPr>
              <w:ind w:left="760"/>
              <w:spacing w:after="0"/>
              <w:rPr>
                <w:sz w:val="20"/>
                <w:szCs w:val="20"/>
                <w:color w:val="auto"/>
              </w:rPr>
            </w:pPr>
            <w:r>
              <w:rPr>
                <w:rFonts w:ascii="Arial" w:cs="Arial" w:eastAsia="Arial" w:hAnsi="Arial"/>
                <w:sz w:val="16"/>
                <w:szCs w:val="16"/>
                <w:color w:val="auto"/>
              </w:rPr>
              <w:t>Grant Date</w:t>
            </w:r>
          </w:p>
        </w:tc>
        <w:tc>
          <w:tcPr>
            <w:tcW w:w="340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6"/>
                <w:szCs w:val="16"/>
                <w:color w:val="auto"/>
              </w:rPr>
              <w:t>Performance Period</w:t>
            </w:r>
          </w:p>
        </w:tc>
        <w:tc>
          <w:tcPr>
            <w:tcW w:w="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Target Grant of Shares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Minimum</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rPr>
              <w:t>Maximum</w:t>
            </w:r>
          </w:p>
        </w:tc>
        <w:tc>
          <w:tcPr>
            <w:tcW w:w="0" w:type="dxa"/>
            <w:vAlign w:val="bottom"/>
          </w:tcPr>
          <w:p>
            <w:pPr>
              <w:spacing w:after="0"/>
              <w:rPr>
                <w:sz w:val="1"/>
                <w:szCs w:val="1"/>
                <w:color w:val="auto"/>
              </w:rPr>
            </w:pPr>
          </w:p>
        </w:tc>
      </w:tr>
      <w:tr>
        <w:trPr>
          <w:trHeight w:val="212"/>
        </w:trPr>
        <w:tc>
          <w:tcPr>
            <w:tcW w:w="2240" w:type="dxa"/>
            <w:vAlign w:val="bottom"/>
            <w:gridSpan w:val="2"/>
            <w:shd w:val="clear" w:color="auto" w:fill="CEFFE7"/>
          </w:tcPr>
          <w:p>
            <w:pPr>
              <w:ind w:left="580"/>
              <w:spacing w:after="0"/>
              <w:rPr>
                <w:sz w:val="20"/>
                <w:szCs w:val="20"/>
                <w:color w:val="auto"/>
              </w:rPr>
            </w:pPr>
            <w:r>
              <w:rPr>
                <w:rFonts w:ascii="Arial" w:cs="Arial" w:eastAsia="Arial" w:hAnsi="Arial"/>
                <w:sz w:val="16"/>
                <w:szCs w:val="16"/>
                <w:color w:val="auto"/>
              </w:rPr>
              <w:t>January 1, 2020</w:t>
            </w:r>
          </w:p>
        </w:tc>
        <w:tc>
          <w:tcPr>
            <w:tcW w:w="3400" w:type="dxa"/>
            <w:vAlign w:val="bottom"/>
            <w:gridSpan w:val="2"/>
            <w:shd w:val="clear" w:color="auto" w:fill="CEFFE7"/>
          </w:tcPr>
          <w:p>
            <w:pPr>
              <w:jc w:val="center"/>
              <w:ind w:left="219"/>
              <w:spacing w:after="0"/>
              <w:rPr>
                <w:sz w:val="20"/>
                <w:szCs w:val="20"/>
                <w:color w:val="auto"/>
              </w:rPr>
            </w:pPr>
            <w:r>
              <w:rPr>
                <w:rFonts w:ascii="Arial" w:cs="Arial" w:eastAsia="Arial" w:hAnsi="Arial"/>
                <w:sz w:val="16"/>
                <w:szCs w:val="16"/>
                <w:color w:val="auto"/>
              </w:rPr>
              <w:t>January 1, 2020 - December 31, 2022</w:t>
            </w:r>
          </w:p>
        </w:tc>
        <w:tc>
          <w:tcPr>
            <w:tcW w:w="380" w:type="dxa"/>
            <w:vAlign w:val="bottom"/>
            <w:shd w:val="clear" w:color="auto" w:fill="CEFFE7"/>
          </w:tcPr>
          <w:p>
            <w:pPr>
              <w:spacing w:after="0"/>
              <w:rPr>
                <w:sz w:val="18"/>
                <w:szCs w:val="18"/>
                <w:color w:val="auto"/>
              </w:rPr>
            </w:pPr>
          </w:p>
        </w:tc>
        <w:tc>
          <w:tcPr>
            <w:tcW w:w="1240" w:type="dxa"/>
            <w:vAlign w:val="bottom"/>
            <w:shd w:val="clear" w:color="auto" w:fill="CEFFE7"/>
          </w:tcPr>
          <w:p>
            <w:pPr>
              <w:jc w:val="center"/>
              <w:ind w:left="739"/>
              <w:spacing w:after="0"/>
              <w:rPr>
                <w:sz w:val="20"/>
                <w:szCs w:val="20"/>
                <w:color w:val="auto"/>
              </w:rPr>
            </w:pPr>
            <w:r>
              <w:rPr>
                <w:rFonts w:ascii="Arial" w:cs="Arial" w:eastAsia="Arial" w:hAnsi="Arial"/>
                <w:sz w:val="16"/>
                <w:szCs w:val="16"/>
                <w:color w:val="auto"/>
              </w:rPr>
              <w:t>36</w:t>
            </w:r>
          </w:p>
        </w:tc>
        <w:tc>
          <w:tcPr>
            <w:tcW w:w="720" w:type="dxa"/>
            <w:vAlign w:val="bottom"/>
            <w:shd w:val="clear" w:color="auto" w:fill="CEFFE7"/>
          </w:tcPr>
          <w:p>
            <w:pPr>
              <w:spacing w:after="0"/>
              <w:rPr>
                <w:sz w:val="18"/>
                <w:szCs w:val="18"/>
                <w:color w:val="auto"/>
              </w:rPr>
            </w:pPr>
          </w:p>
        </w:tc>
        <w:tc>
          <w:tcPr>
            <w:tcW w:w="1380" w:type="dxa"/>
            <w:vAlign w:val="bottom"/>
            <w:gridSpan w:val="2"/>
            <w:shd w:val="clear" w:color="auto" w:fill="CEFFE7"/>
          </w:tcPr>
          <w:p>
            <w:pPr>
              <w:jc w:val="right"/>
              <w:ind w:right="199"/>
              <w:spacing w:after="0"/>
              <w:rPr>
                <w:sz w:val="20"/>
                <w:szCs w:val="20"/>
                <w:color w:val="auto"/>
              </w:rPr>
            </w:pPr>
            <w:r>
              <w:rPr>
                <w:rFonts w:ascii="Arial" w:cs="Arial" w:eastAsia="Arial" w:hAnsi="Arial"/>
                <w:sz w:val="16"/>
                <w:szCs w:val="16"/>
                <w:color w:val="auto"/>
              </w:rPr>
              <w:t>0%</w:t>
            </w:r>
          </w:p>
        </w:tc>
        <w:tc>
          <w:tcPr>
            <w:tcW w:w="120" w:type="dxa"/>
            <w:vAlign w:val="bottom"/>
            <w:shd w:val="clear" w:color="auto" w:fill="CEFFE7"/>
          </w:tcPr>
          <w:p>
            <w:pPr>
              <w:spacing w:after="0"/>
              <w:rPr>
                <w:sz w:val="18"/>
                <w:szCs w:val="18"/>
                <w:color w:val="auto"/>
              </w:rPr>
            </w:pPr>
          </w:p>
        </w:tc>
        <w:tc>
          <w:tcPr>
            <w:tcW w:w="176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0"/>
        </w:trPr>
        <w:tc>
          <w:tcPr>
            <w:tcW w:w="2240" w:type="dxa"/>
            <w:vAlign w:val="bottom"/>
            <w:gridSpan w:val="2"/>
          </w:tcPr>
          <w:p>
            <w:pPr>
              <w:ind w:left="580"/>
              <w:spacing w:after="0"/>
              <w:rPr>
                <w:sz w:val="20"/>
                <w:szCs w:val="20"/>
                <w:color w:val="auto"/>
              </w:rPr>
            </w:pPr>
            <w:r>
              <w:rPr>
                <w:rFonts w:ascii="Arial" w:cs="Arial" w:eastAsia="Arial" w:hAnsi="Arial"/>
                <w:sz w:val="16"/>
                <w:szCs w:val="16"/>
                <w:color w:val="auto"/>
              </w:rPr>
              <w:t>January 1, 2019</w:t>
            </w:r>
          </w:p>
        </w:tc>
        <w:tc>
          <w:tcPr>
            <w:tcW w:w="3400" w:type="dxa"/>
            <w:vAlign w:val="bottom"/>
            <w:gridSpan w:val="2"/>
          </w:tcPr>
          <w:p>
            <w:pPr>
              <w:jc w:val="center"/>
              <w:ind w:left="219"/>
              <w:spacing w:after="0"/>
              <w:rPr>
                <w:sz w:val="20"/>
                <w:szCs w:val="20"/>
                <w:color w:val="auto"/>
              </w:rPr>
            </w:pPr>
            <w:r>
              <w:rPr>
                <w:rFonts w:ascii="Arial" w:cs="Arial" w:eastAsia="Arial" w:hAnsi="Arial"/>
                <w:sz w:val="16"/>
                <w:szCs w:val="16"/>
                <w:color w:val="auto"/>
              </w:rPr>
              <w:t>January 1, 2019 - December 31, 2021</w:t>
            </w:r>
          </w:p>
        </w:tc>
        <w:tc>
          <w:tcPr>
            <w:tcW w:w="380" w:type="dxa"/>
            <w:vAlign w:val="bottom"/>
          </w:tcPr>
          <w:p>
            <w:pPr>
              <w:spacing w:after="0"/>
              <w:rPr>
                <w:sz w:val="18"/>
                <w:szCs w:val="18"/>
                <w:color w:val="auto"/>
              </w:rPr>
            </w:pPr>
          </w:p>
        </w:tc>
        <w:tc>
          <w:tcPr>
            <w:tcW w:w="1240" w:type="dxa"/>
            <w:vAlign w:val="bottom"/>
          </w:tcPr>
          <w:p>
            <w:pPr>
              <w:jc w:val="center"/>
              <w:ind w:left="739"/>
              <w:spacing w:after="0"/>
              <w:rPr>
                <w:sz w:val="20"/>
                <w:szCs w:val="20"/>
                <w:color w:val="auto"/>
              </w:rPr>
            </w:pPr>
            <w:r>
              <w:rPr>
                <w:rFonts w:ascii="Arial" w:cs="Arial" w:eastAsia="Arial" w:hAnsi="Arial"/>
                <w:sz w:val="16"/>
                <w:szCs w:val="16"/>
                <w:color w:val="auto"/>
              </w:rPr>
              <w:t>36</w:t>
            </w:r>
          </w:p>
        </w:tc>
        <w:tc>
          <w:tcPr>
            <w:tcW w:w="720" w:type="dxa"/>
            <w:vAlign w:val="bottom"/>
          </w:tcPr>
          <w:p>
            <w:pPr>
              <w:spacing w:after="0"/>
              <w:rPr>
                <w:sz w:val="18"/>
                <w:szCs w:val="18"/>
                <w:color w:val="auto"/>
              </w:rPr>
            </w:pPr>
          </w:p>
        </w:tc>
        <w:tc>
          <w:tcPr>
            <w:tcW w:w="1380" w:type="dxa"/>
            <w:vAlign w:val="bottom"/>
            <w:gridSpan w:val="2"/>
          </w:tcPr>
          <w:p>
            <w:pPr>
              <w:jc w:val="right"/>
              <w:ind w:right="199"/>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1760" w:type="dxa"/>
            <w:vAlign w:val="bottom"/>
          </w:tcPr>
          <w:p>
            <w:pPr>
              <w:jc w:val="center"/>
              <w:ind w:left="17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526"/>
        </w:trPr>
        <w:tc>
          <w:tcPr>
            <w:tcW w:w="7260" w:type="dxa"/>
            <w:vAlign w:val="bottom"/>
            <w:gridSpan w:val="6"/>
          </w:tcPr>
          <w:p>
            <w:pPr>
              <w:spacing w:after="0"/>
              <w:rPr>
                <w:sz w:val="20"/>
                <w:szCs w:val="20"/>
                <w:color w:val="auto"/>
              </w:rPr>
            </w:pPr>
            <w:r>
              <w:rPr>
                <w:rFonts w:ascii="Arial" w:cs="Arial" w:eastAsia="Arial" w:hAnsi="Arial"/>
                <w:sz w:val="16"/>
                <w:szCs w:val="16"/>
                <w:color w:val="auto"/>
              </w:rPr>
              <w:t>A summary of the status of the Performance Share Plan at December 31, 2021 was as follows:</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color w:val="auto"/>
              </w:rPr>
              <w:t>Equity Portion</w:t>
            </w: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jc w:val="right"/>
              <w:ind w:right="1079"/>
              <w:spacing w:after="0"/>
              <w:rPr>
                <w:sz w:val="20"/>
                <w:szCs w:val="20"/>
                <w:color w:val="auto"/>
              </w:rPr>
            </w:pPr>
            <w:r>
              <w:rPr>
                <w:rFonts w:ascii="Arial" w:cs="Arial" w:eastAsia="Arial" w:hAnsi="Arial"/>
                <w:sz w:val="16"/>
                <w:szCs w:val="16"/>
                <w:color w:val="auto"/>
              </w:rPr>
              <w:t>Liability Portion</w:t>
            </w:r>
          </w:p>
        </w:tc>
        <w:tc>
          <w:tcPr>
            <w:tcW w:w="0" w:type="dxa"/>
            <w:vAlign w:val="bottom"/>
          </w:tcPr>
          <w:p>
            <w:pPr>
              <w:spacing w:after="0"/>
              <w:rPr>
                <w:sz w:val="1"/>
                <w:szCs w:val="1"/>
                <w:color w:val="auto"/>
              </w:rPr>
            </w:pPr>
          </w:p>
        </w:tc>
      </w:tr>
      <w:tr>
        <w:trPr>
          <w:trHeight w:val="214"/>
        </w:trPr>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19"/>
              <w:spacing w:after="0"/>
              <w:rPr>
                <w:sz w:val="20"/>
                <w:szCs w:val="20"/>
                <w:color w:val="auto"/>
              </w:rPr>
            </w:pPr>
            <w:r>
              <w:rPr>
                <w:rFonts w:ascii="Arial" w:cs="Arial" w:eastAsia="Arial" w:hAnsi="Arial"/>
                <w:sz w:val="16"/>
                <w:szCs w:val="16"/>
                <w:color w:val="auto"/>
              </w:rPr>
              <w:t>Weighted-Average Fair</w:t>
            </w:r>
          </w:p>
        </w:tc>
        <w:tc>
          <w:tcPr>
            <w:tcW w:w="0" w:type="dxa"/>
            <w:vAlign w:val="bottom"/>
          </w:tcPr>
          <w:p>
            <w:pPr>
              <w:spacing w:after="0"/>
              <w:rPr>
                <w:sz w:val="1"/>
                <w:szCs w:val="1"/>
                <w:color w:val="auto"/>
              </w:rPr>
            </w:pPr>
          </w:p>
        </w:tc>
      </w:tr>
      <w:tr>
        <w:trPr>
          <w:trHeight w:val="195"/>
        </w:trPr>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2"/>
            <w:vMerge w:val="restart"/>
          </w:tcPr>
          <w:p>
            <w:pPr>
              <w:jc w:val="right"/>
              <w:ind w:right="299"/>
              <w:spacing w:after="0"/>
              <w:rPr>
                <w:sz w:val="20"/>
                <w:szCs w:val="20"/>
                <w:color w:val="auto"/>
              </w:rPr>
            </w:pPr>
            <w:r>
              <w:rPr>
                <w:rFonts w:ascii="Arial" w:cs="Arial" w:eastAsia="Arial" w:hAnsi="Arial"/>
                <w:sz w:val="16"/>
                <w:szCs w:val="16"/>
                <w:color w:val="auto"/>
              </w:rPr>
              <w:t>Weighted-Average</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center"/>
              <w:ind w:right="19"/>
              <w:spacing w:after="0"/>
              <w:rPr>
                <w:sz w:val="20"/>
                <w:szCs w:val="20"/>
                <w:color w:val="auto"/>
              </w:rPr>
            </w:pPr>
            <w:r>
              <w:rPr>
                <w:rFonts w:ascii="Arial" w:cs="Arial" w:eastAsia="Arial" w:hAnsi="Arial"/>
                <w:sz w:val="16"/>
                <w:szCs w:val="16"/>
                <w:color w:val="auto"/>
                <w:w w:val="98"/>
              </w:rPr>
              <w:t>Value at</w:t>
            </w:r>
          </w:p>
        </w:tc>
        <w:tc>
          <w:tcPr>
            <w:tcW w:w="0" w:type="dxa"/>
            <w:vAlign w:val="bottom"/>
          </w:tcPr>
          <w:p>
            <w:pPr>
              <w:spacing w:after="0"/>
              <w:rPr>
                <w:sz w:val="1"/>
                <w:szCs w:val="1"/>
                <w:color w:val="auto"/>
              </w:rPr>
            </w:pPr>
          </w:p>
        </w:tc>
      </w:tr>
      <w:tr>
        <w:trPr>
          <w:trHeight w:val="73"/>
        </w:trPr>
        <w:tc>
          <w:tcPr>
            <w:tcW w:w="1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Shares</w:t>
            </w:r>
          </w:p>
        </w:tc>
        <w:tc>
          <w:tcPr>
            <w:tcW w:w="3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right"/>
              <w:ind w:right="99"/>
              <w:spacing w:after="0" w:line="204" w:lineRule="exact"/>
              <w:rPr>
                <w:sz w:val="20"/>
                <w:szCs w:val="20"/>
                <w:color w:val="auto"/>
              </w:rPr>
            </w:pPr>
            <w:r>
              <w:rPr>
                <w:rFonts w:ascii="Arial" w:cs="Arial" w:eastAsia="Arial" w:hAnsi="Arial"/>
                <w:sz w:val="16"/>
                <w:szCs w:val="16"/>
                <w:color w:val="auto"/>
                <w:w w:val="99"/>
              </w:rPr>
              <w:t xml:space="preserve">Grant Date Fair Value </w:t>
            </w:r>
            <w:r>
              <w:rPr>
                <w:rFonts w:ascii="Arial" w:cs="Arial" w:eastAsia="Arial" w:hAnsi="Arial"/>
                <w:sz w:val="21"/>
                <w:szCs w:val="21"/>
                <w:color w:val="auto"/>
                <w:w w:val="99"/>
                <w:vertAlign w:val="superscript"/>
              </w:rPr>
              <w:t>(a)</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Shares</w:t>
            </w: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207"/>
        </w:trPr>
        <w:tc>
          <w:tcPr>
            <w:tcW w:w="1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0" w:type="dxa"/>
            <w:vAlign w:val="bottom"/>
            <w:gridSpan w:val="2"/>
          </w:tcPr>
          <w:p>
            <w:pPr>
              <w:jc w:val="right"/>
              <w:ind w:right="99"/>
              <w:spacing w:after="0"/>
              <w:rPr>
                <w:sz w:val="20"/>
                <w:szCs w:val="20"/>
                <w:color w:val="auto"/>
              </w:rPr>
            </w:pPr>
            <w:r>
              <w:rPr>
                <w:rFonts w:ascii="Arial" w:cs="Arial" w:eastAsia="Arial" w:hAnsi="Arial"/>
                <w:sz w:val="16"/>
                <w:szCs w:val="16"/>
                <w:color w:val="auto"/>
              </w:rPr>
              <w:t>(in thousands)</w:t>
            </w: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4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Performance Shares balance at beginning of period</w:t>
            </w:r>
          </w:p>
        </w:tc>
        <w:tc>
          <w:tcPr>
            <w:tcW w:w="3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61</w:t>
            </w:r>
          </w:p>
        </w:tc>
        <w:tc>
          <w:tcPr>
            <w:tcW w:w="1240" w:type="dxa"/>
            <w:vAlign w:val="bottom"/>
            <w:shd w:val="clear" w:color="auto" w:fill="CEFFE7"/>
          </w:tcPr>
          <w:p>
            <w:pPr>
              <w:jc w:val="right"/>
              <w:ind w:right="10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69.71</w:t>
            </w:r>
          </w:p>
        </w:tc>
        <w:tc>
          <w:tcPr>
            <w:tcW w:w="13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EFFE7"/>
          </w:tcPr>
          <w:p>
            <w:pPr>
              <w:spacing w:after="0"/>
              <w:rPr>
                <w:sz w:val="19"/>
                <w:szCs w:val="19"/>
                <w:color w:val="auto"/>
              </w:rPr>
            </w:pPr>
          </w:p>
        </w:tc>
        <w:tc>
          <w:tcPr>
            <w:tcW w:w="17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40" w:type="dxa"/>
            <w:vAlign w:val="bottom"/>
            <w:gridSpan w:val="2"/>
          </w:tcPr>
          <w:p>
            <w:pPr>
              <w:ind w:left="140"/>
              <w:spacing w:after="0"/>
              <w:rPr>
                <w:sz w:val="20"/>
                <w:szCs w:val="20"/>
                <w:color w:val="auto"/>
              </w:rPr>
            </w:pPr>
            <w:r>
              <w:rPr>
                <w:rFonts w:ascii="Arial" w:cs="Arial" w:eastAsia="Arial" w:hAnsi="Arial"/>
                <w:sz w:val="16"/>
                <w:szCs w:val="16"/>
                <w:color w:val="auto"/>
              </w:rPr>
              <w:t>Granted</w:t>
            </w:r>
          </w:p>
        </w:tc>
        <w:tc>
          <w:tcPr>
            <w:tcW w:w="2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8"/>
                <w:szCs w:val="18"/>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Forfeited</w:t>
            </w:r>
          </w:p>
        </w:tc>
        <w:tc>
          <w:tcPr>
            <w:tcW w:w="238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c>
          <w:tcPr>
            <w:tcW w:w="3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EFFE7"/>
          </w:tcPr>
          <w:p>
            <w:pPr>
              <w:spacing w:after="0"/>
              <w:rPr>
                <w:sz w:val="19"/>
                <w:szCs w:val="19"/>
                <w:color w:val="auto"/>
              </w:rPr>
            </w:pPr>
          </w:p>
        </w:tc>
        <w:tc>
          <w:tcPr>
            <w:tcW w:w="72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19"/>
                <w:szCs w:val="19"/>
                <w:color w:val="auto"/>
              </w:rPr>
            </w:pPr>
          </w:p>
        </w:tc>
        <w:tc>
          <w:tcPr>
            <w:tcW w:w="17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40" w:type="dxa"/>
            <w:vAlign w:val="bottom"/>
            <w:tcBorders>
              <w:bottom w:val="single" w:sz="8" w:color="CEFFE7"/>
            </w:tcBorders>
            <w:gridSpan w:val="2"/>
          </w:tcPr>
          <w:p>
            <w:pPr>
              <w:ind w:left="140"/>
              <w:spacing w:after="0"/>
              <w:rPr>
                <w:sz w:val="20"/>
                <w:szCs w:val="20"/>
                <w:color w:val="auto"/>
              </w:rPr>
            </w:pPr>
            <w:r>
              <w:rPr>
                <w:rFonts w:ascii="Arial" w:cs="Arial" w:eastAsia="Arial" w:hAnsi="Arial"/>
                <w:sz w:val="16"/>
                <w:szCs w:val="16"/>
                <w:color w:val="auto"/>
              </w:rPr>
              <w:t>Vested</w:t>
            </w:r>
          </w:p>
        </w:tc>
        <w:tc>
          <w:tcPr>
            <w:tcW w:w="2380" w:type="dxa"/>
            <w:vAlign w:val="bottom"/>
            <w:tcBorders>
              <w:bottom w:val="single" w:sz="8" w:color="CEFFE7"/>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61.82</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4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Performance Shares balance at end of period</w:t>
            </w:r>
          </w:p>
        </w:tc>
        <w:tc>
          <w:tcPr>
            <w:tcW w:w="3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w:t>
            </w:r>
          </w:p>
        </w:tc>
        <w:tc>
          <w:tcPr>
            <w:tcW w:w="1240" w:type="dxa"/>
            <w:vAlign w:val="bottom"/>
            <w:shd w:val="clear" w:color="auto" w:fill="CEFFE7"/>
          </w:tcPr>
          <w:p>
            <w:pPr>
              <w:jc w:val="right"/>
              <w:ind w:right="10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68.14</w:t>
            </w:r>
          </w:p>
        </w:tc>
        <w:tc>
          <w:tcPr>
            <w:tcW w:w="13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31.51</w:t>
            </w:r>
          </w:p>
        </w:tc>
        <w:tc>
          <w:tcPr>
            <w:tcW w:w="0" w:type="dxa"/>
            <w:vAlign w:val="bottom"/>
          </w:tcPr>
          <w:p>
            <w:pPr>
              <w:spacing w:after="0"/>
              <w:rPr>
                <w:sz w:val="1"/>
                <w:szCs w:val="1"/>
                <w:color w:val="auto"/>
              </w:rPr>
            </w:pP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880" w:type="dxa"/>
            <w:vAlign w:val="bottom"/>
            <w:tcBorders>
              <w:top w:val="single" w:sz="8" w:color="CEFFE7"/>
            </w:tcBorders>
          </w:tcPr>
          <w:p>
            <w:pPr>
              <w:spacing w:after="0" w:line="20" w:lineRule="exact"/>
              <w:rPr>
                <w:sz w:val="1"/>
                <w:szCs w:val="1"/>
                <w:color w:val="auto"/>
              </w:rPr>
            </w:pPr>
          </w:p>
        </w:tc>
        <w:tc>
          <w:tcPr>
            <w:tcW w:w="2380" w:type="dxa"/>
            <w:vAlign w:val="bottom"/>
            <w:tcBorders>
              <w:top w:val="single" w:sz="8" w:color="CEFFE7"/>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100" w:hanging="332"/>
        <w:spacing w:after="0" w:line="249" w:lineRule="auto"/>
        <w:tabs>
          <w:tab w:leader="none" w:pos="349"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grant date fair values for the performance shares granted in 2020 and 2019 were determined by Monte Carlo simulation using a blended volatility of 18% and 21%, respectively, comprised of 50% historical volatility and 50% implied volatility and the average risk-free interest rate of the three-year United States Treasury security rate in effect as of the grant 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grant-date fair value of performance share awards granted was as follows in the years ended: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3"/>
          </w:tcPr>
          <w:p>
            <w:pPr>
              <w:jc w:val="right"/>
              <w:ind w:right="39"/>
              <w:spacing w:after="0"/>
              <w:rPr>
                <w:sz w:val="20"/>
                <w:szCs w:val="20"/>
                <w:color w:val="auto"/>
              </w:rPr>
            </w:pPr>
            <w:r>
              <w:rPr>
                <w:rFonts w:ascii="Arial" w:cs="Arial" w:eastAsia="Arial" w:hAnsi="Arial"/>
                <w:sz w:val="16"/>
                <w:szCs w:val="16"/>
                <w:color w:val="auto"/>
              </w:rPr>
              <w:t>Weighted Average Grant Date Fair</w:t>
            </w:r>
          </w:p>
        </w:tc>
      </w:tr>
      <w:tr>
        <w:trPr>
          <w:trHeight w:val="198"/>
        </w:trPr>
        <w:tc>
          <w:tcPr>
            <w:tcW w:w="5300" w:type="dxa"/>
            <w:vAlign w:val="bottom"/>
            <w:tcBorders>
              <w:bottom w:val="single" w:sz="8" w:color="CEFFE7"/>
            </w:tcBorders>
          </w:tcPr>
          <w:p>
            <w:pPr>
              <w:spacing w:after="0"/>
              <w:rPr>
                <w:sz w:val="17"/>
                <w:szCs w:val="17"/>
                <w:color w:val="auto"/>
              </w:rPr>
            </w:pPr>
          </w:p>
        </w:tc>
        <w:tc>
          <w:tcPr>
            <w:tcW w:w="1680" w:type="dxa"/>
            <w:vAlign w:val="bottom"/>
            <w:tcBorders>
              <w:bottom w:val="single" w:sz="8" w:color="CEFFE7"/>
            </w:tcBorders>
          </w:tcPr>
          <w:p>
            <w:pPr>
              <w:spacing w:after="0"/>
              <w:rPr>
                <w:sz w:val="17"/>
                <w:szCs w:val="17"/>
                <w:color w:val="auto"/>
              </w:rPr>
            </w:pPr>
          </w:p>
        </w:tc>
        <w:tc>
          <w:tcPr>
            <w:tcW w:w="1340" w:type="dxa"/>
            <w:vAlign w:val="bottom"/>
            <w:tcBorders>
              <w:bottom w:val="single" w:sz="8" w:color="CEFFE7"/>
            </w:tcBorders>
          </w:tcPr>
          <w:p>
            <w:pPr>
              <w:spacing w:after="0"/>
              <w:rPr>
                <w:sz w:val="17"/>
                <w:szCs w:val="17"/>
                <w:color w:val="auto"/>
              </w:rPr>
            </w:pPr>
          </w:p>
        </w:tc>
        <w:tc>
          <w:tcPr>
            <w:tcW w:w="200" w:type="dxa"/>
            <w:vAlign w:val="bottom"/>
            <w:tcBorders>
              <w:bottom w:val="single" w:sz="8" w:color="CEFFE7"/>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Value</w:t>
            </w:r>
          </w:p>
        </w:tc>
        <w:tc>
          <w:tcPr>
            <w:tcW w:w="820" w:type="dxa"/>
            <w:vAlign w:val="bottom"/>
            <w:tcBorders>
              <w:bottom w:val="single" w:sz="8" w:color="auto"/>
            </w:tcBorders>
          </w:tcPr>
          <w:p>
            <w:pPr>
              <w:spacing w:after="0"/>
              <w:rPr>
                <w:sz w:val="17"/>
                <w:szCs w:val="17"/>
                <w:color w:val="auto"/>
              </w:rPr>
            </w:pPr>
          </w:p>
        </w:tc>
      </w:tr>
      <w:tr>
        <w:trPr>
          <w:trHeight w:val="213"/>
        </w:trPr>
        <w:tc>
          <w:tcPr>
            <w:tcW w:w="5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December 31, 2020</w:t>
            </w:r>
          </w:p>
        </w:tc>
        <w:tc>
          <w:tcPr>
            <w:tcW w:w="1680" w:type="dxa"/>
            <w:vAlign w:val="bottom"/>
            <w:shd w:val="clear" w:color="auto" w:fill="CEFFE7"/>
          </w:tcPr>
          <w:p>
            <w:pPr>
              <w:spacing w:after="0"/>
              <w:rPr>
                <w:sz w:val="18"/>
                <w:szCs w:val="18"/>
                <w:color w:val="auto"/>
              </w:rPr>
            </w:pPr>
          </w:p>
        </w:tc>
        <w:tc>
          <w:tcPr>
            <w:tcW w:w="1340" w:type="dxa"/>
            <w:vAlign w:val="bottom"/>
            <w:shd w:val="clear" w:color="auto" w:fill="CEFFE7"/>
          </w:tcPr>
          <w:p>
            <w:pPr>
              <w:spacing w:after="0"/>
              <w:rPr>
                <w:sz w:val="18"/>
                <w:szCs w:val="18"/>
                <w:color w:val="auto"/>
              </w:rPr>
            </w:pPr>
          </w:p>
        </w:tc>
        <w:tc>
          <w:tcPr>
            <w:tcW w:w="3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81.42</w:t>
            </w:r>
          </w:p>
        </w:tc>
      </w:tr>
      <w:tr>
        <w:trPr>
          <w:trHeight w:val="210"/>
        </w:trPr>
        <w:tc>
          <w:tcPr>
            <w:tcW w:w="530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1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68.72</w:t>
            </w:r>
          </w:p>
        </w:tc>
      </w:tr>
      <w:tr>
        <w:trPr>
          <w:trHeight w:val="540"/>
        </w:trPr>
        <w:tc>
          <w:tcPr>
            <w:tcW w:w="5300" w:type="dxa"/>
            <w:vAlign w:val="bottom"/>
          </w:tcPr>
          <w:p>
            <w:pPr>
              <w:spacing w:after="0"/>
              <w:rPr>
                <w:sz w:val="20"/>
                <w:szCs w:val="20"/>
                <w:color w:val="auto"/>
              </w:rPr>
            </w:pPr>
            <w:r>
              <w:rPr>
                <w:rFonts w:ascii="Arial" w:cs="Arial" w:eastAsia="Arial" w:hAnsi="Arial"/>
                <w:sz w:val="16"/>
                <w:szCs w:val="16"/>
                <w:color w:val="auto"/>
              </w:rPr>
              <w:t>Performance plan payouts have been as follows (in thousands):</w:t>
            </w: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7"/>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Performance Period</w:t>
            </w:r>
          </w:p>
        </w:tc>
        <w:tc>
          <w:tcPr>
            <w:tcW w:w="168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auto"/>
                <w:w w:val="99"/>
              </w:rPr>
              <w:t>Year Paid</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Stock Issued</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Cash Paid</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Total Intrinsic Value</w:t>
            </w:r>
          </w:p>
        </w:tc>
      </w:tr>
      <w:tr>
        <w:trPr>
          <w:trHeight w:val="212"/>
        </w:trPr>
        <w:tc>
          <w:tcPr>
            <w:tcW w:w="5300" w:type="dxa"/>
            <w:vAlign w:val="bottom"/>
            <w:shd w:val="clear" w:color="auto" w:fill="CEFFE7"/>
          </w:tcPr>
          <w:p>
            <w:pPr>
              <w:ind w:left="40"/>
              <w:spacing w:after="0"/>
              <w:rPr>
                <w:sz w:val="20"/>
                <w:szCs w:val="20"/>
                <w:color w:val="auto"/>
              </w:rPr>
            </w:pPr>
            <w:r>
              <w:rPr>
                <w:rFonts w:ascii="Arial" w:cs="Arial" w:eastAsia="Arial" w:hAnsi="Arial"/>
                <w:sz w:val="16"/>
                <w:szCs w:val="16"/>
                <w:color w:val="auto"/>
              </w:rPr>
              <w:t>January 1, 2018 to December 31, 2020</w:t>
            </w:r>
          </w:p>
        </w:tc>
        <w:tc>
          <w:tcPr>
            <w:tcW w:w="1680" w:type="dxa"/>
            <w:vAlign w:val="bottom"/>
            <w:shd w:val="clear" w:color="auto" w:fill="CEFFE7"/>
          </w:tcPr>
          <w:p>
            <w:pPr>
              <w:jc w:val="center"/>
              <w:ind w:left="359"/>
              <w:spacing w:after="0"/>
              <w:rPr>
                <w:sz w:val="20"/>
                <w:szCs w:val="20"/>
                <w:color w:val="auto"/>
              </w:rPr>
            </w:pPr>
            <w:r>
              <w:rPr>
                <w:rFonts w:ascii="Arial" w:cs="Arial" w:eastAsia="Arial" w:hAnsi="Arial"/>
                <w:sz w:val="16"/>
                <w:szCs w:val="16"/>
                <w:color w:val="auto"/>
              </w:rPr>
              <w:t>2021</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1,647</w:t>
            </w:r>
          </w:p>
        </w:tc>
        <w:tc>
          <w:tcPr>
            <w:tcW w:w="780" w:type="dxa"/>
            <w:vAlign w:val="bottom"/>
            <w:shd w:val="clear" w:color="auto" w:fill="CEFFE7"/>
          </w:tcPr>
          <w:p>
            <w:pPr>
              <w:jc w:val="right"/>
              <w:ind w:right="5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3,294</w:t>
            </w:r>
          </w:p>
        </w:tc>
      </w:tr>
      <w:tr>
        <w:trPr>
          <w:trHeight w:val="213"/>
        </w:trPr>
        <w:tc>
          <w:tcPr>
            <w:tcW w:w="5300" w:type="dxa"/>
            <w:vAlign w:val="bottom"/>
          </w:tcPr>
          <w:p>
            <w:pPr>
              <w:ind w:left="40"/>
              <w:spacing w:after="0"/>
              <w:rPr>
                <w:sz w:val="20"/>
                <w:szCs w:val="20"/>
                <w:color w:val="auto"/>
              </w:rPr>
            </w:pPr>
            <w:r>
              <w:rPr>
                <w:rFonts w:ascii="Arial" w:cs="Arial" w:eastAsia="Arial" w:hAnsi="Arial"/>
                <w:sz w:val="16"/>
                <w:szCs w:val="16"/>
                <w:color w:val="auto"/>
              </w:rPr>
              <w:t>January 1, 2017 to December 31, 2019</w:t>
            </w:r>
          </w:p>
        </w:tc>
        <w:tc>
          <w:tcPr>
            <w:tcW w:w="1680" w:type="dxa"/>
            <w:vAlign w:val="bottom"/>
          </w:tcPr>
          <w:p>
            <w:pPr>
              <w:jc w:val="center"/>
              <w:ind w:left="359"/>
              <w:spacing w:after="0"/>
              <w:rPr>
                <w:sz w:val="20"/>
                <w:szCs w:val="20"/>
                <w:color w:val="auto"/>
              </w:rPr>
            </w:pPr>
            <w:r>
              <w:rPr>
                <w:rFonts w:ascii="Arial" w:cs="Arial" w:eastAsia="Arial" w:hAnsi="Arial"/>
                <w:sz w:val="16"/>
                <w:szCs w:val="16"/>
                <w:color w:val="auto"/>
              </w:rPr>
              <w:t>2020</w:t>
            </w:r>
          </w:p>
        </w:tc>
        <w:tc>
          <w:tcPr>
            <w:tcW w:w="134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1,100</w:t>
            </w:r>
          </w:p>
        </w:tc>
        <w:tc>
          <w:tcPr>
            <w:tcW w:w="7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2,199</w:t>
            </w:r>
          </w:p>
        </w:tc>
      </w:tr>
      <w:tr>
        <w:trPr>
          <w:trHeight w:val="219"/>
        </w:trPr>
        <w:tc>
          <w:tcPr>
            <w:tcW w:w="5300" w:type="dxa"/>
            <w:vAlign w:val="bottom"/>
            <w:shd w:val="clear" w:color="auto" w:fill="CEFFE7"/>
          </w:tcPr>
          <w:p>
            <w:pPr>
              <w:ind w:left="40"/>
              <w:spacing w:after="0"/>
              <w:rPr>
                <w:sz w:val="20"/>
                <w:szCs w:val="20"/>
                <w:color w:val="auto"/>
              </w:rPr>
            </w:pPr>
            <w:r>
              <w:rPr>
                <w:rFonts w:ascii="Arial" w:cs="Arial" w:eastAsia="Arial" w:hAnsi="Arial"/>
                <w:sz w:val="16"/>
                <w:szCs w:val="16"/>
                <w:color w:val="auto"/>
              </w:rPr>
              <w:t>January 1, 2016 to December 31, 2018</w:t>
            </w:r>
          </w:p>
        </w:tc>
        <w:tc>
          <w:tcPr>
            <w:tcW w:w="1680" w:type="dxa"/>
            <w:vAlign w:val="bottom"/>
            <w:shd w:val="clear" w:color="auto" w:fill="CEFFE7"/>
          </w:tcPr>
          <w:p>
            <w:pPr>
              <w:jc w:val="center"/>
              <w:ind w:left="359"/>
              <w:spacing w:after="0"/>
              <w:rPr>
                <w:sz w:val="20"/>
                <w:szCs w:val="20"/>
                <w:color w:val="auto"/>
              </w:rPr>
            </w:pPr>
            <w:r>
              <w:rPr>
                <w:rFonts w:ascii="Arial" w:cs="Arial" w:eastAsia="Arial" w:hAnsi="Arial"/>
                <w:sz w:val="16"/>
                <w:szCs w:val="16"/>
                <w:color w:val="auto"/>
              </w:rPr>
              <w:t>2019</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2,860</w:t>
            </w:r>
          </w:p>
        </w:tc>
        <w:tc>
          <w:tcPr>
            <w:tcW w:w="780" w:type="dxa"/>
            <w:vAlign w:val="bottom"/>
            <w:shd w:val="clear" w:color="auto" w:fill="CEFFE7"/>
          </w:tcPr>
          <w:p>
            <w:pPr>
              <w:jc w:val="right"/>
              <w:ind w:right="5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5,720</w:t>
            </w:r>
          </w:p>
        </w:tc>
      </w:tr>
    </w:tbl>
    <w:p>
      <w:pPr>
        <w:spacing w:after="0" w:line="326"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On January 25, 2022, the Compensation Committee of our Board of Directors determined that the Company’s total shareholder return for the January 1, 2018 to December 31, 2020 performance period was at the 30th percentile of its peer group and confirmed a payout equal to 40.17% of target shares, valued at $1.0 million. The payout was fully accrued at December 31, 2021.</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 Share Units</w:t>
      </w:r>
    </w:p>
    <w:p>
      <w:pPr>
        <w:spacing w:after="0" w:line="24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Beginning in 2021, certain officers of the Company, and its subsidiaries, were granted performance share units which have a three-year vesting period, do not have voting rights until vested, and are subject to three specified conditions. A market condition of relative total shareholder return, and two equally weighted performance metrics of average earnings per share and the average cost to serve. The units are paid 100% in common stock should conditions be met and can range from 0% to 200% of the target award. Dividend equivalents are accrued during the vesting period and paid out based on the final number of shares awarded. In the event of participant’s death or retirement at age 55 or older, awarded vest on a pro-rata basis over the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Share Units - Market Condition</w:t>
      </w:r>
    </w:p>
    <w:p>
      <w:pPr>
        <w:spacing w:after="0" w:line="26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fair value of each share unit is based on the Company’’s closing price at December 31 of the year prior to the award and a Monte Carlo simulation. The Monte Carlo simulation is used to estimate expected share payout based on the Company’s TSR for a three-year performance period relative to the designated peer group beginning January 1 of the award year.</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160" w:type="dxa"/>
            <w:vAlign w:val="bottom"/>
            <w:tcBorders>
              <w:bottom w:val="single" w:sz="8" w:color="CEFFE7"/>
            </w:tcBorders>
          </w:tcPr>
          <w:p>
            <w:pPr>
              <w:spacing w:after="0"/>
              <w:rPr>
                <w:sz w:val="17"/>
                <w:szCs w:val="17"/>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2021</w:t>
            </w:r>
          </w:p>
        </w:tc>
      </w:tr>
      <w:tr>
        <w:trPr>
          <w:trHeight w:val="212"/>
        </w:trPr>
        <w:tc>
          <w:tcPr>
            <w:tcW w:w="8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Fair value of share units award</w:t>
            </w:r>
          </w:p>
        </w:tc>
        <w:tc>
          <w:tcPr>
            <w:tcW w:w="30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8"/>
              </w:rPr>
              <w:t>$64.97</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Three-year risk-free rate</w:t>
            </w:r>
          </w:p>
        </w:tc>
        <w:tc>
          <w:tcPr>
            <w:tcW w:w="3080" w:type="dxa"/>
            <w:vAlign w:val="bottom"/>
          </w:tcPr>
          <w:p>
            <w:pPr>
              <w:jc w:val="center"/>
              <w:spacing w:after="0"/>
              <w:rPr>
                <w:sz w:val="20"/>
                <w:szCs w:val="20"/>
                <w:color w:val="auto"/>
              </w:rPr>
            </w:pPr>
            <w:r>
              <w:rPr>
                <w:rFonts w:ascii="Arial" w:cs="Arial" w:eastAsia="Arial" w:hAnsi="Arial"/>
                <w:sz w:val="16"/>
                <w:szCs w:val="16"/>
                <w:color w:val="auto"/>
              </w:rPr>
              <w:t>0.17%</w:t>
            </w:r>
          </w:p>
        </w:tc>
      </w:tr>
      <w:tr>
        <w:trPr>
          <w:trHeight w:val="219"/>
        </w:trPr>
        <w:tc>
          <w:tcPr>
            <w:tcW w:w="8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Corporation’s common stock volatility</w:t>
            </w:r>
          </w:p>
        </w:tc>
        <w:tc>
          <w:tcPr>
            <w:tcW w:w="30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33%</w:t>
            </w: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Volatility range for the peer group</w:t>
            </w:r>
          </w:p>
        </w:tc>
        <w:tc>
          <w:tcPr>
            <w:tcW w:w="3080" w:type="dxa"/>
            <w:vAlign w:val="bottom"/>
          </w:tcPr>
          <w:p>
            <w:pPr>
              <w:jc w:val="right"/>
              <w:ind w:right="919"/>
              <w:spacing w:after="0"/>
              <w:rPr>
                <w:sz w:val="20"/>
                <w:szCs w:val="20"/>
                <w:color w:val="auto"/>
              </w:rPr>
            </w:pPr>
            <w:r>
              <w:rPr>
                <w:rFonts w:ascii="Arial" w:cs="Arial" w:eastAsia="Arial" w:hAnsi="Arial"/>
                <w:sz w:val="16"/>
                <w:szCs w:val="16"/>
                <w:color w:val="auto"/>
              </w:rPr>
              <w:t>25 %  -  76%</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Share Units - Performance Condition</w:t>
      </w:r>
    </w:p>
    <w:p>
      <w:pPr>
        <w:spacing w:after="0" w:line="26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 performance condition share unit vests at the end of the three-year performance period if the specified performance conditions are achieved. The conditions are based on the Company’s average earnings per share and the average cost to serve. The grant-date fair value for an individual outcome of a performance condition is determined by the closing common share price on the grant date.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performance share unit activity for the year ended December 31,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3360" w:type="dxa"/>
            <w:vAlign w:val="bottom"/>
            <w:gridSpan w:val="2"/>
          </w:tcPr>
          <w:p>
            <w:pPr>
              <w:jc w:val="right"/>
              <w:ind w:right="739"/>
              <w:spacing w:after="0"/>
              <w:rPr>
                <w:sz w:val="20"/>
                <w:szCs w:val="20"/>
                <w:color w:val="auto"/>
              </w:rPr>
            </w:pPr>
            <w:r>
              <w:rPr>
                <w:rFonts w:ascii="Arial" w:cs="Arial" w:eastAsia="Arial" w:hAnsi="Arial"/>
                <w:sz w:val="16"/>
                <w:szCs w:val="16"/>
                <w:color w:val="auto"/>
              </w:rPr>
              <w:t>Performance Share Units -</w:t>
            </w:r>
          </w:p>
        </w:tc>
        <w:tc>
          <w:tcPr>
            <w:tcW w:w="3260" w:type="dxa"/>
            <w:vAlign w:val="bottom"/>
            <w:gridSpan w:val="2"/>
          </w:tcPr>
          <w:p>
            <w:pPr>
              <w:jc w:val="right"/>
              <w:ind w:right="679"/>
              <w:spacing w:after="0"/>
              <w:rPr>
                <w:sz w:val="20"/>
                <w:szCs w:val="20"/>
                <w:color w:val="auto"/>
              </w:rPr>
            </w:pPr>
            <w:r>
              <w:rPr>
                <w:rFonts w:ascii="Arial" w:cs="Arial" w:eastAsia="Arial" w:hAnsi="Arial"/>
                <w:sz w:val="16"/>
                <w:szCs w:val="16"/>
                <w:color w:val="auto"/>
              </w:rPr>
              <w:t>Performance Share Units -</w:t>
            </w:r>
          </w:p>
        </w:tc>
      </w:tr>
      <w:tr>
        <w:trPr>
          <w:trHeight w:val="198"/>
        </w:trPr>
        <w:tc>
          <w:tcPr>
            <w:tcW w:w="4620" w:type="dxa"/>
            <w:vAlign w:val="bottom"/>
          </w:tcPr>
          <w:p>
            <w:pPr>
              <w:spacing w:after="0"/>
              <w:rPr>
                <w:sz w:val="17"/>
                <w:szCs w:val="17"/>
                <w:color w:val="auto"/>
              </w:rPr>
            </w:pPr>
          </w:p>
        </w:tc>
        <w:tc>
          <w:tcPr>
            <w:tcW w:w="3360" w:type="dxa"/>
            <w:vAlign w:val="bottom"/>
            <w:tcBorders>
              <w:bottom w:val="single" w:sz="8" w:color="auto"/>
            </w:tcBorders>
            <w:gridSpan w:val="2"/>
          </w:tcPr>
          <w:p>
            <w:pPr>
              <w:jc w:val="right"/>
              <w:ind w:right="1059"/>
              <w:spacing w:after="0"/>
              <w:rPr>
                <w:sz w:val="20"/>
                <w:szCs w:val="20"/>
                <w:color w:val="auto"/>
              </w:rPr>
            </w:pPr>
            <w:r>
              <w:rPr>
                <w:rFonts w:ascii="Arial" w:cs="Arial" w:eastAsia="Arial" w:hAnsi="Arial"/>
                <w:sz w:val="16"/>
                <w:szCs w:val="16"/>
                <w:color w:val="auto"/>
              </w:rPr>
              <w:t>Market Condition</w:t>
            </w:r>
          </w:p>
        </w:tc>
        <w:tc>
          <w:tcPr>
            <w:tcW w:w="326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color w:val="auto"/>
              </w:rPr>
              <w:t>Performance Condition</w:t>
            </w:r>
          </w:p>
        </w:tc>
      </w:tr>
      <w:tr>
        <w:trPr>
          <w:trHeight w:val="484"/>
        </w:trPr>
        <w:tc>
          <w:tcPr>
            <w:tcW w:w="4620" w:type="dxa"/>
            <w:vAlign w:val="bottom"/>
          </w:tcPr>
          <w:p>
            <w:pPr>
              <w:spacing w:after="0"/>
              <w:rPr>
                <w:sz w:val="24"/>
                <w:szCs w:val="24"/>
                <w:color w:val="auto"/>
              </w:rPr>
            </w:pPr>
          </w:p>
        </w:tc>
        <w:tc>
          <w:tcPr>
            <w:tcW w:w="3360" w:type="dxa"/>
            <w:vAlign w:val="bottom"/>
            <w:gridSpan w:val="2"/>
          </w:tcPr>
          <w:p>
            <w:pPr>
              <w:jc w:val="right"/>
              <w:ind w:right="139"/>
              <w:spacing w:after="0"/>
              <w:rPr>
                <w:sz w:val="20"/>
                <w:szCs w:val="20"/>
                <w:color w:val="auto"/>
              </w:rPr>
            </w:pPr>
            <w:r>
              <w:rPr>
                <w:rFonts w:ascii="Arial" w:cs="Arial" w:eastAsia="Arial" w:hAnsi="Arial"/>
                <w:sz w:val="16"/>
                <w:szCs w:val="16"/>
                <w:color w:val="auto"/>
              </w:rPr>
              <w:t>Weighted-Average Fair</w:t>
            </w:r>
          </w:p>
        </w:tc>
        <w:tc>
          <w:tcPr>
            <w:tcW w:w="1500" w:type="dxa"/>
            <w:vAlign w:val="bottom"/>
          </w:tcPr>
          <w:p>
            <w:pPr>
              <w:spacing w:after="0"/>
              <w:rPr>
                <w:sz w:val="24"/>
                <w:szCs w:val="24"/>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w w:val="99"/>
              </w:rPr>
              <w:t>Weighted-Average Fair</w:t>
            </w:r>
          </w:p>
        </w:tc>
      </w:tr>
      <w:tr>
        <w:trPr>
          <w:trHeight w:val="198"/>
        </w:trPr>
        <w:tc>
          <w:tcPr>
            <w:tcW w:w="46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Share Units</w:t>
            </w:r>
          </w:p>
        </w:tc>
        <w:tc>
          <w:tcPr>
            <w:tcW w:w="1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Value per Share Unit</w:t>
            </w:r>
          </w:p>
        </w:tc>
        <w:tc>
          <w:tcPr>
            <w:tcW w:w="1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Share Units</w:t>
            </w:r>
          </w:p>
        </w:tc>
        <w:tc>
          <w:tcPr>
            <w:tcW w:w="1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Value per Share Unit</w:t>
            </w:r>
          </w:p>
        </w:tc>
      </w:tr>
      <w:tr>
        <w:trPr>
          <w:trHeight w:val="213"/>
        </w:trPr>
        <w:tc>
          <w:tcPr>
            <w:tcW w:w="4620" w:type="dxa"/>
            <w:vAlign w:val="bottom"/>
            <w:shd w:val="clear" w:color="auto" w:fill="CEFFE7"/>
          </w:tcPr>
          <w:p>
            <w:pPr>
              <w:ind w:left="20"/>
              <w:spacing w:after="0"/>
              <w:rPr>
                <w:sz w:val="20"/>
                <w:szCs w:val="20"/>
                <w:color w:val="auto"/>
              </w:rPr>
            </w:pPr>
            <w:r>
              <w:rPr>
                <w:rFonts w:ascii="Arial" w:cs="Arial" w:eastAsia="Arial" w:hAnsi="Arial"/>
                <w:sz w:val="16"/>
                <w:szCs w:val="16"/>
                <w:color w:val="auto"/>
              </w:rPr>
              <w:t>Nonvested at January 1, 2021</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182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1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6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Granted</w:t>
            </w: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32,903</w:t>
            </w:r>
          </w:p>
        </w:tc>
        <w:tc>
          <w:tcPr>
            <w:tcW w:w="1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64.97</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21,948</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61.45</w:t>
            </w:r>
          </w:p>
        </w:tc>
      </w:tr>
      <w:tr>
        <w:trPr>
          <w:trHeight w:val="238"/>
        </w:trPr>
        <w:tc>
          <w:tcPr>
            <w:tcW w:w="46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Nonvested at December 31, 2021</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32,903 $</w:t>
            </w:r>
          </w:p>
        </w:tc>
        <w:tc>
          <w:tcPr>
            <w:tcW w:w="182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64.97</w:t>
            </w: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21,948 $</w:t>
            </w:r>
          </w:p>
        </w:tc>
        <w:tc>
          <w:tcPr>
            <w:tcW w:w="1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61.45</w:t>
            </w:r>
          </w:p>
        </w:tc>
      </w:tr>
      <w:tr>
        <w:trPr>
          <w:trHeight w:val="20"/>
        </w:trPr>
        <w:tc>
          <w:tcPr>
            <w:tcW w:w="4620" w:type="dxa"/>
            <w:vAlign w:val="bottom"/>
            <w:tcBorders>
              <w:top w:val="single" w:sz="8" w:color="CEFFE7"/>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1820" w:type="dxa"/>
            <w:vAlign w:val="bottom"/>
            <w:tcBorders>
              <w:top w:val="single" w:sz="8" w:color="CEFFE7"/>
              <w:bottom w:val="single" w:sz="8" w:color="auto"/>
            </w:tcBorders>
          </w:tcPr>
          <w:p>
            <w:pPr>
              <w:spacing w:after="0" w:line="20" w:lineRule="exact"/>
              <w:rPr>
                <w:sz w:val="1"/>
                <w:szCs w:val="1"/>
                <w:color w:val="auto"/>
              </w:rPr>
            </w:pPr>
          </w:p>
        </w:tc>
        <w:tc>
          <w:tcPr>
            <w:tcW w:w="1500" w:type="dxa"/>
            <w:vAlign w:val="bottom"/>
            <w:tcBorders>
              <w:top w:val="single" w:sz="8" w:color="CEFFE7"/>
              <w:bottom w:val="single" w:sz="8" w:color="auto"/>
            </w:tcBorders>
          </w:tcPr>
          <w:p>
            <w:pPr>
              <w:spacing w:after="0" w:line="20" w:lineRule="exact"/>
              <w:rPr>
                <w:sz w:val="1"/>
                <w:szCs w:val="1"/>
                <w:color w:val="auto"/>
              </w:rPr>
            </w:pPr>
          </w:p>
        </w:tc>
        <w:tc>
          <w:tcPr>
            <w:tcW w:w="1760" w:type="dxa"/>
            <w:vAlign w:val="bottom"/>
            <w:tcBorders>
              <w:top w:val="single" w:sz="8" w:color="CEFF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As of December 31, 2021, there was $2.9 million of unrecognized compensation expense related to outstanding performance share/unit plans that is expected to be recognized over a weighted-average period of 1.8 years.</w:t>
      </w:r>
    </w:p>
    <w:p>
      <w:pPr>
        <w:spacing w:after="0" w:line="200" w:lineRule="exact"/>
        <w:rPr>
          <w:sz w:val="20"/>
          <w:szCs w:val="20"/>
          <w:color w:val="auto"/>
        </w:rPr>
      </w:pPr>
    </w:p>
    <w:p>
      <w:pPr>
        <w:spacing w:after="0" w:line="245" w:lineRule="exact"/>
        <w:rPr>
          <w:sz w:val="20"/>
          <w:szCs w:val="20"/>
          <w:color w:val="auto"/>
        </w:rPr>
      </w:pPr>
    </w:p>
    <w:p>
      <w:pPr>
        <w:ind w:left="480" w:hanging="472"/>
        <w:spacing w:after="0"/>
        <w:tabs>
          <w:tab w:leader="none" w:pos="48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4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Winter Storm Uri</w:t>
      </w:r>
    </w:p>
    <w:p>
      <w:pPr>
        <w:spacing w:after="0" w:line="268" w:lineRule="exact"/>
        <w:rPr>
          <w:sz w:val="20"/>
          <w:szCs w:val="20"/>
          <w:color w:val="auto"/>
        </w:rPr>
      </w:pPr>
    </w:p>
    <w:p>
      <w:pPr>
        <w:ind w:right="2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As discussed in </w:t>
      </w:r>
      <w:hyperlink w:anchor="page74">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above, our Utilities submitted cost recovery applications which seek to recover incremental costs from Winter Storm Uri through a regulatory mechanism. We expect to recover these costs from customers over several years. Winter Storm Uri costs, which will be deductible in our 2021 tax return, created a net deferred tax liability which had a balance of $124 million as of December 31, 2021. The deferred tax liability will reverse with the same timing as the costs are recovered from our customers.</w:t>
      </w:r>
    </w:p>
    <w:p>
      <w:pPr>
        <w:spacing w:after="0" w:line="22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income tax deduction recognized from Winter Storm Uri will create a $509 million NOL in our 2021 federal income tax return and a $375 million NOL in our state income tax returns. Our federal NOL carryforwards related to Winter Storm Uri and other recent adjustments no longer expire due to the TCJA; however, our state NOL carryforwards expire at various dates from 2022 to 2041. We do not anticipate material changes to our valuation allowance against the state NOL carryforwards from Winter Storm Uri. Therefore, we did not record an additional valuation allowance against the state NOL carryforwards as of December 31, 2021.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CARES Act</w:t>
      </w:r>
    </w:p>
    <w:p>
      <w:pPr>
        <w:spacing w:after="0" w:line="26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On March 27, 2020, President Trump signed the CARES Act, which contained, in part, an allowance for deferral of the employer portion of Social Security employment tax liabilities until 2021 and 2022, as well as a COVID-19 employee retention tax credit of up to $5,000 per eligible employee.</w:t>
      </w: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During the year ended December 31, 2020, we utilized the payroll tax deferral provision which allowed us to defer payment of approximately $10 million of Social Security employment tax liabilities, of which $4.8 million was subsequently paid in 2021 and the remaining portion will be paid in 2022. During the year ended December 31, 2021, we completed our study of the CARES Act employee retention tax credits and recognized $1.2 million of gross payroll tax credits.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TCJA</w:t>
      </w:r>
    </w:p>
    <w:p>
      <w:pPr>
        <w:spacing w:after="0" w:line="26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TCJA. The TCJA reduced the U.S. federal corporate tax rate from 35% to 21%. As such, the Company remeasured the deferred income taxes at the 21% federal tax rate as of December 31, 2017. The entities subject to regulatory construct have made their best estimate regarding the probability of settlements of net regulatory liabilities established pursuant to the TCJA. The amount of the settlements may change based on decisions and actions by the federal and state utility commissions, which could have a material impact on the Company’s future results of operations, cash flows or financial position. A majority of the excess deferred taxes are subject to the average rate assumption method, as prescribed by the IRS, and will generally be amortized as a reduction of customer rates over the remaining lives of the related assets. As of December 31, 2021, the Company has amortized, or provided bill credits for, $23 million of the regulatory liability. The portion that was eligible for amortization under the average rate assumption method in 2021 but is awaiting resolution of the treatment of these amounts in future regulatory proceedings has not been recognized, and may be refunded in customer rates at any time in accordance with the resolution of pending or future regulatory proceedings.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(Benefit)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(benefit) from continuing operations for the years ended December 31 was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r>
      <w:tr>
        <w:trPr>
          <w:trHeight w:val="199"/>
        </w:trPr>
        <w:tc>
          <w:tcPr>
            <w:tcW w:w="6620" w:type="dxa"/>
            <w:vAlign w:val="bottom"/>
          </w:tcPr>
          <w:p>
            <w:pPr>
              <w:ind w:left="20"/>
              <w:spacing w:after="0"/>
              <w:rPr>
                <w:sz w:val="20"/>
                <w:szCs w:val="20"/>
                <w:color w:val="auto"/>
              </w:rPr>
            </w:pPr>
            <w:r>
              <w:rPr>
                <w:rFonts w:ascii="Arial" w:cs="Arial" w:eastAsia="Arial" w:hAnsi="Arial"/>
                <w:sz w:val="16"/>
                <w:szCs w:val="16"/>
                <w:color w:val="auto"/>
              </w:rPr>
              <w:t>Current:</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66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Federal</w:t>
            </w:r>
          </w:p>
        </w:tc>
        <w:tc>
          <w:tcPr>
            <w:tcW w:w="1000" w:type="dxa"/>
            <w:vAlign w:val="bottom"/>
            <w:shd w:val="clear" w:color="auto" w:fill="CEFFE7"/>
          </w:tcPr>
          <w:p>
            <w:pPr>
              <w:jc w:val="right"/>
              <w:ind w:right="799"/>
              <w:spacing w:after="0"/>
              <w:rPr>
                <w:sz w:val="20"/>
                <w:szCs w:val="20"/>
                <w:color w:val="auto"/>
              </w:rPr>
            </w:pPr>
            <w:r>
              <w:rPr>
                <w:rFonts w:ascii="Arial" w:cs="Arial" w:eastAsia="Arial" w:hAnsi="Arial"/>
                <w:sz w:val="16"/>
                <w:szCs w:val="16"/>
                <w:color w:val="auto"/>
              </w:rPr>
              <w:t>$</w:t>
            </w:r>
          </w:p>
        </w:tc>
        <w:tc>
          <w:tcPr>
            <w:tcW w:w="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574</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(6,020)</w:t>
            </w: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(8,578)</w:t>
            </w:r>
          </w:p>
        </w:tc>
      </w:tr>
      <w:tr>
        <w:trPr>
          <w:trHeight w:val="213"/>
        </w:trPr>
        <w:tc>
          <w:tcPr>
            <w:tcW w:w="662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State</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r>
      <w:tr>
        <w:trPr>
          <w:trHeight w:val="213"/>
        </w:trPr>
        <w:tc>
          <w:tcPr>
            <w:tcW w:w="6620" w:type="dxa"/>
            <w:vAlign w:val="bottom"/>
            <w:shd w:val="clear" w:color="auto" w:fill="CEFFE7"/>
          </w:tcPr>
          <w:p>
            <w:pPr>
              <w:ind w:left="360"/>
              <w:spacing w:after="0"/>
              <w:rPr>
                <w:sz w:val="20"/>
                <w:szCs w:val="20"/>
                <w:color w:val="auto"/>
              </w:rPr>
            </w:pPr>
            <w:r>
              <w:rPr>
                <w:rFonts w:ascii="Arial" w:cs="Arial" w:eastAsia="Arial" w:hAnsi="Arial"/>
                <w:sz w:val="16"/>
                <w:szCs w:val="16"/>
                <w:color w:val="auto"/>
              </w:rPr>
              <w:t>Current income tax (benefit)</w:t>
            </w:r>
          </w:p>
        </w:tc>
        <w:tc>
          <w:tcPr>
            <w:tcW w:w="1000" w:type="dxa"/>
            <w:vAlign w:val="bottom"/>
            <w:tcBorders>
              <w:bottom w:val="single" w:sz="8" w:color="auto"/>
            </w:tcBorders>
            <w:shd w:val="clear" w:color="auto" w:fill="CEFFE7"/>
          </w:tcPr>
          <w:p>
            <w:pPr>
              <w:spacing w:after="0"/>
              <w:rPr>
                <w:sz w:val="18"/>
                <w:szCs w:val="18"/>
                <w:color w:val="auto"/>
              </w:rPr>
            </w:pPr>
          </w:p>
        </w:tc>
        <w:tc>
          <w:tcPr>
            <w:tcW w:w="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(92)</w:t>
            </w:r>
          </w:p>
        </w:tc>
        <w:tc>
          <w:tcPr>
            <w:tcW w:w="36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(5,173)</w:t>
            </w:r>
          </w:p>
        </w:tc>
        <w:tc>
          <w:tcPr>
            <w:tcW w:w="34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(8,440)</w:t>
            </w:r>
          </w:p>
        </w:tc>
      </w:tr>
      <w:tr>
        <w:trPr>
          <w:trHeight w:val="193"/>
        </w:trPr>
        <w:tc>
          <w:tcPr>
            <w:tcW w:w="6620" w:type="dxa"/>
            <w:vAlign w:val="bottom"/>
          </w:tcPr>
          <w:p>
            <w:pPr>
              <w:ind w:left="20"/>
              <w:spacing w:after="0"/>
              <w:rPr>
                <w:sz w:val="20"/>
                <w:szCs w:val="20"/>
                <w:color w:val="auto"/>
              </w:rPr>
            </w:pPr>
            <w:r>
              <w:rPr>
                <w:rFonts w:ascii="Arial" w:cs="Arial" w:eastAsia="Arial" w:hAnsi="Arial"/>
                <w:sz w:val="16"/>
                <w:szCs w:val="16"/>
                <w:color w:val="auto"/>
              </w:rPr>
              <w:t>Deferred:</w:t>
            </w: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9"/>
        </w:trPr>
        <w:tc>
          <w:tcPr>
            <w:tcW w:w="66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Federal</w:t>
            </w:r>
          </w:p>
        </w:tc>
        <w:tc>
          <w:tcPr>
            <w:tcW w:w="1000" w:type="dxa"/>
            <w:vAlign w:val="bottom"/>
            <w:shd w:val="clear" w:color="auto" w:fill="CEFFE7"/>
          </w:tcPr>
          <w:p>
            <w:pPr>
              <w:spacing w:after="0"/>
              <w:rPr>
                <w:sz w:val="19"/>
                <w:szCs w:val="19"/>
                <w:color w:val="auto"/>
              </w:rPr>
            </w:pPr>
          </w:p>
        </w:tc>
        <w:tc>
          <w:tcPr>
            <w:tcW w:w="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2,170</w:t>
            </w:r>
          </w:p>
        </w:tc>
        <w:tc>
          <w:tcPr>
            <w:tcW w:w="36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35,672</w:t>
            </w:r>
          </w:p>
        </w:tc>
        <w:tc>
          <w:tcPr>
            <w:tcW w:w="340" w:type="dxa"/>
            <w:vAlign w:val="bottom"/>
            <w:shd w:val="clear" w:color="auto" w:fill="CEFFE7"/>
          </w:tcPr>
          <w:p>
            <w:pPr>
              <w:spacing w:after="0"/>
              <w:rPr>
                <w:sz w:val="19"/>
                <w:szCs w:val="19"/>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34,551</w:t>
            </w:r>
          </w:p>
        </w:tc>
      </w:tr>
      <w:tr>
        <w:trPr>
          <w:trHeight w:val="213"/>
        </w:trPr>
        <w:tc>
          <w:tcPr>
            <w:tcW w:w="662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State</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5,091</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3,469</w:t>
            </w:r>
          </w:p>
        </w:tc>
      </w:tr>
      <w:tr>
        <w:trPr>
          <w:trHeight w:val="210"/>
        </w:trPr>
        <w:tc>
          <w:tcPr>
            <w:tcW w:w="6620" w:type="dxa"/>
            <w:vAlign w:val="bottom"/>
            <w:shd w:val="clear" w:color="auto" w:fill="CEFFE7"/>
          </w:tcPr>
          <w:p>
            <w:pPr>
              <w:ind w:left="360"/>
              <w:spacing w:after="0"/>
              <w:rPr>
                <w:sz w:val="20"/>
                <w:szCs w:val="20"/>
                <w:color w:val="auto"/>
              </w:rPr>
            </w:pPr>
            <w:r>
              <w:rPr>
                <w:rFonts w:ascii="Arial" w:cs="Arial" w:eastAsia="Arial" w:hAnsi="Arial"/>
                <w:sz w:val="16"/>
                <w:szCs w:val="16"/>
                <w:color w:val="auto"/>
              </w:rPr>
              <w:t>Deferred income tax expense</w:t>
            </w:r>
          </w:p>
        </w:tc>
        <w:tc>
          <w:tcPr>
            <w:tcW w:w="1000" w:type="dxa"/>
            <w:vAlign w:val="bottom"/>
            <w:tcBorders>
              <w:bottom w:val="single" w:sz="8" w:color="auto"/>
            </w:tcBorders>
            <w:shd w:val="clear" w:color="auto" w:fill="CEFFE7"/>
          </w:tcPr>
          <w:p>
            <w:pPr>
              <w:spacing w:after="0"/>
              <w:rPr>
                <w:sz w:val="18"/>
                <w:szCs w:val="18"/>
                <w:color w:val="auto"/>
              </w:rPr>
            </w:pPr>
          </w:p>
        </w:tc>
        <w:tc>
          <w:tcPr>
            <w:tcW w:w="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7,261</w:t>
            </w:r>
          </w:p>
        </w:tc>
        <w:tc>
          <w:tcPr>
            <w:tcW w:w="36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38,091</w:t>
            </w:r>
          </w:p>
        </w:tc>
        <w:tc>
          <w:tcPr>
            <w:tcW w:w="34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38,020</w:t>
            </w:r>
          </w:p>
        </w:tc>
      </w:tr>
      <w:tr>
        <w:trPr>
          <w:trHeight w:val="253"/>
        </w:trPr>
        <w:tc>
          <w:tcPr>
            <w:tcW w:w="6620" w:type="dxa"/>
            <w:vAlign w:val="bottom"/>
            <w:tcBorders>
              <w:bottom w:val="single" w:sz="8" w:color="CEFFE7"/>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r>
      <w:tr>
        <w:trPr>
          <w:trHeight w:val="234"/>
        </w:trPr>
        <w:tc>
          <w:tcPr>
            <w:tcW w:w="66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shd w:val="clear" w:color="auto" w:fill="CEFFE7"/>
          </w:tcPr>
          <w:p>
            <w:pPr>
              <w:jc w:val="right"/>
              <w:ind w:right="7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7,169</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32,918</w:t>
            </w:r>
          </w:p>
        </w:tc>
        <w:tc>
          <w:tcPr>
            <w:tcW w:w="34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29,580</w:t>
            </w:r>
          </w:p>
        </w:tc>
      </w:tr>
      <w:tr>
        <w:trPr>
          <w:trHeight w:val="20"/>
        </w:trPr>
        <w:tc>
          <w:tcPr>
            <w:tcW w:w="6620" w:type="dxa"/>
            <w:vAlign w:val="bottom"/>
            <w:tcBorders>
              <w:top w:val="single" w:sz="8" w:color="CEFFE7"/>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54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Effective Tax Rates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differs from the federal statutory rate for the years ended December 31,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380" w:type="dxa"/>
            <w:vAlign w:val="bottom"/>
            <w:tcBorders>
              <w:bottom w:val="single" w:sz="8" w:color="CEFFE7"/>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8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2020</w:t>
            </w: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2019</w:t>
            </w:r>
          </w:p>
        </w:tc>
      </w:tr>
      <w:tr>
        <w:trPr>
          <w:trHeight w:val="213"/>
        </w:trPr>
        <w:tc>
          <w:tcPr>
            <w:tcW w:w="7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Federal statutory rate</w:t>
            </w:r>
          </w:p>
        </w:tc>
        <w:tc>
          <w:tcPr>
            <w:tcW w:w="88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21.0 %</w:t>
            </w:r>
          </w:p>
        </w:tc>
        <w:tc>
          <w:tcPr>
            <w:tcW w:w="162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21.0 %</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420" w:type="dxa"/>
            <w:vAlign w:val="bottom"/>
            <w:gridSpan w:val="2"/>
          </w:tcPr>
          <w:p>
            <w:pPr>
              <w:ind w:left="240"/>
              <w:spacing w:after="0"/>
              <w:rPr>
                <w:sz w:val="20"/>
                <w:szCs w:val="20"/>
                <w:color w:val="auto"/>
              </w:rPr>
            </w:pPr>
            <w:r>
              <w:rPr>
                <w:rFonts w:ascii="Arial" w:cs="Arial" w:eastAsia="Arial" w:hAnsi="Arial"/>
                <w:sz w:val="16"/>
                <w:szCs w:val="16"/>
                <w:color w:val="auto"/>
              </w:rPr>
              <w:t>State income tax (net of federal tax effect)</w:t>
            </w:r>
          </w:p>
        </w:tc>
        <w:tc>
          <w:tcPr>
            <w:tcW w:w="880" w:type="dxa"/>
            <w:vAlign w:val="bottom"/>
          </w:tcPr>
          <w:p>
            <w:pPr>
              <w:jc w:val="right"/>
              <w:ind w:right="419"/>
              <w:spacing w:after="0"/>
              <w:rPr>
                <w:sz w:val="20"/>
                <w:szCs w:val="20"/>
                <w:color w:val="auto"/>
              </w:rPr>
            </w:pPr>
            <w:r>
              <w:rPr>
                <w:rFonts w:ascii="Arial" w:cs="Arial" w:eastAsia="Arial" w:hAnsi="Arial"/>
                <w:sz w:val="16"/>
                <w:szCs w:val="16"/>
                <w:color w:val="auto"/>
              </w:rPr>
              <w:t>1.2</w:t>
            </w:r>
          </w:p>
        </w:tc>
        <w:tc>
          <w:tcPr>
            <w:tcW w:w="1620" w:type="dxa"/>
            <w:vAlign w:val="bottom"/>
          </w:tcPr>
          <w:p>
            <w:pPr>
              <w:jc w:val="right"/>
              <w:ind w:right="419"/>
              <w:spacing w:after="0"/>
              <w:rPr>
                <w:sz w:val="20"/>
                <w:szCs w:val="20"/>
                <w:color w:val="auto"/>
              </w:rPr>
            </w:pPr>
            <w:r>
              <w:rPr>
                <w:rFonts w:ascii="Arial" w:cs="Arial" w:eastAsia="Arial" w:hAnsi="Arial"/>
                <w:sz w:val="16"/>
                <w:szCs w:val="16"/>
                <w:color w:val="auto"/>
              </w:rPr>
              <w:t>2.4</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1.5</w:t>
            </w:r>
          </w:p>
        </w:tc>
      </w:tr>
      <w:tr>
        <w:trPr>
          <w:trHeight w:val="219"/>
        </w:trPr>
        <w:tc>
          <w:tcPr>
            <w:tcW w:w="7420" w:type="dxa"/>
            <w:vAlign w:val="bottom"/>
            <w:gridSpan w:val="2"/>
            <w:shd w:val="clear" w:color="auto" w:fill="CEFFE7"/>
          </w:tcPr>
          <w:p>
            <w:pPr>
              <w:ind w:left="240"/>
              <w:spacing w:after="0" w:line="219" w:lineRule="exact"/>
              <w:rPr>
                <w:sz w:val="20"/>
                <w:szCs w:val="20"/>
                <w:color w:val="auto"/>
              </w:rPr>
            </w:pPr>
            <w:r>
              <w:rPr>
                <w:rFonts w:ascii="Arial" w:cs="Arial" w:eastAsia="Arial" w:hAnsi="Arial"/>
                <w:sz w:val="16"/>
                <w:szCs w:val="16"/>
                <w:color w:val="auto"/>
              </w:rPr>
              <w:t xml:space="preserve">Non-controlling interest </w:t>
            </w:r>
            <w:r>
              <w:rPr>
                <w:rFonts w:ascii="Arial" w:cs="Arial" w:eastAsia="Arial" w:hAnsi="Arial"/>
                <w:sz w:val="21"/>
                <w:szCs w:val="21"/>
                <w:color w:val="auto"/>
                <w:vertAlign w:val="superscript"/>
              </w:rPr>
              <w:t>(a)</w:t>
            </w:r>
          </w:p>
        </w:tc>
        <w:tc>
          <w:tcPr>
            <w:tcW w:w="88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(1.2)</w:t>
            </w:r>
          </w:p>
        </w:tc>
        <w:tc>
          <w:tcPr>
            <w:tcW w:w="162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(1.2)</w:t>
            </w:r>
          </w:p>
        </w:tc>
        <w:tc>
          <w:tcPr>
            <w:tcW w:w="132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(1.2)</w:t>
            </w:r>
          </w:p>
        </w:tc>
      </w:tr>
      <w:tr>
        <w:trPr>
          <w:trHeight w:val="216"/>
        </w:trPr>
        <w:tc>
          <w:tcPr>
            <w:tcW w:w="7420" w:type="dxa"/>
            <w:vAlign w:val="bottom"/>
            <w:gridSpan w:val="2"/>
          </w:tcPr>
          <w:p>
            <w:pPr>
              <w:ind w:left="240"/>
              <w:spacing w:after="0" w:line="216" w:lineRule="exact"/>
              <w:rPr>
                <w:sz w:val="20"/>
                <w:szCs w:val="20"/>
                <w:color w:val="auto"/>
              </w:rPr>
            </w:pPr>
            <w:r>
              <w:rPr>
                <w:rFonts w:ascii="Arial" w:cs="Arial" w:eastAsia="Arial" w:hAnsi="Arial"/>
                <w:sz w:val="16"/>
                <w:szCs w:val="16"/>
                <w:color w:val="auto"/>
              </w:rPr>
              <w:t>Tax credits</w:t>
            </w:r>
            <w:r>
              <w:rPr>
                <w:rFonts w:ascii="Arial" w:cs="Arial" w:eastAsia="Arial" w:hAnsi="Arial"/>
                <w:sz w:val="21"/>
                <w:szCs w:val="21"/>
                <w:color w:val="auto"/>
                <w:vertAlign w:val="superscript"/>
              </w:rPr>
              <w:t>(b)</w:t>
            </w:r>
          </w:p>
        </w:tc>
        <w:tc>
          <w:tcPr>
            <w:tcW w:w="880" w:type="dxa"/>
            <w:vAlign w:val="bottom"/>
          </w:tcPr>
          <w:p>
            <w:pPr>
              <w:jc w:val="right"/>
              <w:ind w:right="379"/>
              <w:spacing w:after="0"/>
              <w:rPr>
                <w:sz w:val="20"/>
                <w:szCs w:val="20"/>
                <w:color w:val="auto"/>
              </w:rPr>
            </w:pPr>
            <w:r>
              <w:rPr>
                <w:rFonts w:ascii="Arial" w:cs="Arial" w:eastAsia="Arial" w:hAnsi="Arial"/>
                <w:sz w:val="16"/>
                <w:szCs w:val="16"/>
                <w:color w:val="auto"/>
              </w:rPr>
              <w:t>(8.4)</w:t>
            </w:r>
          </w:p>
        </w:tc>
        <w:tc>
          <w:tcPr>
            <w:tcW w:w="1620" w:type="dxa"/>
            <w:vAlign w:val="bottom"/>
          </w:tcPr>
          <w:p>
            <w:pPr>
              <w:jc w:val="right"/>
              <w:ind w:right="379"/>
              <w:spacing w:after="0"/>
              <w:rPr>
                <w:sz w:val="20"/>
                <w:szCs w:val="20"/>
                <w:color w:val="auto"/>
              </w:rPr>
            </w:pPr>
            <w:r>
              <w:rPr>
                <w:rFonts w:ascii="Arial" w:cs="Arial" w:eastAsia="Arial" w:hAnsi="Arial"/>
                <w:sz w:val="16"/>
                <w:szCs w:val="16"/>
                <w:color w:val="auto"/>
              </w:rPr>
              <w:t>(9.2)</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(3.9)</w:t>
            </w:r>
          </w:p>
        </w:tc>
      </w:tr>
      <w:tr>
        <w:trPr>
          <w:trHeight w:val="216"/>
        </w:trPr>
        <w:tc>
          <w:tcPr>
            <w:tcW w:w="7420" w:type="dxa"/>
            <w:vAlign w:val="bottom"/>
            <w:gridSpan w:val="2"/>
            <w:shd w:val="clear" w:color="auto" w:fill="CEFFE7"/>
          </w:tcPr>
          <w:p>
            <w:pPr>
              <w:ind w:left="240"/>
              <w:spacing w:after="0" w:line="216" w:lineRule="exact"/>
              <w:rPr>
                <w:sz w:val="20"/>
                <w:szCs w:val="20"/>
                <w:color w:val="auto"/>
              </w:rPr>
            </w:pPr>
            <w:r>
              <w:rPr>
                <w:rFonts w:ascii="Arial" w:cs="Arial" w:eastAsia="Arial" w:hAnsi="Arial"/>
                <w:sz w:val="16"/>
                <w:szCs w:val="16"/>
                <w:color w:val="auto"/>
              </w:rPr>
              <w:t xml:space="preserve">Flow-through adjustments </w:t>
            </w:r>
            <w:r>
              <w:rPr>
                <w:rFonts w:ascii="Arial" w:cs="Arial" w:eastAsia="Arial" w:hAnsi="Arial"/>
                <w:sz w:val="21"/>
                <w:szCs w:val="21"/>
                <w:color w:val="auto"/>
                <w:vertAlign w:val="superscript"/>
              </w:rPr>
              <w:t>(c)</w:t>
            </w:r>
          </w:p>
        </w:tc>
        <w:tc>
          <w:tcPr>
            <w:tcW w:w="88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(3.2)</w:t>
            </w:r>
          </w:p>
        </w:tc>
        <w:tc>
          <w:tcPr>
            <w:tcW w:w="162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(1.6)</w:t>
            </w:r>
          </w:p>
        </w:tc>
        <w:tc>
          <w:tcPr>
            <w:tcW w:w="132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(2.4)</w:t>
            </w:r>
          </w:p>
        </w:tc>
      </w:tr>
      <w:tr>
        <w:trPr>
          <w:trHeight w:val="213"/>
        </w:trPr>
        <w:tc>
          <w:tcPr>
            <w:tcW w:w="7420" w:type="dxa"/>
            <w:vAlign w:val="bottom"/>
            <w:gridSpan w:val="2"/>
          </w:tcPr>
          <w:p>
            <w:pPr>
              <w:ind w:left="240"/>
              <w:spacing w:after="0"/>
              <w:rPr>
                <w:sz w:val="20"/>
                <w:szCs w:val="20"/>
                <w:color w:val="auto"/>
              </w:rPr>
            </w:pPr>
            <w:r>
              <w:rPr>
                <w:rFonts w:ascii="Arial" w:cs="Arial" w:eastAsia="Arial" w:hAnsi="Arial"/>
                <w:sz w:val="16"/>
                <w:szCs w:val="16"/>
                <w:color w:val="auto"/>
              </w:rPr>
              <w:t>Uncertain Tax Benefits</w:t>
            </w:r>
          </w:p>
        </w:tc>
        <w:tc>
          <w:tcPr>
            <w:tcW w:w="880" w:type="dxa"/>
            <w:vAlign w:val="bottom"/>
          </w:tcPr>
          <w:p>
            <w:pPr>
              <w:jc w:val="right"/>
              <w:ind w:right="419"/>
              <w:spacing w:after="0"/>
              <w:rPr>
                <w:sz w:val="20"/>
                <w:szCs w:val="20"/>
                <w:color w:val="auto"/>
              </w:rPr>
            </w:pPr>
            <w:r>
              <w:rPr>
                <w:rFonts w:ascii="Arial" w:cs="Arial" w:eastAsia="Arial" w:hAnsi="Arial"/>
                <w:sz w:val="16"/>
                <w:szCs w:val="16"/>
                <w:color w:val="auto"/>
              </w:rPr>
              <w:t>0.3</w:t>
            </w:r>
          </w:p>
        </w:tc>
        <w:tc>
          <w:tcPr>
            <w:tcW w:w="1620" w:type="dxa"/>
            <w:vAlign w:val="bottom"/>
          </w:tcPr>
          <w:p>
            <w:pPr>
              <w:jc w:val="right"/>
              <w:ind w:right="419"/>
              <w:spacing w:after="0"/>
              <w:rPr>
                <w:sz w:val="20"/>
                <w:szCs w:val="20"/>
                <w:color w:val="auto"/>
              </w:rPr>
            </w:pPr>
            <w:r>
              <w:rPr>
                <w:rFonts w:ascii="Arial" w:cs="Arial" w:eastAsia="Arial" w:hAnsi="Arial"/>
                <w:sz w:val="16"/>
                <w:szCs w:val="16"/>
                <w:color w:val="auto"/>
              </w:rPr>
              <w:t>1.5</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7420" w:type="dxa"/>
            <w:vAlign w:val="bottom"/>
            <w:gridSpan w:val="2"/>
            <w:shd w:val="clear" w:color="auto" w:fill="CEFFE7"/>
          </w:tcPr>
          <w:p>
            <w:pPr>
              <w:ind w:left="240"/>
              <w:spacing w:after="0"/>
              <w:rPr>
                <w:sz w:val="20"/>
                <w:szCs w:val="20"/>
                <w:color w:val="auto"/>
              </w:rPr>
            </w:pPr>
            <w:r>
              <w:rPr>
                <w:rFonts w:ascii="Arial" w:cs="Arial" w:eastAsia="Arial" w:hAnsi="Arial"/>
                <w:sz w:val="16"/>
                <w:szCs w:val="16"/>
                <w:color w:val="auto"/>
              </w:rPr>
              <w:t>Valuation Allowance</w:t>
            </w:r>
          </w:p>
        </w:tc>
        <w:tc>
          <w:tcPr>
            <w:tcW w:w="880" w:type="dxa"/>
            <w:vAlign w:val="bottom"/>
            <w:shd w:val="clear" w:color="auto" w:fill="CEFFE7"/>
          </w:tcPr>
          <w:p>
            <w:pPr>
              <w:jc w:val="right"/>
              <w:ind w:right="4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EFFE7"/>
          </w:tcPr>
          <w:p>
            <w:pPr>
              <w:jc w:val="right"/>
              <w:ind w:right="419"/>
              <w:spacing w:after="0"/>
              <w:rPr>
                <w:sz w:val="20"/>
                <w:szCs w:val="20"/>
                <w:color w:val="auto"/>
              </w:rPr>
            </w:pPr>
            <w:r>
              <w:rPr>
                <w:rFonts w:ascii="Arial" w:cs="Arial" w:eastAsia="Arial" w:hAnsi="Arial"/>
                <w:sz w:val="16"/>
                <w:szCs w:val="16"/>
                <w:color w:val="auto"/>
              </w:rPr>
              <w:t>0.7</w:t>
            </w:r>
          </w:p>
        </w:tc>
        <w:tc>
          <w:tcPr>
            <w:tcW w:w="1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7420" w:type="dxa"/>
            <w:vAlign w:val="bottom"/>
            <w:gridSpan w:val="2"/>
          </w:tcPr>
          <w:p>
            <w:pPr>
              <w:ind w:left="240"/>
              <w:spacing w:after="0"/>
              <w:rPr>
                <w:sz w:val="20"/>
                <w:szCs w:val="20"/>
                <w:color w:val="auto"/>
              </w:rPr>
            </w:pPr>
            <w:r>
              <w:rPr>
                <w:rFonts w:ascii="Arial" w:cs="Arial" w:eastAsia="Arial" w:hAnsi="Arial"/>
                <w:sz w:val="16"/>
                <w:szCs w:val="16"/>
                <w:color w:val="auto"/>
              </w:rPr>
              <w:t>Other tax differences</w:t>
            </w:r>
          </w:p>
        </w:tc>
        <w:tc>
          <w:tcPr>
            <w:tcW w:w="880" w:type="dxa"/>
            <w:vAlign w:val="bottom"/>
          </w:tcPr>
          <w:p>
            <w:pPr>
              <w:jc w:val="right"/>
              <w:ind w:right="379"/>
              <w:spacing w:after="0"/>
              <w:rPr>
                <w:sz w:val="20"/>
                <w:szCs w:val="20"/>
                <w:color w:val="auto"/>
              </w:rPr>
            </w:pPr>
            <w:r>
              <w:rPr>
                <w:rFonts w:ascii="Arial" w:cs="Arial" w:eastAsia="Arial" w:hAnsi="Arial"/>
                <w:sz w:val="16"/>
                <w:szCs w:val="16"/>
                <w:color w:val="auto"/>
              </w:rPr>
              <w:t>(0.2)</w:t>
            </w:r>
          </w:p>
        </w:tc>
        <w:tc>
          <w:tcPr>
            <w:tcW w:w="1620" w:type="dxa"/>
            <w:vAlign w:val="bottom"/>
          </w:tcPr>
          <w:p>
            <w:pPr>
              <w:jc w:val="right"/>
              <w:ind w:right="419"/>
              <w:spacing w:after="0"/>
              <w:rPr>
                <w:sz w:val="20"/>
                <w:szCs w:val="20"/>
                <w:color w:val="auto"/>
              </w:rPr>
            </w:pPr>
            <w:r>
              <w:rPr>
                <w:rFonts w:ascii="Arial" w:cs="Arial" w:eastAsia="Arial" w:hAnsi="Arial"/>
                <w:sz w:val="16"/>
                <w:szCs w:val="16"/>
                <w:color w:val="auto"/>
              </w:rPr>
              <w:t>0.6</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(1.6)</w:t>
            </w:r>
          </w:p>
        </w:tc>
      </w:tr>
      <w:tr>
        <w:trPr>
          <w:trHeight w:val="219"/>
        </w:trPr>
        <w:tc>
          <w:tcPr>
            <w:tcW w:w="7420" w:type="dxa"/>
            <w:vAlign w:val="bottom"/>
            <w:gridSpan w:val="2"/>
            <w:shd w:val="clear" w:color="auto" w:fill="CEFFE7"/>
          </w:tcPr>
          <w:p>
            <w:pPr>
              <w:ind w:left="240"/>
              <w:spacing w:after="0" w:line="219" w:lineRule="exact"/>
              <w:rPr>
                <w:sz w:val="20"/>
                <w:szCs w:val="20"/>
                <w:color w:val="auto"/>
              </w:rPr>
            </w:pPr>
            <w:r>
              <w:rPr>
                <w:rFonts w:ascii="Arial" w:cs="Arial" w:eastAsia="Arial" w:hAnsi="Arial"/>
                <w:sz w:val="16"/>
                <w:szCs w:val="16"/>
                <w:color w:val="auto"/>
              </w:rPr>
              <w:t xml:space="preserve">Amortization of excess deferred income tax expense </w:t>
            </w:r>
            <w:r>
              <w:rPr>
                <w:rFonts w:ascii="Arial" w:cs="Arial" w:eastAsia="Arial" w:hAnsi="Arial"/>
                <w:sz w:val="21"/>
                <w:szCs w:val="21"/>
                <w:color w:val="auto"/>
                <w:vertAlign w:val="superscript"/>
              </w:rPr>
              <w:t>(d)</w:t>
            </w:r>
          </w:p>
        </w:tc>
        <w:tc>
          <w:tcPr>
            <w:tcW w:w="88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(3.1)</w:t>
            </w:r>
          </w:p>
        </w:tc>
        <w:tc>
          <w:tcPr>
            <w:tcW w:w="162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(2.3)</w:t>
            </w:r>
          </w:p>
        </w:tc>
        <w:tc>
          <w:tcPr>
            <w:tcW w:w="132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(1.2)</w:t>
            </w:r>
          </w:p>
        </w:tc>
      </w:tr>
      <w:tr>
        <w:trPr>
          <w:trHeight w:val="216"/>
        </w:trPr>
        <w:tc>
          <w:tcPr>
            <w:tcW w:w="6380" w:type="dxa"/>
            <w:vAlign w:val="bottom"/>
            <w:tcBorders>
              <w:bottom w:val="single" w:sz="8" w:color="CEFFE7"/>
            </w:tcBorders>
          </w:tcPr>
          <w:p>
            <w:pPr>
              <w:ind w:left="240"/>
              <w:spacing w:after="0" w:line="216" w:lineRule="exact"/>
              <w:rPr>
                <w:sz w:val="20"/>
                <w:szCs w:val="20"/>
                <w:color w:val="auto"/>
              </w:rPr>
            </w:pPr>
            <w:r>
              <w:rPr>
                <w:rFonts w:ascii="Arial" w:cs="Arial" w:eastAsia="Arial" w:hAnsi="Arial"/>
                <w:sz w:val="16"/>
                <w:szCs w:val="16"/>
                <w:color w:val="auto"/>
              </w:rPr>
              <w:t xml:space="preserve">TCJA bill credits </w:t>
            </w:r>
            <w:r>
              <w:rPr>
                <w:rFonts w:ascii="Arial" w:cs="Arial" w:eastAsia="Arial" w:hAnsi="Arial"/>
                <w:sz w:val="21"/>
                <w:szCs w:val="21"/>
                <w:color w:val="auto"/>
                <w:vertAlign w:val="superscript"/>
              </w:rPr>
              <w:t>(e)</w:t>
            </w:r>
          </w:p>
        </w:tc>
        <w:tc>
          <w:tcPr>
            <w:tcW w:w="10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(3.6)</w:t>
            </w:r>
          </w:p>
        </w:tc>
        <w:tc>
          <w:tcPr>
            <w:tcW w:w="1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29"/>
        </w:trPr>
        <w:tc>
          <w:tcPr>
            <w:tcW w:w="7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Effective Tax Rate</w:t>
            </w:r>
          </w:p>
        </w:tc>
        <w:tc>
          <w:tcPr>
            <w:tcW w:w="88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2.8 %</w:t>
            </w:r>
          </w:p>
        </w:tc>
        <w:tc>
          <w:tcPr>
            <w:tcW w:w="162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11.9 %</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12.2 %</w:t>
            </w:r>
          </w:p>
        </w:tc>
      </w:tr>
      <w:tr>
        <w:trPr>
          <w:trHeight w:val="20"/>
        </w:trPr>
        <w:tc>
          <w:tcPr>
            <w:tcW w:w="6380" w:type="dxa"/>
            <w:vAlign w:val="bottom"/>
            <w:tcBorders>
              <w:top w:val="single" w:sz="8" w:color="CEFFE7"/>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effective tax rate reflects the income attributable to the non-controlling interest in Black Hills Colorado IPP for which a tax provision was not recorded.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 2020, the Company completed a research and development study which encompassed tax years from 2013 to 2019.</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44" w:val="left"/>
        </w:tabs>
        <w:numPr>
          <w:ilvl w:val="0"/>
          <w:numId w:val="86"/>
        </w:numPr>
        <w:rPr>
          <w:rFonts w:ascii="Arial" w:cs="Arial" w:eastAsia="Arial" w:hAnsi="Arial"/>
          <w:sz w:val="14"/>
          <w:szCs w:val="14"/>
          <w:color w:val="auto"/>
        </w:rPr>
      </w:pPr>
      <w:r>
        <w:rPr>
          <w:rFonts w:ascii="Arial" w:cs="Arial" w:eastAsia="Arial" w:hAnsi="Arial"/>
          <w:sz w:val="14"/>
          <w:szCs w:val="14"/>
          <w:color w:val="auto"/>
        </w:rPr>
        <w:t>Flow-through adjustments related primarily to accounting method changes for tax purposes that allow us to take a current tax deduction for repair costs, certain indirect costs and gain deferral. We recorded a deferred income tax liability in recognition of the temporary difference created between book and tax treatment and flowed the tax benefit through to tax expense. A regulatory asset was established to reflect the recovery of future increases in taxes payable from customers as the temporary differences reverse. As a result of this regulatory treatment, we continue to record tax benefits consistent with the flow-through method.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Primarily TCJA - see above.</w:t>
      </w:r>
    </w:p>
    <w:p>
      <w:pPr>
        <w:spacing w:after="0" w:line="1" w:lineRule="exact"/>
        <w:rPr>
          <w:rFonts w:ascii="Arial" w:cs="Arial" w:eastAsia="Arial" w:hAnsi="Arial"/>
          <w:sz w:val="14"/>
          <w:szCs w:val="14"/>
          <w:color w:val="auto"/>
        </w:rPr>
      </w:pPr>
    </w:p>
    <w:p>
      <w:pPr>
        <w:ind w:left="340" w:right="80" w:hanging="332"/>
        <w:spacing w:after="0" w:line="249" w:lineRule="auto"/>
        <w:tabs>
          <w:tab w:leader="none" w:pos="344" w:val="left"/>
        </w:tabs>
        <w:numPr>
          <w:ilvl w:val="0"/>
          <w:numId w:val="86"/>
        </w:numPr>
        <w:rPr>
          <w:rFonts w:ascii="Arial" w:cs="Arial" w:eastAsia="Arial" w:hAnsi="Arial"/>
          <w:sz w:val="14"/>
          <w:szCs w:val="14"/>
          <w:color w:val="auto"/>
        </w:rPr>
      </w:pPr>
      <w:r>
        <w:rPr>
          <w:rFonts w:ascii="Arial" w:cs="Arial" w:eastAsia="Arial" w:hAnsi="Arial"/>
          <w:sz w:val="14"/>
          <w:szCs w:val="14"/>
          <w:color w:val="auto"/>
        </w:rPr>
        <w:t xml:space="preserve">As discussed in </w:t>
      </w:r>
      <w:hyperlink w:anchor="page74">
        <w:r>
          <w:rPr>
            <w:rFonts w:ascii="Arial" w:cs="Arial" w:eastAsia="Arial" w:hAnsi="Arial"/>
            <w:sz w:val="14"/>
            <w:szCs w:val="14"/>
            <w:u w:val="single" w:color="auto"/>
            <w:color w:val="0000FF"/>
          </w:rPr>
          <w:t>Note 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above, Colorado Electric and Nebraska Gas bill credits, which represent a disposition of excess deferred income tax benefits resulting from the TCJA, were delivered to customers in 2021. These bill credits, which resulted in a reduction in revenue, were offset by a reduction in income tax expense and resulted in a minimal impact to Net income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 Assets and Liabilities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temporary differences, which gave rise to the net deferred tax liability, for the years ended December 31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00" w:type="dxa"/>
            <w:vAlign w:val="bottom"/>
          </w:tcPr>
          <w:p>
            <w:pPr>
              <w:spacing w:after="0"/>
              <w:rPr>
                <w:sz w:val="16"/>
                <w:szCs w:val="16"/>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2021</w:t>
            </w: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9"/>
        </w:trPr>
        <w:tc>
          <w:tcPr>
            <w:tcW w:w="690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Regulatory liabilities</w:t>
            </w:r>
          </w:p>
        </w:tc>
        <w:tc>
          <w:tcPr>
            <w:tcW w:w="1360" w:type="dxa"/>
            <w:vAlign w:val="bottom"/>
            <w:shd w:val="clear" w:color="auto" w:fill="CEFFE7"/>
          </w:tcPr>
          <w:p>
            <w:pPr>
              <w:jc w:val="right"/>
              <w:ind w:right="11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77,099</w:t>
            </w:r>
          </w:p>
        </w:tc>
        <w:tc>
          <w:tcPr>
            <w:tcW w:w="52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90,535</w:t>
            </w:r>
          </w:p>
        </w:tc>
        <w:tc>
          <w:tcPr>
            <w:tcW w:w="0" w:type="dxa"/>
            <w:vAlign w:val="bottom"/>
          </w:tcPr>
          <w:p>
            <w:pPr>
              <w:spacing w:after="0"/>
              <w:rPr>
                <w:sz w:val="1"/>
                <w:szCs w:val="1"/>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State tax credits</w:t>
            </w:r>
          </w:p>
        </w:tc>
        <w:tc>
          <w:tcPr>
            <w:tcW w:w="1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23,342</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23,339</w:t>
            </w:r>
          </w:p>
        </w:tc>
        <w:tc>
          <w:tcPr>
            <w:tcW w:w="0" w:type="dxa"/>
            <w:vAlign w:val="bottom"/>
          </w:tcPr>
          <w:p>
            <w:pPr>
              <w:spacing w:after="0"/>
              <w:rPr>
                <w:sz w:val="1"/>
                <w:szCs w:val="1"/>
                <w:color w:val="auto"/>
              </w:rPr>
            </w:pPr>
          </w:p>
        </w:tc>
      </w:tr>
      <w:tr>
        <w:trPr>
          <w:trHeight w:val="219"/>
        </w:trPr>
        <w:tc>
          <w:tcPr>
            <w:tcW w:w="6900" w:type="dxa"/>
            <w:vAlign w:val="bottom"/>
            <w:shd w:val="clear" w:color="auto" w:fill="CEFFE7"/>
          </w:tcPr>
          <w:p>
            <w:pPr>
              <w:ind w:left="140"/>
              <w:spacing w:after="0" w:line="219" w:lineRule="exact"/>
              <w:rPr>
                <w:sz w:val="20"/>
                <w:szCs w:val="20"/>
                <w:color w:val="auto"/>
              </w:rPr>
            </w:pPr>
            <w:r>
              <w:rPr>
                <w:rFonts w:ascii="Arial" w:cs="Arial" w:eastAsia="Arial" w:hAnsi="Arial"/>
                <w:sz w:val="16"/>
                <w:szCs w:val="16"/>
                <w:color w:val="auto"/>
              </w:rPr>
              <w:t xml:space="preserve">Federal NOL </w:t>
            </w:r>
            <w:r>
              <w:rPr>
                <w:rFonts w:ascii="Arial" w:cs="Arial" w:eastAsia="Arial" w:hAnsi="Arial"/>
                <w:sz w:val="21"/>
                <w:szCs w:val="21"/>
                <w:color w:val="auto"/>
                <w:vertAlign w:val="superscript"/>
              </w:rPr>
              <w:t>(a)</w:t>
            </w:r>
          </w:p>
        </w:tc>
        <w:tc>
          <w:tcPr>
            <w:tcW w:w="136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227,535</w:t>
            </w:r>
          </w:p>
        </w:tc>
        <w:tc>
          <w:tcPr>
            <w:tcW w:w="520" w:type="dxa"/>
            <w:vAlign w:val="bottom"/>
            <w:shd w:val="clear" w:color="auto" w:fill="CEFFE7"/>
          </w:tcPr>
          <w:p>
            <w:pPr>
              <w:spacing w:after="0"/>
              <w:rPr>
                <w:sz w:val="19"/>
                <w:szCs w:val="19"/>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96,155</w:t>
            </w: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State NOL </w:t>
            </w:r>
            <w:r>
              <w:rPr>
                <w:rFonts w:ascii="Arial" w:cs="Arial" w:eastAsia="Arial" w:hAnsi="Arial"/>
                <w:sz w:val="21"/>
                <w:szCs w:val="21"/>
                <w:color w:val="auto"/>
                <w:vertAlign w:val="superscript"/>
              </w:rPr>
              <w:t>(a)</w:t>
            </w:r>
          </w:p>
        </w:tc>
        <w:tc>
          <w:tcPr>
            <w:tcW w:w="1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33,639</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9,914</w:t>
            </w:r>
          </w:p>
        </w:tc>
        <w:tc>
          <w:tcPr>
            <w:tcW w:w="0" w:type="dxa"/>
            <w:vAlign w:val="bottom"/>
          </w:tcPr>
          <w:p>
            <w:pPr>
              <w:spacing w:after="0"/>
              <w:rPr>
                <w:sz w:val="1"/>
                <w:szCs w:val="1"/>
                <w:color w:val="auto"/>
              </w:rPr>
            </w:pPr>
          </w:p>
        </w:tc>
      </w:tr>
      <w:tr>
        <w:trPr>
          <w:trHeight w:val="216"/>
        </w:trPr>
        <w:tc>
          <w:tcPr>
            <w:tcW w:w="69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Partnership</w:t>
            </w:r>
          </w:p>
        </w:tc>
        <w:tc>
          <w:tcPr>
            <w:tcW w:w="136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13,395</w:t>
            </w:r>
          </w:p>
        </w:tc>
        <w:tc>
          <w:tcPr>
            <w:tcW w:w="520" w:type="dxa"/>
            <w:vAlign w:val="bottom"/>
            <w:shd w:val="clear" w:color="auto" w:fill="CEFFE7"/>
          </w:tcPr>
          <w:p>
            <w:pPr>
              <w:spacing w:after="0"/>
              <w:rPr>
                <w:sz w:val="18"/>
                <w:szCs w:val="18"/>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15,601</w:t>
            </w:r>
          </w:p>
        </w:tc>
        <w:tc>
          <w:tcPr>
            <w:tcW w:w="0" w:type="dxa"/>
            <w:vAlign w:val="bottom"/>
          </w:tcPr>
          <w:p>
            <w:pPr>
              <w:spacing w:after="0"/>
              <w:rPr>
                <w:sz w:val="1"/>
                <w:szCs w:val="1"/>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Credit Carryovers</w:t>
            </w:r>
          </w:p>
        </w:tc>
        <w:tc>
          <w:tcPr>
            <w:tcW w:w="1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68,646</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51,445</w:t>
            </w:r>
          </w:p>
        </w:tc>
        <w:tc>
          <w:tcPr>
            <w:tcW w:w="0" w:type="dxa"/>
            <w:vAlign w:val="bottom"/>
          </w:tcPr>
          <w:p>
            <w:pPr>
              <w:spacing w:after="0"/>
              <w:rPr>
                <w:sz w:val="1"/>
                <w:szCs w:val="1"/>
                <w:color w:val="auto"/>
              </w:rPr>
            </w:pPr>
          </w:p>
        </w:tc>
      </w:tr>
      <w:tr>
        <w:trPr>
          <w:trHeight w:val="219"/>
        </w:trPr>
        <w:tc>
          <w:tcPr>
            <w:tcW w:w="69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Other deferred tax assets</w:t>
            </w:r>
          </w:p>
        </w:tc>
        <w:tc>
          <w:tcPr>
            <w:tcW w:w="136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31,996</w:t>
            </w:r>
          </w:p>
        </w:tc>
        <w:tc>
          <w:tcPr>
            <w:tcW w:w="520" w:type="dxa"/>
            <w:vAlign w:val="bottom"/>
            <w:shd w:val="clear" w:color="auto" w:fill="CEFFE7"/>
          </w:tcPr>
          <w:p>
            <w:pPr>
              <w:spacing w:after="0"/>
              <w:rPr>
                <w:sz w:val="19"/>
                <w:szCs w:val="19"/>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40,143</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Less: Valuation allowance</w:t>
            </w:r>
          </w:p>
        </w:tc>
        <w:tc>
          <w:tcPr>
            <w:tcW w:w="1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(14,719)</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(13,943)</w:t>
            </w:r>
          </w:p>
        </w:tc>
        <w:tc>
          <w:tcPr>
            <w:tcW w:w="0" w:type="dxa"/>
            <w:vAlign w:val="bottom"/>
          </w:tcPr>
          <w:p>
            <w:pPr>
              <w:spacing w:after="0"/>
              <w:rPr>
                <w:sz w:val="1"/>
                <w:szCs w:val="1"/>
                <w:color w:val="auto"/>
              </w:rPr>
            </w:pPr>
          </w:p>
        </w:tc>
      </w:tr>
      <w:tr>
        <w:trPr>
          <w:trHeight w:val="209"/>
        </w:trPr>
        <w:tc>
          <w:tcPr>
            <w:tcW w:w="6900" w:type="dxa"/>
            <w:vAlign w:val="bottom"/>
            <w:shd w:val="clear" w:color="auto" w:fill="CEFFE7"/>
          </w:tcPr>
          <w:p>
            <w:pPr>
              <w:ind w:left="360"/>
              <w:spacing w:after="0"/>
              <w:rPr>
                <w:sz w:val="20"/>
                <w:szCs w:val="20"/>
                <w:color w:val="auto"/>
              </w:rPr>
            </w:pPr>
            <w:r>
              <w:rPr>
                <w:rFonts w:ascii="Arial" w:cs="Arial" w:eastAsia="Arial" w:hAnsi="Arial"/>
                <w:sz w:val="16"/>
                <w:szCs w:val="16"/>
                <w:color w:val="auto"/>
              </w:rPr>
              <w:t>Total deferred tax assets</w:t>
            </w:r>
          </w:p>
        </w:tc>
        <w:tc>
          <w:tcPr>
            <w:tcW w:w="136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460,933</w:t>
            </w:r>
          </w:p>
        </w:tc>
        <w:tc>
          <w:tcPr>
            <w:tcW w:w="520" w:type="dxa"/>
            <w:vAlign w:val="bottom"/>
            <w:tcBorders>
              <w:bottom w:val="single" w:sz="8" w:color="auto"/>
            </w:tcBorders>
            <w:shd w:val="clear" w:color="auto" w:fill="CEFFE7"/>
          </w:tcPr>
          <w:p>
            <w:pPr>
              <w:spacing w:after="0"/>
              <w:rPr>
                <w:sz w:val="18"/>
                <w:szCs w:val="18"/>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313,189</w:t>
            </w:r>
          </w:p>
        </w:tc>
        <w:tc>
          <w:tcPr>
            <w:tcW w:w="0" w:type="dxa"/>
            <w:vAlign w:val="bottom"/>
          </w:tcPr>
          <w:p>
            <w:pPr>
              <w:spacing w:after="0"/>
              <w:rPr>
                <w:sz w:val="1"/>
                <w:szCs w:val="1"/>
                <w:color w:val="auto"/>
              </w:rPr>
            </w:pPr>
          </w:p>
        </w:tc>
      </w:tr>
      <w:tr>
        <w:trPr>
          <w:trHeight w:val="253"/>
        </w:trPr>
        <w:tc>
          <w:tcPr>
            <w:tcW w:w="6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Deferred tax liabilities:</w:t>
            </w:r>
          </w:p>
        </w:tc>
        <w:tc>
          <w:tcPr>
            <w:tcW w:w="1360" w:type="dxa"/>
            <w:vAlign w:val="bottom"/>
            <w:shd w:val="clear" w:color="auto" w:fill="CEFFE7"/>
          </w:tcPr>
          <w:p>
            <w:pPr>
              <w:spacing w:after="0"/>
              <w:rPr>
                <w:sz w:val="18"/>
                <w:szCs w:val="18"/>
                <w:color w:val="auto"/>
              </w:rPr>
            </w:pPr>
          </w:p>
        </w:tc>
        <w:tc>
          <w:tcPr>
            <w:tcW w:w="800" w:type="dxa"/>
            <w:vAlign w:val="bottom"/>
            <w:shd w:val="clear" w:color="auto" w:fill="CEFFE7"/>
          </w:tcPr>
          <w:p>
            <w:pPr>
              <w:spacing w:after="0"/>
              <w:rPr>
                <w:sz w:val="18"/>
                <w:szCs w:val="18"/>
                <w:color w:val="auto"/>
              </w:rPr>
            </w:pPr>
          </w:p>
        </w:tc>
        <w:tc>
          <w:tcPr>
            <w:tcW w:w="520" w:type="dxa"/>
            <w:vAlign w:val="bottom"/>
            <w:shd w:val="clear" w:color="auto" w:fill="CEFFE7"/>
          </w:tcPr>
          <w:p>
            <w:pPr>
              <w:spacing w:after="0"/>
              <w:rPr>
                <w:sz w:val="18"/>
                <w:szCs w:val="18"/>
                <w:color w:val="auto"/>
              </w:rPr>
            </w:pPr>
          </w:p>
        </w:tc>
        <w:tc>
          <w:tcPr>
            <w:tcW w:w="166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Accelerated depreciation, amortization and other property-related differences</w:t>
            </w:r>
          </w:p>
        </w:tc>
        <w:tc>
          <w:tcPr>
            <w:tcW w:w="1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(597,284)</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(551,137)</w:t>
            </w:r>
          </w:p>
        </w:tc>
        <w:tc>
          <w:tcPr>
            <w:tcW w:w="0" w:type="dxa"/>
            <w:vAlign w:val="bottom"/>
          </w:tcPr>
          <w:p>
            <w:pPr>
              <w:spacing w:after="0"/>
              <w:rPr>
                <w:sz w:val="1"/>
                <w:szCs w:val="1"/>
                <w:color w:val="auto"/>
              </w:rPr>
            </w:pPr>
          </w:p>
        </w:tc>
      </w:tr>
      <w:tr>
        <w:trPr>
          <w:trHeight w:val="219"/>
        </w:trPr>
        <w:tc>
          <w:tcPr>
            <w:tcW w:w="6900" w:type="dxa"/>
            <w:vAlign w:val="bottom"/>
            <w:shd w:val="clear" w:color="auto" w:fill="CEFFE7"/>
          </w:tcPr>
          <w:p>
            <w:pPr>
              <w:ind w:left="140"/>
              <w:spacing w:after="0" w:line="219" w:lineRule="exact"/>
              <w:rPr>
                <w:sz w:val="20"/>
                <w:szCs w:val="20"/>
                <w:color w:val="auto"/>
              </w:rPr>
            </w:pPr>
            <w:r>
              <w:rPr>
                <w:rFonts w:ascii="Arial" w:cs="Arial" w:eastAsia="Arial" w:hAnsi="Arial"/>
                <w:sz w:val="16"/>
                <w:szCs w:val="16"/>
                <w:color w:val="auto"/>
              </w:rPr>
              <w:t xml:space="preserve">Regulatory assets </w:t>
            </w:r>
            <w:r>
              <w:rPr>
                <w:rFonts w:ascii="Arial" w:cs="Arial" w:eastAsia="Arial" w:hAnsi="Arial"/>
                <w:sz w:val="21"/>
                <w:szCs w:val="21"/>
                <w:color w:val="auto"/>
                <w:vertAlign w:val="superscript"/>
              </w:rPr>
              <w:t>(a)</w:t>
            </w:r>
          </w:p>
        </w:tc>
        <w:tc>
          <w:tcPr>
            <w:tcW w:w="136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(124,582)</w:t>
            </w:r>
          </w:p>
        </w:tc>
        <w:tc>
          <w:tcPr>
            <w:tcW w:w="520" w:type="dxa"/>
            <w:vAlign w:val="bottom"/>
            <w:shd w:val="clear" w:color="auto" w:fill="CEFFE7"/>
          </w:tcPr>
          <w:p>
            <w:pPr>
              <w:spacing w:after="0"/>
              <w:rPr>
                <w:sz w:val="19"/>
                <w:szCs w:val="19"/>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(28,007)</w:t>
            </w:r>
          </w:p>
        </w:tc>
        <w:tc>
          <w:tcPr>
            <w:tcW w:w="0" w:type="dxa"/>
            <w:vAlign w:val="bottom"/>
          </w:tcPr>
          <w:p>
            <w:pPr>
              <w:spacing w:after="0"/>
              <w:rPr>
                <w:sz w:val="1"/>
                <w:szCs w:val="1"/>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1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(45,471)</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(30,590)</w:t>
            </w:r>
          </w:p>
        </w:tc>
        <w:tc>
          <w:tcPr>
            <w:tcW w:w="0" w:type="dxa"/>
            <w:vAlign w:val="bottom"/>
          </w:tcPr>
          <w:p>
            <w:pPr>
              <w:spacing w:after="0"/>
              <w:rPr>
                <w:sz w:val="1"/>
                <w:szCs w:val="1"/>
                <w:color w:val="auto"/>
              </w:rPr>
            </w:pPr>
          </w:p>
        </w:tc>
      </w:tr>
      <w:tr>
        <w:trPr>
          <w:trHeight w:val="219"/>
        </w:trPr>
        <w:tc>
          <w:tcPr>
            <w:tcW w:w="6900" w:type="dxa"/>
            <w:vAlign w:val="bottom"/>
            <w:shd w:val="clear" w:color="auto" w:fill="CEFFE7"/>
          </w:tcPr>
          <w:p>
            <w:pPr>
              <w:ind w:left="140"/>
              <w:spacing w:after="0" w:line="219" w:lineRule="exact"/>
              <w:rPr>
                <w:sz w:val="20"/>
                <w:szCs w:val="20"/>
                <w:color w:val="auto"/>
              </w:rPr>
            </w:pPr>
            <w:r>
              <w:rPr>
                <w:rFonts w:ascii="Arial" w:cs="Arial" w:eastAsia="Arial" w:hAnsi="Arial"/>
                <w:sz w:val="16"/>
                <w:szCs w:val="16"/>
                <w:color w:val="auto"/>
              </w:rPr>
              <w:t xml:space="preserve">State deferred tax liability </w:t>
            </w:r>
            <w:r>
              <w:rPr>
                <w:rFonts w:ascii="Arial" w:cs="Arial" w:eastAsia="Arial" w:hAnsi="Arial"/>
                <w:sz w:val="21"/>
                <w:szCs w:val="21"/>
                <w:color w:val="auto"/>
                <w:vertAlign w:val="superscript"/>
              </w:rPr>
              <w:t>(a)</w:t>
            </w:r>
          </w:p>
        </w:tc>
        <w:tc>
          <w:tcPr>
            <w:tcW w:w="136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(109,136)</w:t>
            </w:r>
          </w:p>
        </w:tc>
        <w:tc>
          <w:tcPr>
            <w:tcW w:w="520" w:type="dxa"/>
            <w:vAlign w:val="bottom"/>
            <w:shd w:val="clear" w:color="auto" w:fill="CEFFE7"/>
          </w:tcPr>
          <w:p>
            <w:pPr>
              <w:spacing w:after="0"/>
              <w:rPr>
                <w:sz w:val="19"/>
                <w:szCs w:val="19"/>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(73,910)</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Other deferred tax liabilities</w:t>
            </w:r>
          </w:p>
        </w:tc>
        <w:tc>
          <w:tcPr>
            <w:tcW w:w="1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(49,848)</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(38,169)</w:t>
            </w:r>
          </w:p>
        </w:tc>
        <w:tc>
          <w:tcPr>
            <w:tcW w:w="0" w:type="dxa"/>
            <w:vAlign w:val="bottom"/>
          </w:tcPr>
          <w:p>
            <w:pPr>
              <w:spacing w:after="0"/>
              <w:rPr>
                <w:sz w:val="1"/>
                <w:szCs w:val="1"/>
                <w:color w:val="auto"/>
              </w:rPr>
            </w:pPr>
          </w:p>
        </w:tc>
      </w:tr>
      <w:tr>
        <w:trPr>
          <w:trHeight w:val="209"/>
        </w:trPr>
        <w:tc>
          <w:tcPr>
            <w:tcW w:w="6900" w:type="dxa"/>
            <w:vAlign w:val="bottom"/>
            <w:shd w:val="clear" w:color="auto" w:fill="CEFFE7"/>
          </w:tcPr>
          <w:p>
            <w:pPr>
              <w:ind w:left="360"/>
              <w:spacing w:after="0"/>
              <w:rPr>
                <w:sz w:val="20"/>
                <w:szCs w:val="20"/>
                <w:color w:val="auto"/>
              </w:rPr>
            </w:pPr>
            <w:r>
              <w:rPr>
                <w:rFonts w:ascii="Arial" w:cs="Arial" w:eastAsia="Arial" w:hAnsi="Arial"/>
                <w:sz w:val="16"/>
                <w:szCs w:val="16"/>
                <w:color w:val="auto"/>
              </w:rPr>
              <w:t>Total deferred tax liabilities</w:t>
            </w:r>
          </w:p>
        </w:tc>
        <w:tc>
          <w:tcPr>
            <w:tcW w:w="136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(926,321)</w:t>
            </w:r>
          </w:p>
        </w:tc>
        <w:tc>
          <w:tcPr>
            <w:tcW w:w="520" w:type="dxa"/>
            <w:vAlign w:val="bottom"/>
            <w:tcBorders>
              <w:bottom w:val="single" w:sz="8" w:color="auto"/>
            </w:tcBorders>
            <w:shd w:val="clear" w:color="auto" w:fill="CEFFE7"/>
          </w:tcPr>
          <w:p>
            <w:pPr>
              <w:spacing w:after="0"/>
              <w:rPr>
                <w:sz w:val="18"/>
                <w:szCs w:val="18"/>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(721,813)</w:t>
            </w:r>
          </w:p>
        </w:tc>
        <w:tc>
          <w:tcPr>
            <w:tcW w:w="0" w:type="dxa"/>
            <w:vAlign w:val="bottom"/>
          </w:tcPr>
          <w:p>
            <w:pPr>
              <w:spacing w:after="0"/>
              <w:rPr>
                <w:sz w:val="1"/>
                <w:szCs w:val="1"/>
                <w:color w:val="auto"/>
              </w:rPr>
            </w:pPr>
          </w:p>
        </w:tc>
      </w:tr>
      <w:tr>
        <w:trPr>
          <w:trHeight w:val="253"/>
        </w:trPr>
        <w:tc>
          <w:tcPr>
            <w:tcW w:w="6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90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6"/>
                <w:szCs w:val="16"/>
                <w:color w:val="auto"/>
              </w:rPr>
              <w:t>Net deferred tax liability</w:t>
            </w:r>
          </w:p>
        </w:tc>
        <w:tc>
          <w:tcPr>
            <w:tcW w:w="1360" w:type="dxa"/>
            <w:vAlign w:val="bottom"/>
            <w:tcBorders>
              <w:bottom w:val="single" w:sz="8" w:color="auto"/>
            </w:tcBorders>
            <w:shd w:val="clear" w:color="auto" w:fill="CEFFE7"/>
          </w:tcPr>
          <w:p>
            <w:pPr>
              <w:jc w:val="right"/>
              <w:ind w:right="1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(465,388)</w:t>
            </w:r>
          </w:p>
        </w:tc>
        <w:tc>
          <w:tcPr>
            <w:tcW w:w="52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(408,624)</w:t>
            </w:r>
          </w:p>
        </w:tc>
        <w:tc>
          <w:tcPr>
            <w:tcW w:w="0" w:type="dxa"/>
            <w:vAlign w:val="bottom"/>
          </w:tcPr>
          <w:p>
            <w:pPr>
              <w:spacing w:after="0"/>
              <w:rPr>
                <w:sz w:val="1"/>
                <w:szCs w:val="1"/>
                <w:color w:val="auto"/>
              </w:rPr>
            </w:pPr>
          </w:p>
        </w:tc>
      </w:tr>
      <w:tr>
        <w:trPr>
          <w:trHeight w:val="20"/>
        </w:trPr>
        <w:tc>
          <w:tcPr>
            <w:tcW w:w="690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4"/>
                <w:szCs w:val="14"/>
                <w:color w:val="auto"/>
              </w:rPr>
              <w:t>____________________</w:t>
            </w:r>
          </w:p>
        </w:tc>
        <w:tc>
          <w:tcPr>
            <w:tcW w:w="136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520" w:type="dxa"/>
            <w:vAlign w:val="bottom"/>
            <w:tcBorders>
              <w:top w:val="single" w:sz="8" w:color="CEFFE7"/>
              <w:bottom w:val="single" w:sz="8" w:color="auto"/>
            </w:tcBorders>
          </w:tcPr>
          <w:p>
            <w:pPr>
              <w:spacing w:after="0" w:line="20" w:lineRule="exact"/>
              <w:rPr>
                <w:sz w:val="1"/>
                <w:szCs w:val="1"/>
                <w:color w:val="auto"/>
              </w:rPr>
            </w:pPr>
          </w:p>
        </w:tc>
        <w:tc>
          <w:tcPr>
            <w:tcW w:w="16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900" w:type="dxa"/>
            <w:vAlign w:val="bottom"/>
          </w:tcPr>
          <w:p>
            <w:pPr>
              <w:spacing w:after="0"/>
              <w:rPr>
                <w:sz w:val="20"/>
                <w:szCs w:val="20"/>
                <w:color w:val="auto"/>
              </w:rPr>
            </w:pPr>
            <w:r>
              <w:rPr>
                <w:rFonts w:ascii="Arial" w:cs="Arial" w:eastAsia="Arial" w:hAnsi="Arial"/>
                <w:sz w:val="14"/>
                <w:szCs w:val="14"/>
                <w:color w:val="auto"/>
              </w:rPr>
              <w:t>(a)  Increase primarily driven by Winter Storm Uri — see above.</w:t>
            </w: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Operating Loss Carryforwards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2021, we have federal and state NOL carryforwards that will expire at various dates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color w:val="auto"/>
              </w:rPr>
              <w:t>Amounts</w:t>
            </w:r>
          </w:p>
        </w:tc>
        <w:tc>
          <w:tcPr>
            <w:tcW w:w="10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Expiration Dates</w:t>
            </w:r>
          </w:p>
        </w:tc>
        <w:tc>
          <w:tcPr>
            <w:tcW w:w="1000" w:type="dxa"/>
            <w:vAlign w:val="bottom"/>
            <w:tcBorders>
              <w:bottom w:val="single" w:sz="8" w:color="auto"/>
            </w:tcBorders>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520" w:type="dxa"/>
            <w:vAlign w:val="bottom"/>
            <w:shd w:val="clear" w:color="auto" w:fill="CEFEE7"/>
          </w:tcPr>
          <w:p>
            <w:pPr>
              <w:ind w:left="20"/>
              <w:spacing w:after="0"/>
              <w:rPr>
                <w:sz w:val="20"/>
                <w:szCs w:val="20"/>
                <w:color w:val="auto"/>
              </w:rPr>
            </w:pPr>
            <w:r>
              <w:rPr>
                <w:rFonts w:ascii="Arial" w:cs="Arial" w:eastAsia="Arial" w:hAnsi="Arial"/>
                <w:sz w:val="16"/>
                <w:szCs w:val="16"/>
                <w:color w:val="auto"/>
              </w:rPr>
              <w:t>Federal NOL Carryforward</w:t>
            </w:r>
          </w:p>
        </w:tc>
        <w:tc>
          <w:tcPr>
            <w:tcW w:w="2000" w:type="dxa"/>
            <w:vAlign w:val="bottom"/>
            <w:shd w:val="clear" w:color="auto" w:fill="CEFEE7"/>
          </w:tcPr>
          <w:p>
            <w:pPr>
              <w:jc w:val="right"/>
              <w:ind w:right="25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EFEE7"/>
          </w:tcPr>
          <w:p>
            <w:pPr>
              <w:jc w:val="right"/>
              <w:ind w:right="419"/>
              <w:spacing w:after="0"/>
              <w:rPr>
                <w:sz w:val="20"/>
                <w:szCs w:val="20"/>
                <w:color w:val="auto"/>
              </w:rPr>
            </w:pPr>
            <w:r>
              <w:rPr>
                <w:rFonts w:ascii="Arial" w:cs="Arial" w:eastAsia="Arial" w:hAnsi="Arial"/>
                <w:sz w:val="16"/>
                <w:szCs w:val="16"/>
                <w:color w:val="auto"/>
              </w:rPr>
              <w:t>476,033</w:t>
            </w:r>
          </w:p>
        </w:tc>
        <w:tc>
          <w:tcPr>
            <w:tcW w:w="1020" w:type="dxa"/>
            <w:vAlign w:val="bottom"/>
            <w:shd w:val="clear" w:color="auto" w:fill="CEFEE7"/>
          </w:tcPr>
          <w:p>
            <w:pPr>
              <w:jc w:val="right"/>
              <w:ind w:right="59"/>
              <w:spacing w:after="0"/>
              <w:rPr>
                <w:sz w:val="20"/>
                <w:szCs w:val="20"/>
                <w:color w:val="auto"/>
              </w:rPr>
            </w:pPr>
            <w:r>
              <w:rPr>
                <w:rFonts w:ascii="Arial" w:cs="Arial" w:eastAsia="Arial" w:hAnsi="Arial"/>
                <w:sz w:val="16"/>
                <w:szCs w:val="16"/>
                <w:color w:val="auto"/>
              </w:rPr>
              <w:t>2022</w:t>
            </w:r>
          </w:p>
        </w:tc>
        <w:tc>
          <w:tcPr>
            <w:tcW w:w="148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to</w:t>
            </w:r>
          </w:p>
        </w:tc>
        <w:tc>
          <w:tcPr>
            <w:tcW w:w="1000" w:type="dxa"/>
            <w:vAlign w:val="bottom"/>
            <w:shd w:val="clear" w:color="auto" w:fill="CEFEE7"/>
          </w:tcPr>
          <w:p>
            <w:pPr>
              <w:jc w:val="right"/>
              <w:ind w:right="419"/>
              <w:spacing w:after="0"/>
              <w:rPr>
                <w:sz w:val="20"/>
                <w:szCs w:val="20"/>
                <w:color w:val="auto"/>
              </w:rPr>
            </w:pPr>
            <w:r>
              <w:rPr>
                <w:rFonts w:ascii="Arial" w:cs="Arial" w:eastAsia="Arial" w:hAnsi="Arial"/>
                <w:sz w:val="16"/>
                <w:szCs w:val="16"/>
                <w:color w:val="auto"/>
              </w:rPr>
              <w:t>2037</w:t>
            </w:r>
          </w:p>
        </w:tc>
      </w:tr>
      <w:tr>
        <w:trPr>
          <w:trHeight w:val="213"/>
        </w:trPr>
        <w:tc>
          <w:tcPr>
            <w:tcW w:w="2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Federal NOL Carryforward</w:t>
            </w:r>
          </w:p>
        </w:tc>
        <w:tc>
          <w:tcPr>
            <w:tcW w:w="20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419"/>
              <w:spacing w:after="0"/>
              <w:rPr>
                <w:sz w:val="20"/>
                <w:szCs w:val="20"/>
                <w:color w:val="auto"/>
              </w:rPr>
            </w:pPr>
            <w:r>
              <w:rPr>
                <w:rFonts w:ascii="Arial" w:cs="Arial" w:eastAsia="Arial" w:hAnsi="Arial"/>
                <w:sz w:val="16"/>
                <w:szCs w:val="16"/>
                <w:color w:val="auto"/>
              </w:rPr>
              <w:t>607,465</w:t>
            </w:r>
          </w:p>
        </w:tc>
        <w:tc>
          <w:tcPr>
            <w:tcW w:w="10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No expiration</w:t>
            </w:r>
          </w:p>
        </w:tc>
        <w:tc>
          <w:tcPr>
            <w:tcW w:w="1000" w:type="dxa"/>
            <w:vAlign w:val="bottom"/>
          </w:tcPr>
          <w:p>
            <w:pPr>
              <w:spacing w:after="0"/>
              <w:rPr>
                <w:sz w:val="18"/>
                <w:szCs w:val="18"/>
                <w:color w:val="auto"/>
              </w:rPr>
            </w:pPr>
          </w:p>
        </w:tc>
      </w:tr>
      <w:tr>
        <w:trPr>
          <w:trHeight w:val="273"/>
        </w:trPr>
        <w:tc>
          <w:tcPr>
            <w:tcW w:w="20" w:type="dxa"/>
            <w:vAlign w:val="bottom"/>
          </w:tcPr>
          <w:p>
            <w:pPr>
              <w:spacing w:after="0"/>
              <w:rPr>
                <w:sz w:val="23"/>
                <w:szCs w:val="23"/>
                <w:color w:val="auto"/>
              </w:rPr>
            </w:pPr>
          </w:p>
        </w:tc>
        <w:tc>
          <w:tcPr>
            <w:tcW w:w="3520" w:type="dxa"/>
            <w:vAlign w:val="bottom"/>
            <w:shd w:val="clear" w:color="auto" w:fill="CEFEE7"/>
          </w:tcPr>
          <w:p>
            <w:pPr>
              <w:spacing w:after="0"/>
              <w:rPr>
                <w:sz w:val="23"/>
                <w:szCs w:val="23"/>
                <w:color w:val="auto"/>
              </w:rPr>
            </w:pPr>
          </w:p>
        </w:tc>
        <w:tc>
          <w:tcPr>
            <w:tcW w:w="2000" w:type="dxa"/>
            <w:vAlign w:val="bottom"/>
            <w:shd w:val="clear" w:color="auto" w:fill="CEFEE7"/>
          </w:tcPr>
          <w:p>
            <w:pPr>
              <w:spacing w:after="0"/>
              <w:rPr>
                <w:sz w:val="23"/>
                <w:szCs w:val="23"/>
                <w:color w:val="auto"/>
              </w:rPr>
            </w:pPr>
          </w:p>
        </w:tc>
        <w:tc>
          <w:tcPr>
            <w:tcW w:w="2180" w:type="dxa"/>
            <w:vAlign w:val="bottom"/>
            <w:shd w:val="clear" w:color="auto" w:fill="CEFEE7"/>
          </w:tcPr>
          <w:p>
            <w:pPr>
              <w:spacing w:after="0"/>
              <w:rPr>
                <w:sz w:val="23"/>
                <w:szCs w:val="23"/>
                <w:color w:val="auto"/>
              </w:rPr>
            </w:pPr>
          </w:p>
        </w:tc>
        <w:tc>
          <w:tcPr>
            <w:tcW w:w="1020" w:type="dxa"/>
            <w:vAlign w:val="bottom"/>
            <w:shd w:val="clear" w:color="auto" w:fill="CEFEE7"/>
          </w:tcPr>
          <w:p>
            <w:pPr>
              <w:spacing w:after="0"/>
              <w:rPr>
                <w:sz w:val="23"/>
                <w:szCs w:val="23"/>
                <w:color w:val="auto"/>
              </w:rPr>
            </w:pPr>
          </w:p>
        </w:tc>
        <w:tc>
          <w:tcPr>
            <w:tcW w:w="1480" w:type="dxa"/>
            <w:vAlign w:val="bottom"/>
            <w:shd w:val="clear" w:color="auto" w:fill="CEFEE7"/>
          </w:tcPr>
          <w:p>
            <w:pPr>
              <w:spacing w:after="0"/>
              <w:rPr>
                <w:sz w:val="23"/>
                <w:szCs w:val="23"/>
                <w:color w:val="auto"/>
              </w:rPr>
            </w:pPr>
          </w:p>
        </w:tc>
        <w:tc>
          <w:tcPr>
            <w:tcW w:w="1000" w:type="dxa"/>
            <w:vAlign w:val="bottom"/>
            <w:shd w:val="clear" w:color="auto" w:fill="CEFEE7"/>
          </w:tcPr>
          <w:p>
            <w:pPr>
              <w:spacing w:after="0"/>
              <w:rPr>
                <w:sz w:val="23"/>
                <w:szCs w:val="23"/>
                <w:color w:val="auto"/>
              </w:rPr>
            </w:pPr>
          </w:p>
        </w:tc>
      </w:tr>
      <w:tr>
        <w:trPr>
          <w:trHeight w:val="281"/>
        </w:trPr>
        <w:tc>
          <w:tcPr>
            <w:tcW w:w="20" w:type="dxa"/>
            <w:vAlign w:val="bottom"/>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 xml:space="preserve">State NOL Carryforward </w:t>
            </w:r>
            <w:r>
              <w:rPr>
                <w:rFonts w:ascii="Arial" w:cs="Arial" w:eastAsia="Arial" w:hAnsi="Arial"/>
                <w:sz w:val="21"/>
                <w:szCs w:val="21"/>
                <w:color w:val="auto"/>
                <w:vertAlign w:val="superscript"/>
              </w:rPr>
              <w:t>(a)</w:t>
            </w:r>
          </w:p>
        </w:tc>
        <w:tc>
          <w:tcPr>
            <w:tcW w:w="20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419"/>
              <w:spacing w:after="0"/>
              <w:rPr>
                <w:sz w:val="20"/>
                <w:szCs w:val="20"/>
                <w:color w:val="auto"/>
              </w:rPr>
            </w:pPr>
            <w:r>
              <w:rPr>
                <w:rFonts w:ascii="Arial" w:cs="Arial" w:eastAsia="Arial" w:hAnsi="Arial"/>
                <w:sz w:val="16"/>
                <w:szCs w:val="16"/>
                <w:color w:val="auto"/>
              </w:rPr>
              <w:t>572,203</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2022</w:t>
            </w:r>
          </w:p>
        </w:tc>
        <w:tc>
          <w:tcPr>
            <w:tcW w:w="1480" w:type="dxa"/>
            <w:vAlign w:val="bottom"/>
          </w:tcPr>
          <w:p>
            <w:pPr>
              <w:jc w:val="center"/>
              <w:spacing w:after="0"/>
              <w:rPr>
                <w:sz w:val="20"/>
                <w:szCs w:val="20"/>
                <w:color w:val="auto"/>
              </w:rPr>
            </w:pPr>
            <w:r>
              <w:rPr>
                <w:rFonts w:ascii="Arial" w:cs="Arial" w:eastAsia="Arial" w:hAnsi="Arial"/>
                <w:sz w:val="16"/>
                <w:szCs w:val="16"/>
                <w:color w:val="auto"/>
              </w:rPr>
              <w:t>to</w:t>
            </w:r>
          </w:p>
        </w:tc>
        <w:tc>
          <w:tcPr>
            <w:tcW w:w="1000" w:type="dxa"/>
            <w:vAlign w:val="bottom"/>
          </w:tcPr>
          <w:p>
            <w:pPr>
              <w:jc w:val="right"/>
              <w:ind w:right="419"/>
              <w:spacing w:after="0"/>
              <w:rPr>
                <w:sz w:val="20"/>
                <w:szCs w:val="20"/>
                <w:color w:val="auto"/>
              </w:rPr>
            </w:pPr>
            <w:r>
              <w:rPr>
                <w:rFonts w:ascii="Arial" w:cs="Arial" w:eastAsia="Arial" w:hAnsi="Arial"/>
                <w:sz w:val="16"/>
                <w:szCs w:val="16"/>
                <w:color w:val="auto"/>
              </w:rPr>
              <w:t>2041</w:t>
            </w:r>
          </w:p>
        </w:tc>
      </w:tr>
      <w:tr>
        <w:trPr>
          <w:trHeight w:val="196"/>
        </w:trPr>
        <w:tc>
          <w:tcPr>
            <w:tcW w:w="3540" w:type="dxa"/>
            <w:vAlign w:val="bottom"/>
            <w:gridSpan w:val="2"/>
          </w:tcPr>
          <w:p>
            <w:pPr>
              <w:jc w:val="right"/>
              <w:ind w:right="1859"/>
              <w:spacing w:after="0"/>
              <w:rPr>
                <w:sz w:val="20"/>
                <w:szCs w:val="20"/>
                <w:color w:val="auto"/>
              </w:rPr>
            </w:pPr>
            <w:r>
              <w:rPr>
                <w:rFonts w:ascii="Arial" w:cs="Arial" w:eastAsia="Arial" w:hAnsi="Arial"/>
                <w:sz w:val="14"/>
                <w:szCs w:val="14"/>
                <w:color w:val="auto"/>
              </w:rPr>
              <w:t>____________________</w:t>
            </w:r>
          </w:p>
        </w:tc>
        <w:tc>
          <w:tcPr>
            <w:tcW w:w="20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carryforward balance is reflected on the basis of apportioned tax losses to jurisdictions imposing state income taxes.</w:t>
      </w:r>
    </w:p>
    <w:p>
      <w:pPr>
        <w:spacing w:after="0" w:line="24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of December 31, 2021, we had a $1.1 million valuation allowance against the state NOL carryforwards. Our 2021 analysis of the ability to utilize such NOLs resulted in no increase in the valuation allowance. If the valuation allowance is adjusted due to higher or lower than anticipated utilization of the NOLs, the offsetting amount will affect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Unrecognized Tax Benefits</w:t>
      </w:r>
    </w:p>
    <w:p>
      <w:pPr>
        <w:spacing w:after="0" w:line="268"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 following table reconciles the total amounts of unrecognized tax benefits, without interest, at the beginning and end of the period included in Other deferred credits and other liabilities on the accompanying Consolidated Balance Sheets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Changes in Uncertain Tax Positions:</w:t>
            </w:r>
          </w:p>
        </w:tc>
        <w:tc>
          <w:tcPr>
            <w:tcW w:w="6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2021</w:t>
            </w:r>
          </w:p>
        </w:tc>
        <w:tc>
          <w:tcPr>
            <w:tcW w:w="6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2020</w:t>
            </w:r>
          </w:p>
        </w:tc>
        <w:tc>
          <w:tcPr>
            <w:tcW w:w="6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2019</w:t>
            </w:r>
          </w:p>
        </w:tc>
      </w:tr>
      <w:tr>
        <w:trPr>
          <w:trHeight w:val="212"/>
        </w:trPr>
        <w:tc>
          <w:tcPr>
            <w:tcW w:w="3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Beginning balance</w:t>
            </w:r>
          </w:p>
        </w:tc>
        <w:tc>
          <w:tcPr>
            <w:tcW w:w="600" w:type="dxa"/>
            <w:vAlign w:val="bottom"/>
            <w:shd w:val="clear" w:color="auto" w:fill="CEFFE7"/>
          </w:tcPr>
          <w:p>
            <w:pPr>
              <w:jc w:val="right"/>
              <w:ind w:right="41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8,383</w:t>
            </w:r>
          </w:p>
        </w:tc>
        <w:tc>
          <w:tcPr>
            <w:tcW w:w="600" w:type="dxa"/>
            <w:vAlign w:val="bottom"/>
            <w:shd w:val="clear" w:color="auto" w:fill="CEFFE7"/>
          </w:tcPr>
          <w:p>
            <w:pPr>
              <w:jc w:val="right"/>
              <w:ind w:right="39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EFFE7"/>
          </w:tcPr>
          <w:p>
            <w:pPr>
              <w:jc w:val="center"/>
              <w:ind w:left="1299"/>
              <w:spacing w:after="0"/>
              <w:rPr>
                <w:sz w:val="20"/>
                <w:szCs w:val="20"/>
                <w:color w:val="auto"/>
              </w:rPr>
            </w:pPr>
            <w:r>
              <w:rPr>
                <w:rFonts w:ascii="Arial" w:cs="Arial" w:eastAsia="Arial" w:hAnsi="Arial"/>
                <w:sz w:val="16"/>
                <w:szCs w:val="16"/>
                <w:color w:val="auto"/>
                <w:w w:val="99"/>
              </w:rPr>
              <w:t>4,165</w:t>
            </w:r>
          </w:p>
        </w:tc>
        <w:tc>
          <w:tcPr>
            <w:tcW w:w="600" w:type="dxa"/>
            <w:vAlign w:val="bottom"/>
            <w:shd w:val="clear" w:color="auto" w:fill="CEFFE7"/>
          </w:tcPr>
          <w:p>
            <w:pPr>
              <w:jc w:val="right"/>
              <w:ind w:right="4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3,583</w:t>
            </w:r>
          </w:p>
        </w:tc>
      </w:tr>
      <w:tr>
        <w:trPr>
          <w:trHeight w:val="213"/>
        </w:trPr>
        <w:tc>
          <w:tcPr>
            <w:tcW w:w="3680" w:type="dxa"/>
            <w:vAlign w:val="bottom"/>
          </w:tcPr>
          <w:p>
            <w:pPr>
              <w:ind w:left="140"/>
              <w:spacing w:after="0"/>
              <w:rPr>
                <w:sz w:val="20"/>
                <w:szCs w:val="20"/>
                <w:color w:val="auto"/>
              </w:rPr>
            </w:pPr>
            <w:r>
              <w:rPr>
                <w:rFonts w:ascii="Arial" w:cs="Arial" w:eastAsia="Arial" w:hAnsi="Arial"/>
                <w:sz w:val="16"/>
                <w:szCs w:val="16"/>
                <w:color w:val="auto"/>
              </w:rPr>
              <w:t>Additions for prior year tax positions</w:t>
            </w:r>
          </w:p>
        </w:tc>
        <w:tc>
          <w:tcPr>
            <w:tcW w:w="6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448</w:t>
            </w:r>
          </w:p>
        </w:tc>
        <w:tc>
          <w:tcPr>
            <w:tcW w:w="600" w:type="dxa"/>
            <w:vAlign w:val="bottom"/>
          </w:tcPr>
          <w:p>
            <w:pPr>
              <w:spacing w:after="0"/>
              <w:rPr>
                <w:sz w:val="18"/>
                <w:szCs w:val="18"/>
                <w:color w:val="auto"/>
              </w:rPr>
            </w:pPr>
          </w:p>
        </w:tc>
        <w:tc>
          <w:tcPr>
            <w:tcW w:w="1940" w:type="dxa"/>
            <w:vAlign w:val="bottom"/>
          </w:tcPr>
          <w:p>
            <w:pPr>
              <w:jc w:val="center"/>
              <w:ind w:left="1299"/>
              <w:spacing w:after="0"/>
              <w:rPr>
                <w:sz w:val="20"/>
                <w:szCs w:val="20"/>
                <w:color w:val="auto"/>
              </w:rPr>
            </w:pPr>
            <w:r>
              <w:rPr>
                <w:rFonts w:ascii="Arial" w:cs="Arial" w:eastAsia="Arial" w:hAnsi="Arial"/>
                <w:sz w:val="16"/>
                <w:szCs w:val="16"/>
                <w:color w:val="auto"/>
                <w:w w:val="99"/>
              </w:rPr>
              <w:t>3,788</w:t>
            </w:r>
          </w:p>
        </w:tc>
        <w:tc>
          <w:tcPr>
            <w:tcW w:w="6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219"/>
        </w:trPr>
        <w:tc>
          <w:tcPr>
            <w:tcW w:w="36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Reductions for prior year tax positions</w:t>
            </w:r>
          </w:p>
        </w:tc>
        <w:tc>
          <w:tcPr>
            <w:tcW w:w="600" w:type="dxa"/>
            <w:vAlign w:val="bottom"/>
            <w:shd w:val="clear" w:color="auto" w:fill="CEFFE7"/>
          </w:tcPr>
          <w:p>
            <w:pPr>
              <w:spacing w:after="0"/>
              <w:rPr>
                <w:sz w:val="19"/>
                <w:szCs w:val="19"/>
                <w:color w:val="auto"/>
              </w:rPr>
            </w:pP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(732)</w:t>
            </w:r>
          </w:p>
        </w:tc>
        <w:tc>
          <w:tcPr>
            <w:tcW w:w="600" w:type="dxa"/>
            <w:vAlign w:val="bottom"/>
            <w:shd w:val="clear" w:color="auto" w:fill="CEFFE7"/>
          </w:tcPr>
          <w:p>
            <w:pPr>
              <w:spacing w:after="0"/>
              <w:rPr>
                <w:sz w:val="19"/>
                <w:szCs w:val="19"/>
                <w:color w:val="auto"/>
              </w:rPr>
            </w:pPr>
          </w:p>
        </w:tc>
        <w:tc>
          <w:tcPr>
            <w:tcW w:w="1940" w:type="dxa"/>
            <w:vAlign w:val="bottom"/>
            <w:shd w:val="clear" w:color="auto" w:fill="CEFFE7"/>
          </w:tcPr>
          <w:p>
            <w:pPr>
              <w:jc w:val="center"/>
              <w:ind w:left="1279"/>
              <w:spacing w:after="0"/>
              <w:rPr>
                <w:sz w:val="20"/>
                <w:szCs w:val="20"/>
                <w:color w:val="auto"/>
              </w:rPr>
            </w:pPr>
            <w:r>
              <w:rPr>
                <w:rFonts w:ascii="Arial" w:cs="Arial" w:eastAsia="Arial" w:hAnsi="Arial"/>
                <w:sz w:val="16"/>
                <w:szCs w:val="16"/>
                <w:color w:val="auto"/>
                <w:w w:val="98"/>
              </w:rPr>
              <w:t>(1,313)</w:t>
            </w:r>
          </w:p>
        </w:tc>
        <w:tc>
          <w:tcPr>
            <w:tcW w:w="600" w:type="dxa"/>
            <w:vAlign w:val="bottom"/>
            <w:shd w:val="clear" w:color="auto" w:fill="CEFFE7"/>
          </w:tcPr>
          <w:p>
            <w:pPr>
              <w:spacing w:after="0"/>
              <w:rPr>
                <w:sz w:val="19"/>
                <w:szCs w:val="19"/>
                <w:color w:val="auto"/>
              </w:rPr>
            </w:pP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(862)</w:t>
            </w:r>
          </w:p>
        </w:tc>
      </w:tr>
      <w:tr>
        <w:trPr>
          <w:trHeight w:val="213"/>
        </w:trPr>
        <w:tc>
          <w:tcPr>
            <w:tcW w:w="36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Additions for current year tax positions</w:t>
            </w:r>
          </w:p>
        </w:tc>
        <w:tc>
          <w:tcPr>
            <w:tcW w:w="6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w:t>
            </w:r>
          </w:p>
        </w:tc>
        <w:tc>
          <w:tcPr>
            <w:tcW w:w="6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color w:val="auto"/>
                <w:w w:val="99"/>
              </w:rPr>
              <w:t>1,743</w:t>
            </w:r>
          </w:p>
        </w:tc>
        <w:tc>
          <w:tcPr>
            <w:tcW w:w="6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r>
      <w:tr>
        <w:trPr>
          <w:trHeight w:val="212"/>
        </w:trPr>
        <w:tc>
          <w:tcPr>
            <w:tcW w:w="3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Ending balance</w:t>
            </w:r>
          </w:p>
        </w:tc>
        <w:tc>
          <w:tcPr>
            <w:tcW w:w="600" w:type="dxa"/>
            <w:vAlign w:val="bottom"/>
            <w:shd w:val="clear" w:color="auto" w:fill="CEFFE7"/>
          </w:tcPr>
          <w:p>
            <w:pPr>
              <w:jc w:val="right"/>
              <w:ind w:right="41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10,554</w:t>
            </w:r>
          </w:p>
        </w:tc>
        <w:tc>
          <w:tcPr>
            <w:tcW w:w="600" w:type="dxa"/>
            <w:vAlign w:val="bottom"/>
            <w:shd w:val="clear" w:color="auto" w:fill="CEFFE7"/>
          </w:tcPr>
          <w:p>
            <w:pPr>
              <w:jc w:val="right"/>
              <w:ind w:right="39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EFFE7"/>
          </w:tcPr>
          <w:p>
            <w:pPr>
              <w:jc w:val="center"/>
              <w:ind w:left="1299"/>
              <w:spacing w:after="0"/>
              <w:rPr>
                <w:sz w:val="20"/>
                <w:szCs w:val="20"/>
                <w:color w:val="auto"/>
              </w:rPr>
            </w:pPr>
            <w:r>
              <w:rPr>
                <w:rFonts w:ascii="Arial" w:cs="Arial" w:eastAsia="Arial" w:hAnsi="Arial"/>
                <w:sz w:val="16"/>
                <w:szCs w:val="16"/>
                <w:color w:val="auto"/>
                <w:w w:val="99"/>
              </w:rPr>
              <w:t>8,383</w:t>
            </w:r>
          </w:p>
        </w:tc>
        <w:tc>
          <w:tcPr>
            <w:tcW w:w="600" w:type="dxa"/>
            <w:vAlign w:val="bottom"/>
            <w:shd w:val="clear" w:color="auto" w:fill="CEFFE7"/>
          </w:tcPr>
          <w:p>
            <w:pPr>
              <w:jc w:val="right"/>
              <w:ind w:right="4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4,165</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total amount of unrecognized tax benefits that, if recognized, would impact the effective tax rate is approximately $5.1 million.</w:t>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recognized no interest expense associated with income taxes for the years ended December 31, 2021, December 31, 2020 and December 31, 2019. We had no accrued interest (before tax effect) associated with income taxes at December 31, 2021 and December 31, 2020.</w:t>
      </w:r>
    </w:p>
    <w:p>
      <w:pPr>
        <w:spacing w:after="0" w:line="22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Company is subject to federal income tax as well as income tax in various state and local jurisdictions. Black Hills Gas, Inc. and subsidiaries, which filed a separate consolidated tax return from BHC and subsidiaries through March 31, 2018, is under examination by the IRS for 2014. BHC is no longer subject to examination for tax years prior to 2017.</w:t>
      </w:r>
    </w:p>
    <w:p>
      <w:pPr>
        <w:spacing w:after="0" w:line="228"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As of December 31, 2021, we do not have any tax positions for which it is reasonably possible that the total amount of unrecognized tax benefits will significantly increase or decrease on or before December 31, 2022.</w:t>
      </w:r>
    </w:p>
    <w:p>
      <w:pPr>
        <w:spacing w:after="0" w:line="222"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State tax credits have been generated and are available to offset future state income taxes. At December 31, 2021, we had the following state tax credit carryforwards (in thousands):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348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State Tax Credit Carryforwards</w:t>
            </w:r>
          </w:p>
        </w:tc>
        <w:tc>
          <w:tcPr>
            <w:tcW w:w="7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color w:val="auto"/>
              </w:rPr>
              <w:t>Amounts</w:t>
            </w:r>
          </w:p>
        </w:tc>
        <w:tc>
          <w:tcPr>
            <w:tcW w:w="4500" w:type="dxa"/>
            <w:vAlign w:val="bottom"/>
            <w:tcBorders>
              <w:bottom w:val="single" w:sz="8" w:color="auto"/>
            </w:tcBorders>
            <w:gridSpan w:val="3"/>
          </w:tcPr>
          <w:p>
            <w:pPr>
              <w:jc w:val="center"/>
              <w:ind w:right="839"/>
              <w:spacing w:after="0"/>
              <w:rPr>
                <w:sz w:val="20"/>
                <w:szCs w:val="20"/>
                <w:color w:val="auto"/>
              </w:rPr>
            </w:pPr>
            <w:r>
              <w:rPr>
                <w:rFonts w:ascii="Arial" w:cs="Arial" w:eastAsia="Arial" w:hAnsi="Arial"/>
                <w:sz w:val="16"/>
                <w:szCs w:val="16"/>
                <w:color w:val="auto"/>
              </w:rPr>
              <w:t>Expiration Year</w:t>
            </w:r>
          </w:p>
        </w:tc>
      </w:tr>
      <w:tr>
        <w:trPr>
          <w:trHeight w:val="213"/>
        </w:trPr>
        <w:tc>
          <w:tcPr>
            <w:tcW w:w="3480" w:type="dxa"/>
            <w:vAlign w:val="bottom"/>
            <w:shd w:val="clear" w:color="auto" w:fill="CEFFE7"/>
          </w:tcPr>
          <w:p>
            <w:pPr>
              <w:spacing w:after="0"/>
              <w:rPr>
                <w:sz w:val="20"/>
                <w:szCs w:val="20"/>
                <w:color w:val="auto"/>
              </w:rPr>
            </w:pPr>
            <w:r>
              <w:rPr>
                <w:rFonts w:ascii="Arial" w:cs="Arial" w:eastAsia="Arial" w:hAnsi="Arial"/>
                <w:sz w:val="16"/>
                <w:szCs w:val="16"/>
                <w:color w:val="auto"/>
              </w:rPr>
              <w:t>ITC</w:t>
            </w:r>
          </w:p>
        </w:tc>
        <w:tc>
          <w:tcPr>
            <w:tcW w:w="7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2440" w:type="dxa"/>
            <w:vAlign w:val="bottom"/>
            <w:shd w:val="clear" w:color="auto" w:fill="CEFFE7"/>
          </w:tcPr>
          <w:p>
            <w:pPr>
              <w:jc w:val="right"/>
              <w:ind w:right="919"/>
              <w:spacing w:after="0"/>
              <w:rPr>
                <w:sz w:val="20"/>
                <w:szCs w:val="20"/>
                <w:color w:val="auto"/>
              </w:rPr>
            </w:pPr>
            <w:r>
              <w:rPr>
                <w:rFonts w:ascii="Arial" w:cs="Arial" w:eastAsia="Arial" w:hAnsi="Arial"/>
                <w:sz w:val="16"/>
                <w:szCs w:val="16"/>
                <w:color w:val="auto"/>
              </w:rPr>
              <w:t>23,060</w:t>
            </w:r>
          </w:p>
        </w:tc>
        <w:tc>
          <w:tcPr>
            <w:tcW w:w="154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2023</w:t>
            </w:r>
          </w:p>
        </w:tc>
        <w:tc>
          <w:tcPr>
            <w:tcW w:w="4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to</w:t>
            </w:r>
          </w:p>
        </w:tc>
        <w:tc>
          <w:tcPr>
            <w:tcW w:w="2480" w:type="dxa"/>
            <w:vAlign w:val="bottom"/>
            <w:shd w:val="clear" w:color="auto" w:fill="CEFFE7"/>
          </w:tcPr>
          <w:p>
            <w:pPr>
              <w:jc w:val="right"/>
              <w:ind w:right="1859"/>
              <w:spacing w:after="0"/>
              <w:rPr>
                <w:sz w:val="20"/>
                <w:szCs w:val="20"/>
                <w:color w:val="auto"/>
              </w:rPr>
            </w:pPr>
            <w:r>
              <w:rPr>
                <w:rFonts w:ascii="Arial" w:cs="Arial" w:eastAsia="Arial" w:hAnsi="Arial"/>
                <w:sz w:val="16"/>
                <w:szCs w:val="16"/>
                <w:color w:val="auto"/>
              </w:rPr>
              <w:t>2041</w:t>
            </w:r>
          </w:p>
        </w:tc>
      </w:tr>
      <w:tr>
        <w:trPr>
          <w:trHeight w:val="210"/>
        </w:trPr>
        <w:tc>
          <w:tcPr>
            <w:tcW w:w="34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440" w:type="dxa"/>
            <w:vAlign w:val="bottom"/>
          </w:tcPr>
          <w:p>
            <w:pPr>
              <w:jc w:val="right"/>
              <w:ind w:right="919"/>
              <w:spacing w:after="0"/>
              <w:rPr>
                <w:sz w:val="20"/>
                <w:szCs w:val="20"/>
                <w:color w:val="auto"/>
              </w:rPr>
            </w:pPr>
            <w:r>
              <w:rPr>
                <w:rFonts w:ascii="Arial" w:cs="Arial" w:eastAsia="Arial" w:hAnsi="Arial"/>
                <w:sz w:val="16"/>
                <w:szCs w:val="16"/>
                <w:color w:val="auto"/>
              </w:rPr>
              <w:t>282</w:t>
            </w:r>
          </w:p>
        </w:tc>
        <w:tc>
          <w:tcPr>
            <w:tcW w:w="4500" w:type="dxa"/>
            <w:vAlign w:val="bottom"/>
            <w:gridSpan w:val="3"/>
          </w:tcPr>
          <w:p>
            <w:pPr>
              <w:jc w:val="center"/>
              <w:ind w:right="859"/>
              <w:spacing w:after="0"/>
              <w:rPr>
                <w:sz w:val="20"/>
                <w:szCs w:val="20"/>
                <w:color w:val="auto"/>
              </w:rPr>
            </w:pPr>
            <w:r>
              <w:rPr>
                <w:rFonts w:ascii="Arial" w:cs="Arial" w:eastAsia="Arial" w:hAnsi="Arial"/>
                <w:sz w:val="16"/>
                <w:szCs w:val="16"/>
                <w:color w:val="auto"/>
              </w:rPr>
              <w:t>No expiration</w:t>
            </w:r>
          </w:p>
        </w:tc>
      </w:tr>
    </w:tbl>
    <w:p>
      <w:pPr>
        <w:spacing w:after="0" w:line="34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of December 31, 2021, we had a $13.6 million valuation allowance against the state ITC carryforwards. Our 2021 analysis of the ability to utilize such ITC resulted in a $0.8 million increase in the valuation allowance, which resulted in an increase to tax expense of $0.8 million. The valuation allowance adjustment was primarily attributable to changes in forecasted future state taxable income.</w:t>
      </w:r>
    </w:p>
    <w:p>
      <w:pPr>
        <w:spacing w:after="0" w:line="200" w:lineRule="exact"/>
        <w:rPr>
          <w:sz w:val="20"/>
          <w:szCs w:val="20"/>
          <w:color w:val="auto"/>
        </w:rPr>
      </w:pPr>
    </w:p>
    <w:p>
      <w:pPr>
        <w:spacing w:after="0" w:line="251" w:lineRule="exact"/>
        <w:rPr>
          <w:sz w:val="20"/>
          <w:szCs w:val="20"/>
          <w:color w:val="auto"/>
        </w:rPr>
      </w:pPr>
    </w:p>
    <w:p>
      <w:pPr>
        <w:ind w:left="480" w:hanging="472"/>
        <w:spacing w:after="0"/>
        <w:tabs>
          <w:tab w:leader="none" w:pos="48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26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Our chief operating decision maker (CODM) reviews financial information presented on an operating segment basis for purposes of making decisions and assessing financial performance. Our CODM assesses the performance of our operating segments based on operating income.</w:t>
      </w:r>
    </w:p>
    <w:p>
      <w:pPr>
        <w:spacing w:after="0" w:line="22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the prior year, we had reported four operating segments: Electric Utilities, Gas Utilities, Power Generation and Mining. In the fourth quarter of 2021, we changed our operating segments to align with the revised manner in which our CODM reviews our financial performance and allocates resources. Our power generation and mining businesses, which were previously presented as separate operating segments, are now part of our Electric Utilities segment. This change aligns with our vertically integrated business model for our Electric Utilities. Comparative periods presented reflect this change.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20"/>
                <w:szCs w:val="20"/>
                <w:color w:val="auto"/>
              </w:rPr>
            </w:pPr>
            <w:r>
              <w:rPr>
                <w:rFonts w:ascii="Arial" w:cs="Arial" w:eastAsia="Arial" w:hAnsi="Arial"/>
                <w:sz w:val="16"/>
                <w:szCs w:val="16"/>
                <w:color w:val="auto"/>
              </w:rPr>
              <w:t>Our operating segments are equivalent to our reportable segments.</w:t>
            </w:r>
          </w:p>
        </w:tc>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6"/>
                <w:szCs w:val="16"/>
                <w:color w:val="auto"/>
              </w:rPr>
              <w:t>Segment information was as follows (in thousands):</w:t>
            </w:r>
          </w:p>
        </w:tc>
        <w:tc>
          <w:tcPr>
            <w:tcW w:w="3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 (net of intercompany eliminations) as of December 31,</w:t>
            </w:r>
          </w:p>
        </w:tc>
        <w:tc>
          <w:tcPr>
            <w:tcW w:w="3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3"/>
        </w:trPr>
        <w:tc>
          <w:tcPr>
            <w:tcW w:w="5160" w:type="dxa"/>
            <w:vAlign w:val="bottom"/>
            <w:shd w:val="clear" w:color="auto" w:fill="CEFFE7"/>
          </w:tcPr>
          <w:p>
            <w:pPr>
              <w:ind w:left="140"/>
              <w:spacing w:after="0"/>
              <w:rPr>
                <w:sz w:val="20"/>
                <w:szCs w:val="20"/>
                <w:color w:val="auto"/>
              </w:rPr>
            </w:pPr>
            <w:r>
              <w:rPr>
                <w:rFonts w:ascii="Arial" w:cs="Arial" w:eastAsia="Arial" w:hAnsi="Arial"/>
                <w:sz w:val="16"/>
                <w:szCs w:val="16"/>
                <w:color w:val="auto"/>
              </w:rPr>
              <w:t>Electric Utilities</w:t>
            </w:r>
          </w:p>
        </w:tc>
        <w:tc>
          <w:tcPr>
            <w:tcW w:w="3360" w:type="dxa"/>
            <w:vAlign w:val="bottom"/>
            <w:gridSpan w:val="2"/>
            <w:shd w:val="clear" w:color="auto" w:fill="CEFFE7"/>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3,796,662</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3,602,233</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Gas Utilities</w:t>
            </w:r>
          </w:p>
        </w:tc>
        <w:tc>
          <w:tcPr>
            <w:tcW w:w="3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5,246,370</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4,376,204</w:t>
            </w:r>
          </w:p>
        </w:tc>
        <w:tc>
          <w:tcPr>
            <w:tcW w:w="0" w:type="dxa"/>
            <w:vAlign w:val="bottom"/>
          </w:tcPr>
          <w:p>
            <w:pPr>
              <w:spacing w:after="0"/>
              <w:rPr>
                <w:sz w:val="1"/>
                <w:szCs w:val="1"/>
                <w:color w:val="auto"/>
              </w:rPr>
            </w:pPr>
          </w:p>
        </w:tc>
      </w:tr>
      <w:tr>
        <w:trPr>
          <w:trHeight w:val="216"/>
        </w:trPr>
        <w:tc>
          <w:tcPr>
            <w:tcW w:w="516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Corporate and Other</w:t>
            </w:r>
          </w:p>
        </w:tc>
        <w:tc>
          <w:tcPr>
            <w:tcW w:w="3000" w:type="dxa"/>
            <w:vAlign w:val="bottom"/>
            <w:shd w:val="clear" w:color="auto" w:fill="CEFFE7"/>
          </w:tcPr>
          <w:p>
            <w:pPr>
              <w:spacing w:after="0"/>
              <w:rPr>
                <w:sz w:val="18"/>
                <w:szCs w:val="18"/>
                <w:color w:val="auto"/>
              </w:rPr>
            </w:pPr>
          </w:p>
        </w:tc>
        <w:tc>
          <w:tcPr>
            <w:tcW w:w="360" w:type="dxa"/>
            <w:vAlign w:val="bottom"/>
            <w:tcBorders>
              <w:bottom w:val="single" w:sz="8" w:color="auto"/>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88,864</w:t>
            </w:r>
          </w:p>
        </w:tc>
        <w:tc>
          <w:tcPr>
            <w:tcW w:w="36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110,349</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9,131,896</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8,088,786</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3000" w:type="dxa"/>
            <w:vAlign w:val="bottom"/>
            <w:vMerge w:val="restart"/>
          </w:tcPr>
          <w:p>
            <w:pPr>
              <w:jc w:val="right"/>
              <w:ind w:right="2319"/>
              <w:spacing w:after="0"/>
              <w:rPr>
                <w:sz w:val="20"/>
                <w:szCs w:val="20"/>
                <w:color w:val="auto"/>
              </w:rPr>
            </w:pPr>
            <w:r>
              <w:rPr>
                <w:rFonts w:ascii="Arial" w:cs="Arial" w:eastAsia="Arial" w:hAnsi="Arial"/>
                <w:sz w:val="16"/>
                <w:szCs w:val="16"/>
                <w:color w:val="auto"/>
              </w:rPr>
              <w:t>111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1"/>
        </w:trPr>
        <w:tc>
          <w:tcPr>
            <w:tcW w:w="51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16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84"/>
        </w:trPr>
        <w:tc>
          <w:tcPr>
            <w:tcW w:w="662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831"/>
        </w:trPr>
        <w:tc>
          <w:tcPr>
            <w:tcW w:w="66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for the years ended December 31,</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r>
      <w:tr>
        <w:trPr>
          <w:trHeight w:val="209"/>
        </w:trPr>
        <w:tc>
          <w:tcPr>
            <w:tcW w:w="6620" w:type="dxa"/>
            <w:vAlign w:val="bottom"/>
            <w:gridSpan w:val="2"/>
            <w:shd w:val="clear" w:color="auto" w:fill="CEFEE7"/>
          </w:tcPr>
          <w:p>
            <w:pPr>
              <w:ind w:left="140"/>
              <w:spacing w:after="0"/>
              <w:rPr>
                <w:sz w:val="20"/>
                <w:szCs w:val="20"/>
                <w:color w:val="auto"/>
              </w:rPr>
            </w:pPr>
            <w:r>
              <w:rPr>
                <w:rFonts w:ascii="Arial" w:cs="Arial" w:eastAsia="Arial" w:hAnsi="Arial"/>
                <w:sz w:val="16"/>
                <w:szCs w:val="16"/>
                <w:color w:val="auto"/>
              </w:rPr>
              <w:t>Electric Utilities</w:t>
            </w:r>
          </w:p>
        </w:tc>
        <w:tc>
          <w:tcPr>
            <w:tcW w:w="360" w:type="dxa"/>
            <w:vAlign w:val="bottom"/>
            <w:shd w:val="clear" w:color="auto" w:fill="CEFE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285,770</w:t>
            </w:r>
          </w:p>
        </w:tc>
        <w:tc>
          <w:tcPr>
            <w:tcW w:w="380" w:type="dxa"/>
            <w:vAlign w:val="bottom"/>
            <w:shd w:val="clear" w:color="auto" w:fill="CEFE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288,683</w:t>
            </w:r>
          </w:p>
        </w:tc>
        <w:tc>
          <w:tcPr>
            <w:tcW w:w="360" w:type="dxa"/>
            <w:vAlign w:val="bottom"/>
            <w:shd w:val="clear" w:color="auto" w:fill="CEFEE7"/>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316,687</w:t>
            </w:r>
          </w:p>
        </w:tc>
      </w:tr>
      <w:tr>
        <w:trPr>
          <w:trHeight w:val="213"/>
        </w:trPr>
        <w:tc>
          <w:tcPr>
            <w:tcW w:w="6620" w:type="dxa"/>
            <w:vAlign w:val="bottom"/>
            <w:gridSpan w:val="2"/>
          </w:tcPr>
          <w:p>
            <w:pPr>
              <w:ind w:left="140"/>
              <w:spacing w:after="0"/>
              <w:rPr>
                <w:sz w:val="20"/>
                <w:szCs w:val="20"/>
                <w:color w:val="auto"/>
              </w:rPr>
            </w:pPr>
            <w:r>
              <w:rPr>
                <w:rFonts w:ascii="Arial" w:cs="Arial" w:eastAsia="Arial" w:hAnsi="Arial"/>
                <w:sz w:val="16"/>
                <w:szCs w:val="16"/>
                <w:color w:val="auto"/>
              </w:rPr>
              <w:t>Gas Utilities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383,320</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449,209</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512,366</w:t>
            </w:r>
          </w:p>
        </w:tc>
      </w:tr>
      <w:tr>
        <w:trPr>
          <w:trHeight w:val="216"/>
        </w:trPr>
        <w:tc>
          <w:tcPr>
            <w:tcW w:w="6620" w:type="dxa"/>
            <w:vAlign w:val="bottom"/>
            <w:gridSpan w:val="2"/>
            <w:shd w:val="clear" w:color="auto" w:fill="CEFEE7"/>
          </w:tcPr>
          <w:p>
            <w:pPr>
              <w:ind w:left="140"/>
              <w:spacing w:after="0"/>
              <w:rPr>
                <w:sz w:val="20"/>
                <w:szCs w:val="20"/>
                <w:color w:val="auto"/>
              </w:rPr>
            </w:pPr>
            <w:r>
              <w:rPr>
                <w:rFonts w:ascii="Arial" w:cs="Arial" w:eastAsia="Arial" w:hAnsi="Arial"/>
                <w:sz w:val="16"/>
                <w:szCs w:val="16"/>
                <w:color w:val="auto"/>
              </w:rPr>
              <w:t>Corporate and Other</w:t>
            </w:r>
          </w:p>
        </w:tc>
        <w:tc>
          <w:tcPr>
            <w:tcW w:w="360" w:type="dxa"/>
            <w:vAlign w:val="bottom"/>
            <w:tcBorders>
              <w:bottom w:val="single" w:sz="8" w:color="auto"/>
            </w:tcBorders>
            <w:shd w:val="clear" w:color="auto" w:fill="CEFEE7"/>
          </w:tcPr>
          <w:p>
            <w:pPr>
              <w:spacing w:after="0"/>
              <w:rPr>
                <w:sz w:val="18"/>
                <w:szCs w:val="18"/>
                <w:color w:val="auto"/>
              </w:rPr>
            </w:pPr>
          </w:p>
        </w:tc>
        <w:tc>
          <w:tcPr>
            <w:tcW w:w="116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10,500</w:t>
            </w:r>
          </w:p>
        </w:tc>
        <w:tc>
          <w:tcPr>
            <w:tcW w:w="380" w:type="dxa"/>
            <w:vAlign w:val="bottom"/>
            <w:tcBorders>
              <w:bottom w:val="single" w:sz="8" w:color="auto"/>
            </w:tcBorders>
            <w:shd w:val="clear" w:color="auto" w:fill="CEFEE7"/>
          </w:tcPr>
          <w:p>
            <w:pPr>
              <w:spacing w:after="0"/>
              <w:rPr>
                <w:sz w:val="18"/>
                <w:szCs w:val="18"/>
                <w:color w:val="auto"/>
              </w:rPr>
            </w:pPr>
          </w:p>
        </w:tc>
        <w:tc>
          <w:tcPr>
            <w:tcW w:w="116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17,500</w:t>
            </w:r>
          </w:p>
        </w:tc>
        <w:tc>
          <w:tcPr>
            <w:tcW w:w="360" w:type="dxa"/>
            <w:vAlign w:val="bottom"/>
            <w:tcBorders>
              <w:bottom w:val="single" w:sz="8" w:color="auto"/>
            </w:tcBorders>
            <w:shd w:val="clear" w:color="auto" w:fill="CEFEE7"/>
          </w:tcPr>
          <w:p>
            <w:pPr>
              <w:spacing w:after="0"/>
              <w:rPr>
                <w:sz w:val="18"/>
                <w:szCs w:val="18"/>
                <w:color w:val="auto"/>
              </w:rPr>
            </w:pPr>
          </w:p>
        </w:tc>
        <w:tc>
          <w:tcPr>
            <w:tcW w:w="12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20,702</w:t>
            </w:r>
          </w:p>
        </w:tc>
      </w:tr>
      <w:tr>
        <w:trPr>
          <w:trHeight w:val="213"/>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Total capital expenditures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679,590</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755,392</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849,755</w:t>
            </w:r>
          </w:p>
        </w:tc>
      </w:tr>
      <w:tr>
        <w:trPr>
          <w:trHeight w:val="20"/>
        </w:trPr>
        <w:tc>
          <w:tcPr>
            <w:tcW w:w="13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the Supplemental Cash Flow Information to the </w:t>
      </w:r>
      <w:hyperlink w:anchor="page63">
        <w:r>
          <w:rPr>
            <w:rFonts w:ascii="Arial" w:cs="Arial" w:eastAsia="Arial" w:hAnsi="Arial"/>
            <w:sz w:val="14"/>
            <w:szCs w:val="14"/>
            <w:u w:val="single" w:color="auto"/>
            <w:color w:val="0000FF"/>
          </w:rPr>
          <w:t>Consolidated Statement of Cash Flows</w:t>
        </w:r>
      </w:hyperlink>
      <w:r>
        <w:rPr>
          <w:rFonts w:ascii="Arial" w:cs="Arial" w:eastAsia="Arial" w:hAnsi="Arial"/>
          <w:sz w:val="14"/>
          <w:szCs w:val="14"/>
          <w:color w:val="auto"/>
        </w:rPr>
        <w: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5"/>
          </w:tcPr>
          <w:p>
            <w:pPr>
              <w:jc w:val="right"/>
              <w:ind w:right="848"/>
              <w:spacing w:after="0"/>
              <w:rPr>
                <w:sz w:val="20"/>
                <w:szCs w:val="20"/>
                <w:color w:val="auto"/>
              </w:rPr>
            </w:pPr>
            <w:r>
              <w:rPr>
                <w:rFonts w:ascii="Arial" w:cs="Arial" w:eastAsia="Arial" w:hAnsi="Arial"/>
                <w:sz w:val="14"/>
                <w:szCs w:val="14"/>
                <w:b w:val="1"/>
                <w:bCs w:val="1"/>
                <w:color w:val="auto"/>
              </w:rPr>
              <w:t>Consolidating Income Statement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420" w:type="dxa"/>
            <w:vAlign w:val="bottom"/>
            <w:vMerge w:val="restart"/>
          </w:tcPr>
          <w:p>
            <w:pPr>
              <w:ind w:left="20"/>
              <w:spacing w:after="0"/>
              <w:rPr>
                <w:sz w:val="20"/>
                <w:szCs w:val="20"/>
                <w:color w:val="auto"/>
              </w:rPr>
            </w:pPr>
            <w:r>
              <w:rPr>
                <w:rFonts w:ascii="Arial" w:cs="Arial" w:eastAsia="Arial" w:hAnsi="Arial"/>
                <w:sz w:val="14"/>
                <w:szCs w:val="14"/>
                <w:color w:val="auto"/>
              </w:rPr>
              <w:t>Year ended December 31, 2021</w:t>
            </w:r>
          </w:p>
        </w:tc>
        <w:tc>
          <w:tcPr>
            <w:tcW w:w="140" w:type="dxa"/>
            <w:vAlign w:val="bottom"/>
          </w:tcPr>
          <w:p>
            <w:pPr>
              <w:spacing w:after="0"/>
              <w:rPr>
                <w:sz w:val="12"/>
                <w:szCs w:val="12"/>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color w:val="auto"/>
              </w:rPr>
              <w:t>Electric Utilities</w:t>
            </w:r>
          </w:p>
        </w:tc>
        <w:tc>
          <w:tcPr>
            <w:tcW w:w="220" w:type="dxa"/>
            <w:vAlign w:val="bottom"/>
          </w:tcPr>
          <w:p>
            <w:pPr>
              <w:spacing w:after="0"/>
              <w:rPr>
                <w:sz w:val="12"/>
                <w:szCs w:val="12"/>
                <w:color w:val="auto"/>
              </w:rPr>
            </w:pPr>
          </w:p>
        </w:tc>
        <w:tc>
          <w:tcPr>
            <w:tcW w:w="1140" w:type="dxa"/>
            <w:vAlign w:val="bottom"/>
            <w:vMerge w:val="restart"/>
          </w:tcPr>
          <w:p>
            <w:pPr>
              <w:jc w:val="right"/>
              <w:ind w:right="188"/>
              <w:spacing w:after="0"/>
              <w:rPr>
                <w:sz w:val="20"/>
                <w:szCs w:val="20"/>
                <w:color w:val="auto"/>
              </w:rPr>
            </w:pPr>
            <w:r>
              <w:rPr>
                <w:rFonts w:ascii="Arial" w:cs="Arial" w:eastAsia="Arial" w:hAnsi="Arial"/>
                <w:sz w:val="14"/>
                <w:szCs w:val="14"/>
                <w:color w:val="auto"/>
              </w:rPr>
              <w:t>Gas Utilities</w:t>
            </w:r>
          </w:p>
        </w:tc>
        <w:tc>
          <w:tcPr>
            <w:tcW w:w="260" w:type="dxa"/>
            <w:vAlign w:val="bottom"/>
          </w:tcPr>
          <w:p>
            <w:pPr>
              <w:spacing w:after="0"/>
              <w:rPr>
                <w:sz w:val="12"/>
                <w:szCs w:val="12"/>
                <w:color w:val="auto"/>
              </w:rPr>
            </w:pPr>
          </w:p>
        </w:tc>
        <w:tc>
          <w:tcPr>
            <w:tcW w:w="1100" w:type="dxa"/>
            <w:vAlign w:val="bottom"/>
            <w:vMerge w:val="restart"/>
          </w:tcPr>
          <w:p>
            <w:pPr>
              <w:jc w:val="right"/>
              <w:ind w:right="248"/>
              <w:spacing w:after="0"/>
              <w:rPr>
                <w:sz w:val="20"/>
                <w:szCs w:val="20"/>
                <w:color w:val="auto"/>
              </w:rPr>
            </w:pPr>
            <w:r>
              <w:rPr>
                <w:rFonts w:ascii="Arial" w:cs="Arial" w:eastAsia="Arial" w:hAnsi="Arial"/>
                <w:sz w:val="14"/>
                <w:szCs w:val="14"/>
                <w:color w:val="auto"/>
              </w:rPr>
              <w:t>Corporate</w:t>
            </w:r>
          </w:p>
        </w:tc>
        <w:tc>
          <w:tcPr>
            <w:tcW w:w="180" w:type="dxa"/>
            <w:vAlign w:val="bottom"/>
          </w:tcPr>
          <w:p>
            <w:pPr>
              <w:spacing w:after="0"/>
              <w:rPr>
                <w:sz w:val="12"/>
                <w:szCs w:val="12"/>
                <w:color w:val="auto"/>
              </w:rPr>
            </w:pPr>
          </w:p>
        </w:tc>
        <w:tc>
          <w:tcPr>
            <w:tcW w:w="1220" w:type="dxa"/>
            <w:vAlign w:val="bottom"/>
          </w:tcPr>
          <w:p>
            <w:pPr>
              <w:jc w:val="right"/>
              <w:ind w:right="128"/>
              <w:spacing w:after="0" w:line="147" w:lineRule="exact"/>
              <w:rPr>
                <w:sz w:val="20"/>
                <w:szCs w:val="20"/>
                <w:color w:val="auto"/>
              </w:rPr>
            </w:pPr>
            <w:r>
              <w:rPr>
                <w:rFonts w:ascii="Arial" w:cs="Arial" w:eastAsia="Arial" w:hAnsi="Arial"/>
                <w:sz w:val="14"/>
                <w:szCs w:val="14"/>
                <w:color w:val="auto"/>
              </w:rPr>
              <w:t>Inter-Company</w:t>
            </w:r>
          </w:p>
        </w:tc>
        <w:tc>
          <w:tcPr>
            <w:tcW w:w="320" w:type="dxa"/>
            <w:vAlign w:val="bottom"/>
          </w:tcPr>
          <w:p>
            <w:pPr>
              <w:spacing w:after="0"/>
              <w:rPr>
                <w:sz w:val="12"/>
                <w:szCs w:val="12"/>
                <w:color w:val="auto"/>
              </w:rPr>
            </w:pPr>
          </w:p>
        </w:tc>
        <w:tc>
          <w:tcPr>
            <w:tcW w:w="104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Eliminations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Revenue -</w:t>
            </w:r>
          </w:p>
        </w:tc>
        <w:tc>
          <w:tcPr>
            <w:tcW w:w="140" w:type="dxa"/>
            <w:vAlign w:val="bottom"/>
            <w:shd w:val="clear" w:color="auto" w:fill="CEFFE7"/>
          </w:tcPr>
          <w:p>
            <w:pPr>
              <w:spacing w:after="0"/>
              <w:rPr>
                <w:sz w:val="16"/>
                <w:szCs w:val="16"/>
                <w:color w:val="auto"/>
              </w:rPr>
            </w:pPr>
          </w:p>
        </w:tc>
        <w:tc>
          <w:tcPr>
            <w:tcW w:w="120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114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1100" w:type="dxa"/>
            <w:vAlign w:val="bottom"/>
            <w:shd w:val="clear" w:color="auto" w:fill="CEFFE7"/>
          </w:tcPr>
          <w:p>
            <w:pPr>
              <w:spacing w:after="0"/>
              <w:rPr>
                <w:sz w:val="16"/>
                <w:szCs w:val="16"/>
                <w:color w:val="auto"/>
              </w:rPr>
            </w:pPr>
          </w:p>
        </w:tc>
        <w:tc>
          <w:tcPr>
            <w:tcW w:w="18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320" w:type="dxa"/>
            <w:vAlign w:val="bottom"/>
            <w:shd w:val="clear" w:color="auto" w:fill="CEFFE7"/>
          </w:tcPr>
          <w:p>
            <w:pPr>
              <w:spacing w:after="0"/>
              <w:rPr>
                <w:sz w:val="16"/>
                <w:szCs w:val="16"/>
                <w:color w:val="auto"/>
              </w:rPr>
            </w:pPr>
          </w:p>
        </w:tc>
        <w:tc>
          <w:tcPr>
            <w:tcW w:w="104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140"/>
              <w:spacing w:after="0"/>
              <w:rPr>
                <w:sz w:val="20"/>
                <w:szCs w:val="20"/>
                <w:color w:val="auto"/>
              </w:rPr>
            </w:pPr>
            <w:r>
              <w:rPr>
                <w:rFonts w:ascii="Arial" w:cs="Arial" w:eastAsia="Arial" w:hAnsi="Arial"/>
                <w:sz w:val="14"/>
                <w:szCs w:val="14"/>
                <w:color w:val="auto"/>
              </w:rPr>
              <w:t>Contracts with customers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825,404</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1,105,430</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1,930,834</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140"/>
              <w:spacing w:after="0"/>
              <w:rPr>
                <w:sz w:val="20"/>
                <w:szCs w:val="20"/>
                <w:color w:val="auto"/>
              </w:rPr>
            </w:pPr>
            <w:r>
              <w:rPr>
                <w:rFonts w:ascii="Arial" w:cs="Arial" w:eastAsia="Arial" w:hAnsi="Arial"/>
                <w:sz w:val="14"/>
                <w:szCs w:val="14"/>
                <w:color w:val="auto"/>
              </w:rPr>
              <w:t>Other revenues</w:t>
            </w:r>
          </w:p>
        </w:tc>
        <w:tc>
          <w:tcPr>
            <w:tcW w:w="140" w:type="dxa"/>
            <w:vAlign w:val="bottom"/>
            <w:tcBorders>
              <w:bottom w:val="single" w:sz="8" w:color="auto"/>
            </w:tcBorders>
            <w:shd w:val="clear" w:color="auto" w:fill="CEFFE7"/>
          </w:tcPr>
          <w:p>
            <w:pPr>
              <w:spacing w:after="0"/>
              <w:rPr>
                <w:sz w:val="16"/>
                <w:szCs w:val="16"/>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5,336</w:t>
            </w:r>
          </w:p>
        </w:tc>
        <w:tc>
          <w:tcPr>
            <w:tcW w:w="220" w:type="dxa"/>
            <w:vAlign w:val="bottom"/>
            <w:tcBorders>
              <w:bottom w:val="single" w:sz="8" w:color="auto"/>
            </w:tcBorders>
            <w:shd w:val="clear" w:color="auto" w:fill="CEFFE7"/>
          </w:tcPr>
          <w:p>
            <w:pPr>
              <w:spacing w:after="0"/>
              <w:rPr>
                <w:sz w:val="16"/>
                <w:szCs w:val="16"/>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12,932</w:t>
            </w:r>
          </w:p>
        </w:tc>
        <w:tc>
          <w:tcPr>
            <w:tcW w:w="260" w:type="dxa"/>
            <w:vAlign w:val="bottom"/>
            <w:tcBorders>
              <w:bottom w:val="single" w:sz="8" w:color="auto"/>
            </w:tcBorders>
            <w:shd w:val="clear" w:color="auto" w:fill="CEFFE7"/>
          </w:tcPr>
          <w:p>
            <w:pPr>
              <w:spacing w:after="0"/>
              <w:rPr>
                <w:sz w:val="16"/>
                <w:szCs w:val="16"/>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EFFE7"/>
          </w:tcPr>
          <w:p>
            <w:pPr>
              <w:spacing w:after="0"/>
              <w:rPr>
                <w:sz w:val="16"/>
                <w:szCs w:val="16"/>
                <w:color w:val="auto"/>
              </w:rPr>
            </w:pPr>
          </w:p>
        </w:tc>
        <w:tc>
          <w:tcPr>
            <w:tcW w:w="12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EFFE7"/>
          </w:tcPr>
          <w:p>
            <w:pPr>
              <w:spacing w:after="0"/>
              <w:rPr>
                <w:sz w:val="16"/>
                <w:szCs w:val="16"/>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18,268</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EFFE7"/>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830,740</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1,118,362</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1,949,102</w:t>
            </w:r>
          </w:p>
        </w:tc>
        <w:tc>
          <w:tcPr>
            <w:tcW w:w="0" w:type="dxa"/>
            <w:vAlign w:val="bottom"/>
          </w:tcPr>
          <w:p>
            <w:pPr>
              <w:spacing w:after="0"/>
              <w:rPr>
                <w:sz w:val="1"/>
                <w:szCs w:val="1"/>
                <w:color w:val="auto"/>
              </w:rPr>
            </w:pPr>
          </w:p>
        </w:tc>
      </w:tr>
      <w:tr>
        <w:trPr>
          <w:trHeight w:val="16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Inter-company operating revenue -</w:t>
            </w:r>
          </w:p>
        </w:tc>
        <w:tc>
          <w:tcPr>
            <w:tcW w:w="140" w:type="dxa"/>
            <w:vAlign w:val="bottom"/>
            <w:shd w:val="clear" w:color="auto" w:fill="CEFFE7"/>
          </w:tcPr>
          <w:p>
            <w:pPr>
              <w:spacing w:after="0"/>
              <w:rPr>
                <w:sz w:val="14"/>
                <w:szCs w:val="14"/>
                <w:color w:val="auto"/>
              </w:rPr>
            </w:pPr>
          </w:p>
        </w:tc>
        <w:tc>
          <w:tcPr>
            <w:tcW w:w="1200" w:type="dxa"/>
            <w:vAlign w:val="bottom"/>
            <w:shd w:val="clear" w:color="auto" w:fill="CEFFE7"/>
          </w:tcPr>
          <w:p>
            <w:pPr>
              <w:spacing w:after="0"/>
              <w:rPr>
                <w:sz w:val="14"/>
                <w:szCs w:val="14"/>
                <w:color w:val="auto"/>
              </w:rPr>
            </w:pPr>
          </w:p>
        </w:tc>
        <w:tc>
          <w:tcPr>
            <w:tcW w:w="220" w:type="dxa"/>
            <w:vAlign w:val="bottom"/>
            <w:shd w:val="clear" w:color="auto" w:fill="CEFFE7"/>
          </w:tcPr>
          <w:p>
            <w:pPr>
              <w:spacing w:after="0"/>
              <w:rPr>
                <w:sz w:val="14"/>
                <w:szCs w:val="14"/>
                <w:color w:val="auto"/>
              </w:rPr>
            </w:pPr>
          </w:p>
        </w:tc>
        <w:tc>
          <w:tcPr>
            <w:tcW w:w="1140" w:type="dxa"/>
            <w:vAlign w:val="bottom"/>
            <w:shd w:val="clear" w:color="auto" w:fill="CEFFE7"/>
          </w:tcPr>
          <w:p>
            <w:pPr>
              <w:spacing w:after="0"/>
              <w:rPr>
                <w:sz w:val="14"/>
                <w:szCs w:val="14"/>
                <w:color w:val="auto"/>
              </w:rPr>
            </w:pPr>
          </w:p>
        </w:tc>
        <w:tc>
          <w:tcPr>
            <w:tcW w:w="260" w:type="dxa"/>
            <w:vAlign w:val="bottom"/>
            <w:shd w:val="clear" w:color="auto" w:fill="CEFFE7"/>
          </w:tcPr>
          <w:p>
            <w:pPr>
              <w:spacing w:after="0"/>
              <w:rPr>
                <w:sz w:val="14"/>
                <w:szCs w:val="14"/>
                <w:color w:val="auto"/>
              </w:rPr>
            </w:pPr>
          </w:p>
        </w:tc>
        <w:tc>
          <w:tcPr>
            <w:tcW w:w="1100" w:type="dxa"/>
            <w:vAlign w:val="bottom"/>
            <w:shd w:val="clear" w:color="auto" w:fill="CEFFE7"/>
          </w:tcPr>
          <w:p>
            <w:pPr>
              <w:spacing w:after="0"/>
              <w:rPr>
                <w:sz w:val="14"/>
                <w:szCs w:val="14"/>
                <w:color w:val="auto"/>
              </w:rPr>
            </w:pPr>
          </w:p>
        </w:tc>
        <w:tc>
          <w:tcPr>
            <w:tcW w:w="180" w:type="dxa"/>
            <w:vAlign w:val="bottom"/>
            <w:shd w:val="clear" w:color="auto" w:fill="CEFFE7"/>
          </w:tcPr>
          <w:p>
            <w:pPr>
              <w:spacing w:after="0"/>
              <w:rPr>
                <w:sz w:val="14"/>
                <w:szCs w:val="14"/>
                <w:color w:val="auto"/>
              </w:rPr>
            </w:pPr>
          </w:p>
        </w:tc>
        <w:tc>
          <w:tcPr>
            <w:tcW w:w="1220" w:type="dxa"/>
            <w:vAlign w:val="bottom"/>
            <w:shd w:val="clear" w:color="auto" w:fill="CEFFE7"/>
          </w:tcPr>
          <w:p>
            <w:pPr>
              <w:spacing w:after="0"/>
              <w:rPr>
                <w:sz w:val="14"/>
                <w:szCs w:val="14"/>
                <w:color w:val="auto"/>
              </w:rPr>
            </w:pPr>
          </w:p>
        </w:tc>
        <w:tc>
          <w:tcPr>
            <w:tcW w:w="320" w:type="dxa"/>
            <w:vAlign w:val="bottom"/>
            <w:shd w:val="clear" w:color="auto" w:fill="CEFFE7"/>
          </w:tcPr>
          <w:p>
            <w:pPr>
              <w:spacing w:after="0"/>
              <w:rPr>
                <w:sz w:val="14"/>
                <w:szCs w:val="14"/>
                <w:color w:val="auto"/>
              </w:rPr>
            </w:pPr>
          </w:p>
        </w:tc>
        <w:tc>
          <w:tcPr>
            <w:tcW w:w="1040" w:type="dxa"/>
            <w:vAlign w:val="bottom"/>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140"/>
              <w:spacing w:after="0"/>
              <w:rPr>
                <w:sz w:val="20"/>
                <w:szCs w:val="20"/>
                <w:color w:val="auto"/>
              </w:rPr>
            </w:pPr>
            <w:r>
              <w:rPr>
                <w:rFonts w:ascii="Arial" w:cs="Arial" w:eastAsia="Arial" w:hAnsi="Arial"/>
                <w:sz w:val="14"/>
                <w:szCs w:val="14"/>
                <w:color w:val="auto"/>
              </w:rPr>
              <w:t>Contracts with customers</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11,518</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6,110</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196</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(17,824)</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140"/>
              <w:spacing w:after="0"/>
              <w:rPr>
                <w:sz w:val="20"/>
                <w:szCs w:val="20"/>
                <w:color w:val="auto"/>
              </w:rPr>
            </w:pPr>
            <w:r>
              <w:rPr>
                <w:rFonts w:ascii="Arial" w:cs="Arial" w:eastAsia="Arial" w:hAnsi="Arial"/>
                <w:sz w:val="14"/>
                <w:szCs w:val="14"/>
                <w:color w:val="auto"/>
              </w:rPr>
              <w:t>Other revenues</w:t>
            </w:r>
          </w:p>
        </w:tc>
        <w:tc>
          <w:tcPr>
            <w:tcW w:w="140" w:type="dxa"/>
            <w:vAlign w:val="bottom"/>
            <w:tcBorders>
              <w:bottom w:val="single" w:sz="8" w:color="auto"/>
            </w:tcBorders>
            <w:shd w:val="clear" w:color="auto" w:fill="CEFFE7"/>
          </w:tcPr>
          <w:p>
            <w:pPr>
              <w:spacing w:after="0"/>
              <w:rPr>
                <w:sz w:val="16"/>
                <w:szCs w:val="16"/>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6"/>
                <w:szCs w:val="16"/>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393</w:t>
            </w:r>
          </w:p>
        </w:tc>
        <w:tc>
          <w:tcPr>
            <w:tcW w:w="260" w:type="dxa"/>
            <w:vAlign w:val="bottom"/>
            <w:tcBorders>
              <w:bottom w:val="single" w:sz="8" w:color="auto"/>
            </w:tcBorders>
            <w:shd w:val="clear" w:color="auto" w:fill="CEFFE7"/>
          </w:tcPr>
          <w:p>
            <w:pPr>
              <w:spacing w:after="0"/>
              <w:rPr>
                <w:sz w:val="16"/>
                <w:szCs w:val="16"/>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356,151</w:t>
            </w:r>
          </w:p>
        </w:tc>
        <w:tc>
          <w:tcPr>
            <w:tcW w:w="180" w:type="dxa"/>
            <w:vAlign w:val="bottom"/>
            <w:tcBorders>
              <w:bottom w:val="single" w:sz="8" w:color="auto"/>
            </w:tcBorders>
            <w:shd w:val="clear" w:color="auto" w:fill="CEFFE7"/>
          </w:tcPr>
          <w:p>
            <w:pPr>
              <w:spacing w:after="0"/>
              <w:rPr>
                <w:sz w:val="16"/>
                <w:szCs w:val="16"/>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(356,544)</w:t>
            </w:r>
          </w:p>
        </w:tc>
        <w:tc>
          <w:tcPr>
            <w:tcW w:w="320" w:type="dxa"/>
            <w:vAlign w:val="bottom"/>
            <w:tcBorders>
              <w:bottom w:val="single" w:sz="8" w:color="auto"/>
            </w:tcBorders>
            <w:shd w:val="clear" w:color="auto" w:fill="CEFFE7"/>
          </w:tcPr>
          <w:p>
            <w:pPr>
              <w:spacing w:after="0"/>
              <w:rPr>
                <w:sz w:val="16"/>
                <w:szCs w:val="16"/>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EFFE7"/>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11,518</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6,503</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356,347</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(374,368)</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420" w:type="dxa"/>
            <w:vAlign w:val="bottom"/>
            <w:shd w:val="clear" w:color="auto" w:fill="CEFFE7"/>
          </w:tcPr>
          <w:p>
            <w:pPr>
              <w:ind w:left="140"/>
              <w:spacing w:after="0"/>
              <w:rPr>
                <w:sz w:val="20"/>
                <w:szCs w:val="20"/>
                <w:color w:val="auto"/>
              </w:rPr>
            </w:pPr>
            <w:r>
              <w:rPr>
                <w:rFonts w:ascii="Arial" w:cs="Arial" w:eastAsia="Arial" w:hAnsi="Arial"/>
                <w:sz w:val="14"/>
                <w:szCs w:val="14"/>
                <w:color w:val="auto"/>
              </w:rPr>
              <w:t>Total revenue</w:t>
            </w:r>
          </w:p>
        </w:tc>
        <w:tc>
          <w:tcPr>
            <w:tcW w:w="140" w:type="dxa"/>
            <w:vAlign w:val="bottom"/>
            <w:tcBorders>
              <w:bottom w:val="single" w:sz="8" w:color="auto"/>
            </w:tcBorders>
            <w:shd w:val="clear" w:color="auto" w:fill="CEFFE7"/>
          </w:tcPr>
          <w:p>
            <w:pPr>
              <w:spacing w:after="0"/>
              <w:rPr>
                <w:sz w:val="15"/>
                <w:szCs w:val="15"/>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842,258</w:t>
            </w:r>
          </w:p>
        </w:tc>
        <w:tc>
          <w:tcPr>
            <w:tcW w:w="220" w:type="dxa"/>
            <w:vAlign w:val="bottom"/>
            <w:tcBorders>
              <w:bottom w:val="single" w:sz="8" w:color="auto"/>
            </w:tcBorders>
            <w:shd w:val="clear" w:color="auto" w:fill="CEFFE7"/>
          </w:tcPr>
          <w:p>
            <w:pPr>
              <w:spacing w:after="0"/>
              <w:rPr>
                <w:sz w:val="15"/>
                <w:szCs w:val="15"/>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1,124,865</w:t>
            </w:r>
          </w:p>
        </w:tc>
        <w:tc>
          <w:tcPr>
            <w:tcW w:w="260" w:type="dxa"/>
            <w:vAlign w:val="bottom"/>
            <w:tcBorders>
              <w:bottom w:val="single" w:sz="8" w:color="auto"/>
            </w:tcBorders>
            <w:shd w:val="clear" w:color="auto" w:fill="CEFFE7"/>
          </w:tcPr>
          <w:p>
            <w:pPr>
              <w:spacing w:after="0"/>
              <w:rPr>
                <w:sz w:val="15"/>
                <w:szCs w:val="15"/>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356,347</w:t>
            </w:r>
          </w:p>
        </w:tc>
        <w:tc>
          <w:tcPr>
            <w:tcW w:w="180" w:type="dxa"/>
            <w:vAlign w:val="bottom"/>
            <w:tcBorders>
              <w:bottom w:val="single" w:sz="8" w:color="auto"/>
            </w:tcBorders>
            <w:shd w:val="clear" w:color="auto" w:fill="CEFFE7"/>
          </w:tcPr>
          <w:p>
            <w:pPr>
              <w:spacing w:after="0"/>
              <w:rPr>
                <w:sz w:val="15"/>
                <w:szCs w:val="15"/>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(374,368)</w:t>
            </w:r>
          </w:p>
        </w:tc>
        <w:tc>
          <w:tcPr>
            <w:tcW w:w="320" w:type="dxa"/>
            <w:vAlign w:val="bottom"/>
            <w:tcBorders>
              <w:bottom w:val="single" w:sz="8" w:color="auto"/>
            </w:tcBorders>
            <w:shd w:val="clear" w:color="auto" w:fill="CEFFE7"/>
          </w:tcPr>
          <w:p>
            <w:pPr>
              <w:spacing w:after="0"/>
              <w:rPr>
                <w:sz w:val="15"/>
                <w:szCs w:val="15"/>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1,949,102</w:t>
            </w:r>
          </w:p>
        </w:tc>
        <w:tc>
          <w:tcPr>
            <w:tcW w:w="0" w:type="dxa"/>
            <w:vAlign w:val="bottom"/>
          </w:tcPr>
          <w:p>
            <w:pPr>
              <w:spacing w:after="0"/>
              <w:rPr>
                <w:sz w:val="1"/>
                <w:szCs w:val="1"/>
                <w:color w:val="auto"/>
              </w:rPr>
            </w:pPr>
          </w:p>
        </w:tc>
      </w:tr>
      <w:tr>
        <w:trPr>
          <w:trHeight w:val="74"/>
        </w:trPr>
        <w:tc>
          <w:tcPr>
            <w:tcW w:w="4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Fuel, purchased power and cost of natural gas sold</w:t>
            </w:r>
          </w:p>
        </w:tc>
        <w:tc>
          <w:tcPr>
            <w:tcW w:w="140" w:type="dxa"/>
            <w:vAlign w:val="bottom"/>
            <w:shd w:val="clear" w:color="auto" w:fill="CEFFE7"/>
          </w:tcPr>
          <w:p>
            <w:pPr>
              <w:spacing w:after="0"/>
              <w:rPr>
                <w:sz w:val="16"/>
                <w:szCs w:val="16"/>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248,018</w:t>
            </w:r>
          </w:p>
        </w:tc>
        <w:tc>
          <w:tcPr>
            <w:tcW w:w="220" w:type="dxa"/>
            <w:vAlign w:val="bottom"/>
            <w:shd w:val="clear" w:color="auto" w:fill="CEFFE7"/>
          </w:tcPr>
          <w:p>
            <w:pPr>
              <w:spacing w:after="0"/>
              <w:rPr>
                <w:sz w:val="16"/>
                <w:szCs w:val="16"/>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494,738</w:t>
            </w:r>
          </w:p>
        </w:tc>
        <w:tc>
          <w:tcPr>
            <w:tcW w:w="260" w:type="dxa"/>
            <w:vAlign w:val="bottom"/>
            <w:shd w:val="clear" w:color="auto" w:fill="CEFFE7"/>
          </w:tcPr>
          <w:p>
            <w:pPr>
              <w:spacing w:after="0"/>
              <w:rPr>
                <w:sz w:val="16"/>
                <w:szCs w:val="16"/>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96</w:t>
            </w:r>
          </w:p>
        </w:tc>
        <w:tc>
          <w:tcPr>
            <w:tcW w:w="180" w:type="dxa"/>
            <w:vAlign w:val="bottom"/>
            <w:shd w:val="clear" w:color="auto" w:fill="CEFFE7"/>
          </w:tcPr>
          <w:p>
            <w:pPr>
              <w:spacing w:after="0"/>
              <w:rPr>
                <w:sz w:val="16"/>
                <w:szCs w:val="16"/>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(918)</w:t>
            </w:r>
          </w:p>
        </w:tc>
        <w:tc>
          <w:tcPr>
            <w:tcW w:w="320" w:type="dxa"/>
            <w:vAlign w:val="bottom"/>
            <w:shd w:val="clear" w:color="auto" w:fill="CEFFE7"/>
          </w:tcPr>
          <w:p>
            <w:pPr>
              <w:spacing w:after="0"/>
              <w:rPr>
                <w:sz w:val="16"/>
                <w:szCs w:val="16"/>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741,934</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Operations and maintenance, including taxes</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260,036</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314,810</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293,265</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(306,325)</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561,786</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Depreciation, depletion and amortization</w:t>
            </w:r>
          </w:p>
        </w:tc>
        <w:tc>
          <w:tcPr>
            <w:tcW w:w="140" w:type="dxa"/>
            <w:vAlign w:val="bottom"/>
            <w:tcBorders>
              <w:bottom w:val="single" w:sz="8" w:color="auto"/>
            </w:tcBorders>
            <w:shd w:val="clear" w:color="auto" w:fill="CEFFE7"/>
          </w:tcPr>
          <w:p>
            <w:pPr>
              <w:spacing w:after="0"/>
              <w:rPr>
                <w:sz w:val="16"/>
                <w:szCs w:val="16"/>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131,528</w:t>
            </w:r>
          </w:p>
        </w:tc>
        <w:tc>
          <w:tcPr>
            <w:tcW w:w="220" w:type="dxa"/>
            <w:vAlign w:val="bottom"/>
            <w:tcBorders>
              <w:bottom w:val="single" w:sz="8" w:color="auto"/>
            </w:tcBorders>
            <w:shd w:val="clear" w:color="auto" w:fill="CEFFE7"/>
          </w:tcPr>
          <w:p>
            <w:pPr>
              <w:spacing w:after="0"/>
              <w:rPr>
                <w:sz w:val="16"/>
                <w:szCs w:val="16"/>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104,160</w:t>
            </w:r>
          </w:p>
        </w:tc>
        <w:tc>
          <w:tcPr>
            <w:tcW w:w="260" w:type="dxa"/>
            <w:vAlign w:val="bottom"/>
            <w:tcBorders>
              <w:bottom w:val="single" w:sz="8" w:color="auto"/>
            </w:tcBorders>
            <w:shd w:val="clear" w:color="auto" w:fill="CEFFE7"/>
          </w:tcPr>
          <w:p>
            <w:pPr>
              <w:spacing w:after="0"/>
              <w:rPr>
                <w:sz w:val="16"/>
                <w:szCs w:val="16"/>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26,838</w:t>
            </w:r>
          </w:p>
        </w:tc>
        <w:tc>
          <w:tcPr>
            <w:tcW w:w="180" w:type="dxa"/>
            <w:vAlign w:val="bottom"/>
            <w:tcBorders>
              <w:bottom w:val="single" w:sz="8" w:color="auto"/>
            </w:tcBorders>
            <w:shd w:val="clear" w:color="auto" w:fill="CEFFE7"/>
          </w:tcPr>
          <w:p>
            <w:pPr>
              <w:spacing w:after="0"/>
              <w:rPr>
                <w:sz w:val="16"/>
                <w:szCs w:val="16"/>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(26,573)</w:t>
            </w:r>
          </w:p>
        </w:tc>
        <w:tc>
          <w:tcPr>
            <w:tcW w:w="320" w:type="dxa"/>
            <w:vAlign w:val="bottom"/>
            <w:tcBorders>
              <w:bottom w:val="single" w:sz="8" w:color="auto"/>
            </w:tcBorders>
            <w:shd w:val="clear" w:color="auto" w:fill="CEFFE7"/>
          </w:tcPr>
          <w:p>
            <w:pPr>
              <w:spacing w:after="0"/>
              <w:rPr>
                <w:sz w:val="16"/>
                <w:szCs w:val="16"/>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235,953</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EFFE7"/>
            </w:tcBorders>
          </w:tcPr>
          <w:p>
            <w:pPr>
              <w:ind w:left="140"/>
              <w:spacing w:after="0"/>
              <w:rPr>
                <w:sz w:val="20"/>
                <w:szCs w:val="20"/>
                <w:color w:val="auto"/>
              </w:rPr>
            </w:pPr>
            <w:r>
              <w:rPr>
                <w:rFonts w:ascii="Arial" w:cs="Arial" w:eastAsia="Arial" w:hAnsi="Arial"/>
                <w:sz w:val="14"/>
                <w:szCs w:val="14"/>
                <w:color w:val="auto"/>
              </w:rPr>
              <w:t>Operating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202,676</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211,157</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(40,552)</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409,429</w:t>
            </w:r>
          </w:p>
        </w:tc>
        <w:tc>
          <w:tcPr>
            <w:tcW w:w="0" w:type="dxa"/>
            <w:vAlign w:val="bottom"/>
          </w:tcPr>
          <w:p>
            <w:pPr>
              <w:spacing w:after="0"/>
              <w:rPr>
                <w:sz w:val="1"/>
                <w:szCs w:val="1"/>
                <w:color w:val="auto"/>
              </w:rPr>
            </w:pPr>
          </w:p>
        </w:tc>
      </w:tr>
      <w:tr>
        <w:trPr>
          <w:trHeight w:val="75"/>
        </w:trPr>
        <w:tc>
          <w:tcPr>
            <w:tcW w:w="4420" w:type="dxa"/>
            <w:vAlign w:val="bottom"/>
            <w:shd w:val="clear" w:color="auto" w:fill="CEFFE7"/>
          </w:tcPr>
          <w:p>
            <w:pPr>
              <w:spacing w:after="0"/>
              <w:rPr>
                <w:sz w:val="6"/>
                <w:szCs w:val="6"/>
                <w:color w:val="auto"/>
              </w:rPr>
            </w:pPr>
          </w:p>
        </w:tc>
        <w:tc>
          <w:tcPr>
            <w:tcW w:w="140" w:type="dxa"/>
            <w:vAlign w:val="bottom"/>
            <w:shd w:val="clear" w:color="auto" w:fill="CEFFE7"/>
          </w:tcPr>
          <w:p>
            <w:pPr>
              <w:spacing w:after="0"/>
              <w:rPr>
                <w:sz w:val="6"/>
                <w:szCs w:val="6"/>
                <w:color w:val="auto"/>
              </w:rPr>
            </w:pPr>
          </w:p>
        </w:tc>
        <w:tc>
          <w:tcPr>
            <w:tcW w:w="1200" w:type="dxa"/>
            <w:vAlign w:val="bottom"/>
            <w:shd w:val="clear" w:color="auto" w:fill="CEFFE7"/>
          </w:tcPr>
          <w:p>
            <w:pPr>
              <w:spacing w:after="0"/>
              <w:rPr>
                <w:sz w:val="6"/>
                <w:szCs w:val="6"/>
                <w:color w:val="auto"/>
              </w:rPr>
            </w:pPr>
          </w:p>
        </w:tc>
        <w:tc>
          <w:tcPr>
            <w:tcW w:w="220" w:type="dxa"/>
            <w:vAlign w:val="bottom"/>
            <w:shd w:val="clear" w:color="auto" w:fill="CEFFE7"/>
          </w:tcPr>
          <w:p>
            <w:pPr>
              <w:spacing w:after="0"/>
              <w:rPr>
                <w:sz w:val="6"/>
                <w:szCs w:val="6"/>
                <w:color w:val="auto"/>
              </w:rPr>
            </w:pPr>
          </w:p>
        </w:tc>
        <w:tc>
          <w:tcPr>
            <w:tcW w:w="1140" w:type="dxa"/>
            <w:vAlign w:val="bottom"/>
            <w:shd w:val="clear" w:color="auto" w:fill="CEFFE7"/>
          </w:tcPr>
          <w:p>
            <w:pPr>
              <w:spacing w:after="0"/>
              <w:rPr>
                <w:sz w:val="6"/>
                <w:szCs w:val="6"/>
                <w:color w:val="auto"/>
              </w:rPr>
            </w:pPr>
          </w:p>
        </w:tc>
        <w:tc>
          <w:tcPr>
            <w:tcW w:w="260" w:type="dxa"/>
            <w:vAlign w:val="bottom"/>
            <w:shd w:val="clear" w:color="auto" w:fill="CEFFE7"/>
          </w:tcPr>
          <w:p>
            <w:pPr>
              <w:spacing w:after="0"/>
              <w:rPr>
                <w:sz w:val="6"/>
                <w:szCs w:val="6"/>
                <w:color w:val="auto"/>
              </w:rPr>
            </w:pPr>
          </w:p>
        </w:tc>
        <w:tc>
          <w:tcPr>
            <w:tcW w:w="1100" w:type="dxa"/>
            <w:vAlign w:val="bottom"/>
            <w:shd w:val="clear" w:color="auto" w:fill="CEFFE7"/>
          </w:tcPr>
          <w:p>
            <w:pPr>
              <w:spacing w:after="0"/>
              <w:rPr>
                <w:sz w:val="6"/>
                <w:szCs w:val="6"/>
                <w:color w:val="auto"/>
              </w:rPr>
            </w:pPr>
          </w:p>
        </w:tc>
        <w:tc>
          <w:tcPr>
            <w:tcW w:w="180" w:type="dxa"/>
            <w:vAlign w:val="bottom"/>
            <w:shd w:val="clear" w:color="auto" w:fill="CEFFE7"/>
          </w:tcPr>
          <w:p>
            <w:pPr>
              <w:spacing w:after="0"/>
              <w:rPr>
                <w:sz w:val="6"/>
                <w:szCs w:val="6"/>
                <w:color w:val="auto"/>
              </w:rPr>
            </w:pPr>
          </w:p>
        </w:tc>
        <w:tc>
          <w:tcPr>
            <w:tcW w:w="1220" w:type="dxa"/>
            <w:vAlign w:val="bottom"/>
            <w:shd w:val="clear" w:color="auto" w:fill="CEFFE7"/>
          </w:tcPr>
          <w:p>
            <w:pPr>
              <w:spacing w:after="0"/>
              <w:rPr>
                <w:sz w:val="6"/>
                <w:szCs w:val="6"/>
                <w:color w:val="auto"/>
              </w:rPr>
            </w:pPr>
          </w:p>
        </w:tc>
        <w:tc>
          <w:tcPr>
            <w:tcW w:w="320" w:type="dxa"/>
            <w:vAlign w:val="bottom"/>
            <w:shd w:val="clear" w:color="auto" w:fill="CEFFE7"/>
          </w:tcPr>
          <w:p>
            <w:pPr>
              <w:spacing w:after="0"/>
              <w:rPr>
                <w:sz w:val="6"/>
                <w:szCs w:val="6"/>
                <w:color w:val="auto"/>
              </w:rPr>
            </w:pPr>
          </w:p>
        </w:tc>
        <w:tc>
          <w:tcPr>
            <w:tcW w:w="1040" w:type="dxa"/>
            <w:vAlign w:val="bottom"/>
            <w:shd w:val="clear" w:color="auto" w:fill="CEFFE7"/>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(152,404)</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Impairment of investment</w:t>
            </w:r>
          </w:p>
        </w:tc>
        <w:tc>
          <w:tcPr>
            <w:tcW w:w="140" w:type="dxa"/>
            <w:vAlign w:val="bottom"/>
            <w:shd w:val="clear" w:color="auto" w:fill="CEFFE7"/>
          </w:tcPr>
          <w:p>
            <w:pPr>
              <w:spacing w:after="0"/>
              <w:rPr>
                <w:sz w:val="16"/>
                <w:szCs w:val="16"/>
                <w:color w:val="auto"/>
              </w:rPr>
            </w:pPr>
          </w:p>
        </w:tc>
        <w:tc>
          <w:tcPr>
            <w:tcW w:w="120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114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1100" w:type="dxa"/>
            <w:vAlign w:val="bottom"/>
            <w:shd w:val="clear" w:color="auto" w:fill="CEFFE7"/>
          </w:tcPr>
          <w:p>
            <w:pPr>
              <w:spacing w:after="0"/>
              <w:rPr>
                <w:sz w:val="16"/>
                <w:szCs w:val="16"/>
                <w:color w:val="auto"/>
              </w:rPr>
            </w:pPr>
          </w:p>
        </w:tc>
        <w:tc>
          <w:tcPr>
            <w:tcW w:w="18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320" w:type="dxa"/>
            <w:vAlign w:val="bottom"/>
            <w:shd w:val="clear" w:color="auto" w:fill="CEFFE7"/>
          </w:tcPr>
          <w:p>
            <w:pPr>
              <w:spacing w:after="0"/>
              <w:rPr>
                <w:sz w:val="16"/>
                <w:szCs w:val="16"/>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Income tax benefit (expense)</w:t>
            </w:r>
          </w:p>
        </w:tc>
        <w:tc>
          <w:tcPr>
            <w:tcW w:w="140" w:type="dxa"/>
            <w:vAlign w:val="bottom"/>
            <w:shd w:val="clear" w:color="auto" w:fill="CEFFE7"/>
          </w:tcPr>
          <w:p>
            <w:pPr>
              <w:spacing w:after="0"/>
              <w:rPr>
                <w:sz w:val="16"/>
                <w:szCs w:val="16"/>
                <w:color w:val="auto"/>
              </w:rPr>
            </w:pPr>
          </w:p>
        </w:tc>
        <w:tc>
          <w:tcPr>
            <w:tcW w:w="120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114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1100" w:type="dxa"/>
            <w:vAlign w:val="bottom"/>
            <w:shd w:val="clear" w:color="auto" w:fill="CEFFE7"/>
          </w:tcPr>
          <w:p>
            <w:pPr>
              <w:spacing w:after="0"/>
              <w:rPr>
                <w:sz w:val="16"/>
                <w:szCs w:val="16"/>
                <w:color w:val="auto"/>
              </w:rPr>
            </w:pPr>
          </w:p>
        </w:tc>
        <w:tc>
          <w:tcPr>
            <w:tcW w:w="18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320" w:type="dxa"/>
            <w:vAlign w:val="bottom"/>
            <w:tcBorders>
              <w:bottom w:val="single" w:sz="8" w:color="auto"/>
            </w:tcBorders>
            <w:shd w:val="clear" w:color="auto" w:fill="CEFFE7"/>
          </w:tcPr>
          <w:p>
            <w:pPr>
              <w:spacing w:after="0"/>
              <w:rPr>
                <w:sz w:val="16"/>
                <w:szCs w:val="16"/>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(7,169)</w:t>
            </w:r>
          </w:p>
        </w:tc>
        <w:tc>
          <w:tcPr>
            <w:tcW w:w="0" w:type="dxa"/>
            <w:vAlign w:val="bottom"/>
          </w:tcPr>
          <w:p>
            <w:pPr>
              <w:spacing w:after="0"/>
              <w:rPr>
                <w:sz w:val="1"/>
                <w:szCs w:val="1"/>
                <w:color w:val="auto"/>
              </w:rPr>
            </w:pPr>
          </w:p>
        </w:tc>
      </w:tr>
      <w:tr>
        <w:trPr>
          <w:trHeight w:val="183"/>
        </w:trPr>
        <w:tc>
          <w:tcPr>
            <w:tcW w:w="44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251,260</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140" w:type="dxa"/>
            <w:vAlign w:val="bottom"/>
            <w:shd w:val="clear" w:color="auto" w:fill="CEFFE7"/>
          </w:tcPr>
          <w:p>
            <w:pPr>
              <w:spacing w:after="0"/>
              <w:rPr>
                <w:sz w:val="16"/>
                <w:szCs w:val="16"/>
                <w:color w:val="auto"/>
              </w:rPr>
            </w:pPr>
          </w:p>
        </w:tc>
        <w:tc>
          <w:tcPr>
            <w:tcW w:w="120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114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1100" w:type="dxa"/>
            <w:vAlign w:val="bottom"/>
            <w:shd w:val="clear" w:color="auto" w:fill="CEFFE7"/>
          </w:tcPr>
          <w:p>
            <w:pPr>
              <w:spacing w:after="0"/>
              <w:rPr>
                <w:sz w:val="16"/>
                <w:szCs w:val="16"/>
                <w:color w:val="auto"/>
              </w:rPr>
            </w:pPr>
          </w:p>
        </w:tc>
        <w:tc>
          <w:tcPr>
            <w:tcW w:w="18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320" w:type="dxa"/>
            <w:vAlign w:val="bottom"/>
            <w:tcBorders>
              <w:bottom w:val="single" w:sz="8" w:color="auto"/>
            </w:tcBorders>
            <w:shd w:val="clear" w:color="auto" w:fill="CEFFE7"/>
          </w:tcPr>
          <w:p>
            <w:pPr>
              <w:spacing w:after="0"/>
              <w:rPr>
                <w:sz w:val="16"/>
                <w:szCs w:val="16"/>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(14,516)</w:t>
            </w:r>
          </w:p>
        </w:tc>
        <w:tc>
          <w:tcPr>
            <w:tcW w:w="0" w:type="dxa"/>
            <w:vAlign w:val="bottom"/>
          </w:tcPr>
          <w:p>
            <w:pPr>
              <w:spacing w:after="0"/>
              <w:rPr>
                <w:sz w:val="1"/>
                <w:szCs w:val="1"/>
                <w:color w:val="auto"/>
              </w:rPr>
            </w:pPr>
          </w:p>
        </w:tc>
      </w:tr>
      <w:tr>
        <w:trPr>
          <w:trHeight w:val="183"/>
        </w:trPr>
        <w:tc>
          <w:tcPr>
            <w:tcW w:w="4420" w:type="dxa"/>
            <w:vAlign w:val="bottom"/>
          </w:tcPr>
          <w:p>
            <w:pPr>
              <w:ind w:left="140"/>
              <w:spacing w:after="0"/>
              <w:rPr>
                <w:sz w:val="20"/>
                <w:szCs w:val="20"/>
                <w:color w:val="auto"/>
              </w:rPr>
            </w:pPr>
            <w:r>
              <w:rPr>
                <w:rFonts w:ascii="Arial" w:cs="Arial" w:eastAsia="Arial" w:hAnsi="Arial"/>
                <w:sz w:val="14"/>
                <w:szCs w:val="14"/>
                <w:color w:val="auto"/>
              </w:rPr>
              <w:t>Net income available for common stock</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236,744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5"/>
          </w:tcPr>
          <w:p>
            <w:pPr>
              <w:jc w:val="right"/>
              <w:ind w:right="1168"/>
              <w:spacing w:after="0"/>
              <w:rPr>
                <w:sz w:val="20"/>
                <w:szCs w:val="20"/>
                <w:color w:val="auto"/>
              </w:rPr>
            </w:pPr>
            <w:r>
              <w:rPr>
                <w:rFonts w:ascii="Arial" w:cs="Arial" w:eastAsia="Arial" w:hAnsi="Arial"/>
                <w:sz w:val="14"/>
                <w:szCs w:val="14"/>
                <w:b w:val="1"/>
                <w:bCs w:val="1"/>
                <w:color w:val="auto"/>
              </w:rPr>
              <w:t>Consolidating Income Statement</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420" w:type="dxa"/>
            <w:vAlign w:val="bottom"/>
            <w:vMerge w:val="restart"/>
          </w:tcPr>
          <w:p>
            <w:pPr>
              <w:ind w:left="20"/>
              <w:spacing w:after="0"/>
              <w:rPr>
                <w:sz w:val="20"/>
                <w:szCs w:val="20"/>
                <w:color w:val="auto"/>
              </w:rPr>
            </w:pPr>
            <w:r>
              <w:rPr>
                <w:rFonts w:ascii="Arial" w:cs="Arial" w:eastAsia="Arial" w:hAnsi="Arial"/>
                <w:sz w:val="14"/>
                <w:szCs w:val="14"/>
                <w:color w:val="auto"/>
              </w:rPr>
              <w:t>Year ended December 31, 2020</w:t>
            </w:r>
          </w:p>
        </w:tc>
        <w:tc>
          <w:tcPr>
            <w:tcW w:w="140" w:type="dxa"/>
            <w:vAlign w:val="bottom"/>
          </w:tcPr>
          <w:p>
            <w:pPr>
              <w:spacing w:after="0"/>
              <w:rPr>
                <w:sz w:val="12"/>
                <w:szCs w:val="12"/>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color w:val="auto"/>
              </w:rPr>
              <w:t>Electric Utilities</w:t>
            </w:r>
          </w:p>
        </w:tc>
        <w:tc>
          <w:tcPr>
            <w:tcW w:w="220" w:type="dxa"/>
            <w:vAlign w:val="bottom"/>
          </w:tcPr>
          <w:p>
            <w:pPr>
              <w:spacing w:after="0"/>
              <w:rPr>
                <w:sz w:val="12"/>
                <w:szCs w:val="12"/>
                <w:color w:val="auto"/>
              </w:rPr>
            </w:pPr>
          </w:p>
        </w:tc>
        <w:tc>
          <w:tcPr>
            <w:tcW w:w="1140" w:type="dxa"/>
            <w:vAlign w:val="bottom"/>
            <w:vMerge w:val="restart"/>
          </w:tcPr>
          <w:p>
            <w:pPr>
              <w:jc w:val="right"/>
              <w:ind w:right="188"/>
              <w:spacing w:after="0"/>
              <w:rPr>
                <w:sz w:val="20"/>
                <w:szCs w:val="20"/>
                <w:color w:val="auto"/>
              </w:rPr>
            </w:pPr>
            <w:r>
              <w:rPr>
                <w:rFonts w:ascii="Arial" w:cs="Arial" w:eastAsia="Arial" w:hAnsi="Arial"/>
                <w:sz w:val="14"/>
                <w:szCs w:val="14"/>
                <w:color w:val="auto"/>
              </w:rPr>
              <w:t>Gas Utilities</w:t>
            </w:r>
          </w:p>
        </w:tc>
        <w:tc>
          <w:tcPr>
            <w:tcW w:w="260" w:type="dxa"/>
            <w:vAlign w:val="bottom"/>
          </w:tcPr>
          <w:p>
            <w:pPr>
              <w:spacing w:after="0"/>
              <w:rPr>
                <w:sz w:val="12"/>
                <w:szCs w:val="12"/>
                <w:color w:val="auto"/>
              </w:rPr>
            </w:pPr>
          </w:p>
        </w:tc>
        <w:tc>
          <w:tcPr>
            <w:tcW w:w="1280" w:type="dxa"/>
            <w:vAlign w:val="bottom"/>
            <w:vMerge w:val="restart"/>
          </w:tcPr>
          <w:p>
            <w:pPr>
              <w:jc w:val="right"/>
              <w:ind w:right="428"/>
              <w:spacing w:after="0"/>
              <w:rPr>
                <w:sz w:val="20"/>
                <w:szCs w:val="20"/>
                <w:color w:val="auto"/>
              </w:rPr>
            </w:pPr>
            <w:r>
              <w:rPr>
                <w:rFonts w:ascii="Arial" w:cs="Arial" w:eastAsia="Arial" w:hAnsi="Arial"/>
                <w:sz w:val="14"/>
                <w:szCs w:val="14"/>
                <w:color w:val="auto"/>
              </w:rPr>
              <w:t>Corporate</w:t>
            </w:r>
          </w:p>
        </w:tc>
        <w:tc>
          <w:tcPr>
            <w:tcW w:w="1540" w:type="dxa"/>
            <w:vAlign w:val="bottom"/>
            <w:gridSpan w:val="2"/>
          </w:tcPr>
          <w:p>
            <w:pPr>
              <w:jc w:val="center"/>
              <w:ind w:right="388"/>
              <w:spacing w:after="0" w:line="147" w:lineRule="exact"/>
              <w:rPr>
                <w:sz w:val="20"/>
                <w:szCs w:val="20"/>
                <w:color w:val="auto"/>
              </w:rPr>
            </w:pPr>
            <w:r>
              <w:rPr>
                <w:rFonts w:ascii="Arial" w:cs="Arial" w:eastAsia="Arial" w:hAnsi="Arial"/>
                <w:sz w:val="14"/>
                <w:szCs w:val="14"/>
                <w:color w:val="auto"/>
              </w:rPr>
              <w:t>Inter-Company</w:t>
            </w:r>
          </w:p>
        </w:tc>
        <w:tc>
          <w:tcPr>
            <w:tcW w:w="104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gridSpan w:val="2"/>
          </w:tcPr>
          <w:p>
            <w:pPr>
              <w:jc w:val="center"/>
              <w:ind w:right="408"/>
              <w:spacing w:after="0"/>
              <w:rPr>
                <w:sz w:val="20"/>
                <w:szCs w:val="20"/>
                <w:color w:val="auto"/>
              </w:rPr>
            </w:pPr>
            <w:r>
              <w:rPr>
                <w:rFonts w:ascii="Arial" w:cs="Arial" w:eastAsia="Arial" w:hAnsi="Arial"/>
                <w:sz w:val="14"/>
                <w:szCs w:val="14"/>
                <w:color w:val="auto"/>
              </w:rPr>
              <w:t>Eliminations</w:t>
            </w: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4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Revenue -</w:t>
            </w:r>
          </w:p>
        </w:tc>
        <w:tc>
          <w:tcPr>
            <w:tcW w:w="140" w:type="dxa"/>
            <w:vAlign w:val="bottom"/>
            <w:shd w:val="clear" w:color="auto" w:fill="CEFFE7"/>
          </w:tcPr>
          <w:p>
            <w:pPr>
              <w:spacing w:after="0"/>
              <w:rPr>
                <w:sz w:val="16"/>
                <w:szCs w:val="16"/>
                <w:color w:val="auto"/>
              </w:rPr>
            </w:pPr>
          </w:p>
        </w:tc>
        <w:tc>
          <w:tcPr>
            <w:tcW w:w="120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114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128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320" w:type="dxa"/>
            <w:vAlign w:val="bottom"/>
            <w:shd w:val="clear" w:color="auto" w:fill="CEFFE7"/>
          </w:tcPr>
          <w:p>
            <w:pPr>
              <w:spacing w:after="0"/>
              <w:rPr>
                <w:sz w:val="16"/>
                <w:szCs w:val="16"/>
                <w:color w:val="auto"/>
              </w:rPr>
            </w:pPr>
          </w:p>
        </w:tc>
        <w:tc>
          <w:tcPr>
            <w:tcW w:w="104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140"/>
              <w:spacing w:after="0"/>
              <w:rPr>
                <w:sz w:val="20"/>
                <w:szCs w:val="20"/>
                <w:color w:val="auto"/>
              </w:rPr>
            </w:pPr>
            <w:r>
              <w:rPr>
                <w:rFonts w:ascii="Arial" w:cs="Arial" w:eastAsia="Arial" w:hAnsi="Arial"/>
                <w:sz w:val="14"/>
                <w:szCs w:val="14"/>
                <w:color w:val="auto"/>
              </w:rPr>
              <w:t>Contracts with customers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721,108</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959,696</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 $</w:t>
            </w:r>
          </w:p>
        </w:tc>
        <w:tc>
          <w:tcPr>
            <w:tcW w:w="1540" w:type="dxa"/>
            <w:vAlign w:val="bottom"/>
            <w:gridSpan w:val="2"/>
          </w:tcPr>
          <w:p>
            <w:pPr>
              <w:ind w:left="1000"/>
              <w:spacing w:after="0"/>
              <w:rPr>
                <w:sz w:val="20"/>
                <w:szCs w:val="20"/>
                <w:color w:val="auto"/>
              </w:rPr>
            </w:pPr>
            <w:r>
              <w:rPr>
                <w:rFonts w:ascii="Arial" w:cs="Arial" w:eastAsia="Arial" w:hAnsi="Arial"/>
                <w:sz w:val="14"/>
                <w:szCs w:val="14"/>
                <w:color w:val="auto"/>
              </w:rPr>
              <w:t>— $</w:t>
            </w:r>
          </w:p>
        </w:tc>
        <w:tc>
          <w:tcPr>
            <w:tcW w:w="1040" w:type="dxa"/>
            <w:vAlign w:val="bottom"/>
          </w:tcPr>
          <w:p>
            <w:pPr>
              <w:jc w:val="right"/>
              <w:spacing w:after="0"/>
              <w:rPr>
                <w:sz w:val="20"/>
                <w:szCs w:val="20"/>
                <w:color w:val="auto"/>
              </w:rPr>
            </w:pPr>
            <w:r>
              <w:rPr>
                <w:rFonts w:ascii="Arial" w:cs="Arial" w:eastAsia="Arial" w:hAnsi="Arial"/>
                <w:sz w:val="14"/>
                <w:szCs w:val="14"/>
                <w:color w:val="auto"/>
              </w:rPr>
              <w:t>1,680,804</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140"/>
              <w:spacing w:after="0"/>
              <w:rPr>
                <w:sz w:val="20"/>
                <w:szCs w:val="20"/>
                <w:color w:val="auto"/>
              </w:rPr>
            </w:pPr>
            <w:r>
              <w:rPr>
                <w:rFonts w:ascii="Arial" w:cs="Arial" w:eastAsia="Arial" w:hAnsi="Arial"/>
                <w:sz w:val="14"/>
                <w:szCs w:val="14"/>
                <w:color w:val="auto"/>
              </w:rPr>
              <w:t>Other revenues</w:t>
            </w:r>
          </w:p>
        </w:tc>
        <w:tc>
          <w:tcPr>
            <w:tcW w:w="140" w:type="dxa"/>
            <w:vAlign w:val="bottom"/>
            <w:tcBorders>
              <w:bottom w:val="single" w:sz="8" w:color="auto"/>
            </w:tcBorders>
            <w:shd w:val="clear" w:color="auto" w:fill="CEFFE7"/>
          </w:tcPr>
          <w:p>
            <w:pPr>
              <w:spacing w:after="0"/>
              <w:rPr>
                <w:sz w:val="16"/>
                <w:szCs w:val="16"/>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6,175</w:t>
            </w:r>
          </w:p>
        </w:tc>
        <w:tc>
          <w:tcPr>
            <w:tcW w:w="220" w:type="dxa"/>
            <w:vAlign w:val="bottom"/>
            <w:tcBorders>
              <w:bottom w:val="single" w:sz="8" w:color="auto"/>
            </w:tcBorders>
            <w:shd w:val="clear" w:color="auto" w:fill="CEFFE7"/>
          </w:tcPr>
          <w:p>
            <w:pPr>
              <w:spacing w:after="0"/>
              <w:rPr>
                <w:sz w:val="16"/>
                <w:szCs w:val="16"/>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9,962</w:t>
            </w:r>
          </w:p>
        </w:tc>
        <w:tc>
          <w:tcPr>
            <w:tcW w:w="260" w:type="dxa"/>
            <w:vAlign w:val="bottom"/>
            <w:tcBorders>
              <w:bottom w:val="single" w:sz="8" w:color="auto"/>
            </w:tcBorders>
            <w:shd w:val="clear" w:color="auto" w:fill="CEFFE7"/>
          </w:tcPr>
          <w:p>
            <w:pPr>
              <w:spacing w:after="0"/>
              <w:rPr>
                <w:sz w:val="16"/>
                <w:szCs w:val="16"/>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 $</w:t>
            </w:r>
          </w:p>
        </w:tc>
        <w:tc>
          <w:tcPr>
            <w:tcW w:w="1540" w:type="dxa"/>
            <w:vAlign w:val="bottom"/>
            <w:tcBorders>
              <w:bottom w:val="single" w:sz="8" w:color="auto"/>
            </w:tcBorders>
            <w:gridSpan w:val="2"/>
            <w:shd w:val="clear" w:color="auto" w:fill="CEFFE7"/>
          </w:tcPr>
          <w:p>
            <w:pPr>
              <w:ind w:left="10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16,137</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EFFE7"/>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727,283</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969,658</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1,696,941</w:t>
            </w:r>
          </w:p>
        </w:tc>
        <w:tc>
          <w:tcPr>
            <w:tcW w:w="0" w:type="dxa"/>
            <w:vAlign w:val="bottom"/>
          </w:tcPr>
          <w:p>
            <w:pPr>
              <w:spacing w:after="0"/>
              <w:rPr>
                <w:sz w:val="1"/>
                <w:szCs w:val="1"/>
                <w:color w:val="auto"/>
              </w:rPr>
            </w:pPr>
          </w:p>
        </w:tc>
      </w:tr>
      <w:tr>
        <w:trPr>
          <w:trHeight w:val="16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Inter-company operating revenue -</w:t>
            </w:r>
          </w:p>
        </w:tc>
        <w:tc>
          <w:tcPr>
            <w:tcW w:w="140" w:type="dxa"/>
            <w:vAlign w:val="bottom"/>
            <w:shd w:val="clear" w:color="auto" w:fill="CEFFE7"/>
          </w:tcPr>
          <w:p>
            <w:pPr>
              <w:spacing w:after="0"/>
              <w:rPr>
                <w:sz w:val="14"/>
                <w:szCs w:val="14"/>
                <w:color w:val="auto"/>
              </w:rPr>
            </w:pPr>
          </w:p>
        </w:tc>
        <w:tc>
          <w:tcPr>
            <w:tcW w:w="1200" w:type="dxa"/>
            <w:vAlign w:val="bottom"/>
            <w:shd w:val="clear" w:color="auto" w:fill="CEFFE7"/>
          </w:tcPr>
          <w:p>
            <w:pPr>
              <w:spacing w:after="0"/>
              <w:rPr>
                <w:sz w:val="14"/>
                <w:szCs w:val="14"/>
                <w:color w:val="auto"/>
              </w:rPr>
            </w:pPr>
          </w:p>
        </w:tc>
        <w:tc>
          <w:tcPr>
            <w:tcW w:w="220" w:type="dxa"/>
            <w:vAlign w:val="bottom"/>
            <w:shd w:val="clear" w:color="auto" w:fill="CEFFE7"/>
          </w:tcPr>
          <w:p>
            <w:pPr>
              <w:spacing w:after="0"/>
              <w:rPr>
                <w:sz w:val="14"/>
                <w:szCs w:val="14"/>
                <w:color w:val="auto"/>
              </w:rPr>
            </w:pPr>
          </w:p>
        </w:tc>
        <w:tc>
          <w:tcPr>
            <w:tcW w:w="1140" w:type="dxa"/>
            <w:vAlign w:val="bottom"/>
            <w:shd w:val="clear" w:color="auto" w:fill="CEFFE7"/>
          </w:tcPr>
          <w:p>
            <w:pPr>
              <w:spacing w:after="0"/>
              <w:rPr>
                <w:sz w:val="14"/>
                <w:szCs w:val="14"/>
                <w:color w:val="auto"/>
              </w:rPr>
            </w:pPr>
          </w:p>
        </w:tc>
        <w:tc>
          <w:tcPr>
            <w:tcW w:w="260" w:type="dxa"/>
            <w:vAlign w:val="bottom"/>
            <w:shd w:val="clear" w:color="auto" w:fill="CEFFE7"/>
          </w:tcPr>
          <w:p>
            <w:pPr>
              <w:spacing w:after="0"/>
              <w:rPr>
                <w:sz w:val="14"/>
                <w:szCs w:val="14"/>
                <w:color w:val="auto"/>
              </w:rPr>
            </w:pPr>
          </w:p>
        </w:tc>
        <w:tc>
          <w:tcPr>
            <w:tcW w:w="1280" w:type="dxa"/>
            <w:vAlign w:val="bottom"/>
            <w:shd w:val="clear" w:color="auto" w:fill="CEFFE7"/>
          </w:tcPr>
          <w:p>
            <w:pPr>
              <w:spacing w:after="0"/>
              <w:rPr>
                <w:sz w:val="14"/>
                <w:szCs w:val="14"/>
                <w:color w:val="auto"/>
              </w:rPr>
            </w:pPr>
          </w:p>
        </w:tc>
        <w:tc>
          <w:tcPr>
            <w:tcW w:w="1220" w:type="dxa"/>
            <w:vAlign w:val="bottom"/>
            <w:shd w:val="clear" w:color="auto" w:fill="CEFFE7"/>
          </w:tcPr>
          <w:p>
            <w:pPr>
              <w:spacing w:after="0"/>
              <w:rPr>
                <w:sz w:val="14"/>
                <w:szCs w:val="14"/>
                <w:color w:val="auto"/>
              </w:rPr>
            </w:pPr>
          </w:p>
        </w:tc>
        <w:tc>
          <w:tcPr>
            <w:tcW w:w="320" w:type="dxa"/>
            <w:vAlign w:val="bottom"/>
            <w:shd w:val="clear" w:color="auto" w:fill="CEFFE7"/>
          </w:tcPr>
          <w:p>
            <w:pPr>
              <w:spacing w:after="0"/>
              <w:rPr>
                <w:sz w:val="14"/>
                <w:szCs w:val="14"/>
                <w:color w:val="auto"/>
              </w:rPr>
            </w:pPr>
          </w:p>
        </w:tc>
        <w:tc>
          <w:tcPr>
            <w:tcW w:w="1040" w:type="dxa"/>
            <w:vAlign w:val="bottom"/>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140"/>
              <w:spacing w:after="0"/>
              <w:rPr>
                <w:sz w:val="20"/>
                <w:szCs w:val="20"/>
                <w:color w:val="auto"/>
              </w:rPr>
            </w:pPr>
            <w:r>
              <w:rPr>
                <w:rFonts w:ascii="Arial" w:cs="Arial" w:eastAsia="Arial" w:hAnsi="Arial"/>
                <w:sz w:val="14"/>
                <w:szCs w:val="14"/>
                <w:color w:val="auto"/>
              </w:rPr>
              <w:t>Contracts with customers</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11,574</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4,724</w:t>
            </w:r>
          </w:p>
        </w:tc>
        <w:tc>
          <w:tcPr>
            <w:tcW w:w="260" w:type="dxa"/>
            <w:vAlign w:val="bottom"/>
          </w:tcPr>
          <w:p>
            <w:pPr>
              <w:spacing w:after="0"/>
              <w:rPr>
                <w:sz w:val="16"/>
                <w:szCs w:val="16"/>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1220" w:type="dxa"/>
            <w:vAlign w:val="bottom"/>
          </w:tcPr>
          <w:p>
            <w:pPr>
              <w:jc w:val="right"/>
              <w:spacing w:after="0"/>
              <w:rPr>
                <w:sz w:val="20"/>
                <w:szCs w:val="20"/>
                <w:color w:val="auto"/>
              </w:rPr>
            </w:pPr>
            <w:r>
              <w:rPr>
                <w:rFonts w:ascii="Arial" w:cs="Arial" w:eastAsia="Arial" w:hAnsi="Arial"/>
                <w:sz w:val="14"/>
                <w:szCs w:val="14"/>
                <w:color w:val="auto"/>
              </w:rPr>
              <w:t>(16,465)</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140"/>
              <w:spacing w:after="0"/>
              <w:rPr>
                <w:sz w:val="20"/>
                <w:szCs w:val="20"/>
                <w:color w:val="auto"/>
              </w:rPr>
            </w:pPr>
            <w:r>
              <w:rPr>
                <w:rFonts w:ascii="Arial" w:cs="Arial" w:eastAsia="Arial" w:hAnsi="Arial"/>
                <w:sz w:val="14"/>
                <w:szCs w:val="14"/>
                <w:color w:val="auto"/>
              </w:rPr>
              <w:t>Other revenues</w:t>
            </w:r>
          </w:p>
        </w:tc>
        <w:tc>
          <w:tcPr>
            <w:tcW w:w="140" w:type="dxa"/>
            <w:vAlign w:val="bottom"/>
            <w:tcBorders>
              <w:bottom w:val="single" w:sz="8" w:color="auto"/>
            </w:tcBorders>
            <w:shd w:val="clear" w:color="auto" w:fill="CEFFE7"/>
          </w:tcPr>
          <w:p>
            <w:pPr>
              <w:spacing w:after="0"/>
              <w:rPr>
                <w:sz w:val="16"/>
                <w:szCs w:val="16"/>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6"/>
                <w:szCs w:val="16"/>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288</w:t>
            </w:r>
          </w:p>
        </w:tc>
        <w:tc>
          <w:tcPr>
            <w:tcW w:w="260" w:type="dxa"/>
            <w:vAlign w:val="bottom"/>
            <w:tcBorders>
              <w:bottom w:val="single" w:sz="8" w:color="auto"/>
            </w:tcBorders>
            <w:shd w:val="clear" w:color="auto" w:fill="CEFFE7"/>
          </w:tcPr>
          <w:p>
            <w:pPr>
              <w:spacing w:after="0"/>
              <w:rPr>
                <w:sz w:val="16"/>
                <w:szCs w:val="16"/>
                <w:color w:val="auto"/>
              </w:rPr>
            </w:pPr>
          </w:p>
        </w:tc>
        <w:tc>
          <w:tcPr>
            <w:tcW w:w="1280" w:type="dxa"/>
            <w:vAlign w:val="bottom"/>
            <w:tcBorders>
              <w:bottom w:val="single" w:sz="8" w:color="auto"/>
            </w:tcBorders>
            <w:shd w:val="clear" w:color="auto" w:fill="CEFFE7"/>
          </w:tcPr>
          <w:p>
            <w:pPr>
              <w:jc w:val="right"/>
              <w:ind w:right="148"/>
              <w:spacing w:after="0"/>
              <w:rPr>
                <w:sz w:val="20"/>
                <w:szCs w:val="20"/>
                <w:color w:val="auto"/>
              </w:rPr>
            </w:pPr>
            <w:r>
              <w:rPr>
                <w:rFonts w:ascii="Arial" w:cs="Arial" w:eastAsia="Arial" w:hAnsi="Arial"/>
                <w:sz w:val="14"/>
                <w:szCs w:val="14"/>
                <w:color w:val="auto"/>
              </w:rPr>
              <w:t>352,976</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(353,264)</w:t>
            </w:r>
          </w:p>
        </w:tc>
        <w:tc>
          <w:tcPr>
            <w:tcW w:w="320" w:type="dxa"/>
            <w:vAlign w:val="bottom"/>
            <w:tcBorders>
              <w:bottom w:val="single" w:sz="8" w:color="auto"/>
            </w:tcBorders>
            <w:shd w:val="clear" w:color="auto" w:fill="CEFFE7"/>
          </w:tcPr>
          <w:p>
            <w:pPr>
              <w:spacing w:after="0"/>
              <w:rPr>
                <w:sz w:val="16"/>
                <w:szCs w:val="16"/>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EFFE7"/>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11,574</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5,012</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353,143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(369,729)</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Total revenue</w:t>
            </w:r>
          </w:p>
        </w:tc>
        <w:tc>
          <w:tcPr>
            <w:tcW w:w="140" w:type="dxa"/>
            <w:vAlign w:val="bottom"/>
            <w:tcBorders>
              <w:bottom w:val="single" w:sz="8" w:color="auto"/>
            </w:tcBorders>
            <w:shd w:val="clear" w:color="auto" w:fill="CEFFE7"/>
          </w:tcPr>
          <w:p>
            <w:pPr>
              <w:spacing w:after="0"/>
              <w:rPr>
                <w:sz w:val="15"/>
                <w:szCs w:val="15"/>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738,857</w:t>
            </w:r>
          </w:p>
        </w:tc>
        <w:tc>
          <w:tcPr>
            <w:tcW w:w="220" w:type="dxa"/>
            <w:vAlign w:val="bottom"/>
            <w:tcBorders>
              <w:bottom w:val="single" w:sz="8" w:color="auto"/>
            </w:tcBorders>
            <w:shd w:val="clear" w:color="auto" w:fill="CEFFE7"/>
          </w:tcPr>
          <w:p>
            <w:pPr>
              <w:spacing w:after="0"/>
              <w:rPr>
                <w:sz w:val="15"/>
                <w:szCs w:val="15"/>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974,670</w:t>
            </w:r>
          </w:p>
        </w:tc>
        <w:tc>
          <w:tcPr>
            <w:tcW w:w="260" w:type="dxa"/>
            <w:vAlign w:val="bottom"/>
            <w:tcBorders>
              <w:bottom w:val="single" w:sz="8" w:color="auto"/>
            </w:tcBorders>
            <w:shd w:val="clear" w:color="auto" w:fill="CEFFE7"/>
          </w:tcPr>
          <w:p>
            <w:pPr>
              <w:spacing w:after="0"/>
              <w:rPr>
                <w:sz w:val="15"/>
                <w:szCs w:val="15"/>
                <w:color w:val="auto"/>
              </w:rPr>
            </w:pPr>
          </w:p>
        </w:tc>
        <w:tc>
          <w:tcPr>
            <w:tcW w:w="1280" w:type="dxa"/>
            <w:vAlign w:val="bottom"/>
            <w:tcBorders>
              <w:bottom w:val="single" w:sz="8" w:color="auto"/>
            </w:tcBorders>
            <w:shd w:val="clear" w:color="auto" w:fill="CEFFE7"/>
          </w:tcPr>
          <w:p>
            <w:pPr>
              <w:jc w:val="right"/>
              <w:ind w:right="148"/>
              <w:spacing w:after="0"/>
              <w:rPr>
                <w:sz w:val="20"/>
                <w:szCs w:val="20"/>
                <w:color w:val="auto"/>
              </w:rPr>
            </w:pPr>
            <w:r>
              <w:rPr>
                <w:rFonts w:ascii="Arial" w:cs="Arial" w:eastAsia="Arial" w:hAnsi="Arial"/>
                <w:sz w:val="14"/>
                <w:szCs w:val="14"/>
                <w:color w:val="auto"/>
              </w:rPr>
              <w:t>353,143</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(369,729)</w:t>
            </w:r>
          </w:p>
        </w:tc>
        <w:tc>
          <w:tcPr>
            <w:tcW w:w="320" w:type="dxa"/>
            <w:vAlign w:val="bottom"/>
            <w:tcBorders>
              <w:bottom w:val="single" w:sz="8" w:color="auto"/>
            </w:tcBorders>
            <w:shd w:val="clear" w:color="auto" w:fill="CEFFE7"/>
          </w:tcPr>
          <w:p>
            <w:pPr>
              <w:spacing w:after="0"/>
              <w:rPr>
                <w:sz w:val="15"/>
                <w:szCs w:val="15"/>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1,696,941</w:t>
            </w:r>
          </w:p>
        </w:tc>
        <w:tc>
          <w:tcPr>
            <w:tcW w:w="0" w:type="dxa"/>
            <w:vAlign w:val="bottom"/>
          </w:tcPr>
          <w:p>
            <w:pPr>
              <w:spacing w:after="0"/>
              <w:rPr>
                <w:sz w:val="1"/>
                <w:szCs w:val="1"/>
                <w:color w:val="auto"/>
              </w:rPr>
            </w:pPr>
          </w:p>
        </w:tc>
      </w:tr>
      <w:tr>
        <w:trPr>
          <w:trHeight w:val="74"/>
        </w:trPr>
        <w:tc>
          <w:tcPr>
            <w:tcW w:w="4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Fuel, purchased power and cost of natural gas sold</w:t>
            </w:r>
          </w:p>
        </w:tc>
        <w:tc>
          <w:tcPr>
            <w:tcW w:w="140" w:type="dxa"/>
            <w:vAlign w:val="bottom"/>
            <w:shd w:val="clear" w:color="auto" w:fill="CEFFE7"/>
          </w:tcPr>
          <w:p>
            <w:pPr>
              <w:spacing w:after="0"/>
              <w:rPr>
                <w:sz w:val="16"/>
                <w:szCs w:val="16"/>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138,572</w:t>
            </w:r>
          </w:p>
        </w:tc>
        <w:tc>
          <w:tcPr>
            <w:tcW w:w="220" w:type="dxa"/>
            <w:vAlign w:val="bottom"/>
            <w:shd w:val="clear" w:color="auto" w:fill="CEFFE7"/>
          </w:tcPr>
          <w:p>
            <w:pPr>
              <w:spacing w:after="0"/>
              <w:rPr>
                <w:sz w:val="16"/>
                <w:szCs w:val="16"/>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354,645</w:t>
            </w:r>
          </w:p>
        </w:tc>
        <w:tc>
          <w:tcPr>
            <w:tcW w:w="260" w:type="dxa"/>
            <w:vAlign w:val="bottom"/>
            <w:shd w:val="clear" w:color="auto" w:fill="CEFFE7"/>
          </w:tcPr>
          <w:p>
            <w:pPr>
              <w:spacing w:after="0"/>
              <w:rPr>
                <w:sz w:val="16"/>
                <w:szCs w:val="16"/>
                <w:color w:val="auto"/>
              </w:rPr>
            </w:pPr>
          </w:p>
        </w:tc>
        <w:tc>
          <w:tcPr>
            <w:tcW w:w="1280" w:type="dxa"/>
            <w:vAlign w:val="bottom"/>
            <w:shd w:val="clear" w:color="auto" w:fill="CEFFE7"/>
          </w:tcPr>
          <w:p>
            <w:pPr>
              <w:jc w:val="right"/>
              <w:ind w:right="148"/>
              <w:spacing w:after="0"/>
              <w:rPr>
                <w:sz w:val="20"/>
                <w:szCs w:val="20"/>
                <w:color w:val="auto"/>
              </w:rPr>
            </w:pPr>
            <w:r>
              <w:rPr>
                <w:rFonts w:ascii="Arial" w:cs="Arial" w:eastAsia="Arial" w:hAnsi="Arial"/>
                <w:sz w:val="14"/>
                <w:szCs w:val="14"/>
                <w:color w:val="auto"/>
              </w:rPr>
              <w:t>83</w:t>
            </w:r>
          </w:p>
        </w:tc>
        <w:tc>
          <w:tcPr>
            <w:tcW w:w="12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(896)</w:t>
            </w:r>
          </w:p>
        </w:tc>
        <w:tc>
          <w:tcPr>
            <w:tcW w:w="320" w:type="dxa"/>
            <w:vAlign w:val="bottom"/>
            <w:shd w:val="clear" w:color="auto" w:fill="CEFFE7"/>
          </w:tcPr>
          <w:p>
            <w:pPr>
              <w:spacing w:after="0"/>
              <w:rPr>
                <w:sz w:val="16"/>
                <w:szCs w:val="16"/>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492,404</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Operations and maintenance, including taxes</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265,679</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303,577</w:t>
            </w:r>
          </w:p>
        </w:tc>
        <w:tc>
          <w:tcPr>
            <w:tcW w:w="260" w:type="dxa"/>
            <w:vAlign w:val="bottom"/>
          </w:tcPr>
          <w:p>
            <w:pPr>
              <w:spacing w:after="0"/>
              <w:rPr>
                <w:sz w:val="16"/>
                <w:szCs w:val="16"/>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284,501</w:t>
            </w:r>
          </w:p>
        </w:tc>
        <w:tc>
          <w:tcPr>
            <w:tcW w:w="1220" w:type="dxa"/>
            <w:vAlign w:val="bottom"/>
          </w:tcPr>
          <w:p>
            <w:pPr>
              <w:jc w:val="right"/>
              <w:spacing w:after="0"/>
              <w:rPr>
                <w:sz w:val="20"/>
                <w:szCs w:val="20"/>
                <w:color w:val="auto"/>
              </w:rPr>
            </w:pPr>
            <w:r>
              <w:rPr>
                <w:rFonts w:ascii="Arial" w:cs="Arial" w:eastAsia="Arial" w:hAnsi="Arial"/>
                <w:sz w:val="14"/>
                <w:szCs w:val="14"/>
                <w:color w:val="auto"/>
              </w:rPr>
              <w:t>(301,980)</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551,777</w:t>
            </w:r>
          </w:p>
        </w:tc>
        <w:tc>
          <w:tcPr>
            <w:tcW w:w="0" w:type="dxa"/>
            <w:vAlign w:val="bottom"/>
          </w:tcPr>
          <w:p>
            <w:pPr>
              <w:spacing w:after="0"/>
              <w:rPr>
                <w:sz w:val="1"/>
                <w:szCs w:val="1"/>
                <w:color w:val="auto"/>
              </w:rPr>
            </w:pPr>
          </w:p>
        </w:tc>
      </w:tr>
      <w:tr>
        <w:trPr>
          <w:trHeight w:val="189"/>
        </w:trPr>
        <w:tc>
          <w:tcPr>
            <w:tcW w:w="4420" w:type="dxa"/>
            <w:vAlign w:val="bottom"/>
            <w:shd w:val="clear" w:color="auto" w:fill="CEFEE7"/>
          </w:tcPr>
          <w:p>
            <w:pPr>
              <w:ind w:left="20"/>
              <w:spacing w:after="0"/>
              <w:rPr>
                <w:sz w:val="20"/>
                <w:szCs w:val="20"/>
                <w:color w:val="auto"/>
              </w:rPr>
            </w:pPr>
            <w:r>
              <w:rPr>
                <w:rFonts w:ascii="Arial" w:cs="Arial" w:eastAsia="Arial" w:hAnsi="Arial"/>
                <w:sz w:val="14"/>
                <w:szCs w:val="14"/>
                <w:color w:val="auto"/>
              </w:rPr>
              <w:t>Depreciation, depletion and amortization</w:t>
            </w:r>
          </w:p>
        </w:tc>
        <w:tc>
          <w:tcPr>
            <w:tcW w:w="140" w:type="dxa"/>
            <w:vAlign w:val="bottom"/>
            <w:tcBorders>
              <w:bottom w:val="single" w:sz="8" w:color="auto"/>
            </w:tcBorders>
            <w:shd w:val="clear" w:color="auto" w:fill="CEFFE7"/>
          </w:tcPr>
          <w:p>
            <w:pPr>
              <w:spacing w:after="0"/>
              <w:rPr>
                <w:sz w:val="16"/>
                <w:szCs w:val="16"/>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123,632</w:t>
            </w:r>
          </w:p>
        </w:tc>
        <w:tc>
          <w:tcPr>
            <w:tcW w:w="220" w:type="dxa"/>
            <w:vAlign w:val="bottom"/>
            <w:tcBorders>
              <w:bottom w:val="single" w:sz="8" w:color="auto"/>
            </w:tcBorders>
            <w:shd w:val="clear" w:color="auto" w:fill="CEFFE7"/>
          </w:tcPr>
          <w:p>
            <w:pPr>
              <w:spacing w:after="0"/>
              <w:rPr>
                <w:sz w:val="16"/>
                <w:szCs w:val="16"/>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100,559</w:t>
            </w:r>
          </w:p>
        </w:tc>
        <w:tc>
          <w:tcPr>
            <w:tcW w:w="260" w:type="dxa"/>
            <w:vAlign w:val="bottom"/>
            <w:tcBorders>
              <w:bottom w:val="single" w:sz="8" w:color="auto"/>
            </w:tcBorders>
            <w:shd w:val="clear" w:color="auto" w:fill="CEFFE7"/>
          </w:tcPr>
          <w:p>
            <w:pPr>
              <w:spacing w:after="0"/>
              <w:rPr>
                <w:sz w:val="16"/>
                <w:szCs w:val="16"/>
                <w:color w:val="auto"/>
              </w:rPr>
            </w:pPr>
          </w:p>
        </w:tc>
        <w:tc>
          <w:tcPr>
            <w:tcW w:w="1280" w:type="dxa"/>
            <w:vAlign w:val="bottom"/>
            <w:tcBorders>
              <w:bottom w:val="single" w:sz="8" w:color="auto"/>
            </w:tcBorders>
            <w:shd w:val="clear" w:color="auto" w:fill="CEFFE7"/>
          </w:tcPr>
          <w:p>
            <w:pPr>
              <w:jc w:val="right"/>
              <w:ind w:right="148"/>
              <w:spacing w:after="0"/>
              <w:rPr>
                <w:sz w:val="20"/>
                <w:szCs w:val="20"/>
                <w:color w:val="auto"/>
              </w:rPr>
            </w:pPr>
            <w:r>
              <w:rPr>
                <w:rFonts w:ascii="Arial" w:cs="Arial" w:eastAsia="Arial" w:hAnsi="Arial"/>
                <w:sz w:val="14"/>
                <w:szCs w:val="14"/>
                <w:color w:val="auto"/>
              </w:rPr>
              <w:t>25,150</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(24,884)</w:t>
            </w:r>
          </w:p>
        </w:tc>
        <w:tc>
          <w:tcPr>
            <w:tcW w:w="320" w:type="dxa"/>
            <w:vAlign w:val="bottom"/>
            <w:tcBorders>
              <w:bottom w:val="single" w:sz="8" w:color="auto"/>
            </w:tcBorders>
            <w:shd w:val="clear" w:color="auto" w:fill="CEFFE7"/>
          </w:tcPr>
          <w:p>
            <w:pPr>
              <w:spacing w:after="0"/>
              <w:rPr>
                <w:sz w:val="16"/>
                <w:szCs w:val="16"/>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224,457</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EFFE7"/>
            </w:tcBorders>
          </w:tcPr>
          <w:p>
            <w:pPr>
              <w:ind w:left="140"/>
              <w:spacing w:after="0"/>
              <w:rPr>
                <w:sz w:val="20"/>
                <w:szCs w:val="20"/>
                <w:color w:val="auto"/>
              </w:rPr>
            </w:pPr>
            <w:r>
              <w:rPr>
                <w:rFonts w:ascii="Arial" w:cs="Arial" w:eastAsia="Arial" w:hAnsi="Arial"/>
                <w:sz w:val="14"/>
                <w:szCs w:val="14"/>
                <w:color w:val="auto"/>
              </w:rPr>
              <w:t>Operating income (loss)</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210,974</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215,889</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43,409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(41,969)</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428,303</w:t>
            </w:r>
          </w:p>
        </w:tc>
        <w:tc>
          <w:tcPr>
            <w:tcW w:w="0" w:type="dxa"/>
            <w:vAlign w:val="bottom"/>
          </w:tcPr>
          <w:p>
            <w:pPr>
              <w:spacing w:after="0"/>
              <w:rPr>
                <w:sz w:val="1"/>
                <w:szCs w:val="1"/>
                <w:color w:val="auto"/>
              </w:rPr>
            </w:pPr>
          </w:p>
        </w:tc>
      </w:tr>
      <w:tr>
        <w:trPr>
          <w:trHeight w:val="75"/>
        </w:trPr>
        <w:tc>
          <w:tcPr>
            <w:tcW w:w="4420" w:type="dxa"/>
            <w:vAlign w:val="bottom"/>
            <w:shd w:val="clear" w:color="auto" w:fill="CEFFE7"/>
          </w:tcPr>
          <w:p>
            <w:pPr>
              <w:spacing w:after="0"/>
              <w:rPr>
                <w:sz w:val="6"/>
                <w:szCs w:val="6"/>
                <w:color w:val="auto"/>
              </w:rPr>
            </w:pPr>
          </w:p>
        </w:tc>
        <w:tc>
          <w:tcPr>
            <w:tcW w:w="140" w:type="dxa"/>
            <w:vAlign w:val="bottom"/>
            <w:shd w:val="clear" w:color="auto" w:fill="CEFFE7"/>
          </w:tcPr>
          <w:p>
            <w:pPr>
              <w:spacing w:after="0"/>
              <w:rPr>
                <w:sz w:val="6"/>
                <w:szCs w:val="6"/>
                <w:color w:val="auto"/>
              </w:rPr>
            </w:pPr>
          </w:p>
        </w:tc>
        <w:tc>
          <w:tcPr>
            <w:tcW w:w="1200" w:type="dxa"/>
            <w:vAlign w:val="bottom"/>
            <w:shd w:val="clear" w:color="auto" w:fill="CEFFE7"/>
          </w:tcPr>
          <w:p>
            <w:pPr>
              <w:spacing w:after="0"/>
              <w:rPr>
                <w:sz w:val="6"/>
                <w:szCs w:val="6"/>
                <w:color w:val="auto"/>
              </w:rPr>
            </w:pPr>
          </w:p>
        </w:tc>
        <w:tc>
          <w:tcPr>
            <w:tcW w:w="220" w:type="dxa"/>
            <w:vAlign w:val="bottom"/>
            <w:shd w:val="clear" w:color="auto" w:fill="CEFFE7"/>
          </w:tcPr>
          <w:p>
            <w:pPr>
              <w:spacing w:after="0"/>
              <w:rPr>
                <w:sz w:val="6"/>
                <w:szCs w:val="6"/>
                <w:color w:val="auto"/>
              </w:rPr>
            </w:pPr>
          </w:p>
        </w:tc>
        <w:tc>
          <w:tcPr>
            <w:tcW w:w="1140" w:type="dxa"/>
            <w:vAlign w:val="bottom"/>
            <w:shd w:val="clear" w:color="auto" w:fill="CEFFE7"/>
          </w:tcPr>
          <w:p>
            <w:pPr>
              <w:spacing w:after="0"/>
              <w:rPr>
                <w:sz w:val="6"/>
                <w:szCs w:val="6"/>
                <w:color w:val="auto"/>
              </w:rPr>
            </w:pPr>
          </w:p>
        </w:tc>
        <w:tc>
          <w:tcPr>
            <w:tcW w:w="260" w:type="dxa"/>
            <w:vAlign w:val="bottom"/>
            <w:shd w:val="clear" w:color="auto" w:fill="CEFFE7"/>
          </w:tcPr>
          <w:p>
            <w:pPr>
              <w:spacing w:after="0"/>
              <w:rPr>
                <w:sz w:val="6"/>
                <w:szCs w:val="6"/>
                <w:color w:val="auto"/>
              </w:rPr>
            </w:pPr>
          </w:p>
        </w:tc>
        <w:tc>
          <w:tcPr>
            <w:tcW w:w="1280" w:type="dxa"/>
            <w:vAlign w:val="bottom"/>
            <w:shd w:val="clear" w:color="auto" w:fill="CEFFE7"/>
          </w:tcPr>
          <w:p>
            <w:pPr>
              <w:spacing w:after="0"/>
              <w:rPr>
                <w:sz w:val="6"/>
                <w:szCs w:val="6"/>
                <w:color w:val="auto"/>
              </w:rPr>
            </w:pPr>
          </w:p>
        </w:tc>
        <w:tc>
          <w:tcPr>
            <w:tcW w:w="1220" w:type="dxa"/>
            <w:vAlign w:val="bottom"/>
            <w:shd w:val="clear" w:color="auto" w:fill="CEFFE7"/>
          </w:tcPr>
          <w:p>
            <w:pPr>
              <w:spacing w:after="0"/>
              <w:rPr>
                <w:sz w:val="6"/>
                <w:szCs w:val="6"/>
                <w:color w:val="auto"/>
              </w:rPr>
            </w:pPr>
          </w:p>
        </w:tc>
        <w:tc>
          <w:tcPr>
            <w:tcW w:w="320" w:type="dxa"/>
            <w:vAlign w:val="bottom"/>
            <w:shd w:val="clear" w:color="auto" w:fill="CEFFE7"/>
          </w:tcPr>
          <w:p>
            <w:pPr>
              <w:spacing w:after="0"/>
              <w:rPr>
                <w:sz w:val="6"/>
                <w:szCs w:val="6"/>
                <w:color w:val="auto"/>
              </w:rPr>
            </w:pPr>
          </w:p>
        </w:tc>
        <w:tc>
          <w:tcPr>
            <w:tcW w:w="1040" w:type="dxa"/>
            <w:vAlign w:val="bottom"/>
            <w:shd w:val="clear" w:color="auto" w:fill="CEFFE7"/>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(143,470)</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Impairment of investment</w:t>
            </w:r>
          </w:p>
        </w:tc>
        <w:tc>
          <w:tcPr>
            <w:tcW w:w="140" w:type="dxa"/>
            <w:vAlign w:val="bottom"/>
            <w:shd w:val="clear" w:color="auto" w:fill="CEFFE7"/>
          </w:tcPr>
          <w:p>
            <w:pPr>
              <w:spacing w:after="0"/>
              <w:rPr>
                <w:sz w:val="16"/>
                <w:szCs w:val="16"/>
                <w:color w:val="auto"/>
              </w:rPr>
            </w:pPr>
          </w:p>
        </w:tc>
        <w:tc>
          <w:tcPr>
            <w:tcW w:w="120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114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128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320" w:type="dxa"/>
            <w:vAlign w:val="bottom"/>
            <w:shd w:val="clear" w:color="auto" w:fill="CEFFE7"/>
          </w:tcPr>
          <w:p>
            <w:pPr>
              <w:spacing w:after="0"/>
              <w:rPr>
                <w:sz w:val="16"/>
                <w:szCs w:val="16"/>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(6,859)</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(2,293)</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Income tax benefit (expense)</w:t>
            </w:r>
          </w:p>
        </w:tc>
        <w:tc>
          <w:tcPr>
            <w:tcW w:w="140" w:type="dxa"/>
            <w:vAlign w:val="bottom"/>
            <w:shd w:val="clear" w:color="auto" w:fill="CEFFE7"/>
          </w:tcPr>
          <w:p>
            <w:pPr>
              <w:spacing w:after="0"/>
              <w:rPr>
                <w:sz w:val="16"/>
                <w:szCs w:val="16"/>
                <w:color w:val="auto"/>
              </w:rPr>
            </w:pPr>
          </w:p>
        </w:tc>
        <w:tc>
          <w:tcPr>
            <w:tcW w:w="120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114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128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320" w:type="dxa"/>
            <w:vAlign w:val="bottom"/>
            <w:tcBorders>
              <w:bottom w:val="single" w:sz="8" w:color="auto"/>
            </w:tcBorders>
            <w:shd w:val="clear" w:color="auto" w:fill="CEFFE7"/>
          </w:tcPr>
          <w:p>
            <w:pPr>
              <w:spacing w:after="0"/>
              <w:rPr>
                <w:sz w:val="16"/>
                <w:szCs w:val="16"/>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(32,918)</w:t>
            </w:r>
          </w:p>
        </w:tc>
        <w:tc>
          <w:tcPr>
            <w:tcW w:w="0" w:type="dxa"/>
            <w:vAlign w:val="bottom"/>
          </w:tcPr>
          <w:p>
            <w:pPr>
              <w:spacing w:after="0"/>
              <w:rPr>
                <w:sz w:val="1"/>
                <w:szCs w:val="1"/>
                <w:color w:val="auto"/>
              </w:rPr>
            </w:pPr>
          </w:p>
        </w:tc>
      </w:tr>
      <w:tr>
        <w:trPr>
          <w:trHeight w:val="183"/>
        </w:trPr>
        <w:tc>
          <w:tcPr>
            <w:tcW w:w="44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242,763</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140" w:type="dxa"/>
            <w:vAlign w:val="bottom"/>
            <w:shd w:val="clear" w:color="auto" w:fill="CEFFE7"/>
          </w:tcPr>
          <w:p>
            <w:pPr>
              <w:spacing w:after="0"/>
              <w:rPr>
                <w:sz w:val="16"/>
                <w:szCs w:val="16"/>
                <w:color w:val="auto"/>
              </w:rPr>
            </w:pPr>
          </w:p>
        </w:tc>
        <w:tc>
          <w:tcPr>
            <w:tcW w:w="120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114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128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320" w:type="dxa"/>
            <w:vAlign w:val="bottom"/>
            <w:tcBorders>
              <w:bottom w:val="single" w:sz="8" w:color="auto"/>
            </w:tcBorders>
            <w:shd w:val="clear" w:color="auto" w:fill="CEFFE7"/>
          </w:tcPr>
          <w:p>
            <w:pPr>
              <w:spacing w:after="0"/>
              <w:rPr>
                <w:sz w:val="16"/>
                <w:szCs w:val="16"/>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(15,155)</w:t>
            </w:r>
          </w:p>
        </w:tc>
        <w:tc>
          <w:tcPr>
            <w:tcW w:w="0" w:type="dxa"/>
            <w:vAlign w:val="bottom"/>
          </w:tcPr>
          <w:p>
            <w:pPr>
              <w:spacing w:after="0"/>
              <w:rPr>
                <w:sz w:val="1"/>
                <w:szCs w:val="1"/>
                <w:color w:val="auto"/>
              </w:rPr>
            </w:pPr>
          </w:p>
        </w:tc>
      </w:tr>
      <w:tr>
        <w:trPr>
          <w:trHeight w:val="183"/>
        </w:trPr>
        <w:tc>
          <w:tcPr>
            <w:tcW w:w="4420" w:type="dxa"/>
            <w:vAlign w:val="bottom"/>
          </w:tcPr>
          <w:p>
            <w:pPr>
              <w:ind w:left="140"/>
              <w:spacing w:after="0"/>
              <w:rPr>
                <w:sz w:val="20"/>
                <w:szCs w:val="20"/>
                <w:color w:val="auto"/>
              </w:rPr>
            </w:pPr>
            <w:r>
              <w:rPr>
                <w:rFonts w:ascii="Arial" w:cs="Arial" w:eastAsia="Arial" w:hAnsi="Arial"/>
                <w:sz w:val="14"/>
                <w:szCs w:val="14"/>
                <w:color w:val="auto"/>
              </w:rPr>
              <w:t>Net income available for common stock</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227,608</w:t>
            </w:r>
          </w:p>
        </w:tc>
        <w:tc>
          <w:tcPr>
            <w:tcW w:w="0" w:type="dxa"/>
            <w:vAlign w:val="bottom"/>
          </w:tcPr>
          <w:p>
            <w:pPr>
              <w:spacing w:after="0"/>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5"/>
          </w:tcPr>
          <w:p>
            <w:pPr>
              <w:jc w:val="right"/>
              <w:ind w:right="1240"/>
              <w:spacing w:after="0"/>
              <w:rPr>
                <w:sz w:val="20"/>
                <w:szCs w:val="20"/>
                <w:color w:val="auto"/>
              </w:rPr>
            </w:pPr>
            <w:r>
              <w:rPr>
                <w:rFonts w:ascii="Arial" w:cs="Arial" w:eastAsia="Arial" w:hAnsi="Arial"/>
                <w:sz w:val="14"/>
                <w:szCs w:val="14"/>
                <w:b w:val="1"/>
                <w:bCs w:val="1"/>
                <w:color w:val="auto"/>
              </w:rPr>
              <w:t>Consolidating Income Statement</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420" w:type="dxa"/>
            <w:vAlign w:val="bottom"/>
            <w:vMerge w:val="restart"/>
          </w:tcPr>
          <w:p>
            <w:pPr>
              <w:ind w:left="20"/>
              <w:spacing w:after="0"/>
              <w:rPr>
                <w:sz w:val="20"/>
                <w:szCs w:val="20"/>
                <w:color w:val="auto"/>
              </w:rPr>
            </w:pPr>
            <w:r>
              <w:rPr>
                <w:rFonts w:ascii="Arial" w:cs="Arial" w:eastAsia="Arial" w:hAnsi="Arial"/>
                <w:sz w:val="14"/>
                <w:szCs w:val="14"/>
                <w:color w:val="auto"/>
              </w:rPr>
              <w:t>Year ended December 31, 2019</w:t>
            </w:r>
          </w:p>
        </w:tc>
        <w:tc>
          <w:tcPr>
            <w:tcW w:w="140" w:type="dxa"/>
            <w:vAlign w:val="bottom"/>
          </w:tcPr>
          <w:p>
            <w:pPr>
              <w:spacing w:after="0"/>
              <w:rPr>
                <w:sz w:val="12"/>
                <w:szCs w:val="12"/>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color w:val="auto"/>
              </w:rPr>
              <w:t>Electric Utilities</w:t>
            </w:r>
          </w:p>
        </w:tc>
        <w:tc>
          <w:tcPr>
            <w:tcW w:w="220" w:type="dxa"/>
            <w:vAlign w:val="bottom"/>
          </w:tcPr>
          <w:p>
            <w:pPr>
              <w:spacing w:after="0"/>
              <w:rPr>
                <w:sz w:val="12"/>
                <w:szCs w:val="12"/>
                <w:color w:val="auto"/>
              </w:rPr>
            </w:pPr>
          </w:p>
        </w:tc>
        <w:tc>
          <w:tcPr>
            <w:tcW w:w="1140" w:type="dxa"/>
            <w:vAlign w:val="bottom"/>
            <w:vMerge w:val="restart"/>
          </w:tcPr>
          <w:p>
            <w:pPr>
              <w:jc w:val="right"/>
              <w:ind w:right="188"/>
              <w:spacing w:after="0"/>
              <w:rPr>
                <w:sz w:val="20"/>
                <w:szCs w:val="20"/>
                <w:color w:val="auto"/>
              </w:rPr>
            </w:pPr>
            <w:r>
              <w:rPr>
                <w:rFonts w:ascii="Arial" w:cs="Arial" w:eastAsia="Arial" w:hAnsi="Arial"/>
                <w:sz w:val="14"/>
                <w:szCs w:val="14"/>
                <w:color w:val="auto"/>
              </w:rPr>
              <w:t>Gas Utilities</w:t>
            </w:r>
          </w:p>
        </w:tc>
        <w:tc>
          <w:tcPr>
            <w:tcW w:w="260" w:type="dxa"/>
            <w:vAlign w:val="bottom"/>
          </w:tcPr>
          <w:p>
            <w:pPr>
              <w:spacing w:after="0"/>
              <w:rPr>
                <w:sz w:val="12"/>
                <w:szCs w:val="12"/>
                <w:color w:val="auto"/>
              </w:rPr>
            </w:pPr>
          </w:p>
        </w:tc>
        <w:tc>
          <w:tcPr>
            <w:tcW w:w="1280" w:type="dxa"/>
            <w:vAlign w:val="bottom"/>
            <w:vMerge w:val="restart"/>
          </w:tcPr>
          <w:p>
            <w:pPr>
              <w:jc w:val="right"/>
              <w:ind w:right="428"/>
              <w:spacing w:after="0"/>
              <w:rPr>
                <w:sz w:val="20"/>
                <w:szCs w:val="20"/>
                <w:color w:val="auto"/>
              </w:rPr>
            </w:pPr>
            <w:r>
              <w:rPr>
                <w:rFonts w:ascii="Arial" w:cs="Arial" w:eastAsia="Arial" w:hAnsi="Arial"/>
                <w:sz w:val="14"/>
                <w:szCs w:val="14"/>
                <w:color w:val="auto"/>
              </w:rPr>
              <w:t>Corporate</w:t>
            </w:r>
          </w:p>
        </w:tc>
        <w:tc>
          <w:tcPr>
            <w:tcW w:w="1540" w:type="dxa"/>
            <w:vAlign w:val="bottom"/>
            <w:gridSpan w:val="2"/>
          </w:tcPr>
          <w:p>
            <w:pPr>
              <w:jc w:val="center"/>
              <w:ind w:right="460"/>
              <w:spacing w:after="0" w:line="147" w:lineRule="exact"/>
              <w:rPr>
                <w:sz w:val="20"/>
                <w:szCs w:val="20"/>
                <w:color w:val="auto"/>
              </w:rPr>
            </w:pPr>
            <w:r>
              <w:rPr>
                <w:rFonts w:ascii="Arial" w:cs="Arial" w:eastAsia="Arial" w:hAnsi="Arial"/>
                <w:sz w:val="14"/>
                <w:szCs w:val="14"/>
                <w:color w:val="auto"/>
              </w:rPr>
              <w:t>Inter-Company</w:t>
            </w:r>
          </w:p>
        </w:tc>
        <w:tc>
          <w:tcPr>
            <w:tcW w:w="104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color w:val="auto"/>
              </w:rPr>
              <w:t>Eliminations</w:t>
            </w: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4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Revenue -</w:t>
            </w:r>
          </w:p>
        </w:tc>
        <w:tc>
          <w:tcPr>
            <w:tcW w:w="140" w:type="dxa"/>
            <w:vAlign w:val="bottom"/>
            <w:shd w:val="clear" w:color="auto" w:fill="CEFFE7"/>
          </w:tcPr>
          <w:p>
            <w:pPr>
              <w:spacing w:after="0"/>
              <w:rPr>
                <w:sz w:val="16"/>
                <w:szCs w:val="16"/>
                <w:color w:val="auto"/>
              </w:rPr>
            </w:pPr>
          </w:p>
        </w:tc>
        <w:tc>
          <w:tcPr>
            <w:tcW w:w="120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114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128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320" w:type="dxa"/>
            <w:vAlign w:val="bottom"/>
            <w:shd w:val="clear" w:color="auto" w:fill="CEFFE7"/>
          </w:tcPr>
          <w:p>
            <w:pPr>
              <w:spacing w:after="0"/>
              <w:rPr>
                <w:sz w:val="16"/>
                <w:szCs w:val="16"/>
                <w:color w:val="auto"/>
              </w:rPr>
            </w:pPr>
          </w:p>
        </w:tc>
        <w:tc>
          <w:tcPr>
            <w:tcW w:w="104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Contracts with customers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719,205</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1,007,187</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 $</w:t>
            </w:r>
          </w:p>
        </w:tc>
        <w:tc>
          <w:tcPr>
            <w:tcW w:w="1540" w:type="dxa"/>
            <w:vAlign w:val="bottom"/>
            <w:gridSpan w:val="2"/>
          </w:tcPr>
          <w:p>
            <w:pPr>
              <w:ind w:left="1000"/>
              <w:spacing w:after="0"/>
              <w:rPr>
                <w:sz w:val="20"/>
                <w:szCs w:val="20"/>
                <w:color w:val="auto"/>
              </w:rPr>
            </w:pPr>
            <w:r>
              <w:rPr>
                <w:rFonts w:ascii="Arial" w:cs="Arial" w:eastAsia="Arial" w:hAnsi="Arial"/>
                <w:sz w:val="14"/>
                <w:szCs w:val="14"/>
                <w:color w:val="auto"/>
              </w:rPr>
              <w:t>— $</w:t>
            </w:r>
          </w:p>
        </w:tc>
        <w:tc>
          <w:tcPr>
            <w:tcW w:w="1040" w:type="dxa"/>
            <w:vAlign w:val="bottom"/>
          </w:tcPr>
          <w:p>
            <w:pPr>
              <w:jc w:val="right"/>
              <w:spacing w:after="0"/>
              <w:rPr>
                <w:sz w:val="20"/>
                <w:szCs w:val="20"/>
                <w:color w:val="auto"/>
              </w:rPr>
            </w:pPr>
            <w:r>
              <w:rPr>
                <w:rFonts w:ascii="Arial" w:cs="Arial" w:eastAsia="Arial" w:hAnsi="Arial"/>
                <w:sz w:val="14"/>
                <w:szCs w:val="14"/>
                <w:color w:val="auto"/>
              </w:rPr>
              <w:t>1,726,392</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Other revenues</w:t>
            </w:r>
          </w:p>
        </w:tc>
        <w:tc>
          <w:tcPr>
            <w:tcW w:w="140" w:type="dxa"/>
            <w:vAlign w:val="bottom"/>
            <w:tcBorders>
              <w:bottom w:val="single" w:sz="8" w:color="auto"/>
            </w:tcBorders>
            <w:shd w:val="clear" w:color="auto" w:fill="CEFFE7"/>
          </w:tcPr>
          <w:p>
            <w:pPr>
              <w:spacing w:after="0"/>
              <w:rPr>
                <w:sz w:val="16"/>
                <w:szCs w:val="16"/>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8,124</w:t>
            </w:r>
          </w:p>
        </w:tc>
        <w:tc>
          <w:tcPr>
            <w:tcW w:w="220" w:type="dxa"/>
            <w:vAlign w:val="bottom"/>
            <w:tcBorders>
              <w:bottom w:val="single" w:sz="8" w:color="auto"/>
            </w:tcBorders>
            <w:shd w:val="clear" w:color="auto" w:fill="CEFFE7"/>
          </w:tcPr>
          <w:p>
            <w:pPr>
              <w:spacing w:after="0"/>
              <w:rPr>
                <w:sz w:val="16"/>
                <w:szCs w:val="16"/>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384</w:t>
            </w:r>
          </w:p>
        </w:tc>
        <w:tc>
          <w:tcPr>
            <w:tcW w:w="260" w:type="dxa"/>
            <w:vAlign w:val="bottom"/>
            <w:tcBorders>
              <w:bottom w:val="single" w:sz="8" w:color="auto"/>
            </w:tcBorders>
            <w:shd w:val="clear" w:color="auto" w:fill="CEFFE7"/>
          </w:tcPr>
          <w:p>
            <w:pPr>
              <w:spacing w:after="0"/>
              <w:rPr>
                <w:sz w:val="16"/>
                <w:szCs w:val="16"/>
                <w:color w:val="auto"/>
              </w:rPr>
            </w:pPr>
          </w:p>
        </w:tc>
        <w:tc>
          <w:tcPr>
            <w:tcW w:w="1280" w:type="dxa"/>
            <w:vAlign w:val="bottom"/>
            <w:tcBorders>
              <w:bottom w:val="single" w:sz="8" w:color="auto"/>
            </w:tcBorders>
            <w:shd w:val="clear" w:color="auto" w:fill="CEFFE7"/>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gridSpan w:val="2"/>
            <w:shd w:val="clear" w:color="auto" w:fill="CEFFE7"/>
          </w:tcPr>
          <w:p>
            <w:pPr>
              <w:ind w:left="10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8,508</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EFFE7"/>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727,329</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1,007,571</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1,734,900</w:t>
            </w:r>
          </w:p>
        </w:tc>
        <w:tc>
          <w:tcPr>
            <w:tcW w:w="0" w:type="dxa"/>
            <w:vAlign w:val="bottom"/>
          </w:tcPr>
          <w:p>
            <w:pPr>
              <w:spacing w:after="0"/>
              <w:rPr>
                <w:sz w:val="1"/>
                <w:szCs w:val="1"/>
                <w:color w:val="auto"/>
              </w:rPr>
            </w:pPr>
          </w:p>
        </w:tc>
      </w:tr>
      <w:tr>
        <w:trPr>
          <w:trHeight w:val="16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Inter-company operating revenue -</w:t>
            </w:r>
          </w:p>
        </w:tc>
        <w:tc>
          <w:tcPr>
            <w:tcW w:w="140" w:type="dxa"/>
            <w:vAlign w:val="bottom"/>
            <w:shd w:val="clear" w:color="auto" w:fill="CEFFE7"/>
          </w:tcPr>
          <w:p>
            <w:pPr>
              <w:spacing w:after="0"/>
              <w:rPr>
                <w:sz w:val="14"/>
                <w:szCs w:val="14"/>
                <w:color w:val="auto"/>
              </w:rPr>
            </w:pPr>
          </w:p>
        </w:tc>
        <w:tc>
          <w:tcPr>
            <w:tcW w:w="1200" w:type="dxa"/>
            <w:vAlign w:val="bottom"/>
            <w:shd w:val="clear" w:color="auto" w:fill="CEFFE7"/>
          </w:tcPr>
          <w:p>
            <w:pPr>
              <w:spacing w:after="0"/>
              <w:rPr>
                <w:sz w:val="14"/>
                <w:szCs w:val="14"/>
                <w:color w:val="auto"/>
              </w:rPr>
            </w:pPr>
          </w:p>
        </w:tc>
        <w:tc>
          <w:tcPr>
            <w:tcW w:w="220" w:type="dxa"/>
            <w:vAlign w:val="bottom"/>
            <w:shd w:val="clear" w:color="auto" w:fill="CEFFE7"/>
          </w:tcPr>
          <w:p>
            <w:pPr>
              <w:spacing w:after="0"/>
              <w:rPr>
                <w:sz w:val="14"/>
                <w:szCs w:val="14"/>
                <w:color w:val="auto"/>
              </w:rPr>
            </w:pPr>
          </w:p>
        </w:tc>
        <w:tc>
          <w:tcPr>
            <w:tcW w:w="1140" w:type="dxa"/>
            <w:vAlign w:val="bottom"/>
            <w:shd w:val="clear" w:color="auto" w:fill="CEFFE7"/>
          </w:tcPr>
          <w:p>
            <w:pPr>
              <w:spacing w:after="0"/>
              <w:rPr>
                <w:sz w:val="14"/>
                <w:szCs w:val="14"/>
                <w:color w:val="auto"/>
              </w:rPr>
            </w:pPr>
          </w:p>
        </w:tc>
        <w:tc>
          <w:tcPr>
            <w:tcW w:w="260" w:type="dxa"/>
            <w:vAlign w:val="bottom"/>
            <w:shd w:val="clear" w:color="auto" w:fill="CEFFE7"/>
          </w:tcPr>
          <w:p>
            <w:pPr>
              <w:spacing w:after="0"/>
              <w:rPr>
                <w:sz w:val="14"/>
                <w:szCs w:val="14"/>
                <w:color w:val="auto"/>
              </w:rPr>
            </w:pPr>
          </w:p>
        </w:tc>
        <w:tc>
          <w:tcPr>
            <w:tcW w:w="1280" w:type="dxa"/>
            <w:vAlign w:val="bottom"/>
            <w:shd w:val="clear" w:color="auto" w:fill="CEFFE7"/>
          </w:tcPr>
          <w:p>
            <w:pPr>
              <w:spacing w:after="0"/>
              <w:rPr>
                <w:sz w:val="14"/>
                <w:szCs w:val="14"/>
                <w:color w:val="auto"/>
              </w:rPr>
            </w:pPr>
          </w:p>
        </w:tc>
        <w:tc>
          <w:tcPr>
            <w:tcW w:w="1220" w:type="dxa"/>
            <w:vAlign w:val="bottom"/>
            <w:shd w:val="clear" w:color="auto" w:fill="CEFFE7"/>
          </w:tcPr>
          <w:p>
            <w:pPr>
              <w:spacing w:after="0"/>
              <w:rPr>
                <w:sz w:val="14"/>
                <w:szCs w:val="14"/>
                <w:color w:val="auto"/>
              </w:rPr>
            </w:pPr>
          </w:p>
        </w:tc>
        <w:tc>
          <w:tcPr>
            <w:tcW w:w="320" w:type="dxa"/>
            <w:vAlign w:val="bottom"/>
            <w:shd w:val="clear" w:color="auto" w:fill="CEFFE7"/>
          </w:tcPr>
          <w:p>
            <w:pPr>
              <w:spacing w:after="0"/>
              <w:rPr>
                <w:sz w:val="14"/>
                <w:szCs w:val="14"/>
                <w:color w:val="auto"/>
              </w:rPr>
            </w:pPr>
          </w:p>
        </w:tc>
        <w:tc>
          <w:tcPr>
            <w:tcW w:w="1040" w:type="dxa"/>
            <w:vAlign w:val="bottom"/>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140"/>
              <w:spacing w:after="0"/>
              <w:rPr>
                <w:sz w:val="20"/>
                <w:szCs w:val="20"/>
                <w:color w:val="auto"/>
              </w:rPr>
            </w:pPr>
            <w:r>
              <w:rPr>
                <w:rFonts w:ascii="Arial" w:cs="Arial" w:eastAsia="Arial" w:hAnsi="Arial"/>
                <w:sz w:val="14"/>
                <w:szCs w:val="14"/>
                <w:color w:val="auto"/>
              </w:rPr>
              <w:t>Contracts with customers</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12,026</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2,459</w:t>
            </w:r>
          </w:p>
        </w:tc>
        <w:tc>
          <w:tcPr>
            <w:tcW w:w="260" w:type="dxa"/>
            <w:vAlign w:val="bottom"/>
          </w:tcPr>
          <w:p>
            <w:pPr>
              <w:spacing w:after="0"/>
              <w:rPr>
                <w:sz w:val="16"/>
                <w:szCs w:val="16"/>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230</w:t>
            </w:r>
          </w:p>
        </w:tc>
        <w:tc>
          <w:tcPr>
            <w:tcW w:w="1220" w:type="dxa"/>
            <w:vAlign w:val="bottom"/>
          </w:tcPr>
          <w:p>
            <w:pPr>
              <w:jc w:val="right"/>
              <w:spacing w:after="0"/>
              <w:rPr>
                <w:sz w:val="20"/>
                <w:szCs w:val="20"/>
                <w:color w:val="auto"/>
              </w:rPr>
            </w:pPr>
            <w:r>
              <w:rPr>
                <w:rFonts w:ascii="Arial" w:cs="Arial" w:eastAsia="Arial" w:hAnsi="Arial"/>
                <w:sz w:val="14"/>
                <w:szCs w:val="14"/>
                <w:color w:val="auto"/>
              </w:rPr>
              <w:t>(14,715)</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140"/>
              <w:spacing w:after="0"/>
              <w:rPr>
                <w:sz w:val="20"/>
                <w:szCs w:val="20"/>
                <w:color w:val="auto"/>
              </w:rPr>
            </w:pPr>
            <w:r>
              <w:rPr>
                <w:rFonts w:ascii="Arial" w:cs="Arial" w:eastAsia="Arial" w:hAnsi="Arial"/>
                <w:sz w:val="14"/>
                <w:szCs w:val="14"/>
                <w:color w:val="auto"/>
              </w:rPr>
              <w:t>Other revenues</w:t>
            </w:r>
          </w:p>
        </w:tc>
        <w:tc>
          <w:tcPr>
            <w:tcW w:w="140" w:type="dxa"/>
            <w:vAlign w:val="bottom"/>
            <w:tcBorders>
              <w:bottom w:val="single" w:sz="8" w:color="auto"/>
            </w:tcBorders>
            <w:shd w:val="clear" w:color="auto" w:fill="CEFFE7"/>
          </w:tcPr>
          <w:p>
            <w:pPr>
              <w:spacing w:after="0"/>
              <w:rPr>
                <w:sz w:val="16"/>
                <w:szCs w:val="16"/>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6"/>
                <w:szCs w:val="16"/>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EFFE7"/>
          </w:tcPr>
          <w:p>
            <w:pPr>
              <w:spacing w:after="0"/>
              <w:rPr>
                <w:sz w:val="16"/>
                <w:szCs w:val="16"/>
                <w:color w:val="auto"/>
              </w:rPr>
            </w:pPr>
          </w:p>
        </w:tc>
        <w:tc>
          <w:tcPr>
            <w:tcW w:w="1280" w:type="dxa"/>
            <w:vAlign w:val="bottom"/>
            <w:tcBorders>
              <w:bottom w:val="single" w:sz="8" w:color="auto"/>
            </w:tcBorders>
            <w:shd w:val="clear" w:color="auto" w:fill="CEFFE7"/>
          </w:tcPr>
          <w:p>
            <w:pPr>
              <w:jc w:val="right"/>
              <w:ind w:right="148"/>
              <w:spacing w:after="0"/>
              <w:rPr>
                <w:sz w:val="20"/>
                <w:szCs w:val="20"/>
                <w:color w:val="auto"/>
              </w:rPr>
            </w:pPr>
            <w:r>
              <w:rPr>
                <w:rFonts w:ascii="Arial" w:cs="Arial" w:eastAsia="Arial" w:hAnsi="Arial"/>
                <w:sz w:val="14"/>
                <w:szCs w:val="14"/>
                <w:color w:val="auto"/>
              </w:rPr>
              <w:t>343,974</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(343,974)</w:t>
            </w:r>
          </w:p>
        </w:tc>
        <w:tc>
          <w:tcPr>
            <w:tcW w:w="320" w:type="dxa"/>
            <w:vAlign w:val="bottom"/>
            <w:tcBorders>
              <w:bottom w:val="single" w:sz="8" w:color="auto"/>
            </w:tcBorders>
            <w:shd w:val="clear" w:color="auto" w:fill="CEFFE7"/>
          </w:tcPr>
          <w:p>
            <w:pPr>
              <w:spacing w:after="0"/>
              <w:rPr>
                <w:sz w:val="16"/>
                <w:szCs w:val="16"/>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EFFE7"/>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12,026</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2,459</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344,204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(358,689)</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Total revenue</w:t>
            </w:r>
          </w:p>
        </w:tc>
        <w:tc>
          <w:tcPr>
            <w:tcW w:w="140" w:type="dxa"/>
            <w:vAlign w:val="bottom"/>
            <w:tcBorders>
              <w:bottom w:val="single" w:sz="8" w:color="auto"/>
            </w:tcBorders>
            <w:shd w:val="clear" w:color="auto" w:fill="CEFFE7"/>
          </w:tcPr>
          <w:p>
            <w:pPr>
              <w:spacing w:after="0"/>
              <w:rPr>
                <w:sz w:val="15"/>
                <w:szCs w:val="15"/>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739,355</w:t>
            </w:r>
          </w:p>
        </w:tc>
        <w:tc>
          <w:tcPr>
            <w:tcW w:w="220" w:type="dxa"/>
            <w:vAlign w:val="bottom"/>
            <w:tcBorders>
              <w:bottom w:val="single" w:sz="8" w:color="auto"/>
            </w:tcBorders>
            <w:shd w:val="clear" w:color="auto" w:fill="CEFFE7"/>
          </w:tcPr>
          <w:p>
            <w:pPr>
              <w:spacing w:after="0"/>
              <w:rPr>
                <w:sz w:val="15"/>
                <w:szCs w:val="15"/>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1,010,030</w:t>
            </w:r>
          </w:p>
        </w:tc>
        <w:tc>
          <w:tcPr>
            <w:tcW w:w="260" w:type="dxa"/>
            <w:vAlign w:val="bottom"/>
            <w:tcBorders>
              <w:bottom w:val="single" w:sz="8" w:color="auto"/>
            </w:tcBorders>
            <w:shd w:val="clear" w:color="auto" w:fill="CEFFE7"/>
          </w:tcPr>
          <w:p>
            <w:pPr>
              <w:spacing w:after="0"/>
              <w:rPr>
                <w:sz w:val="15"/>
                <w:szCs w:val="15"/>
                <w:color w:val="auto"/>
              </w:rPr>
            </w:pPr>
          </w:p>
        </w:tc>
        <w:tc>
          <w:tcPr>
            <w:tcW w:w="1280" w:type="dxa"/>
            <w:vAlign w:val="bottom"/>
            <w:tcBorders>
              <w:bottom w:val="single" w:sz="8" w:color="auto"/>
            </w:tcBorders>
            <w:shd w:val="clear" w:color="auto" w:fill="CEFFE7"/>
          </w:tcPr>
          <w:p>
            <w:pPr>
              <w:jc w:val="right"/>
              <w:ind w:right="148"/>
              <w:spacing w:after="0"/>
              <w:rPr>
                <w:sz w:val="20"/>
                <w:szCs w:val="20"/>
                <w:color w:val="auto"/>
              </w:rPr>
            </w:pPr>
            <w:r>
              <w:rPr>
                <w:rFonts w:ascii="Arial" w:cs="Arial" w:eastAsia="Arial" w:hAnsi="Arial"/>
                <w:sz w:val="14"/>
                <w:szCs w:val="14"/>
                <w:color w:val="auto"/>
              </w:rPr>
              <w:t>344,204</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(358,689)</w:t>
            </w:r>
          </w:p>
        </w:tc>
        <w:tc>
          <w:tcPr>
            <w:tcW w:w="320" w:type="dxa"/>
            <w:vAlign w:val="bottom"/>
            <w:tcBorders>
              <w:bottom w:val="single" w:sz="8" w:color="auto"/>
            </w:tcBorders>
            <w:shd w:val="clear" w:color="auto" w:fill="CEFFE7"/>
          </w:tcPr>
          <w:p>
            <w:pPr>
              <w:spacing w:after="0"/>
              <w:rPr>
                <w:sz w:val="15"/>
                <w:szCs w:val="15"/>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1,734,900</w:t>
            </w:r>
          </w:p>
        </w:tc>
        <w:tc>
          <w:tcPr>
            <w:tcW w:w="0" w:type="dxa"/>
            <w:vAlign w:val="bottom"/>
          </w:tcPr>
          <w:p>
            <w:pPr>
              <w:spacing w:after="0"/>
              <w:rPr>
                <w:sz w:val="1"/>
                <w:szCs w:val="1"/>
                <w:color w:val="auto"/>
              </w:rPr>
            </w:pPr>
          </w:p>
        </w:tc>
      </w:tr>
      <w:tr>
        <w:trPr>
          <w:trHeight w:val="75"/>
        </w:trPr>
        <w:tc>
          <w:tcPr>
            <w:tcW w:w="4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Fuel, purchased power and cost of natural gas sold</w:t>
            </w:r>
          </w:p>
        </w:tc>
        <w:tc>
          <w:tcPr>
            <w:tcW w:w="140" w:type="dxa"/>
            <w:vAlign w:val="bottom"/>
            <w:shd w:val="clear" w:color="auto" w:fill="CEFFE7"/>
          </w:tcPr>
          <w:p>
            <w:pPr>
              <w:spacing w:after="0"/>
              <w:rPr>
                <w:sz w:val="16"/>
                <w:szCs w:val="16"/>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145,972</w:t>
            </w:r>
          </w:p>
        </w:tc>
        <w:tc>
          <w:tcPr>
            <w:tcW w:w="220" w:type="dxa"/>
            <w:vAlign w:val="bottom"/>
            <w:shd w:val="clear" w:color="auto" w:fill="CEFFE7"/>
          </w:tcPr>
          <w:p>
            <w:pPr>
              <w:spacing w:after="0"/>
              <w:rPr>
                <w:sz w:val="16"/>
                <w:szCs w:val="16"/>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425,898</w:t>
            </w:r>
          </w:p>
        </w:tc>
        <w:tc>
          <w:tcPr>
            <w:tcW w:w="260" w:type="dxa"/>
            <w:vAlign w:val="bottom"/>
            <w:shd w:val="clear" w:color="auto" w:fill="CEFFE7"/>
          </w:tcPr>
          <w:p>
            <w:pPr>
              <w:spacing w:after="0"/>
              <w:rPr>
                <w:sz w:val="16"/>
                <w:szCs w:val="16"/>
                <w:color w:val="auto"/>
              </w:rPr>
            </w:pPr>
          </w:p>
        </w:tc>
        <w:tc>
          <w:tcPr>
            <w:tcW w:w="1280" w:type="dxa"/>
            <w:vAlign w:val="bottom"/>
            <w:shd w:val="clear" w:color="auto" w:fill="CEFFE7"/>
          </w:tcPr>
          <w:p>
            <w:pPr>
              <w:jc w:val="right"/>
              <w:ind w:right="148"/>
              <w:spacing w:after="0"/>
              <w:rPr>
                <w:sz w:val="20"/>
                <w:szCs w:val="20"/>
                <w:color w:val="auto"/>
              </w:rPr>
            </w:pPr>
            <w:r>
              <w:rPr>
                <w:rFonts w:ascii="Arial" w:cs="Arial" w:eastAsia="Arial" w:hAnsi="Arial"/>
                <w:sz w:val="14"/>
                <w:szCs w:val="14"/>
                <w:color w:val="auto"/>
              </w:rPr>
              <w:t>269</w:t>
            </w:r>
          </w:p>
        </w:tc>
        <w:tc>
          <w:tcPr>
            <w:tcW w:w="12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(1,310)</w:t>
            </w:r>
          </w:p>
        </w:tc>
        <w:tc>
          <w:tcPr>
            <w:tcW w:w="320" w:type="dxa"/>
            <w:vAlign w:val="bottom"/>
            <w:shd w:val="clear" w:color="auto" w:fill="CEFFE7"/>
          </w:tcPr>
          <w:p>
            <w:pPr>
              <w:spacing w:after="0"/>
              <w:rPr>
                <w:sz w:val="16"/>
                <w:szCs w:val="16"/>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570,829</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Operations and maintenance, including taxes</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259,167</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301,844</w:t>
            </w:r>
          </w:p>
        </w:tc>
        <w:tc>
          <w:tcPr>
            <w:tcW w:w="260" w:type="dxa"/>
            <w:vAlign w:val="bottom"/>
          </w:tcPr>
          <w:p>
            <w:pPr>
              <w:spacing w:after="0"/>
              <w:rPr>
                <w:sz w:val="16"/>
                <w:szCs w:val="16"/>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286,800</w:t>
            </w:r>
          </w:p>
        </w:tc>
        <w:tc>
          <w:tcPr>
            <w:tcW w:w="1220" w:type="dxa"/>
            <w:vAlign w:val="bottom"/>
          </w:tcPr>
          <w:p>
            <w:pPr>
              <w:jc w:val="right"/>
              <w:spacing w:after="0"/>
              <w:rPr>
                <w:sz w:val="20"/>
                <w:szCs w:val="20"/>
                <w:color w:val="auto"/>
              </w:rPr>
            </w:pPr>
            <w:r>
              <w:rPr>
                <w:rFonts w:ascii="Arial" w:cs="Arial" w:eastAsia="Arial" w:hAnsi="Arial"/>
                <w:sz w:val="14"/>
                <w:szCs w:val="14"/>
                <w:color w:val="auto"/>
              </w:rPr>
              <w:t>(298,902)</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548,909</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Depreciation, depletion and amortization</w:t>
            </w:r>
          </w:p>
        </w:tc>
        <w:tc>
          <w:tcPr>
            <w:tcW w:w="140" w:type="dxa"/>
            <w:vAlign w:val="bottom"/>
            <w:tcBorders>
              <w:bottom w:val="single" w:sz="8" w:color="auto"/>
            </w:tcBorders>
            <w:shd w:val="clear" w:color="auto" w:fill="CEFFE7"/>
          </w:tcPr>
          <w:p>
            <w:pPr>
              <w:spacing w:after="0"/>
              <w:rPr>
                <w:sz w:val="16"/>
                <w:szCs w:val="16"/>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116,539</w:t>
            </w:r>
          </w:p>
        </w:tc>
        <w:tc>
          <w:tcPr>
            <w:tcW w:w="220" w:type="dxa"/>
            <w:vAlign w:val="bottom"/>
            <w:tcBorders>
              <w:bottom w:val="single" w:sz="8" w:color="auto"/>
            </w:tcBorders>
            <w:shd w:val="clear" w:color="auto" w:fill="CEFFE7"/>
          </w:tcPr>
          <w:p>
            <w:pPr>
              <w:spacing w:after="0"/>
              <w:rPr>
                <w:sz w:val="16"/>
                <w:szCs w:val="16"/>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92,317</w:t>
            </w:r>
          </w:p>
        </w:tc>
        <w:tc>
          <w:tcPr>
            <w:tcW w:w="260" w:type="dxa"/>
            <w:vAlign w:val="bottom"/>
            <w:tcBorders>
              <w:bottom w:val="single" w:sz="8" w:color="auto"/>
            </w:tcBorders>
            <w:shd w:val="clear" w:color="auto" w:fill="CEFFE7"/>
          </w:tcPr>
          <w:p>
            <w:pPr>
              <w:spacing w:after="0"/>
              <w:rPr>
                <w:sz w:val="16"/>
                <w:szCs w:val="16"/>
                <w:color w:val="auto"/>
              </w:rPr>
            </w:pPr>
          </w:p>
        </w:tc>
        <w:tc>
          <w:tcPr>
            <w:tcW w:w="1280" w:type="dxa"/>
            <w:vAlign w:val="bottom"/>
            <w:tcBorders>
              <w:bottom w:val="single" w:sz="8" w:color="auto"/>
            </w:tcBorders>
            <w:shd w:val="clear" w:color="auto" w:fill="CEFFE7"/>
          </w:tcPr>
          <w:p>
            <w:pPr>
              <w:jc w:val="right"/>
              <w:ind w:right="148"/>
              <w:spacing w:after="0"/>
              <w:rPr>
                <w:sz w:val="20"/>
                <w:szCs w:val="20"/>
                <w:color w:val="auto"/>
              </w:rPr>
            </w:pPr>
            <w:r>
              <w:rPr>
                <w:rFonts w:ascii="Arial" w:cs="Arial" w:eastAsia="Arial" w:hAnsi="Arial"/>
                <w:sz w:val="14"/>
                <w:szCs w:val="14"/>
                <w:color w:val="auto"/>
              </w:rPr>
              <w:t>22,065</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(21,801)</w:t>
            </w:r>
          </w:p>
        </w:tc>
        <w:tc>
          <w:tcPr>
            <w:tcW w:w="320" w:type="dxa"/>
            <w:vAlign w:val="bottom"/>
            <w:tcBorders>
              <w:bottom w:val="single" w:sz="8" w:color="auto"/>
            </w:tcBorders>
            <w:shd w:val="clear" w:color="auto" w:fill="CEFFE7"/>
          </w:tcPr>
          <w:p>
            <w:pPr>
              <w:spacing w:after="0"/>
              <w:rPr>
                <w:sz w:val="16"/>
                <w:szCs w:val="16"/>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209,120</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EFFE7"/>
            </w:tcBorders>
          </w:tcPr>
          <w:p>
            <w:pPr>
              <w:ind w:left="140"/>
              <w:spacing w:after="0"/>
              <w:rPr>
                <w:sz w:val="20"/>
                <w:szCs w:val="20"/>
                <w:color w:val="auto"/>
              </w:rPr>
            </w:pPr>
            <w:r>
              <w:rPr>
                <w:rFonts w:ascii="Arial" w:cs="Arial" w:eastAsia="Arial" w:hAnsi="Arial"/>
                <w:sz w:val="14"/>
                <w:szCs w:val="14"/>
                <w:color w:val="auto"/>
              </w:rPr>
              <w:t>Operating income (loss)</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217,677</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189,971</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35,070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(36,676)</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406,042</w:t>
            </w:r>
          </w:p>
        </w:tc>
        <w:tc>
          <w:tcPr>
            <w:tcW w:w="0" w:type="dxa"/>
            <w:vAlign w:val="bottom"/>
          </w:tcPr>
          <w:p>
            <w:pPr>
              <w:spacing w:after="0"/>
              <w:rPr>
                <w:sz w:val="1"/>
                <w:szCs w:val="1"/>
                <w:color w:val="auto"/>
              </w:rPr>
            </w:pPr>
          </w:p>
        </w:tc>
      </w:tr>
      <w:tr>
        <w:trPr>
          <w:trHeight w:val="75"/>
        </w:trPr>
        <w:tc>
          <w:tcPr>
            <w:tcW w:w="4420" w:type="dxa"/>
            <w:vAlign w:val="bottom"/>
            <w:shd w:val="clear" w:color="auto" w:fill="CEFFE7"/>
          </w:tcPr>
          <w:p>
            <w:pPr>
              <w:spacing w:after="0"/>
              <w:rPr>
                <w:sz w:val="6"/>
                <w:szCs w:val="6"/>
                <w:color w:val="auto"/>
              </w:rPr>
            </w:pPr>
          </w:p>
        </w:tc>
        <w:tc>
          <w:tcPr>
            <w:tcW w:w="140" w:type="dxa"/>
            <w:vAlign w:val="bottom"/>
            <w:shd w:val="clear" w:color="auto" w:fill="CEFFE7"/>
          </w:tcPr>
          <w:p>
            <w:pPr>
              <w:spacing w:after="0"/>
              <w:rPr>
                <w:sz w:val="6"/>
                <w:szCs w:val="6"/>
                <w:color w:val="auto"/>
              </w:rPr>
            </w:pPr>
          </w:p>
        </w:tc>
        <w:tc>
          <w:tcPr>
            <w:tcW w:w="1200" w:type="dxa"/>
            <w:vAlign w:val="bottom"/>
            <w:shd w:val="clear" w:color="auto" w:fill="CEFFE7"/>
          </w:tcPr>
          <w:p>
            <w:pPr>
              <w:spacing w:after="0"/>
              <w:rPr>
                <w:sz w:val="6"/>
                <w:szCs w:val="6"/>
                <w:color w:val="auto"/>
              </w:rPr>
            </w:pPr>
          </w:p>
        </w:tc>
        <w:tc>
          <w:tcPr>
            <w:tcW w:w="220" w:type="dxa"/>
            <w:vAlign w:val="bottom"/>
            <w:shd w:val="clear" w:color="auto" w:fill="CEFFE7"/>
          </w:tcPr>
          <w:p>
            <w:pPr>
              <w:spacing w:after="0"/>
              <w:rPr>
                <w:sz w:val="6"/>
                <w:szCs w:val="6"/>
                <w:color w:val="auto"/>
              </w:rPr>
            </w:pPr>
          </w:p>
        </w:tc>
        <w:tc>
          <w:tcPr>
            <w:tcW w:w="1140" w:type="dxa"/>
            <w:vAlign w:val="bottom"/>
            <w:shd w:val="clear" w:color="auto" w:fill="CEFFE7"/>
          </w:tcPr>
          <w:p>
            <w:pPr>
              <w:spacing w:after="0"/>
              <w:rPr>
                <w:sz w:val="6"/>
                <w:szCs w:val="6"/>
                <w:color w:val="auto"/>
              </w:rPr>
            </w:pPr>
          </w:p>
        </w:tc>
        <w:tc>
          <w:tcPr>
            <w:tcW w:w="260" w:type="dxa"/>
            <w:vAlign w:val="bottom"/>
            <w:shd w:val="clear" w:color="auto" w:fill="CEFFE7"/>
          </w:tcPr>
          <w:p>
            <w:pPr>
              <w:spacing w:after="0"/>
              <w:rPr>
                <w:sz w:val="6"/>
                <w:szCs w:val="6"/>
                <w:color w:val="auto"/>
              </w:rPr>
            </w:pPr>
          </w:p>
        </w:tc>
        <w:tc>
          <w:tcPr>
            <w:tcW w:w="1280" w:type="dxa"/>
            <w:vAlign w:val="bottom"/>
            <w:shd w:val="clear" w:color="auto" w:fill="CEFFE7"/>
          </w:tcPr>
          <w:p>
            <w:pPr>
              <w:spacing w:after="0"/>
              <w:rPr>
                <w:sz w:val="6"/>
                <w:szCs w:val="6"/>
                <w:color w:val="auto"/>
              </w:rPr>
            </w:pPr>
          </w:p>
        </w:tc>
        <w:tc>
          <w:tcPr>
            <w:tcW w:w="1220" w:type="dxa"/>
            <w:vAlign w:val="bottom"/>
            <w:shd w:val="clear" w:color="auto" w:fill="CEFFE7"/>
          </w:tcPr>
          <w:p>
            <w:pPr>
              <w:spacing w:after="0"/>
              <w:rPr>
                <w:sz w:val="6"/>
                <w:szCs w:val="6"/>
                <w:color w:val="auto"/>
              </w:rPr>
            </w:pPr>
          </w:p>
        </w:tc>
        <w:tc>
          <w:tcPr>
            <w:tcW w:w="320" w:type="dxa"/>
            <w:vAlign w:val="bottom"/>
            <w:shd w:val="clear" w:color="auto" w:fill="CEFFE7"/>
          </w:tcPr>
          <w:p>
            <w:pPr>
              <w:spacing w:after="0"/>
              <w:rPr>
                <w:sz w:val="6"/>
                <w:szCs w:val="6"/>
                <w:color w:val="auto"/>
              </w:rPr>
            </w:pPr>
          </w:p>
        </w:tc>
        <w:tc>
          <w:tcPr>
            <w:tcW w:w="1040" w:type="dxa"/>
            <w:vAlign w:val="bottom"/>
            <w:shd w:val="clear" w:color="auto" w:fill="CEFFE7"/>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(137,659)</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Impairment of investment</w:t>
            </w:r>
          </w:p>
        </w:tc>
        <w:tc>
          <w:tcPr>
            <w:tcW w:w="140" w:type="dxa"/>
            <w:vAlign w:val="bottom"/>
            <w:shd w:val="clear" w:color="auto" w:fill="CEFFE7"/>
          </w:tcPr>
          <w:p>
            <w:pPr>
              <w:spacing w:after="0"/>
              <w:rPr>
                <w:sz w:val="16"/>
                <w:szCs w:val="16"/>
                <w:color w:val="auto"/>
              </w:rPr>
            </w:pPr>
          </w:p>
        </w:tc>
        <w:tc>
          <w:tcPr>
            <w:tcW w:w="120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114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128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320" w:type="dxa"/>
            <w:vAlign w:val="bottom"/>
            <w:shd w:val="clear" w:color="auto" w:fill="CEFFE7"/>
          </w:tcPr>
          <w:p>
            <w:pPr>
              <w:spacing w:after="0"/>
              <w:rPr>
                <w:sz w:val="16"/>
                <w:szCs w:val="16"/>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(19,741)</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(5,740)</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Income tax benefit (expense)</w:t>
            </w:r>
          </w:p>
        </w:tc>
        <w:tc>
          <w:tcPr>
            <w:tcW w:w="140" w:type="dxa"/>
            <w:vAlign w:val="bottom"/>
            <w:shd w:val="clear" w:color="auto" w:fill="CEFFE7"/>
          </w:tcPr>
          <w:p>
            <w:pPr>
              <w:spacing w:after="0"/>
              <w:rPr>
                <w:sz w:val="16"/>
                <w:szCs w:val="16"/>
                <w:color w:val="auto"/>
              </w:rPr>
            </w:pPr>
          </w:p>
        </w:tc>
        <w:tc>
          <w:tcPr>
            <w:tcW w:w="120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114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128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320" w:type="dxa"/>
            <w:vAlign w:val="bottom"/>
            <w:tcBorders>
              <w:bottom w:val="single" w:sz="8" w:color="auto"/>
            </w:tcBorders>
            <w:shd w:val="clear" w:color="auto" w:fill="CEFFE7"/>
          </w:tcPr>
          <w:p>
            <w:pPr>
              <w:spacing w:after="0"/>
              <w:rPr>
                <w:sz w:val="16"/>
                <w:szCs w:val="16"/>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(29,580)</w:t>
            </w:r>
          </w:p>
        </w:tc>
        <w:tc>
          <w:tcPr>
            <w:tcW w:w="0" w:type="dxa"/>
            <w:vAlign w:val="bottom"/>
          </w:tcPr>
          <w:p>
            <w:pPr>
              <w:spacing w:after="0"/>
              <w:rPr>
                <w:sz w:val="1"/>
                <w:szCs w:val="1"/>
                <w:color w:val="auto"/>
              </w:rPr>
            </w:pPr>
          </w:p>
        </w:tc>
      </w:tr>
      <w:tr>
        <w:trPr>
          <w:trHeight w:val="183"/>
        </w:trPr>
        <w:tc>
          <w:tcPr>
            <w:tcW w:w="44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213,322</w:t>
            </w:r>
          </w:p>
        </w:tc>
        <w:tc>
          <w:tcPr>
            <w:tcW w:w="0" w:type="dxa"/>
            <w:vAlign w:val="bottom"/>
          </w:tcPr>
          <w:p>
            <w:pPr>
              <w:spacing w:after="0"/>
              <w:rPr>
                <w:sz w:val="1"/>
                <w:szCs w:val="1"/>
                <w:color w:val="auto"/>
              </w:rPr>
            </w:pPr>
          </w:p>
        </w:tc>
      </w:tr>
      <w:tr>
        <w:trPr>
          <w:trHeight w:val="189"/>
        </w:trPr>
        <w:tc>
          <w:tcPr>
            <w:tcW w:w="4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140" w:type="dxa"/>
            <w:vAlign w:val="bottom"/>
            <w:shd w:val="clear" w:color="auto" w:fill="CEFFE7"/>
          </w:tcPr>
          <w:p>
            <w:pPr>
              <w:spacing w:after="0"/>
              <w:rPr>
                <w:sz w:val="16"/>
                <w:szCs w:val="16"/>
                <w:color w:val="auto"/>
              </w:rPr>
            </w:pPr>
          </w:p>
        </w:tc>
        <w:tc>
          <w:tcPr>
            <w:tcW w:w="120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114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128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320" w:type="dxa"/>
            <w:vAlign w:val="bottom"/>
            <w:tcBorders>
              <w:bottom w:val="single" w:sz="8" w:color="auto"/>
            </w:tcBorders>
            <w:shd w:val="clear" w:color="auto" w:fill="CEFFE7"/>
          </w:tcPr>
          <w:p>
            <w:pPr>
              <w:spacing w:after="0"/>
              <w:rPr>
                <w:sz w:val="16"/>
                <w:szCs w:val="16"/>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(14,012)</w:t>
            </w:r>
          </w:p>
        </w:tc>
        <w:tc>
          <w:tcPr>
            <w:tcW w:w="0" w:type="dxa"/>
            <w:vAlign w:val="bottom"/>
          </w:tcPr>
          <w:p>
            <w:pPr>
              <w:spacing w:after="0"/>
              <w:rPr>
                <w:sz w:val="1"/>
                <w:szCs w:val="1"/>
                <w:color w:val="auto"/>
              </w:rPr>
            </w:pPr>
          </w:p>
        </w:tc>
      </w:tr>
      <w:tr>
        <w:trPr>
          <w:trHeight w:val="183"/>
        </w:trPr>
        <w:tc>
          <w:tcPr>
            <w:tcW w:w="4420" w:type="dxa"/>
            <w:vAlign w:val="bottom"/>
          </w:tcPr>
          <w:p>
            <w:pPr>
              <w:ind w:left="140"/>
              <w:spacing w:after="0"/>
              <w:rPr>
                <w:sz w:val="20"/>
                <w:szCs w:val="20"/>
                <w:color w:val="auto"/>
              </w:rPr>
            </w:pPr>
            <w:r>
              <w:rPr>
                <w:rFonts w:ascii="Arial" w:cs="Arial" w:eastAsia="Arial" w:hAnsi="Arial"/>
                <w:sz w:val="14"/>
                <w:szCs w:val="14"/>
                <w:color w:val="auto"/>
              </w:rPr>
              <w:t>Net income available for common stock</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199,310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0" w:hanging="472"/>
        <w:spacing w:after="0"/>
        <w:tabs>
          <w:tab w:leader="none" w:pos="48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255" w:lineRule="exact"/>
        <w:rPr>
          <w:sz w:val="20"/>
          <w:szCs w:val="20"/>
          <w:color w:val="auto"/>
        </w:rPr>
      </w:pPr>
    </w:p>
    <w:p>
      <w:pPr>
        <w:spacing w:after="0" w:line="242" w:lineRule="auto"/>
        <w:rPr>
          <w:rFonts w:ascii="Arial" w:cs="Arial" w:eastAsia="Arial" w:hAnsi="Arial"/>
          <w:sz w:val="16"/>
          <w:szCs w:val="16"/>
          <w:color w:val="auto"/>
        </w:rPr>
      </w:pPr>
      <w:r>
        <w:rPr>
          <w:rFonts w:ascii="Arial" w:cs="Arial" w:eastAsia="Arial" w:hAnsi="Arial"/>
          <w:sz w:val="16"/>
          <w:szCs w:val="16"/>
          <w:color w:val="auto"/>
        </w:rPr>
        <w:t xml:space="preserve">Except as described below and in </w:t>
      </w:r>
      <w:hyperlink w:anchor="page79">
        <w:r>
          <w:rPr>
            <w:rFonts w:ascii="Arial" w:cs="Arial" w:eastAsia="Arial" w:hAnsi="Arial"/>
            <w:sz w:val="16"/>
            <w:szCs w:val="16"/>
            <w:u w:val="single" w:color="auto"/>
            <w:color w:val="0000FF"/>
          </w:rPr>
          <w:t>Note 3</w:t>
        </w:r>
      </w:hyperlink>
      <w:r>
        <w:rPr>
          <w:rFonts w:ascii="Arial" w:cs="Arial" w:eastAsia="Arial" w:hAnsi="Arial"/>
          <w:sz w:val="16"/>
          <w:szCs w:val="16"/>
          <w:color w:val="auto"/>
        </w:rPr>
        <w:t>, there have been no events subsequent to December 31, 2021 which would require recognition in the consolidated financial statements or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Winter Storm Uri</w:t>
      </w:r>
    </w:p>
    <w:p>
      <w:pPr>
        <w:spacing w:after="0" w:line="251" w:lineRule="exact"/>
        <w:rPr>
          <w:sz w:val="20"/>
          <w:szCs w:val="20"/>
          <w:color w:val="auto"/>
        </w:rPr>
      </w:pPr>
    </w:p>
    <w:p>
      <w:pPr>
        <w:ind w:right="100"/>
        <w:spacing w:after="0" w:line="242" w:lineRule="auto"/>
        <w:rPr>
          <w:rFonts w:ascii="Arial" w:cs="Arial" w:eastAsia="Arial" w:hAnsi="Arial"/>
          <w:sz w:val="16"/>
          <w:szCs w:val="16"/>
          <w:color w:val="auto"/>
        </w:rPr>
      </w:pPr>
      <w:r>
        <w:rPr>
          <w:rFonts w:ascii="Arial" w:cs="Arial" w:eastAsia="Arial" w:hAnsi="Arial"/>
          <w:sz w:val="16"/>
          <w:szCs w:val="16"/>
          <w:color w:val="auto"/>
        </w:rPr>
        <w:t xml:space="preserve">On January 27, 2022, Kansas Gas received approval from the KCC for their Winter Storm Uri cost recovery settlement with final rates to be implemented in 2022. See </w:t>
      </w:r>
      <w:hyperlink w:anchor="page74">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Transmission Service Agreements</w:t>
      </w:r>
    </w:p>
    <w:p>
      <w:pPr>
        <w:spacing w:after="0" w:line="251" w:lineRule="exact"/>
        <w:rPr>
          <w:sz w:val="20"/>
          <w:szCs w:val="20"/>
          <w:color w:val="auto"/>
        </w:rPr>
      </w:pPr>
    </w:p>
    <w:p>
      <w:pPr>
        <w:ind w:right="620"/>
        <w:spacing w:after="0" w:line="242" w:lineRule="auto"/>
        <w:rPr>
          <w:sz w:val="20"/>
          <w:szCs w:val="20"/>
          <w:color w:val="auto"/>
        </w:rPr>
      </w:pPr>
      <w:r>
        <w:rPr>
          <w:rFonts w:ascii="Arial" w:cs="Arial" w:eastAsia="Arial" w:hAnsi="Arial"/>
          <w:sz w:val="16"/>
          <w:szCs w:val="16"/>
          <w:color w:val="auto"/>
        </w:rPr>
        <w:t>On January 1, 2022, Colorado Electric entered into a firm point-to-point transmission service agreement with Tri-State Generation and Transmission Association Inc. that provides a maximum of 58 MW of capacity and associated energy. This agreement expires December 31, 2024.</w:t>
      </w:r>
    </w:p>
    <w:p>
      <w:pPr>
        <w:spacing w:after="0" w:line="223"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On January 1, 2022, South Dakota Electric entered into a firm point-to-point transmission service agreement with MEAN that provides a maximum of 20 MW of capacity and associated energy. This agreement expires December 31, 2023.</w:t>
      </w:r>
    </w:p>
    <w:p>
      <w:pPr>
        <w:spacing w:after="0" w:line="200" w:lineRule="exact"/>
        <w:rPr>
          <w:sz w:val="20"/>
          <w:szCs w:val="20"/>
          <w:color w:val="auto"/>
        </w:rPr>
      </w:pPr>
    </w:p>
    <w:p>
      <w:pPr>
        <w:spacing w:after="0" w:line="2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Controls and Procedures</w:t>
      </w:r>
    </w:p>
    <w:p>
      <w:pPr>
        <w:spacing w:after="0" w:line="26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(Exchange Act)) as of December 31, 2021. Based on their evaluation, they have concluded that our disclosure controls and procedures are effective.</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as amended,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quarter ended December 31, 2021, there were no changes in the Company’s internal control over financial reporting (as defined in Rule 13a-15(f) under the Exchange Act) that have materially affected, or are reasonably likely to materially affect, the Company’s internal control over financial reporting.</w:t>
      </w:r>
    </w:p>
    <w:p>
      <w:pPr>
        <w:spacing w:after="0" w:line="222"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Management’s Report on Internal Control over Financial Reporting is presented on Page </w:t>
      </w:r>
      <w:hyperlink w:anchor="page56">
        <w:r>
          <w:rPr>
            <w:rFonts w:ascii="Arial" w:cs="Arial" w:eastAsia="Arial" w:hAnsi="Arial"/>
            <w:sz w:val="16"/>
            <w:szCs w:val="16"/>
            <w:u w:val="single" w:color="auto"/>
            <w:color w:val="0000FF"/>
          </w:rPr>
          <w:t>56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77" w:lineRule="exact"/>
        <w:rPr>
          <w:sz w:val="20"/>
          <w:szCs w:val="20"/>
          <w:color w:val="auto"/>
        </w:rPr>
      </w:pPr>
    </w:p>
    <w:p>
      <w:pPr>
        <w:ind w:right="40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Information required under this item with respect to directors and information required by Items 401, 405, 406, 407(c)(3), 407(d)(4) and 407(d)(5) of Regulation S-K, is set forth in the Proxy Statement for our 2022 Annual Meeting of Shareholders, which is incorporated herein by reference. Information about our Executive Officers is reported in </w:t>
      </w:r>
      <w:hyperlink w:anchor="page27">
        <w:r>
          <w:rPr>
            <w:rFonts w:ascii="Arial" w:cs="Arial" w:eastAsia="Arial" w:hAnsi="Arial"/>
            <w:sz w:val="16"/>
            <w:szCs w:val="16"/>
            <w:u w:val="single" w:color="auto"/>
            <w:color w:val="0000FF"/>
          </w:rPr>
          <w:t>Part 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77"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Information required under this item is set forth in the Proxy Statement for our 2022 Annual Meeting of Shareholders, which is incorporated herein by reference.</w:t>
      </w:r>
    </w:p>
    <w:p>
      <w:pPr>
        <w:spacing w:after="0" w:line="198" w:lineRule="exact"/>
        <w:rPr>
          <w:sz w:val="20"/>
          <w:szCs w:val="20"/>
          <w:color w:val="auto"/>
        </w:rPr>
      </w:pPr>
    </w:p>
    <w:p>
      <w:pPr>
        <w:ind w:left="1300" w:right="200" w:hanging="1295"/>
        <w:spacing w:after="0" w:line="287"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0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Information regarding the security ownership of certain beneficial owners and management is set forth in the Proxy Statement for our 2022 Annual Meeting of Shareholders, which is incorporated herein by reference.</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77"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Information regarding certain relationships and related transactions and director independence is set forth in the Proxy Statement for our 2022 Annual Meeting of Shareholders, which is incorporated herein by reference.</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7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Information regarding principal accounting fees and services billed to us by our principal accountant, Deloitte &amp; Touche LLP (PCAOB ID No. 34) is set forth in the Proxy Statement for our 2022 Annual Meeting to Shareholders, which is incorporated herein by reference.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57" w:lineRule="exact"/>
        <w:rPr>
          <w:sz w:val="20"/>
          <w:szCs w:val="20"/>
          <w:color w:val="auto"/>
        </w:rPr>
      </w:pPr>
    </w:p>
    <w:p>
      <w:pPr>
        <w:ind w:left="440" w:hanging="432"/>
        <w:spacing w:after="0"/>
        <w:tabs>
          <w:tab w:leader="none" w:pos="44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filed as part of this report</w:t>
      </w:r>
    </w:p>
    <w:p>
      <w:pPr>
        <w:spacing w:after="0" w:line="248" w:lineRule="exact"/>
        <w:rPr>
          <w:sz w:val="20"/>
          <w:szCs w:val="20"/>
          <w:color w:val="auto"/>
        </w:rPr>
      </w:pPr>
    </w:p>
    <w:p>
      <w:pPr>
        <w:ind w:left="320" w:hanging="312"/>
        <w:spacing w:after="0"/>
        <w:tabs>
          <w:tab w:leader="none" w:pos="32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Consolidated Financial Statements</w:t>
      </w:r>
    </w:p>
    <w:p>
      <w:pPr>
        <w:spacing w:after="0" w:line="26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Financial statements required under this item are included in </w:t>
      </w:r>
      <w:hyperlink w:anchor="page55">
        <w:r>
          <w:rPr>
            <w:rFonts w:ascii="Arial" w:cs="Arial" w:eastAsia="Arial" w:hAnsi="Arial"/>
            <w:sz w:val="16"/>
            <w:szCs w:val="16"/>
            <w:u w:val="single" w:color="auto"/>
            <w:color w:val="0000FF"/>
          </w:rPr>
          <w:t>Item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Part II</w:t>
      </w:r>
    </w:p>
    <w:p>
      <w:pPr>
        <w:spacing w:after="0" w:line="228" w:lineRule="exact"/>
        <w:rPr>
          <w:sz w:val="20"/>
          <w:szCs w:val="20"/>
          <w:color w:val="auto"/>
        </w:rPr>
      </w:pPr>
    </w:p>
    <w:p>
      <w:pPr>
        <w:ind w:left="320" w:hanging="312"/>
        <w:spacing w:after="0"/>
        <w:tabs>
          <w:tab w:leader="none" w:pos="32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Schedules</w:t>
      </w:r>
    </w:p>
    <w:p>
      <w:pPr>
        <w:spacing w:after="0" w:line="268" w:lineRule="exact"/>
        <w:rPr>
          <w:sz w:val="20"/>
          <w:szCs w:val="20"/>
          <w:color w:val="auto"/>
        </w:rPr>
      </w:pPr>
    </w:p>
    <w:p>
      <w:pPr>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All other schedules have been omitted because of the absence of the conditions under which they are required or because the required information is included in our consolidated financial statements and notes thereto. Consolidated valuation and qualifying accounts are detailed within </w:t>
      </w:r>
      <w:hyperlink w:anchor="page66">
        <w:r>
          <w:rPr>
            <w:rFonts w:ascii="Arial" w:cs="Arial" w:eastAsia="Arial" w:hAnsi="Arial"/>
            <w:sz w:val="16"/>
            <w:szCs w:val="16"/>
            <w:u w:val="single" w:color="auto"/>
            <w:color w:val="0000FF"/>
          </w:rPr>
          <w:t>Note 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 this Annual Report on Form 10-K.</w:t>
      </w:r>
    </w:p>
    <w:p>
      <w:pPr>
        <w:spacing w:after="0" w:line="208"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268"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 Items constituting a board of director or management compensatory plan are designated by a cross (†).</w:t>
      </w:r>
    </w:p>
    <w:p>
      <w:pPr>
        <w:spacing w:after="0" w:line="243" w:lineRule="exact"/>
        <w:rPr>
          <w:sz w:val="20"/>
          <w:szCs w:val="20"/>
          <w:color w:val="auto"/>
        </w:rPr>
      </w:pPr>
    </w:p>
    <w:tbl>
      <w:tblPr>
        <w:tblLayout w:type="fixed"/>
        <w:tblInd w:w="340" w:type="dxa"/>
        <w:tblCellMar>
          <w:top w:w="0" w:type="dxa"/>
          <w:left w:w="0" w:type="dxa"/>
          <w:bottom w:w="0" w:type="dxa"/>
          <w:right w:w="0" w:type="dxa"/>
        </w:tblCellMar>
      </w:tblPr>
      <w:tr>
        <w:trPr>
          <w:trHeight w:val="218"/>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Number</w:t>
            </w:r>
          </w:p>
        </w:tc>
        <w:tc>
          <w:tcPr>
            <w:tcW w:w="326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gridSpan w:val="3"/>
          </w:tcPr>
          <w:p>
            <w:pPr>
              <w:ind w:left="940"/>
              <w:spacing w:after="0"/>
              <w:rPr>
                <w:sz w:val="20"/>
                <w:szCs w:val="20"/>
                <w:color w:val="auto"/>
              </w:rPr>
            </w:pPr>
            <w:r>
              <w:rPr>
                <w:rFonts w:ascii="Arial" w:cs="Arial" w:eastAsia="Arial" w:hAnsi="Arial"/>
                <w:sz w:val="16"/>
                <w:szCs w:val="16"/>
                <w:b w:val="1"/>
                <w:bCs w:val="1"/>
                <w:color w:val="auto"/>
              </w:rPr>
              <w:t>Description</w:t>
            </w:r>
          </w:p>
        </w:tc>
      </w:tr>
      <w:tr>
        <w:trPr>
          <w:trHeight w:val="91"/>
        </w:trPr>
        <w:tc>
          <w:tcPr>
            <w:tcW w:w="1260" w:type="dxa"/>
            <w:vAlign w:val="bottom"/>
          </w:tcPr>
          <w:p>
            <w:pPr>
              <w:spacing w:after="0"/>
              <w:rPr>
                <w:sz w:val="7"/>
                <w:szCs w:val="7"/>
                <w:color w:val="auto"/>
              </w:rPr>
            </w:pPr>
          </w:p>
        </w:tc>
        <w:tc>
          <w:tcPr>
            <w:tcW w:w="3260" w:type="dxa"/>
            <w:vAlign w:val="bottom"/>
          </w:tcPr>
          <w:p>
            <w:pPr>
              <w:spacing w:after="0"/>
              <w:rPr>
                <w:sz w:val="7"/>
                <w:szCs w:val="7"/>
                <w:color w:val="auto"/>
              </w:rPr>
            </w:pPr>
          </w:p>
        </w:tc>
        <w:tc>
          <w:tcPr>
            <w:tcW w:w="5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175"/>
        </w:trPr>
        <w:tc>
          <w:tcPr>
            <w:tcW w:w="126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2.1</w:t>
            </w:r>
          </w:p>
        </w:tc>
        <w:tc>
          <w:tcPr>
            <w:tcW w:w="9320" w:type="dxa"/>
            <w:vAlign w:val="bottom"/>
            <w:gridSpan w:val="4"/>
            <w:shd w:val="clear" w:color="auto" w:fill="CEFEE7"/>
          </w:tcPr>
          <w:p>
            <w:pPr>
              <w:spacing w:after="0" w:line="175" w:lineRule="exact"/>
              <w:rPr>
                <w:rFonts w:ascii="Arial" w:cs="Arial" w:eastAsia="Arial" w:hAnsi="Arial"/>
                <w:sz w:val="16"/>
                <w:szCs w:val="16"/>
                <w:color w:val="0000FF"/>
              </w:rPr>
            </w:pPr>
            <w:hyperlink r:id="rId153">
              <w:r>
                <w:rPr>
                  <w:rFonts w:ascii="Arial" w:cs="Arial" w:eastAsia="Arial" w:hAnsi="Arial"/>
                  <w:sz w:val="16"/>
                  <w:szCs w:val="16"/>
                  <w:color w:val="0000FF"/>
                </w:rPr>
                <w:t>Purchase and Sale Agreement by and among Alinda Gas Delaware LLC, Alinda Infrastructure Fund I, L.P. and Aircraft Services</w:t>
              </w:r>
            </w:hyperlink>
          </w:p>
        </w:tc>
      </w:tr>
      <w:tr>
        <w:trPr>
          <w:trHeight w:val="142"/>
        </w:trPr>
        <w:tc>
          <w:tcPr>
            <w:tcW w:w="1260" w:type="dxa"/>
            <w:vAlign w:val="bottom"/>
            <w:tcBorders>
              <w:top w:val="single" w:sz="8" w:color="CEFEE7"/>
            </w:tcBorders>
            <w:shd w:val="clear" w:color="auto" w:fill="CEFEE7"/>
          </w:tcPr>
          <w:p>
            <w:pPr>
              <w:spacing w:after="0"/>
              <w:rPr>
                <w:sz w:val="12"/>
                <w:szCs w:val="12"/>
                <w:color w:val="auto"/>
              </w:rPr>
            </w:pPr>
          </w:p>
        </w:tc>
        <w:tc>
          <w:tcPr>
            <w:tcW w:w="9140" w:type="dxa"/>
            <w:vAlign w:val="bottom"/>
            <w:tcBorders>
              <w:top w:val="single" w:sz="8" w:color="0000FF"/>
            </w:tcBorders>
            <w:gridSpan w:val="3"/>
            <w:shd w:val="clear" w:color="auto" w:fill="CEFEE7"/>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Corporation, as Sellers, and Black Hills Utility Holdings, Inc., as Buyer, dated as of July 12, 2015 (filed as Exhibit 2.1 to the</w:t>
              </w:r>
            </w:hyperlink>
          </w:p>
        </w:tc>
        <w:tc>
          <w:tcPr>
            <w:tcW w:w="180" w:type="dxa"/>
            <w:vAlign w:val="bottom"/>
            <w:tcBorders>
              <w:top w:val="single" w:sz="8" w:color="CEFEE7"/>
            </w:tcBorders>
            <w:shd w:val="clear" w:color="auto" w:fill="CEFEE7"/>
          </w:tcPr>
          <w:p>
            <w:pPr>
              <w:spacing w:after="0"/>
              <w:rPr>
                <w:sz w:val="12"/>
                <w:szCs w:val="12"/>
                <w:color w:val="auto"/>
              </w:rPr>
            </w:pPr>
          </w:p>
        </w:tc>
      </w:tr>
      <w:tr>
        <w:trPr>
          <w:trHeight w:val="142"/>
        </w:trPr>
        <w:tc>
          <w:tcPr>
            <w:tcW w:w="1260" w:type="dxa"/>
            <w:vAlign w:val="bottom"/>
            <w:tcBorders>
              <w:top w:val="single" w:sz="8" w:color="CEFEE7"/>
            </w:tcBorders>
            <w:shd w:val="clear" w:color="auto" w:fill="CEFEE7"/>
          </w:tcPr>
          <w:p>
            <w:pPr>
              <w:spacing w:after="0"/>
              <w:rPr>
                <w:sz w:val="12"/>
                <w:szCs w:val="12"/>
                <w:color w:val="auto"/>
              </w:rPr>
            </w:pPr>
          </w:p>
        </w:tc>
        <w:tc>
          <w:tcPr>
            <w:tcW w:w="8760" w:type="dxa"/>
            <w:vAlign w:val="bottom"/>
            <w:tcBorders>
              <w:top w:val="single" w:sz="8" w:color="0000FF"/>
            </w:tcBorders>
            <w:gridSpan w:val="2"/>
            <w:shd w:val="clear" w:color="auto" w:fill="CEFEE7"/>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Registrant’s Form 8-K filed on July 14, 2015).</w:t>
              </w:r>
            </w:hyperlink>
          </w:p>
        </w:tc>
        <w:tc>
          <w:tcPr>
            <w:tcW w:w="560" w:type="dxa"/>
            <w:vAlign w:val="bottom"/>
            <w:tcBorders>
              <w:top w:val="single" w:sz="8" w:color="CEFEE7"/>
            </w:tcBorders>
            <w:gridSpan w:val="2"/>
            <w:shd w:val="clear" w:color="auto" w:fill="CEFEE7"/>
          </w:tcPr>
          <w:p>
            <w:pPr>
              <w:spacing w:after="0"/>
              <w:rPr>
                <w:sz w:val="12"/>
                <w:szCs w:val="12"/>
                <w:color w:val="auto"/>
              </w:rPr>
            </w:pPr>
          </w:p>
        </w:tc>
      </w:tr>
      <w:tr>
        <w:trPr>
          <w:trHeight w:val="20"/>
        </w:trPr>
        <w:tc>
          <w:tcPr>
            <w:tcW w:w="1260" w:type="dxa"/>
            <w:vAlign w:val="bottom"/>
            <w:tcBorders>
              <w:top w:val="single" w:sz="8" w:color="CEFEE7"/>
            </w:tcBorders>
            <w:shd w:val="clear" w:color="auto" w:fill="CEFEE7"/>
          </w:tcPr>
          <w:p>
            <w:pPr>
              <w:spacing w:after="0" w:line="20" w:lineRule="exact"/>
              <w:rPr>
                <w:sz w:val="1"/>
                <w:szCs w:val="1"/>
                <w:color w:val="auto"/>
              </w:rPr>
            </w:pPr>
          </w:p>
        </w:tc>
        <w:tc>
          <w:tcPr>
            <w:tcW w:w="3260" w:type="dxa"/>
            <w:vAlign w:val="bottom"/>
            <w:tcBorders>
              <w:top w:val="single" w:sz="8" w:color="0000FF"/>
            </w:tcBorders>
            <w:shd w:val="clear" w:color="auto" w:fill="CEFEE7"/>
          </w:tcPr>
          <w:p>
            <w:pPr>
              <w:spacing w:after="0" w:line="20" w:lineRule="exact"/>
              <w:rPr>
                <w:sz w:val="1"/>
                <w:szCs w:val="1"/>
                <w:color w:val="auto"/>
              </w:rPr>
            </w:pPr>
          </w:p>
        </w:tc>
        <w:tc>
          <w:tcPr>
            <w:tcW w:w="5500" w:type="dxa"/>
            <w:vAlign w:val="bottom"/>
            <w:tcBorders>
              <w:top w:val="single" w:sz="8" w:color="CEFEE7"/>
            </w:tcBorders>
            <w:shd w:val="clear" w:color="auto" w:fill="CEFEE7"/>
          </w:tcPr>
          <w:p>
            <w:pPr>
              <w:spacing w:after="0" w:line="20" w:lineRule="exact"/>
              <w:rPr>
                <w:sz w:val="1"/>
                <w:szCs w:val="1"/>
                <w:color w:val="auto"/>
              </w:rPr>
            </w:pPr>
          </w:p>
        </w:tc>
        <w:tc>
          <w:tcPr>
            <w:tcW w:w="380" w:type="dxa"/>
            <w:vAlign w:val="bottom"/>
            <w:tcBorders>
              <w:top w:val="single" w:sz="8" w:color="CEFEE7"/>
            </w:tcBorders>
            <w:shd w:val="clear" w:color="auto" w:fill="CEFEE7"/>
          </w:tcPr>
          <w:p>
            <w:pPr>
              <w:spacing w:after="0" w:line="20" w:lineRule="exact"/>
              <w:rPr>
                <w:sz w:val="1"/>
                <w:szCs w:val="1"/>
                <w:color w:val="auto"/>
              </w:rPr>
            </w:pPr>
          </w:p>
        </w:tc>
        <w:tc>
          <w:tcPr>
            <w:tcW w:w="180" w:type="dxa"/>
            <w:vAlign w:val="bottom"/>
            <w:tcBorders>
              <w:top w:val="single" w:sz="8" w:color="CEFEE7"/>
            </w:tcBorders>
            <w:shd w:val="clear" w:color="auto" w:fill="CEFEE7"/>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184"/>
        </w:trPr>
        <w:tc>
          <w:tcPr>
            <w:tcW w:w="1600" w:type="dxa"/>
            <w:vAlign w:val="bottom"/>
            <w:gridSpan w:val="3"/>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790"/>
        </w:trPr>
        <w:tc>
          <w:tcPr>
            <w:tcW w:w="1360" w:type="dxa"/>
            <w:vAlign w:val="bottom"/>
            <w:tcBorders>
              <w:top w:val="single" w:sz="8" w:color="0000FF"/>
            </w:tcBorders>
            <w:gridSpan w:val="2"/>
          </w:tcPr>
          <w:p>
            <w:pPr>
              <w:jc w:val="right"/>
              <w:ind w:right="699"/>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24"/>
                <w:szCs w:val="24"/>
                <w:color w:val="auto"/>
              </w:rPr>
            </w:pPr>
          </w:p>
        </w:tc>
        <w:tc>
          <w:tcPr>
            <w:tcW w:w="9640" w:type="dxa"/>
            <w:vAlign w:val="bottom"/>
            <w:gridSpan w:val="37"/>
          </w:tcPr>
          <w:p>
            <w:pPr>
              <w:spacing w:after="0"/>
              <w:rPr>
                <w:rFonts w:ascii="Arial" w:cs="Arial" w:eastAsia="Arial" w:hAnsi="Arial"/>
                <w:sz w:val="16"/>
                <w:szCs w:val="16"/>
                <w:color w:val="0000FF"/>
              </w:rPr>
            </w:pPr>
            <w:hyperlink r:id="rId155">
              <w:r>
                <w:rPr>
                  <w:rFonts w:ascii="Arial" w:cs="Arial" w:eastAsia="Arial" w:hAnsi="Arial"/>
                  <w:sz w:val="16"/>
                  <w:szCs w:val="16"/>
                  <w:color w:val="0000FF"/>
                </w:rPr>
                <w:t>First Amendment to Purchase and Sale Agreement effective December 10, 2015, by and among, Alinda Gas Delaware LLC,</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9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Alinda Infrastructure Fund I, L.P. and Aircraft Services Corporation, as Sellers, and Black Hills Utility Holdings, Inc., as Buyer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14"/>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(filed</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32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as Exhibit 2.2 to the Registrant’s Form 10-K for 2015).</w:t>
              </w:r>
            </w:hyperlink>
          </w:p>
        </w:tc>
        <w:tc>
          <w:tcPr>
            <w:tcW w:w="32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020" w:type="dxa"/>
            <w:vAlign w:val="bottom"/>
            <w:shd w:val="clear" w:color="auto" w:fill="CEFEE7"/>
          </w:tcPr>
          <w:p>
            <w:pPr>
              <w:jc w:val="right"/>
              <w:ind w:right="699"/>
              <w:spacing w:after="0" w:line="175" w:lineRule="exact"/>
              <w:rPr>
                <w:sz w:val="20"/>
                <w:szCs w:val="20"/>
                <w:color w:val="auto"/>
              </w:rPr>
            </w:pPr>
            <w:r>
              <w:rPr>
                <w:rFonts w:ascii="Arial" w:cs="Arial" w:eastAsia="Arial" w:hAnsi="Arial"/>
                <w:sz w:val="16"/>
                <w:szCs w:val="16"/>
                <w:color w:val="auto"/>
                <w:w w:val="98"/>
              </w:rPr>
              <w:t>2.3</w:t>
            </w:r>
          </w:p>
        </w:tc>
        <w:tc>
          <w:tcPr>
            <w:tcW w:w="240" w:type="dxa"/>
            <w:vAlign w:val="bottom"/>
            <w:shd w:val="clear" w:color="auto" w:fill="CEFEE7"/>
          </w:tcPr>
          <w:p>
            <w:pPr>
              <w:spacing w:after="0"/>
              <w:rPr>
                <w:sz w:val="15"/>
                <w:szCs w:val="15"/>
                <w:color w:val="auto"/>
              </w:rPr>
            </w:pPr>
          </w:p>
        </w:tc>
        <w:tc>
          <w:tcPr>
            <w:tcW w:w="9320" w:type="dxa"/>
            <w:vAlign w:val="bottom"/>
            <w:tcBorders>
              <w:right w:val="single" w:sz="8" w:color="CEFEE7"/>
            </w:tcBorders>
            <w:gridSpan w:val="36"/>
            <w:shd w:val="clear" w:color="auto" w:fill="CEFEE7"/>
          </w:tcPr>
          <w:p>
            <w:pPr>
              <w:spacing w:after="0" w:line="175" w:lineRule="exact"/>
              <w:rPr>
                <w:rFonts w:ascii="Arial" w:cs="Arial" w:eastAsia="Arial" w:hAnsi="Arial"/>
                <w:sz w:val="16"/>
                <w:szCs w:val="16"/>
                <w:color w:val="0000FF"/>
              </w:rPr>
            </w:pPr>
            <w:hyperlink r:id="rId156">
              <w:r>
                <w:rPr>
                  <w:rFonts w:ascii="Arial" w:cs="Arial" w:eastAsia="Arial" w:hAnsi="Arial"/>
                  <w:sz w:val="16"/>
                  <w:szCs w:val="16"/>
                  <w:color w:val="0000FF"/>
                </w:rPr>
                <w:t>Option Agreement, by and among, Aircraft Services Corporation, as ASC, SourceGas Holdings LLC, as the Company and Black</w:t>
              </w:r>
            </w:hyperlink>
          </w:p>
        </w:tc>
        <w:tc>
          <w:tcPr>
            <w:tcW w:w="32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9240" w:type="dxa"/>
            <w:vAlign w:val="bottom"/>
            <w:tcBorders>
              <w:top w:val="single" w:sz="8" w:color="0000FF"/>
            </w:tcBorders>
            <w:gridSpan w:val="33"/>
            <w:shd w:val="clear" w:color="auto" w:fill="CEFEE7"/>
          </w:tcPr>
          <w:p>
            <w:pPr>
              <w:spacing w:after="0" w:line="142" w:lineRule="exact"/>
              <w:rPr>
                <w:rFonts w:ascii="Arial" w:cs="Arial" w:eastAsia="Arial" w:hAnsi="Arial"/>
                <w:sz w:val="16"/>
                <w:szCs w:val="16"/>
                <w:color w:val="0000FF"/>
              </w:rPr>
            </w:pPr>
            <w:hyperlink r:id="rId156">
              <w:r>
                <w:rPr>
                  <w:rFonts w:ascii="Arial" w:cs="Arial" w:eastAsia="Arial" w:hAnsi="Arial"/>
                  <w:sz w:val="16"/>
                  <w:szCs w:val="16"/>
                  <w:color w:val="0000FF"/>
                </w:rPr>
                <w:t>Hills Utility Holdings, Inc., as Buyer (filed as Exhibit 2.2 to the Registrant’s Form 8-K filed on July 14, 2015).</w:t>
              </w:r>
            </w:hyperlink>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right w:val="single" w:sz="8" w:color="CEFEE7"/>
            </w:tcBorders>
            <w:shd w:val="clear" w:color="auto" w:fill="CEFEE7"/>
          </w:tcPr>
          <w:p>
            <w:pPr>
              <w:spacing w:after="0"/>
              <w:rPr>
                <w:sz w:val="12"/>
                <w:szCs w:val="12"/>
                <w:color w:val="auto"/>
              </w:rPr>
            </w:pPr>
          </w:p>
        </w:tc>
        <w:tc>
          <w:tcPr>
            <w:tcW w:w="32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340" w:type="dxa"/>
            <w:vAlign w:val="bottom"/>
            <w:tcBorders>
              <w:top w:val="single" w:sz="8" w:color="0000FF"/>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160" w:type="dxa"/>
            <w:vAlign w:val="bottom"/>
            <w:tcBorders>
              <w:top w:val="single" w:sz="8" w:color="0000FF"/>
            </w:tcBorders>
            <w:shd w:val="clear" w:color="auto" w:fill="CEFEE7"/>
          </w:tcPr>
          <w:p>
            <w:pPr>
              <w:spacing w:after="0" w:line="20" w:lineRule="exact"/>
              <w:rPr>
                <w:sz w:val="1"/>
                <w:szCs w:val="1"/>
                <w:color w:val="auto"/>
              </w:rPr>
            </w:pPr>
          </w:p>
        </w:tc>
        <w:tc>
          <w:tcPr>
            <w:tcW w:w="100" w:type="dxa"/>
            <w:vAlign w:val="bottom"/>
            <w:tcBorders>
              <w:top w:val="single" w:sz="8" w:color="0000FF"/>
            </w:tcBorders>
            <w:shd w:val="clear" w:color="auto" w:fill="CEFEE7"/>
          </w:tcPr>
          <w:p>
            <w:pPr>
              <w:spacing w:after="0" w:line="20" w:lineRule="exact"/>
              <w:rPr>
                <w:sz w:val="1"/>
                <w:szCs w:val="1"/>
                <w:color w:val="auto"/>
              </w:rPr>
            </w:pPr>
          </w:p>
        </w:tc>
        <w:tc>
          <w:tcPr>
            <w:tcW w:w="800" w:type="dxa"/>
            <w:vAlign w:val="bottom"/>
            <w:tcBorders>
              <w:top w:val="single" w:sz="8" w:color="0000FF"/>
            </w:tcBorders>
            <w:shd w:val="clear" w:color="auto" w:fill="CEFEE7"/>
          </w:tcPr>
          <w:p>
            <w:pPr>
              <w:spacing w:after="0" w:line="20" w:lineRule="exact"/>
              <w:rPr>
                <w:sz w:val="1"/>
                <w:szCs w:val="1"/>
                <w:color w:val="auto"/>
              </w:rPr>
            </w:pPr>
          </w:p>
        </w:tc>
        <w:tc>
          <w:tcPr>
            <w:tcW w:w="560" w:type="dxa"/>
            <w:vAlign w:val="bottom"/>
            <w:tcBorders>
              <w:top w:val="single" w:sz="8" w:color="0000FF"/>
            </w:tcBorders>
            <w:shd w:val="clear" w:color="auto" w:fill="CEFEE7"/>
          </w:tcPr>
          <w:p>
            <w:pPr>
              <w:spacing w:after="0" w:line="20" w:lineRule="exact"/>
              <w:rPr>
                <w:sz w:val="1"/>
                <w:szCs w:val="1"/>
                <w:color w:val="auto"/>
              </w:rPr>
            </w:pPr>
          </w:p>
        </w:tc>
        <w:tc>
          <w:tcPr>
            <w:tcW w:w="20" w:type="dxa"/>
            <w:vAlign w:val="bottom"/>
            <w:tcBorders>
              <w:top w:val="single" w:sz="8" w:color="0000FF"/>
            </w:tcBorders>
            <w:shd w:val="clear" w:color="auto" w:fill="CEFEE7"/>
          </w:tcPr>
          <w:p>
            <w:pPr>
              <w:spacing w:after="0" w:line="20" w:lineRule="exact"/>
              <w:rPr>
                <w:sz w:val="1"/>
                <w:szCs w:val="1"/>
                <w:color w:val="auto"/>
              </w:rPr>
            </w:pPr>
          </w:p>
        </w:tc>
        <w:tc>
          <w:tcPr>
            <w:tcW w:w="1660" w:type="dxa"/>
            <w:vAlign w:val="bottom"/>
            <w:tcBorders>
              <w:top w:val="single" w:sz="8" w:color="0000FF"/>
            </w:tcBorders>
            <w:shd w:val="clear" w:color="auto" w:fill="CEFEE7"/>
          </w:tcPr>
          <w:p>
            <w:pPr>
              <w:spacing w:after="0" w:line="20" w:lineRule="exact"/>
              <w:rPr>
                <w:sz w:val="1"/>
                <w:szCs w:val="1"/>
                <w:color w:val="auto"/>
              </w:rPr>
            </w:pPr>
          </w:p>
        </w:tc>
        <w:tc>
          <w:tcPr>
            <w:tcW w:w="140" w:type="dxa"/>
            <w:vAlign w:val="bottom"/>
            <w:tcBorders>
              <w:top w:val="single" w:sz="8" w:color="0000FF"/>
            </w:tcBorders>
            <w:shd w:val="clear" w:color="auto" w:fill="CEFEE7"/>
          </w:tcPr>
          <w:p>
            <w:pPr>
              <w:spacing w:after="0" w:line="20" w:lineRule="exact"/>
              <w:rPr>
                <w:sz w:val="1"/>
                <w:szCs w:val="1"/>
                <w:color w:val="auto"/>
              </w:rPr>
            </w:pPr>
          </w:p>
        </w:tc>
        <w:tc>
          <w:tcPr>
            <w:tcW w:w="780" w:type="dxa"/>
            <w:vAlign w:val="bottom"/>
            <w:tcBorders>
              <w:top w:val="single" w:sz="8" w:color="0000FF"/>
            </w:tcBorders>
            <w:shd w:val="clear" w:color="auto" w:fill="CEFEE7"/>
          </w:tcPr>
          <w:p>
            <w:pPr>
              <w:spacing w:after="0" w:line="20" w:lineRule="exact"/>
              <w:rPr>
                <w:sz w:val="1"/>
                <w:szCs w:val="1"/>
                <w:color w:val="auto"/>
              </w:rPr>
            </w:pPr>
          </w:p>
        </w:tc>
        <w:tc>
          <w:tcPr>
            <w:tcW w:w="660" w:type="dxa"/>
            <w:vAlign w:val="bottom"/>
            <w:tcBorders>
              <w:top w:val="single" w:sz="8" w:color="0000FF"/>
            </w:tcBorders>
            <w:shd w:val="clear" w:color="auto" w:fill="CEFEE7"/>
          </w:tcPr>
          <w:p>
            <w:pPr>
              <w:spacing w:after="0" w:line="20" w:lineRule="exact"/>
              <w:rPr>
                <w:sz w:val="1"/>
                <w:szCs w:val="1"/>
                <w:color w:val="auto"/>
              </w:rPr>
            </w:pPr>
          </w:p>
        </w:tc>
        <w:tc>
          <w:tcPr>
            <w:tcW w:w="60" w:type="dxa"/>
            <w:vAlign w:val="bottom"/>
            <w:tcBorders>
              <w:top w:val="single" w:sz="8" w:color="0000FF"/>
            </w:tcBorders>
            <w:shd w:val="clear" w:color="auto" w:fill="CEFEE7"/>
          </w:tcPr>
          <w:p>
            <w:pPr>
              <w:spacing w:after="0" w:line="20" w:lineRule="exact"/>
              <w:rPr>
                <w:sz w:val="1"/>
                <w:szCs w:val="1"/>
                <w:color w:val="auto"/>
              </w:rPr>
            </w:pPr>
          </w:p>
        </w:tc>
        <w:tc>
          <w:tcPr>
            <w:tcW w:w="2140" w:type="dxa"/>
            <w:vAlign w:val="bottom"/>
            <w:tcBorders>
              <w:top w:val="single" w:sz="8" w:color="0000FF"/>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6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020" w:type="dxa"/>
            <w:vAlign w:val="bottom"/>
          </w:tcPr>
          <w:p>
            <w:pPr>
              <w:jc w:val="right"/>
              <w:ind w:right="699"/>
              <w:spacing w:after="0" w:line="175" w:lineRule="exact"/>
              <w:rPr>
                <w:sz w:val="20"/>
                <w:szCs w:val="20"/>
                <w:color w:val="auto"/>
              </w:rPr>
            </w:pPr>
            <w:r>
              <w:rPr>
                <w:rFonts w:ascii="Arial" w:cs="Arial" w:eastAsia="Arial" w:hAnsi="Arial"/>
                <w:sz w:val="16"/>
                <w:szCs w:val="16"/>
                <w:color w:val="auto"/>
                <w:w w:val="98"/>
              </w:rPr>
              <w:t>3.1</w:t>
            </w:r>
          </w:p>
        </w:tc>
        <w:tc>
          <w:tcPr>
            <w:tcW w:w="240" w:type="dxa"/>
            <w:vAlign w:val="bottom"/>
          </w:tcPr>
          <w:p>
            <w:pPr>
              <w:spacing w:after="0"/>
              <w:rPr>
                <w:sz w:val="15"/>
                <w:szCs w:val="15"/>
                <w:color w:val="auto"/>
              </w:rPr>
            </w:pPr>
          </w:p>
        </w:tc>
        <w:tc>
          <w:tcPr>
            <w:tcW w:w="9640" w:type="dxa"/>
            <w:vAlign w:val="bottom"/>
            <w:gridSpan w:val="37"/>
          </w:tcPr>
          <w:p>
            <w:pPr>
              <w:spacing w:after="0" w:line="175" w:lineRule="exact"/>
              <w:rPr>
                <w:rFonts w:ascii="Arial" w:cs="Arial" w:eastAsia="Arial" w:hAnsi="Arial"/>
                <w:sz w:val="16"/>
                <w:szCs w:val="16"/>
                <w:color w:val="0000FF"/>
              </w:rPr>
            </w:pPr>
            <w:hyperlink r:id="rId157">
              <w:r>
                <w:rPr>
                  <w:rFonts w:ascii="Arial" w:cs="Arial" w:eastAsia="Arial" w:hAnsi="Arial"/>
                  <w:sz w:val="16"/>
                  <w:szCs w:val="16"/>
                  <w:color w:val="0000FF"/>
                </w:rPr>
                <w:t>Restated Articles of Incorporation of the Registrant (filed as Exhibit 3 to the Registrant’s Form 8-K filed on February 5, 2018).</w:t>
              </w:r>
            </w:hyperlink>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shd w:val="clear" w:color="auto" w:fill="CEFEE7"/>
          </w:tcPr>
          <w:p>
            <w:pPr>
              <w:jc w:val="right"/>
              <w:ind w:right="699"/>
              <w:spacing w:after="0" w:line="175" w:lineRule="exact"/>
              <w:rPr>
                <w:sz w:val="20"/>
                <w:szCs w:val="20"/>
                <w:color w:val="auto"/>
              </w:rPr>
            </w:pPr>
            <w:r>
              <w:rPr>
                <w:rFonts w:ascii="Arial" w:cs="Arial" w:eastAsia="Arial" w:hAnsi="Arial"/>
                <w:sz w:val="16"/>
                <w:szCs w:val="16"/>
                <w:color w:val="auto"/>
                <w:w w:val="98"/>
              </w:rPr>
              <w:t>3.2</w:t>
            </w:r>
          </w:p>
        </w:tc>
        <w:tc>
          <w:tcPr>
            <w:tcW w:w="240" w:type="dxa"/>
            <w:vAlign w:val="bottom"/>
            <w:shd w:val="clear" w:color="auto" w:fill="CEFEE7"/>
          </w:tcPr>
          <w:p>
            <w:pPr>
              <w:spacing w:after="0"/>
              <w:rPr>
                <w:sz w:val="15"/>
                <w:szCs w:val="15"/>
                <w:color w:val="auto"/>
              </w:rPr>
            </w:pPr>
          </w:p>
        </w:tc>
        <w:tc>
          <w:tcPr>
            <w:tcW w:w="9320" w:type="dxa"/>
            <w:vAlign w:val="bottom"/>
            <w:tcBorders>
              <w:right w:val="single" w:sz="8" w:color="CEFEE7"/>
            </w:tcBorders>
            <w:gridSpan w:val="36"/>
            <w:shd w:val="clear" w:color="auto" w:fill="CEFEE7"/>
          </w:tcPr>
          <w:p>
            <w:pPr>
              <w:spacing w:after="0" w:line="175" w:lineRule="exact"/>
              <w:rPr>
                <w:rFonts w:ascii="Arial" w:cs="Arial" w:eastAsia="Arial" w:hAnsi="Arial"/>
                <w:sz w:val="16"/>
                <w:szCs w:val="16"/>
                <w:color w:val="0000FF"/>
              </w:rPr>
            </w:pPr>
            <w:hyperlink r:id="rId158">
              <w:r>
                <w:rPr>
                  <w:rFonts w:ascii="Arial" w:cs="Arial" w:eastAsia="Arial" w:hAnsi="Arial"/>
                  <w:sz w:val="16"/>
                  <w:szCs w:val="16"/>
                  <w:color w:val="0000FF"/>
                </w:rPr>
                <w:t>Amended and Restated Bylaws of the Registrant dated April 24, 2017 (filed as Exhibit 3 to the Registrant’s Form 8-K filed on April</w:t>
              </w:r>
            </w:hyperlink>
          </w:p>
        </w:tc>
        <w:tc>
          <w:tcPr>
            <w:tcW w:w="320" w:type="dxa"/>
            <w:vAlign w:val="bottom"/>
          </w:tcPr>
          <w:p>
            <w:pPr>
              <w:spacing w:after="0"/>
              <w:rPr>
                <w:sz w:val="15"/>
                <w:szCs w:val="15"/>
                <w:color w:val="auto"/>
              </w:rPr>
            </w:pPr>
          </w:p>
        </w:tc>
      </w:tr>
      <w:tr>
        <w:trPr>
          <w:trHeight w:val="163"/>
        </w:trPr>
        <w:tc>
          <w:tcPr>
            <w:tcW w:w="340" w:type="dxa"/>
            <w:vAlign w:val="bottom"/>
          </w:tcPr>
          <w:p>
            <w:pPr>
              <w:spacing w:after="0"/>
              <w:rPr>
                <w:sz w:val="14"/>
                <w:szCs w:val="14"/>
                <w:color w:val="auto"/>
              </w:rPr>
            </w:pPr>
          </w:p>
        </w:tc>
        <w:tc>
          <w:tcPr>
            <w:tcW w:w="1020" w:type="dxa"/>
            <w:vAlign w:val="bottom"/>
            <w:tcBorders>
              <w:top w:val="single" w:sz="8" w:color="CEFEE7"/>
              <w:bottom w:val="single" w:sz="8" w:color="CEFEE7"/>
            </w:tcBorders>
            <w:shd w:val="clear" w:color="auto" w:fill="CEFEE7"/>
          </w:tcPr>
          <w:p>
            <w:pPr>
              <w:spacing w:after="0"/>
              <w:rPr>
                <w:sz w:val="14"/>
                <w:szCs w:val="14"/>
                <w:color w:val="auto"/>
              </w:rPr>
            </w:pPr>
          </w:p>
        </w:tc>
        <w:tc>
          <w:tcPr>
            <w:tcW w:w="240" w:type="dxa"/>
            <w:vAlign w:val="bottom"/>
            <w:tcBorders>
              <w:top w:val="single" w:sz="8" w:color="CEFEE7"/>
              <w:bottom w:val="single" w:sz="8" w:color="CEFEE7"/>
            </w:tcBorders>
            <w:shd w:val="clear" w:color="auto" w:fill="CEFEE7"/>
          </w:tcPr>
          <w:p>
            <w:pPr>
              <w:spacing w:after="0"/>
              <w:rPr>
                <w:sz w:val="14"/>
                <w:szCs w:val="14"/>
                <w:color w:val="auto"/>
              </w:rPr>
            </w:pPr>
          </w:p>
        </w:tc>
        <w:tc>
          <w:tcPr>
            <w:tcW w:w="740" w:type="dxa"/>
            <w:vAlign w:val="bottom"/>
            <w:tcBorders>
              <w:top w:val="single" w:sz="8" w:color="0000FF"/>
              <w:bottom w:val="single" w:sz="8" w:color="0000FF"/>
            </w:tcBorders>
            <w:gridSpan w:val="4"/>
            <w:shd w:val="clear" w:color="auto" w:fill="CEFEE7"/>
          </w:tcPr>
          <w:p>
            <w:pPr>
              <w:spacing w:after="0" w:line="142" w:lineRule="exact"/>
              <w:rPr>
                <w:rFonts w:ascii="Arial" w:cs="Arial" w:eastAsia="Arial" w:hAnsi="Arial"/>
                <w:sz w:val="16"/>
                <w:szCs w:val="16"/>
                <w:color w:val="0000FF"/>
                <w:w w:val="99"/>
              </w:rPr>
            </w:pPr>
            <w:hyperlink r:id="rId158">
              <w:r>
                <w:rPr>
                  <w:rFonts w:ascii="Arial" w:cs="Arial" w:eastAsia="Arial" w:hAnsi="Arial"/>
                  <w:sz w:val="16"/>
                  <w:szCs w:val="16"/>
                  <w:color w:val="0000FF"/>
                  <w:w w:val="99"/>
                </w:rPr>
                <w:t>28, 2017).</w:t>
              </w:r>
            </w:hyperlink>
          </w:p>
        </w:tc>
        <w:tc>
          <w:tcPr>
            <w:tcW w:w="100" w:type="dxa"/>
            <w:vAlign w:val="bottom"/>
            <w:tcBorders>
              <w:top w:val="single" w:sz="8" w:color="0000FF"/>
              <w:bottom w:val="single" w:sz="8" w:color="CEFEE7"/>
            </w:tcBorders>
            <w:shd w:val="clear" w:color="auto" w:fill="CEFEE7"/>
          </w:tcPr>
          <w:p>
            <w:pPr>
              <w:spacing w:after="0"/>
              <w:rPr>
                <w:sz w:val="14"/>
                <w:szCs w:val="14"/>
                <w:color w:val="auto"/>
              </w:rPr>
            </w:pPr>
          </w:p>
        </w:tc>
        <w:tc>
          <w:tcPr>
            <w:tcW w:w="800" w:type="dxa"/>
            <w:vAlign w:val="bottom"/>
            <w:tcBorders>
              <w:top w:val="single" w:sz="8" w:color="0000FF"/>
              <w:bottom w:val="single" w:sz="8" w:color="CEFEE7"/>
            </w:tcBorders>
            <w:shd w:val="clear" w:color="auto" w:fill="CEFEE7"/>
          </w:tcPr>
          <w:p>
            <w:pPr>
              <w:spacing w:after="0"/>
              <w:rPr>
                <w:sz w:val="14"/>
                <w:szCs w:val="14"/>
                <w:color w:val="auto"/>
              </w:rPr>
            </w:pPr>
          </w:p>
        </w:tc>
        <w:tc>
          <w:tcPr>
            <w:tcW w:w="56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1660" w:type="dxa"/>
            <w:vAlign w:val="bottom"/>
            <w:tcBorders>
              <w:top w:val="single" w:sz="8" w:color="0000FF"/>
              <w:bottom w:val="single" w:sz="8" w:color="CEFEE7"/>
            </w:tcBorders>
            <w:shd w:val="clear" w:color="auto" w:fill="CEFEE7"/>
          </w:tcPr>
          <w:p>
            <w:pPr>
              <w:spacing w:after="0"/>
              <w:rPr>
                <w:sz w:val="14"/>
                <w:szCs w:val="14"/>
                <w:color w:val="auto"/>
              </w:rPr>
            </w:pPr>
          </w:p>
        </w:tc>
        <w:tc>
          <w:tcPr>
            <w:tcW w:w="140" w:type="dxa"/>
            <w:vAlign w:val="bottom"/>
            <w:tcBorders>
              <w:top w:val="single" w:sz="8" w:color="0000FF"/>
              <w:bottom w:val="single" w:sz="8" w:color="CEFEE7"/>
            </w:tcBorders>
            <w:shd w:val="clear" w:color="auto" w:fill="CEFEE7"/>
          </w:tcPr>
          <w:p>
            <w:pPr>
              <w:spacing w:after="0"/>
              <w:rPr>
                <w:sz w:val="14"/>
                <w:szCs w:val="14"/>
                <w:color w:val="auto"/>
              </w:rPr>
            </w:pPr>
          </w:p>
        </w:tc>
        <w:tc>
          <w:tcPr>
            <w:tcW w:w="780" w:type="dxa"/>
            <w:vAlign w:val="bottom"/>
            <w:tcBorders>
              <w:top w:val="single" w:sz="8" w:color="0000FF"/>
              <w:bottom w:val="single" w:sz="8" w:color="CEFEE7"/>
            </w:tcBorders>
            <w:shd w:val="clear" w:color="auto" w:fill="CEFEE7"/>
          </w:tcPr>
          <w:p>
            <w:pPr>
              <w:spacing w:after="0"/>
              <w:rPr>
                <w:sz w:val="14"/>
                <w:szCs w:val="14"/>
                <w:color w:val="auto"/>
              </w:rPr>
            </w:pPr>
          </w:p>
        </w:tc>
        <w:tc>
          <w:tcPr>
            <w:tcW w:w="660" w:type="dxa"/>
            <w:vAlign w:val="bottom"/>
            <w:tcBorders>
              <w:top w:val="single" w:sz="8" w:color="0000FF"/>
              <w:bottom w:val="single" w:sz="8" w:color="CEFEE7"/>
            </w:tcBorders>
            <w:shd w:val="clear" w:color="auto" w:fill="CEFEE7"/>
          </w:tcPr>
          <w:p>
            <w:pPr>
              <w:spacing w:after="0"/>
              <w:rPr>
                <w:sz w:val="14"/>
                <w:szCs w:val="14"/>
                <w:color w:val="auto"/>
              </w:rPr>
            </w:pPr>
          </w:p>
        </w:tc>
        <w:tc>
          <w:tcPr>
            <w:tcW w:w="60" w:type="dxa"/>
            <w:vAlign w:val="bottom"/>
            <w:tcBorders>
              <w:top w:val="single" w:sz="8" w:color="0000FF"/>
              <w:bottom w:val="single" w:sz="8" w:color="CEFEE7"/>
            </w:tcBorders>
            <w:shd w:val="clear" w:color="auto" w:fill="CEFEE7"/>
          </w:tcPr>
          <w:p>
            <w:pPr>
              <w:spacing w:after="0"/>
              <w:rPr>
                <w:sz w:val="14"/>
                <w:szCs w:val="14"/>
                <w:color w:val="auto"/>
              </w:rPr>
            </w:pPr>
          </w:p>
        </w:tc>
        <w:tc>
          <w:tcPr>
            <w:tcW w:w="2140" w:type="dxa"/>
            <w:vAlign w:val="bottom"/>
            <w:tcBorders>
              <w:top w:val="single" w:sz="8" w:color="0000FF"/>
              <w:bottom w:val="single" w:sz="8" w:color="CEFEE7"/>
            </w:tcBorders>
            <w:shd w:val="clear" w:color="auto" w:fill="CEFEE7"/>
          </w:tcPr>
          <w:p>
            <w:pPr>
              <w:spacing w:after="0"/>
              <w:rPr>
                <w:sz w:val="14"/>
                <w:szCs w:val="14"/>
                <w:color w:val="auto"/>
              </w:rPr>
            </w:pPr>
          </w:p>
        </w:tc>
        <w:tc>
          <w:tcPr>
            <w:tcW w:w="300" w:type="dxa"/>
            <w:vAlign w:val="bottom"/>
            <w:tcBorders>
              <w:top w:val="single" w:sz="8" w:color="0000FF"/>
              <w:bottom w:val="single" w:sz="8" w:color="CEFEE7"/>
            </w:tcBorders>
            <w:shd w:val="clear" w:color="auto" w:fill="CEFEE7"/>
          </w:tcPr>
          <w:p>
            <w:pPr>
              <w:spacing w:after="0"/>
              <w:rPr>
                <w:sz w:val="14"/>
                <w:szCs w:val="14"/>
                <w:color w:val="auto"/>
              </w:rPr>
            </w:pPr>
          </w:p>
        </w:tc>
        <w:tc>
          <w:tcPr>
            <w:tcW w:w="620" w:type="dxa"/>
            <w:vAlign w:val="bottom"/>
            <w:tcBorders>
              <w:top w:val="single" w:sz="8" w:color="0000FF"/>
              <w:bottom w:val="single" w:sz="8" w:color="CEFEE7"/>
            </w:tcBorders>
            <w:shd w:val="clear" w:color="auto" w:fill="CEFEE7"/>
          </w:tcPr>
          <w:p>
            <w:pPr>
              <w:spacing w:after="0"/>
              <w:rPr>
                <w:sz w:val="14"/>
                <w:szCs w:val="14"/>
                <w:color w:val="auto"/>
              </w:rPr>
            </w:pPr>
          </w:p>
        </w:tc>
        <w:tc>
          <w:tcPr>
            <w:tcW w:w="24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60" w:type="dxa"/>
            <w:vAlign w:val="bottom"/>
            <w:tcBorders>
              <w:top w:val="single" w:sz="8" w:color="0000FF"/>
              <w:bottom w:val="single" w:sz="8" w:color="CEFEE7"/>
            </w:tcBorders>
            <w:shd w:val="clear" w:color="auto" w:fill="CEFEE7"/>
          </w:tcPr>
          <w:p>
            <w:pPr>
              <w:spacing w:after="0"/>
              <w:rPr>
                <w:sz w:val="14"/>
                <w:szCs w:val="14"/>
                <w:color w:val="auto"/>
              </w:rPr>
            </w:pPr>
          </w:p>
        </w:tc>
        <w:tc>
          <w:tcPr>
            <w:tcW w:w="8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40" w:type="dxa"/>
            <w:vAlign w:val="bottom"/>
            <w:tcBorders>
              <w:top w:val="single" w:sz="8" w:color="CEFEE7"/>
              <w:bottom w:val="single" w:sz="8" w:color="CEFEE7"/>
              <w:right w:val="single" w:sz="8" w:color="CEFEE7"/>
            </w:tcBorders>
            <w:shd w:val="clear" w:color="auto" w:fill="CEFEE7"/>
          </w:tcPr>
          <w:p>
            <w:pPr>
              <w:spacing w:after="0"/>
              <w:rPr>
                <w:sz w:val="14"/>
                <w:szCs w:val="14"/>
                <w:color w:val="auto"/>
              </w:rPr>
            </w:pPr>
          </w:p>
        </w:tc>
        <w:tc>
          <w:tcPr>
            <w:tcW w:w="320" w:type="dxa"/>
            <w:vAlign w:val="bottom"/>
          </w:tcPr>
          <w:p>
            <w:pPr>
              <w:spacing w:after="0"/>
              <w:rPr>
                <w:sz w:val="14"/>
                <w:szCs w:val="14"/>
                <w:color w:val="auto"/>
              </w:rPr>
            </w:pPr>
          </w:p>
        </w:tc>
      </w:tr>
      <w:tr>
        <w:trPr>
          <w:trHeight w:val="175"/>
        </w:trPr>
        <w:tc>
          <w:tcPr>
            <w:tcW w:w="1360" w:type="dxa"/>
            <w:vAlign w:val="bottom"/>
            <w:gridSpan w:val="2"/>
          </w:tcPr>
          <w:p>
            <w:pPr>
              <w:jc w:val="right"/>
              <w:ind w:right="699"/>
              <w:spacing w:after="0" w:line="175" w:lineRule="exact"/>
              <w:rPr>
                <w:sz w:val="20"/>
                <w:szCs w:val="20"/>
                <w:color w:val="auto"/>
              </w:rPr>
            </w:pPr>
            <w:r>
              <w:rPr>
                <w:rFonts w:ascii="Arial" w:cs="Arial" w:eastAsia="Arial" w:hAnsi="Arial"/>
                <w:sz w:val="16"/>
                <w:szCs w:val="16"/>
                <w:color w:val="auto"/>
              </w:rPr>
              <w:t>4.1</w:t>
            </w:r>
          </w:p>
        </w:tc>
        <w:tc>
          <w:tcPr>
            <w:tcW w:w="240" w:type="dxa"/>
            <w:vAlign w:val="bottom"/>
          </w:tcPr>
          <w:p>
            <w:pPr>
              <w:spacing w:after="0"/>
              <w:rPr>
                <w:sz w:val="15"/>
                <w:szCs w:val="15"/>
                <w:color w:val="auto"/>
              </w:rPr>
            </w:pPr>
          </w:p>
        </w:tc>
        <w:tc>
          <w:tcPr>
            <w:tcW w:w="9640" w:type="dxa"/>
            <w:vAlign w:val="bottom"/>
            <w:gridSpan w:val="37"/>
          </w:tcPr>
          <w:p>
            <w:pPr>
              <w:spacing w:after="0" w:line="175" w:lineRule="exact"/>
              <w:rPr>
                <w:rFonts w:ascii="Arial" w:cs="Arial" w:eastAsia="Arial" w:hAnsi="Arial"/>
                <w:sz w:val="16"/>
                <w:szCs w:val="16"/>
                <w:color w:val="0000FF"/>
              </w:rPr>
            </w:pPr>
            <w:hyperlink r:id="rId159">
              <w:r>
                <w:rPr>
                  <w:rFonts w:ascii="Arial" w:cs="Arial" w:eastAsia="Arial" w:hAnsi="Arial"/>
                  <w:sz w:val="16"/>
                  <w:szCs w:val="16"/>
                  <w:color w:val="0000FF"/>
                </w:rPr>
                <w:t>Indenture dated as of May 21, 2003 between the Registrant and Wells Fargo Bank, National Association (as successor to LaSalle</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8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59">
              <w:r>
                <w:rPr>
                  <w:rFonts w:ascii="Arial" w:cs="Arial" w:eastAsia="Arial" w:hAnsi="Arial"/>
                  <w:sz w:val="16"/>
                  <w:szCs w:val="16"/>
                  <w:color w:val="0000FF"/>
                </w:rPr>
                <w:t>Bank National Association), as Trustee (filed as Exhibit 4.1 to the Registrant’s Form 10-Q for the quarterly period ended June 30,</w:t>
              </w:r>
            </w:hyperlink>
          </w:p>
        </w:tc>
        <w:tc>
          <w:tcPr>
            <w:tcW w:w="360" w:type="dxa"/>
            <w:vAlign w:val="bottom"/>
            <w:gridSpan w:val="2"/>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6"/>
              </w:rPr>
            </w:pPr>
            <w:hyperlink r:id="rId159">
              <w:r>
                <w:rPr>
                  <w:rFonts w:ascii="Arial" w:cs="Arial" w:eastAsia="Arial" w:hAnsi="Arial"/>
                  <w:sz w:val="16"/>
                  <w:szCs w:val="16"/>
                  <w:color w:val="0000FF"/>
                  <w:w w:val="96"/>
                </w:rPr>
                <w:t>2003).</w:t>
              </w:r>
            </w:hyperlink>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1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shd w:val="clear" w:color="auto" w:fill="CEFEE7"/>
          </w:tcPr>
          <w:p>
            <w:pPr>
              <w:ind w:left="120"/>
              <w:spacing w:after="0" w:line="175" w:lineRule="exact"/>
              <w:rPr>
                <w:sz w:val="20"/>
                <w:szCs w:val="20"/>
                <w:color w:val="auto"/>
              </w:rPr>
            </w:pPr>
            <w:r>
              <w:rPr>
                <w:rFonts w:ascii="Arial" w:cs="Arial" w:eastAsia="Arial" w:hAnsi="Arial"/>
                <w:sz w:val="16"/>
                <w:szCs w:val="16"/>
                <w:color w:val="auto"/>
              </w:rPr>
              <w:t>4.1.1</w:t>
            </w:r>
          </w:p>
        </w:tc>
        <w:tc>
          <w:tcPr>
            <w:tcW w:w="240" w:type="dxa"/>
            <w:vAlign w:val="bottom"/>
            <w:shd w:val="clear" w:color="auto" w:fill="CEFEE7"/>
          </w:tcPr>
          <w:p>
            <w:pPr>
              <w:spacing w:after="0"/>
              <w:rPr>
                <w:sz w:val="15"/>
                <w:szCs w:val="15"/>
                <w:color w:val="auto"/>
              </w:rPr>
            </w:pPr>
          </w:p>
        </w:tc>
        <w:tc>
          <w:tcPr>
            <w:tcW w:w="120" w:type="dxa"/>
            <w:vAlign w:val="bottom"/>
            <w:shd w:val="clear" w:color="auto" w:fill="CEFEE7"/>
          </w:tcPr>
          <w:p>
            <w:pPr>
              <w:spacing w:after="0"/>
              <w:rPr>
                <w:sz w:val="15"/>
                <w:szCs w:val="15"/>
                <w:color w:val="auto"/>
              </w:rPr>
            </w:pPr>
          </w:p>
        </w:tc>
        <w:tc>
          <w:tcPr>
            <w:tcW w:w="9200" w:type="dxa"/>
            <w:vAlign w:val="bottom"/>
            <w:tcBorders>
              <w:right w:val="single" w:sz="8" w:color="CEFEE7"/>
            </w:tcBorders>
            <w:gridSpan w:val="35"/>
            <w:shd w:val="clear" w:color="auto" w:fill="CEFEE7"/>
          </w:tcPr>
          <w:p>
            <w:pPr>
              <w:spacing w:after="0" w:line="175" w:lineRule="exact"/>
              <w:rPr>
                <w:rFonts w:ascii="Arial" w:cs="Arial" w:eastAsia="Arial" w:hAnsi="Arial"/>
                <w:sz w:val="16"/>
                <w:szCs w:val="16"/>
                <w:color w:val="0000FF"/>
              </w:rPr>
            </w:pPr>
            <w:hyperlink r:id="rId160">
              <w:r>
                <w:rPr>
                  <w:rFonts w:ascii="Arial" w:cs="Arial" w:eastAsia="Arial" w:hAnsi="Arial"/>
                  <w:sz w:val="16"/>
                  <w:szCs w:val="16"/>
                  <w:color w:val="0000FF"/>
                </w:rPr>
                <w:t>First Supplemental Indenture dated as of May 21, 2003 (filed as Exhibit 4.2 to the Registrant’s Form 10-Q for the quarterly</w:t>
              </w:r>
            </w:hyperlink>
          </w:p>
        </w:tc>
        <w:tc>
          <w:tcPr>
            <w:tcW w:w="32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120" w:type="dxa"/>
            <w:vAlign w:val="bottom"/>
            <w:tcBorders>
              <w:top w:val="single" w:sz="8" w:color="CEFEE7"/>
            </w:tcBorders>
            <w:shd w:val="clear" w:color="auto" w:fill="CEFEE7"/>
          </w:tcPr>
          <w:p>
            <w:pPr>
              <w:spacing w:after="0"/>
              <w:rPr>
                <w:sz w:val="12"/>
                <w:szCs w:val="12"/>
                <w:color w:val="auto"/>
              </w:rPr>
            </w:pPr>
          </w:p>
        </w:tc>
        <w:tc>
          <w:tcPr>
            <w:tcW w:w="8740" w:type="dxa"/>
            <w:vAlign w:val="bottom"/>
            <w:tcBorders>
              <w:top w:val="single" w:sz="8" w:color="0000FF"/>
            </w:tcBorders>
            <w:gridSpan w:val="18"/>
            <w:shd w:val="clear" w:color="auto" w:fill="CEFEE7"/>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period ended June 30, 2003).</w:t>
              </w:r>
            </w:hyperlink>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80" w:type="dxa"/>
            <w:vAlign w:val="bottom"/>
            <w:tcBorders>
              <w:top w:val="single" w:sz="8" w:color="CEFEE7"/>
            </w:tcBorders>
            <w:gridSpan w:val="2"/>
            <w:shd w:val="clear" w:color="auto" w:fill="CEFEE7"/>
          </w:tcPr>
          <w:p>
            <w:pPr>
              <w:spacing w:after="0"/>
              <w:rPr>
                <w:sz w:val="12"/>
                <w:szCs w:val="12"/>
                <w:color w:val="auto"/>
              </w:rPr>
            </w:pPr>
          </w:p>
        </w:tc>
        <w:tc>
          <w:tcPr>
            <w:tcW w:w="8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60" w:type="dxa"/>
            <w:vAlign w:val="bottom"/>
            <w:tcBorders>
              <w:top w:val="single" w:sz="8" w:color="CEFEE7"/>
              <w:right w:val="single" w:sz="8" w:color="CEFEE7"/>
            </w:tcBorders>
            <w:gridSpan w:val="2"/>
            <w:shd w:val="clear" w:color="auto" w:fill="CEFEE7"/>
          </w:tcPr>
          <w:p>
            <w:pPr>
              <w:spacing w:after="0"/>
              <w:rPr>
                <w:sz w:val="12"/>
                <w:szCs w:val="12"/>
                <w:color w:val="auto"/>
              </w:rPr>
            </w:pPr>
          </w:p>
        </w:tc>
        <w:tc>
          <w:tcPr>
            <w:tcW w:w="32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340" w:type="dxa"/>
            <w:vAlign w:val="bottom"/>
            <w:tcBorders>
              <w:top w:val="single" w:sz="8" w:color="0000FF"/>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160" w:type="dxa"/>
            <w:vAlign w:val="bottom"/>
            <w:tcBorders>
              <w:top w:val="single" w:sz="8" w:color="0000FF"/>
            </w:tcBorders>
            <w:shd w:val="clear" w:color="auto" w:fill="CEFEE7"/>
          </w:tcPr>
          <w:p>
            <w:pPr>
              <w:spacing w:after="0" w:line="20" w:lineRule="exact"/>
              <w:rPr>
                <w:sz w:val="1"/>
                <w:szCs w:val="1"/>
                <w:color w:val="auto"/>
              </w:rPr>
            </w:pPr>
          </w:p>
        </w:tc>
        <w:tc>
          <w:tcPr>
            <w:tcW w:w="100" w:type="dxa"/>
            <w:vAlign w:val="bottom"/>
            <w:tcBorders>
              <w:top w:val="single" w:sz="8" w:color="0000FF"/>
            </w:tcBorders>
            <w:shd w:val="clear" w:color="auto" w:fill="CEFEE7"/>
          </w:tcPr>
          <w:p>
            <w:pPr>
              <w:spacing w:after="0" w:line="20" w:lineRule="exact"/>
              <w:rPr>
                <w:sz w:val="1"/>
                <w:szCs w:val="1"/>
                <w:color w:val="auto"/>
              </w:rPr>
            </w:pPr>
          </w:p>
        </w:tc>
        <w:tc>
          <w:tcPr>
            <w:tcW w:w="800" w:type="dxa"/>
            <w:vAlign w:val="bottom"/>
            <w:tcBorders>
              <w:top w:val="single" w:sz="8" w:color="0000FF"/>
            </w:tcBorders>
            <w:shd w:val="clear" w:color="auto" w:fill="CEFEE7"/>
          </w:tcPr>
          <w:p>
            <w:pPr>
              <w:spacing w:after="0" w:line="20" w:lineRule="exact"/>
              <w:rPr>
                <w:sz w:val="1"/>
                <w:szCs w:val="1"/>
                <w:color w:val="auto"/>
              </w:rPr>
            </w:pPr>
          </w:p>
        </w:tc>
        <w:tc>
          <w:tcPr>
            <w:tcW w:w="560" w:type="dxa"/>
            <w:vAlign w:val="bottom"/>
            <w:tcBorders>
              <w:top w:val="single" w:sz="8" w:color="0000FF"/>
            </w:tcBorders>
            <w:shd w:val="clear" w:color="auto" w:fill="CEFEE7"/>
          </w:tcPr>
          <w:p>
            <w:pPr>
              <w:spacing w:after="0" w:line="20" w:lineRule="exact"/>
              <w:rPr>
                <w:sz w:val="1"/>
                <w:szCs w:val="1"/>
                <w:color w:val="auto"/>
              </w:rPr>
            </w:pPr>
          </w:p>
        </w:tc>
        <w:tc>
          <w:tcPr>
            <w:tcW w:w="20" w:type="dxa"/>
            <w:vAlign w:val="bottom"/>
            <w:tcBorders>
              <w:top w:val="single" w:sz="8" w:color="0000FF"/>
            </w:tcBorders>
            <w:shd w:val="clear" w:color="auto" w:fill="CEFEE7"/>
          </w:tcPr>
          <w:p>
            <w:pPr>
              <w:spacing w:after="0" w:line="20" w:lineRule="exact"/>
              <w:rPr>
                <w:sz w:val="1"/>
                <w:szCs w:val="1"/>
                <w:color w:val="auto"/>
              </w:rPr>
            </w:pPr>
          </w:p>
        </w:tc>
        <w:tc>
          <w:tcPr>
            <w:tcW w:w="1660" w:type="dxa"/>
            <w:vAlign w:val="bottom"/>
            <w:tcBorders>
              <w:top w:val="single" w:sz="8" w:color="CEFEE7"/>
            </w:tcBorders>
            <w:shd w:val="clear" w:color="auto" w:fill="CEFEE7"/>
          </w:tcPr>
          <w:p>
            <w:pPr>
              <w:spacing w:after="0" w:line="20" w:lineRule="exact"/>
              <w:rPr>
                <w:sz w:val="1"/>
                <w:szCs w:val="1"/>
                <w:color w:val="auto"/>
              </w:rPr>
            </w:pPr>
          </w:p>
        </w:tc>
        <w:tc>
          <w:tcPr>
            <w:tcW w:w="140" w:type="dxa"/>
            <w:vAlign w:val="bottom"/>
            <w:tcBorders>
              <w:top w:val="single" w:sz="8" w:color="CEFEE7"/>
            </w:tcBorders>
            <w:shd w:val="clear" w:color="auto" w:fill="CEFEE7"/>
          </w:tcPr>
          <w:p>
            <w:pPr>
              <w:spacing w:after="0" w:line="20" w:lineRule="exact"/>
              <w:rPr>
                <w:sz w:val="1"/>
                <w:szCs w:val="1"/>
                <w:color w:val="auto"/>
              </w:rPr>
            </w:pPr>
          </w:p>
        </w:tc>
        <w:tc>
          <w:tcPr>
            <w:tcW w:w="780" w:type="dxa"/>
            <w:vAlign w:val="bottom"/>
            <w:tcBorders>
              <w:top w:val="single" w:sz="8" w:color="CEFEE7"/>
            </w:tcBorders>
            <w:shd w:val="clear" w:color="auto" w:fill="CEFEE7"/>
          </w:tcPr>
          <w:p>
            <w:pPr>
              <w:spacing w:after="0" w:line="20" w:lineRule="exact"/>
              <w:rPr>
                <w:sz w:val="1"/>
                <w:szCs w:val="1"/>
                <w:color w:val="auto"/>
              </w:rPr>
            </w:pPr>
          </w:p>
        </w:tc>
        <w:tc>
          <w:tcPr>
            <w:tcW w:w="66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214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6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020" w:type="dxa"/>
            <w:vAlign w:val="bottom"/>
          </w:tcPr>
          <w:p>
            <w:pPr>
              <w:ind w:left="120"/>
              <w:spacing w:after="0" w:line="175" w:lineRule="exact"/>
              <w:rPr>
                <w:sz w:val="20"/>
                <w:szCs w:val="20"/>
                <w:color w:val="auto"/>
              </w:rPr>
            </w:pPr>
            <w:r>
              <w:rPr>
                <w:rFonts w:ascii="Arial" w:cs="Arial" w:eastAsia="Arial" w:hAnsi="Arial"/>
                <w:sz w:val="16"/>
                <w:szCs w:val="16"/>
                <w:color w:val="auto"/>
              </w:rPr>
              <w:t>4.1.2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20" w:type="dxa"/>
            <w:vAlign w:val="bottom"/>
            <w:gridSpan w:val="36"/>
          </w:tcPr>
          <w:p>
            <w:pPr>
              <w:spacing w:after="0" w:line="175" w:lineRule="exact"/>
              <w:rPr>
                <w:rFonts w:ascii="Arial" w:cs="Arial" w:eastAsia="Arial" w:hAnsi="Arial"/>
                <w:sz w:val="16"/>
                <w:szCs w:val="16"/>
                <w:color w:val="0000FF"/>
              </w:rPr>
            </w:pPr>
            <w:hyperlink r:id="rId161">
              <w:r>
                <w:rPr>
                  <w:rFonts w:ascii="Arial" w:cs="Arial" w:eastAsia="Arial" w:hAnsi="Arial"/>
                  <w:sz w:val="16"/>
                  <w:szCs w:val="16"/>
                  <w:color w:val="0000FF"/>
                </w:rPr>
                <w:t>Second Supplemental Indenture dated as of May 14, 2009 (filed as Exhibit 4 to the Registrant’s Form 8-K filed on May 14,</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6"/>
              </w:rPr>
            </w:pPr>
            <w:hyperlink r:id="rId161">
              <w:r>
                <w:rPr>
                  <w:rFonts w:ascii="Arial" w:cs="Arial" w:eastAsia="Arial" w:hAnsi="Arial"/>
                  <w:sz w:val="16"/>
                  <w:szCs w:val="16"/>
                  <w:color w:val="0000FF"/>
                  <w:w w:val="96"/>
                </w:rPr>
                <w:t>2009).</w:t>
              </w:r>
            </w:hyperlink>
          </w:p>
        </w:tc>
        <w:tc>
          <w:tcPr>
            <w:tcW w:w="1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1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Borders>
              <w:bottom w:val="single" w:sz="8" w:color="CEFEE7"/>
            </w:tcBorders>
            <w:shd w:val="clear" w:color="auto" w:fill="CEFEE7"/>
          </w:tcPr>
          <w:p>
            <w:pPr>
              <w:ind w:left="120"/>
              <w:spacing w:after="0" w:line="175" w:lineRule="exact"/>
              <w:rPr>
                <w:sz w:val="20"/>
                <w:szCs w:val="20"/>
                <w:color w:val="auto"/>
              </w:rPr>
            </w:pPr>
            <w:r>
              <w:rPr>
                <w:rFonts w:ascii="Arial" w:cs="Arial" w:eastAsia="Arial" w:hAnsi="Arial"/>
                <w:sz w:val="16"/>
                <w:szCs w:val="16"/>
                <w:color w:val="auto"/>
              </w:rPr>
              <w:t>4.1.3</w:t>
            </w:r>
          </w:p>
        </w:tc>
        <w:tc>
          <w:tcPr>
            <w:tcW w:w="240" w:type="dxa"/>
            <w:vAlign w:val="bottom"/>
            <w:tcBorders>
              <w:bottom w:val="single" w:sz="8" w:color="CEFEE7"/>
            </w:tcBorders>
            <w:shd w:val="clear" w:color="auto" w:fill="CEFEE7"/>
          </w:tcPr>
          <w:p>
            <w:pPr>
              <w:spacing w:after="0"/>
              <w:rPr>
                <w:sz w:val="17"/>
                <w:szCs w:val="17"/>
                <w:color w:val="auto"/>
              </w:rPr>
            </w:pPr>
          </w:p>
        </w:tc>
        <w:tc>
          <w:tcPr>
            <w:tcW w:w="120" w:type="dxa"/>
            <w:vAlign w:val="bottom"/>
            <w:tcBorders>
              <w:bottom w:val="single" w:sz="8" w:color="CEFEE7"/>
            </w:tcBorders>
            <w:shd w:val="clear" w:color="auto" w:fill="CEFEE7"/>
          </w:tcPr>
          <w:p>
            <w:pPr>
              <w:spacing w:after="0"/>
              <w:rPr>
                <w:sz w:val="17"/>
                <w:szCs w:val="17"/>
                <w:color w:val="auto"/>
              </w:rPr>
            </w:pPr>
          </w:p>
        </w:tc>
        <w:tc>
          <w:tcPr>
            <w:tcW w:w="8760" w:type="dxa"/>
            <w:vAlign w:val="bottom"/>
            <w:tcBorders>
              <w:bottom w:val="single" w:sz="8" w:color="0000FF"/>
            </w:tcBorders>
            <w:gridSpan w:val="19"/>
            <w:shd w:val="clear" w:color="auto" w:fill="CEFEE7"/>
          </w:tcPr>
          <w:p>
            <w:pPr>
              <w:spacing w:after="0" w:line="175" w:lineRule="exact"/>
              <w:rPr>
                <w:rFonts w:ascii="Arial" w:cs="Arial" w:eastAsia="Arial" w:hAnsi="Arial"/>
                <w:sz w:val="16"/>
                <w:szCs w:val="16"/>
                <w:color w:val="0000FF"/>
              </w:rPr>
            </w:pPr>
            <w:hyperlink r:id="rId162">
              <w:r>
                <w:rPr>
                  <w:rFonts w:ascii="Arial" w:cs="Arial" w:eastAsia="Arial" w:hAnsi="Arial"/>
                  <w:sz w:val="16"/>
                  <w:szCs w:val="16"/>
                  <w:color w:val="0000FF"/>
                </w:rPr>
                <w:t>Third Supplemental Indenture dated as of July 16, 2010 (filed as Exhibit 4 to Registrant’s Form 8-K filed on July 15, 2010).</w:t>
              </w:r>
            </w:hyperlink>
          </w:p>
        </w:tc>
        <w:tc>
          <w:tcPr>
            <w:tcW w:w="440" w:type="dxa"/>
            <w:vAlign w:val="bottom"/>
            <w:tcBorders>
              <w:bottom w:val="single" w:sz="8" w:color="CEFEE7"/>
              <w:right w:val="single" w:sz="8" w:color="CEFEE7"/>
            </w:tcBorders>
            <w:gridSpan w:val="16"/>
            <w:shd w:val="clear" w:color="auto" w:fill="CEFEE7"/>
          </w:tcPr>
          <w:p>
            <w:pPr>
              <w:spacing w:after="0"/>
              <w:rPr>
                <w:sz w:val="17"/>
                <w:szCs w:val="17"/>
                <w:color w:val="auto"/>
              </w:rPr>
            </w:pPr>
          </w:p>
        </w:tc>
        <w:tc>
          <w:tcPr>
            <w:tcW w:w="320" w:type="dxa"/>
            <w:vAlign w:val="bottom"/>
          </w:tcPr>
          <w:p>
            <w:pPr>
              <w:spacing w:after="0"/>
              <w:rPr>
                <w:sz w:val="17"/>
                <w:szCs w:val="17"/>
                <w:color w:val="auto"/>
              </w:rPr>
            </w:pPr>
          </w:p>
        </w:tc>
      </w:tr>
      <w:tr>
        <w:trPr>
          <w:trHeight w:val="175"/>
        </w:trPr>
        <w:tc>
          <w:tcPr>
            <w:tcW w:w="1360" w:type="dxa"/>
            <w:vAlign w:val="bottom"/>
            <w:gridSpan w:val="2"/>
          </w:tcPr>
          <w:p>
            <w:pPr>
              <w:ind w:left="460"/>
              <w:spacing w:after="0" w:line="175" w:lineRule="exact"/>
              <w:rPr>
                <w:sz w:val="20"/>
                <w:szCs w:val="20"/>
                <w:color w:val="auto"/>
              </w:rPr>
            </w:pPr>
            <w:r>
              <w:rPr>
                <w:rFonts w:ascii="Arial" w:cs="Arial" w:eastAsia="Arial" w:hAnsi="Arial"/>
                <w:sz w:val="16"/>
                <w:szCs w:val="16"/>
                <w:color w:val="auto"/>
              </w:rPr>
              <w:t>4.1.4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20" w:type="dxa"/>
            <w:vAlign w:val="bottom"/>
            <w:gridSpan w:val="36"/>
          </w:tcPr>
          <w:p>
            <w:pPr>
              <w:spacing w:after="0" w:line="175" w:lineRule="exact"/>
              <w:rPr>
                <w:rFonts w:ascii="Arial" w:cs="Arial" w:eastAsia="Arial" w:hAnsi="Arial"/>
                <w:sz w:val="16"/>
                <w:szCs w:val="16"/>
                <w:color w:val="0000FF"/>
              </w:rPr>
            </w:pPr>
            <w:hyperlink r:id="rId163">
              <w:r>
                <w:rPr>
                  <w:rFonts w:ascii="Arial" w:cs="Arial" w:eastAsia="Arial" w:hAnsi="Arial"/>
                  <w:sz w:val="16"/>
                  <w:szCs w:val="16"/>
                  <w:color w:val="0000FF"/>
                </w:rPr>
                <w:t>Fourth Supplemental Indenture dated as of November 19, 2013 (filed as Exhibit 4 to the Registrant’s Form 8-K filed on</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63">
              <w:r>
                <w:rPr>
                  <w:rFonts w:ascii="Arial" w:cs="Arial" w:eastAsia="Arial" w:hAnsi="Arial"/>
                  <w:sz w:val="16"/>
                  <w:szCs w:val="16"/>
                  <w:color w:val="0000FF"/>
                </w:rPr>
                <w:t>November 18, 2013).</w:t>
              </w:r>
            </w:hyperlink>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gridSpan w:val="3"/>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shd w:val="clear" w:color="auto" w:fill="CEFEE7"/>
          </w:tcPr>
          <w:p>
            <w:pPr>
              <w:ind w:left="120"/>
              <w:spacing w:after="0" w:line="175" w:lineRule="exact"/>
              <w:rPr>
                <w:sz w:val="20"/>
                <w:szCs w:val="20"/>
                <w:color w:val="auto"/>
              </w:rPr>
            </w:pPr>
            <w:r>
              <w:rPr>
                <w:rFonts w:ascii="Arial" w:cs="Arial" w:eastAsia="Arial" w:hAnsi="Arial"/>
                <w:sz w:val="16"/>
                <w:szCs w:val="16"/>
                <w:color w:val="auto"/>
              </w:rPr>
              <w:t>4.1.5</w:t>
            </w:r>
          </w:p>
        </w:tc>
        <w:tc>
          <w:tcPr>
            <w:tcW w:w="240" w:type="dxa"/>
            <w:vAlign w:val="bottom"/>
            <w:shd w:val="clear" w:color="auto" w:fill="CEFEE7"/>
          </w:tcPr>
          <w:p>
            <w:pPr>
              <w:spacing w:after="0"/>
              <w:rPr>
                <w:sz w:val="15"/>
                <w:szCs w:val="15"/>
                <w:color w:val="auto"/>
              </w:rPr>
            </w:pPr>
          </w:p>
        </w:tc>
        <w:tc>
          <w:tcPr>
            <w:tcW w:w="120" w:type="dxa"/>
            <w:vAlign w:val="bottom"/>
            <w:shd w:val="clear" w:color="auto" w:fill="CEFEE7"/>
          </w:tcPr>
          <w:p>
            <w:pPr>
              <w:spacing w:after="0"/>
              <w:rPr>
                <w:sz w:val="15"/>
                <w:szCs w:val="15"/>
                <w:color w:val="auto"/>
              </w:rPr>
            </w:pPr>
          </w:p>
        </w:tc>
        <w:tc>
          <w:tcPr>
            <w:tcW w:w="9200" w:type="dxa"/>
            <w:vAlign w:val="bottom"/>
            <w:tcBorders>
              <w:right w:val="single" w:sz="8" w:color="CEFEE7"/>
            </w:tcBorders>
            <w:gridSpan w:val="35"/>
            <w:shd w:val="clear" w:color="auto" w:fill="CEFEE7"/>
          </w:tcPr>
          <w:p>
            <w:pPr>
              <w:spacing w:after="0" w:line="175" w:lineRule="exact"/>
              <w:rPr>
                <w:rFonts w:ascii="Arial" w:cs="Arial" w:eastAsia="Arial" w:hAnsi="Arial"/>
                <w:sz w:val="16"/>
                <w:szCs w:val="16"/>
                <w:color w:val="0000FF"/>
              </w:rPr>
            </w:pPr>
            <w:hyperlink r:id="rId164">
              <w:r>
                <w:rPr>
                  <w:rFonts w:ascii="Arial" w:cs="Arial" w:eastAsia="Arial" w:hAnsi="Arial"/>
                  <w:sz w:val="16"/>
                  <w:szCs w:val="16"/>
                  <w:color w:val="0000FF"/>
                </w:rPr>
                <w:t>Fifth Supplemental Indenture dated as of January 13, 2016 (filed as Exhibit 4.1 to the Registrant’s Form 8-K filed on January 13,</w:t>
              </w:r>
            </w:hyperlink>
          </w:p>
        </w:tc>
        <w:tc>
          <w:tcPr>
            <w:tcW w:w="320" w:type="dxa"/>
            <w:vAlign w:val="bottom"/>
          </w:tcPr>
          <w:p>
            <w:pPr>
              <w:spacing w:after="0"/>
              <w:rPr>
                <w:sz w:val="15"/>
                <w:szCs w:val="15"/>
                <w:color w:val="auto"/>
              </w:rPr>
            </w:pPr>
          </w:p>
        </w:tc>
      </w:tr>
      <w:tr>
        <w:trPr>
          <w:trHeight w:val="168"/>
        </w:trPr>
        <w:tc>
          <w:tcPr>
            <w:tcW w:w="340" w:type="dxa"/>
            <w:vAlign w:val="bottom"/>
          </w:tcPr>
          <w:p>
            <w:pPr>
              <w:spacing w:after="0"/>
              <w:rPr>
                <w:sz w:val="14"/>
                <w:szCs w:val="14"/>
                <w:color w:val="auto"/>
              </w:rPr>
            </w:pPr>
          </w:p>
        </w:tc>
        <w:tc>
          <w:tcPr>
            <w:tcW w:w="1020" w:type="dxa"/>
            <w:vAlign w:val="bottom"/>
            <w:tcBorders>
              <w:top w:val="single" w:sz="8" w:color="CEFEE7"/>
              <w:bottom w:val="single" w:sz="8" w:color="CEFEE7"/>
            </w:tcBorders>
            <w:shd w:val="clear" w:color="auto" w:fill="CEFEE7"/>
          </w:tcPr>
          <w:p>
            <w:pPr>
              <w:spacing w:after="0"/>
              <w:rPr>
                <w:sz w:val="14"/>
                <w:szCs w:val="14"/>
                <w:color w:val="auto"/>
              </w:rPr>
            </w:pPr>
          </w:p>
        </w:tc>
        <w:tc>
          <w:tcPr>
            <w:tcW w:w="240" w:type="dxa"/>
            <w:vAlign w:val="bottom"/>
            <w:tcBorders>
              <w:top w:val="single" w:sz="8" w:color="CEFEE7"/>
              <w:bottom w:val="single" w:sz="8" w:color="CEFEE7"/>
            </w:tcBorders>
            <w:shd w:val="clear" w:color="auto" w:fill="CEFEE7"/>
          </w:tcPr>
          <w:p>
            <w:pPr>
              <w:spacing w:after="0"/>
              <w:rPr>
                <w:sz w:val="14"/>
                <w:szCs w:val="14"/>
                <w:color w:val="auto"/>
              </w:rPr>
            </w:pPr>
          </w:p>
        </w:tc>
        <w:tc>
          <w:tcPr>
            <w:tcW w:w="120" w:type="dxa"/>
            <w:vAlign w:val="bottom"/>
            <w:tcBorders>
              <w:top w:val="single" w:sz="8" w:color="CEFEE7"/>
              <w:bottom w:val="single" w:sz="8" w:color="CEFEE7"/>
            </w:tcBorders>
            <w:shd w:val="clear" w:color="auto" w:fill="CEFEE7"/>
          </w:tcPr>
          <w:p>
            <w:pPr>
              <w:spacing w:after="0"/>
              <w:rPr>
                <w:sz w:val="14"/>
                <w:szCs w:val="14"/>
                <w:color w:val="auto"/>
              </w:rPr>
            </w:pPr>
          </w:p>
        </w:tc>
        <w:tc>
          <w:tcPr>
            <w:tcW w:w="460" w:type="dxa"/>
            <w:vAlign w:val="bottom"/>
            <w:tcBorders>
              <w:top w:val="single" w:sz="8" w:color="0000FF"/>
              <w:bottom w:val="single" w:sz="8" w:color="0000FF"/>
            </w:tcBorders>
            <w:gridSpan w:val="2"/>
            <w:shd w:val="clear" w:color="auto" w:fill="CEFEE7"/>
          </w:tcPr>
          <w:p>
            <w:pPr>
              <w:spacing w:after="0" w:line="142" w:lineRule="exact"/>
              <w:rPr>
                <w:rFonts w:ascii="Arial" w:cs="Arial" w:eastAsia="Arial" w:hAnsi="Arial"/>
                <w:sz w:val="16"/>
                <w:szCs w:val="16"/>
                <w:color w:val="0000FF"/>
                <w:w w:val="96"/>
              </w:rPr>
            </w:pPr>
            <w:hyperlink r:id="rId164">
              <w:r>
                <w:rPr>
                  <w:rFonts w:ascii="Arial" w:cs="Arial" w:eastAsia="Arial" w:hAnsi="Arial"/>
                  <w:sz w:val="16"/>
                  <w:szCs w:val="16"/>
                  <w:color w:val="0000FF"/>
                  <w:w w:val="96"/>
                </w:rPr>
                <w:t>2016).</w:t>
              </w:r>
            </w:hyperlink>
          </w:p>
        </w:tc>
        <w:tc>
          <w:tcPr>
            <w:tcW w:w="160" w:type="dxa"/>
            <w:vAlign w:val="bottom"/>
            <w:tcBorders>
              <w:top w:val="single" w:sz="8" w:color="0000FF"/>
              <w:bottom w:val="single" w:sz="8" w:color="CEFEE7"/>
            </w:tcBorders>
            <w:shd w:val="clear" w:color="auto" w:fill="CEFEE7"/>
          </w:tcPr>
          <w:p>
            <w:pPr>
              <w:spacing w:after="0"/>
              <w:rPr>
                <w:sz w:val="14"/>
                <w:szCs w:val="14"/>
                <w:color w:val="auto"/>
              </w:rPr>
            </w:pPr>
          </w:p>
        </w:tc>
        <w:tc>
          <w:tcPr>
            <w:tcW w:w="100" w:type="dxa"/>
            <w:vAlign w:val="bottom"/>
            <w:tcBorders>
              <w:top w:val="single" w:sz="8" w:color="0000FF"/>
              <w:bottom w:val="single" w:sz="8" w:color="CEFEE7"/>
            </w:tcBorders>
            <w:shd w:val="clear" w:color="auto" w:fill="CEFEE7"/>
          </w:tcPr>
          <w:p>
            <w:pPr>
              <w:spacing w:after="0"/>
              <w:rPr>
                <w:sz w:val="14"/>
                <w:szCs w:val="14"/>
                <w:color w:val="auto"/>
              </w:rPr>
            </w:pPr>
          </w:p>
        </w:tc>
        <w:tc>
          <w:tcPr>
            <w:tcW w:w="800" w:type="dxa"/>
            <w:vAlign w:val="bottom"/>
            <w:tcBorders>
              <w:top w:val="single" w:sz="8" w:color="0000FF"/>
              <w:bottom w:val="single" w:sz="8" w:color="CEFEE7"/>
            </w:tcBorders>
            <w:shd w:val="clear" w:color="auto" w:fill="CEFEE7"/>
          </w:tcPr>
          <w:p>
            <w:pPr>
              <w:spacing w:after="0"/>
              <w:rPr>
                <w:sz w:val="14"/>
                <w:szCs w:val="14"/>
                <w:color w:val="auto"/>
              </w:rPr>
            </w:pPr>
          </w:p>
        </w:tc>
        <w:tc>
          <w:tcPr>
            <w:tcW w:w="56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1660" w:type="dxa"/>
            <w:vAlign w:val="bottom"/>
            <w:tcBorders>
              <w:top w:val="single" w:sz="8" w:color="0000FF"/>
              <w:bottom w:val="single" w:sz="8" w:color="CEFEE7"/>
            </w:tcBorders>
            <w:shd w:val="clear" w:color="auto" w:fill="CEFEE7"/>
          </w:tcPr>
          <w:p>
            <w:pPr>
              <w:spacing w:after="0"/>
              <w:rPr>
                <w:sz w:val="14"/>
                <w:szCs w:val="14"/>
                <w:color w:val="auto"/>
              </w:rPr>
            </w:pPr>
          </w:p>
        </w:tc>
        <w:tc>
          <w:tcPr>
            <w:tcW w:w="140" w:type="dxa"/>
            <w:vAlign w:val="bottom"/>
            <w:tcBorders>
              <w:top w:val="single" w:sz="8" w:color="0000FF"/>
              <w:bottom w:val="single" w:sz="8" w:color="CEFEE7"/>
            </w:tcBorders>
            <w:shd w:val="clear" w:color="auto" w:fill="CEFEE7"/>
          </w:tcPr>
          <w:p>
            <w:pPr>
              <w:spacing w:after="0"/>
              <w:rPr>
                <w:sz w:val="14"/>
                <w:szCs w:val="14"/>
                <w:color w:val="auto"/>
              </w:rPr>
            </w:pPr>
          </w:p>
        </w:tc>
        <w:tc>
          <w:tcPr>
            <w:tcW w:w="780" w:type="dxa"/>
            <w:vAlign w:val="bottom"/>
            <w:tcBorders>
              <w:top w:val="single" w:sz="8" w:color="0000FF"/>
              <w:bottom w:val="single" w:sz="8" w:color="CEFEE7"/>
            </w:tcBorders>
            <w:shd w:val="clear" w:color="auto" w:fill="CEFEE7"/>
          </w:tcPr>
          <w:p>
            <w:pPr>
              <w:spacing w:after="0"/>
              <w:rPr>
                <w:sz w:val="14"/>
                <w:szCs w:val="14"/>
                <w:color w:val="auto"/>
              </w:rPr>
            </w:pPr>
          </w:p>
        </w:tc>
        <w:tc>
          <w:tcPr>
            <w:tcW w:w="660" w:type="dxa"/>
            <w:vAlign w:val="bottom"/>
            <w:tcBorders>
              <w:top w:val="single" w:sz="8" w:color="0000FF"/>
              <w:bottom w:val="single" w:sz="8" w:color="CEFEE7"/>
            </w:tcBorders>
            <w:shd w:val="clear" w:color="auto" w:fill="CEFEE7"/>
          </w:tcPr>
          <w:p>
            <w:pPr>
              <w:spacing w:after="0"/>
              <w:rPr>
                <w:sz w:val="14"/>
                <w:szCs w:val="14"/>
                <w:color w:val="auto"/>
              </w:rPr>
            </w:pPr>
          </w:p>
        </w:tc>
        <w:tc>
          <w:tcPr>
            <w:tcW w:w="60" w:type="dxa"/>
            <w:vAlign w:val="bottom"/>
            <w:tcBorders>
              <w:top w:val="single" w:sz="8" w:color="0000FF"/>
              <w:bottom w:val="single" w:sz="8" w:color="CEFEE7"/>
            </w:tcBorders>
            <w:shd w:val="clear" w:color="auto" w:fill="CEFEE7"/>
          </w:tcPr>
          <w:p>
            <w:pPr>
              <w:spacing w:after="0"/>
              <w:rPr>
                <w:sz w:val="14"/>
                <w:szCs w:val="14"/>
                <w:color w:val="auto"/>
              </w:rPr>
            </w:pPr>
          </w:p>
        </w:tc>
        <w:tc>
          <w:tcPr>
            <w:tcW w:w="2140" w:type="dxa"/>
            <w:vAlign w:val="bottom"/>
            <w:tcBorders>
              <w:top w:val="single" w:sz="8" w:color="0000FF"/>
              <w:bottom w:val="single" w:sz="8" w:color="CEFEE7"/>
            </w:tcBorders>
            <w:shd w:val="clear" w:color="auto" w:fill="CEFEE7"/>
          </w:tcPr>
          <w:p>
            <w:pPr>
              <w:spacing w:after="0"/>
              <w:rPr>
                <w:sz w:val="14"/>
                <w:szCs w:val="14"/>
                <w:color w:val="auto"/>
              </w:rPr>
            </w:pPr>
          </w:p>
        </w:tc>
        <w:tc>
          <w:tcPr>
            <w:tcW w:w="300" w:type="dxa"/>
            <w:vAlign w:val="bottom"/>
            <w:tcBorders>
              <w:top w:val="single" w:sz="8" w:color="0000FF"/>
              <w:bottom w:val="single" w:sz="8" w:color="CEFEE7"/>
            </w:tcBorders>
            <w:shd w:val="clear" w:color="auto" w:fill="CEFEE7"/>
          </w:tcPr>
          <w:p>
            <w:pPr>
              <w:spacing w:after="0"/>
              <w:rPr>
                <w:sz w:val="14"/>
                <w:szCs w:val="14"/>
                <w:color w:val="auto"/>
              </w:rPr>
            </w:pPr>
          </w:p>
        </w:tc>
        <w:tc>
          <w:tcPr>
            <w:tcW w:w="620" w:type="dxa"/>
            <w:vAlign w:val="bottom"/>
            <w:tcBorders>
              <w:top w:val="single" w:sz="8" w:color="0000FF"/>
              <w:bottom w:val="single" w:sz="8" w:color="CEFEE7"/>
            </w:tcBorders>
            <w:shd w:val="clear" w:color="auto" w:fill="CEFEE7"/>
          </w:tcPr>
          <w:p>
            <w:pPr>
              <w:spacing w:after="0"/>
              <w:rPr>
                <w:sz w:val="14"/>
                <w:szCs w:val="14"/>
                <w:color w:val="auto"/>
              </w:rPr>
            </w:pPr>
          </w:p>
        </w:tc>
        <w:tc>
          <w:tcPr>
            <w:tcW w:w="24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60" w:type="dxa"/>
            <w:vAlign w:val="bottom"/>
            <w:tcBorders>
              <w:top w:val="single" w:sz="8" w:color="0000FF"/>
              <w:bottom w:val="single" w:sz="8" w:color="CEFEE7"/>
            </w:tcBorders>
            <w:shd w:val="clear" w:color="auto" w:fill="CEFEE7"/>
          </w:tcPr>
          <w:p>
            <w:pPr>
              <w:spacing w:after="0"/>
              <w:rPr>
                <w:sz w:val="14"/>
                <w:szCs w:val="14"/>
                <w:color w:val="auto"/>
              </w:rPr>
            </w:pPr>
          </w:p>
        </w:tc>
        <w:tc>
          <w:tcPr>
            <w:tcW w:w="8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40" w:type="dxa"/>
            <w:vAlign w:val="bottom"/>
            <w:tcBorders>
              <w:top w:val="single" w:sz="8" w:color="CEFEE7"/>
              <w:bottom w:val="single" w:sz="8" w:color="CEFEE7"/>
              <w:right w:val="single" w:sz="8" w:color="CEFEE7"/>
            </w:tcBorders>
            <w:shd w:val="clear" w:color="auto" w:fill="CEFEE7"/>
          </w:tcPr>
          <w:p>
            <w:pPr>
              <w:spacing w:after="0"/>
              <w:rPr>
                <w:sz w:val="14"/>
                <w:szCs w:val="14"/>
                <w:color w:val="auto"/>
              </w:rPr>
            </w:pPr>
          </w:p>
        </w:tc>
        <w:tc>
          <w:tcPr>
            <w:tcW w:w="320" w:type="dxa"/>
            <w:vAlign w:val="bottom"/>
          </w:tcPr>
          <w:p>
            <w:pPr>
              <w:spacing w:after="0"/>
              <w:rPr>
                <w:sz w:val="14"/>
                <w:szCs w:val="14"/>
                <w:color w:val="auto"/>
              </w:rPr>
            </w:pPr>
          </w:p>
        </w:tc>
      </w:tr>
      <w:tr>
        <w:trPr>
          <w:trHeight w:val="176"/>
        </w:trPr>
        <w:tc>
          <w:tcPr>
            <w:tcW w:w="340" w:type="dxa"/>
            <w:vAlign w:val="bottom"/>
          </w:tcPr>
          <w:p>
            <w:pPr>
              <w:spacing w:after="0"/>
              <w:rPr>
                <w:sz w:val="15"/>
                <w:szCs w:val="15"/>
                <w:color w:val="auto"/>
              </w:rPr>
            </w:pPr>
          </w:p>
        </w:tc>
        <w:tc>
          <w:tcPr>
            <w:tcW w:w="1020" w:type="dxa"/>
            <w:vAlign w:val="bottom"/>
            <w:tcBorders>
              <w:top w:val="single" w:sz="8" w:color="CEFEE7"/>
            </w:tcBorders>
          </w:tcPr>
          <w:p>
            <w:pPr>
              <w:ind w:left="120"/>
              <w:spacing w:after="0" w:line="175" w:lineRule="exact"/>
              <w:rPr>
                <w:sz w:val="20"/>
                <w:szCs w:val="20"/>
                <w:color w:val="auto"/>
              </w:rPr>
            </w:pPr>
            <w:r>
              <w:rPr>
                <w:rFonts w:ascii="Arial" w:cs="Arial" w:eastAsia="Arial" w:hAnsi="Arial"/>
                <w:sz w:val="16"/>
                <w:szCs w:val="16"/>
                <w:color w:val="auto"/>
              </w:rPr>
              <w:t>4.1.6</w:t>
            </w:r>
          </w:p>
        </w:tc>
        <w:tc>
          <w:tcPr>
            <w:tcW w:w="240" w:type="dxa"/>
            <w:vAlign w:val="bottom"/>
            <w:tcBorders>
              <w:top w:val="single" w:sz="8" w:color="CEFEE7"/>
            </w:tcBorders>
          </w:tcPr>
          <w:p>
            <w:pPr>
              <w:spacing w:after="0"/>
              <w:rPr>
                <w:sz w:val="15"/>
                <w:szCs w:val="15"/>
                <w:color w:val="auto"/>
              </w:rPr>
            </w:pPr>
          </w:p>
        </w:tc>
        <w:tc>
          <w:tcPr>
            <w:tcW w:w="120" w:type="dxa"/>
            <w:vAlign w:val="bottom"/>
            <w:tcBorders>
              <w:top w:val="single" w:sz="8" w:color="CEFEE7"/>
            </w:tcBorders>
          </w:tcPr>
          <w:p>
            <w:pPr>
              <w:spacing w:after="0"/>
              <w:rPr>
                <w:sz w:val="15"/>
                <w:szCs w:val="15"/>
                <w:color w:val="auto"/>
              </w:rPr>
            </w:pPr>
          </w:p>
        </w:tc>
        <w:tc>
          <w:tcPr>
            <w:tcW w:w="9200" w:type="dxa"/>
            <w:vAlign w:val="bottom"/>
            <w:tcBorders>
              <w:top w:val="single" w:sz="8" w:color="CEFEE7"/>
            </w:tcBorders>
            <w:gridSpan w:val="35"/>
          </w:tcPr>
          <w:p>
            <w:pPr>
              <w:spacing w:after="0" w:line="175" w:lineRule="exact"/>
              <w:rPr>
                <w:rFonts w:ascii="Arial" w:cs="Arial" w:eastAsia="Arial" w:hAnsi="Arial"/>
                <w:sz w:val="16"/>
                <w:szCs w:val="16"/>
                <w:color w:val="0000FF"/>
              </w:rPr>
            </w:pPr>
            <w:hyperlink r:id="rId165">
              <w:r>
                <w:rPr>
                  <w:rFonts w:ascii="Arial" w:cs="Arial" w:eastAsia="Arial" w:hAnsi="Arial"/>
                  <w:sz w:val="16"/>
                  <w:szCs w:val="16"/>
                  <w:color w:val="0000FF"/>
                </w:rPr>
                <w:t>Sixth Supplemental Indenture dated as of August 19, 2016 (filed as Exhibit 4.1 to the Registrant’s Form 8-K filed on August 19,</w:t>
              </w:r>
            </w:hyperlink>
          </w:p>
        </w:tc>
        <w:tc>
          <w:tcPr>
            <w:tcW w:w="32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6"/>
              </w:rPr>
            </w:pPr>
            <w:hyperlink r:id="rId165">
              <w:r>
                <w:rPr>
                  <w:rFonts w:ascii="Arial" w:cs="Arial" w:eastAsia="Arial" w:hAnsi="Arial"/>
                  <w:sz w:val="16"/>
                  <w:szCs w:val="16"/>
                  <w:color w:val="0000FF"/>
                  <w:w w:val="96"/>
                </w:rPr>
                <w:t>2016).</w:t>
              </w:r>
            </w:hyperlink>
          </w:p>
        </w:tc>
        <w:tc>
          <w:tcPr>
            <w:tcW w:w="1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1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shd w:val="clear" w:color="auto" w:fill="CEFEE7"/>
          </w:tcPr>
          <w:p>
            <w:pPr>
              <w:ind w:left="120"/>
              <w:spacing w:after="0" w:line="175" w:lineRule="exact"/>
              <w:rPr>
                <w:sz w:val="20"/>
                <w:szCs w:val="20"/>
                <w:color w:val="auto"/>
              </w:rPr>
            </w:pPr>
            <w:r>
              <w:rPr>
                <w:rFonts w:ascii="Arial" w:cs="Arial" w:eastAsia="Arial" w:hAnsi="Arial"/>
                <w:sz w:val="16"/>
                <w:szCs w:val="16"/>
                <w:color w:val="auto"/>
              </w:rPr>
              <w:t>4.1.7</w:t>
            </w:r>
          </w:p>
        </w:tc>
        <w:tc>
          <w:tcPr>
            <w:tcW w:w="240" w:type="dxa"/>
            <w:vAlign w:val="bottom"/>
            <w:shd w:val="clear" w:color="auto" w:fill="CEFEE7"/>
          </w:tcPr>
          <w:p>
            <w:pPr>
              <w:spacing w:after="0"/>
              <w:rPr>
                <w:sz w:val="15"/>
                <w:szCs w:val="15"/>
                <w:color w:val="auto"/>
              </w:rPr>
            </w:pPr>
          </w:p>
        </w:tc>
        <w:tc>
          <w:tcPr>
            <w:tcW w:w="120" w:type="dxa"/>
            <w:vAlign w:val="bottom"/>
            <w:shd w:val="clear" w:color="auto" w:fill="CEFEE7"/>
          </w:tcPr>
          <w:p>
            <w:pPr>
              <w:spacing w:after="0"/>
              <w:rPr>
                <w:sz w:val="15"/>
                <w:szCs w:val="15"/>
                <w:color w:val="auto"/>
              </w:rPr>
            </w:pPr>
          </w:p>
        </w:tc>
        <w:tc>
          <w:tcPr>
            <w:tcW w:w="9200" w:type="dxa"/>
            <w:vAlign w:val="bottom"/>
            <w:tcBorders>
              <w:right w:val="single" w:sz="8" w:color="CEFEE7"/>
            </w:tcBorders>
            <w:gridSpan w:val="35"/>
            <w:shd w:val="clear" w:color="auto" w:fill="CEFEE7"/>
          </w:tcPr>
          <w:p>
            <w:pPr>
              <w:spacing w:after="0" w:line="175" w:lineRule="exact"/>
              <w:rPr>
                <w:rFonts w:ascii="Arial" w:cs="Arial" w:eastAsia="Arial" w:hAnsi="Arial"/>
                <w:sz w:val="16"/>
                <w:szCs w:val="16"/>
                <w:color w:val="0000FF"/>
              </w:rPr>
            </w:pPr>
            <w:hyperlink r:id="rId166">
              <w:r>
                <w:rPr>
                  <w:rFonts w:ascii="Arial" w:cs="Arial" w:eastAsia="Arial" w:hAnsi="Arial"/>
                  <w:sz w:val="16"/>
                  <w:szCs w:val="16"/>
                  <w:color w:val="0000FF"/>
                </w:rPr>
                <w:t>Seventh Supplemental Indenture dated as of August 17, 2018 (filed as Exhibit 4.2 to the Registrant’s Form 8-K filed on August</w:t>
              </w:r>
            </w:hyperlink>
          </w:p>
        </w:tc>
        <w:tc>
          <w:tcPr>
            <w:tcW w:w="32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120" w:type="dxa"/>
            <w:vAlign w:val="bottom"/>
            <w:tcBorders>
              <w:top w:val="single" w:sz="8" w:color="CEFEE7"/>
            </w:tcBorders>
            <w:shd w:val="clear" w:color="auto" w:fill="CEFEE7"/>
          </w:tcPr>
          <w:p>
            <w:pPr>
              <w:spacing w:after="0"/>
              <w:rPr>
                <w:sz w:val="12"/>
                <w:szCs w:val="12"/>
                <w:color w:val="auto"/>
              </w:rPr>
            </w:pPr>
          </w:p>
        </w:tc>
        <w:tc>
          <w:tcPr>
            <w:tcW w:w="1520" w:type="dxa"/>
            <w:vAlign w:val="bottom"/>
            <w:tcBorders>
              <w:top w:val="single" w:sz="8" w:color="0000FF"/>
            </w:tcBorders>
            <w:gridSpan w:val="5"/>
            <w:shd w:val="clear" w:color="auto" w:fill="CEFEE7"/>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17, 2018).</w:t>
              </w:r>
            </w:hyperlink>
          </w:p>
        </w:tc>
        <w:tc>
          <w:tcPr>
            <w:tcW w:w="56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0000FF"/>
            </w:tcBorders>
            <w:shd w:val="clear" w:color="auto" w:fill="CEFEE7"/>
          </w:tcPr>
          <w:p>
            <w:pPr>
              <w:spacing w:after="0"/>
              <w:rPr>
                <w:sz w:val="12"/>
                <w:szCs w:val="12"/>
                <w:color w:val="auto"/>
              </w:rPr>
            </w:pPr>
          </w:p>
        </w:tc>
        <w:tc>
          <w:tcPr>
            <w:tcW w:w="1660" w:type="dxa"/>
            <w:vAlign w:val="bottom"/>
            <w:tcBorders>
              <w:top w:val="single" w:sz="8" w:color="0000FF"/>
            </w:tcBorders>
            <w:shd w:val="clear" w:color="auto" w:fill="CEFEE7"/>
          </w:tcPr>
          <w:p>
            <w:pPr>
              <w:spacing w:after="0"/>
              <w:rPr>
                <w:sz w:val="12"/>
                <w:szCs w:val="12"/>
                <w:color w:val="auto"/>
              </w:rPr>
            </w:pPr>
          </w:p>
        </w:tc>
        <w:tc>
          <w:tcPr>
            <w:tcW w:w="140" w:type="dxa"/>
            <w:vAlign w:val="bottom"/>
            <w:tcBorders>
              <w:top w:val="single" w:sz="8" w:color="0000FF"/>
            </w:tcBorders>
            <w:shd w:val="clear" w:color="auto" w:fill="CEFEE7"/>
          </w:tcPr>
          <w:p>
            <w:pPr>
              <w:spacing w:after="0"/>
              <w:rPr>
                <w:sz w:val="12"/>
                <w:szCs w:val="12"/>
                <w:color w:val="auto"/>
              </w:rPr>
            </w:pPr>
          </w:p>
        </w:tc>
        <w:tc>
          <w:tcPr>
            <w:tcW w:w="780" w:type="dxa"/>
            <w:vAlign w:val="bottom"/>
            <w:tcBorders>
              <w:top w:val="single" w:sz="8" w:color="0000FF"/>
            </w:tcBorders>
            <w:shd w:val="clear" w:color="auto" w:fill="CEFEE7"/>
          </w:tcPr>
          <w:p>
            <w:pPr>
              <w:spacing w:after="0"/>
              <w:rPr>
                <w:sz w:val="12"/>
                <w:szCs w:val="12"/>
                <w:color w:val="auto"/>
              </w:rPr>
            </w:pPr>
          </w:p>
        </w:tc>
        <w:tc>
          <w:tcPr>
            <w:tcW w:w="660" w:type="dxa"/>
            <w:vAlign w:val="bottom"/>
            <w:tcBorders>
              <w:top w:val="single" w:sz="8" w:color="0000FF"/>
            </w:tcBorders>
            <w:shd w:val="clear" w:color="auto" w:fill="CEFEE7"/>
          </w:tcPr>
          <w:p>
            <w:pPr>
              <w:spacing w:after="0"/>
              <w:rPr>
                <w:sz w:val="12"/>
                <w:szCs w:val="12"/>
                <w:color w:val="auto"/>
              </w:rPr>
            </w:pPr>
          </w:p>
        </w:tc>
        <w:tc>
          <w:tcPr>
            <w:tcW w:w="60" w:type="dxa"/>
            <w:vAlign w:val="bottom"/>
            <w:tcBorders>
              <w:top w:val="single" w:sz="8" w:color="0000FF"/>
            </w:tcBorders>
            <w:shd w:val="clear" w:color="auto" w:fill="CEFEE7"/>
          </w:tcPr>
          <w:p>
            <w:pPr>
              <w:spacing w:after="0"/>
              <w:rPr>
                <w:sz w:val="12"/>
                <w:szCs w:val="12"/>
                <w:color w:val="auto"/>
              </w:rPr>
            </w:pPr>
          </w:p>
        </w:tc>
        <w:tc>
          <w:tcPr>
            <w:tcW w:w="2140" w:type="dxa"/>
            <w:vAlign w:val="bottom"/>
            <w:tcBorders>
              <w:top w:val="single" w:sz="8" w:color="0000FF"/>
            </w:tcBorders>
            <w:shd w:val="clear" w:color="auto" w:fill="CEFEE7"/>
          </w:tcPr>
          <w:p>
            <w:pPr>
              <w:spacing w:after="0"/>
              <w:rPr>
                <w:sz w:val="12"/>
                <w:szCs w:val="12"/>
                <w:color w:val="auto"/>
              </w:rPr>
            </w:pPr>
          </w:p>
        </w:tc>
        <w:tc>
          <w:tcPr>
            <w:tcW w:w="300" w:type="dxa"/>
            <w:vAlign w:val="bottom"/>
            <w:tcBorders>
              <w:top w:val="single" w:sz="8" w:color="0000FF"/>
            </w:tcBorders>
            <w:shd w:val="clear" w:color="auto" w:fill="CEFEE7"/>
          </w:tcPr>
          <w:p>
            <w:pPr>
              <w:spacing w:after="0"/>
              <w:rPr>
                <w:sz w:val="12"/>
                <w:szCs w:val="12"/>
                <w:color w:val="auto"/>
              </w:rPr>
            </w:pPr>
          </w:p>
        </w:tc>
        <w:tc>
          <w:tcPr>
            <w:tcW w:w="620" w:type="dxa"/>
            <w:vAlign w:val="bottom"/>
            <w:tcBorders>
              <w:top w:val="single" w:sz="8" w:color="0000FF"/>
            </w:tcBorders>
            <w:shd w:val="clear" w:color="auto" w:fill="CEFEE7"/>
          </w:tcPr>
          <w:p>
            <w:pPr>
              <w:spacing w:after="0"/>
              <w:rPr>
                <w:sz w:val="12"/>
                <w:szCs w:val="12"/>
                <w:color w:val="auto"/>
              </w:rPr>
            </w:pPr>
          </w:p>
        </w:tc>
        <w:tc>
          <w:tcPr>
            <w:tcW w:w="24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0000FF"/>
            </w:tcBorders>
            <w:shd w:val="clear" w:color="auto" w:fill="CEFEE7"/>
          </w:tcPr>
          <w:p>
            <w:pPr>
              <w:spacing w:after="0"/>
              <w:rPr>
                <w:sz w:val="12"/>
                <w:szCs w:val="12"/>
                <w:color w:val="auto"/>
              </w:rPr>
            </w:pPr>
          </w:p>
        </w:tc>
        <w:tc>
          <w:tcPr>
            <w:tcW w:w="60" w:type="dxa"/>
            <w:vAlign w:val="bottom"/>
            <w:tcBorders>
              <w:top w:val="single" w:sz="8" w:color="0000FF"/>
            </w:tcBorders>
            <w:shd w:val="clear" w:color="auto" w:fill="CEFEE7"/>
          </w:tcPr>
          <w:p>
            <w:pPr>
              <w:spacing w:after="0"/>
              <w:rPr>
                <w:sz w:val="12"/>
                <w:szCs w:val="12"/>
                <w:color w:val="auto"/>
              </w:rPr>
            </w:pPr>
          </w:p>
        </w:tc>
        <w:tc>
          <w:tcPr>
            <w:tcW w:w="8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right w:val="single" w:sz="8" w:color="CEFEE7"/>
            </w:tcBorders>
            <w:shd w:val="clear" w:color="auto" w:fill="CEFEE7"/>
          </w:tcPr>
          <w:p>
            <w:pPr>
              <w:spacing w:after="0"/>
              <w:rPr>
                <w:sz w:val="12"/>
                <w:szCs w:val="12"/>
                <w:color w:val="auto"/>
              </w:rPr>
            </w:pPr>
          </w:p>
        </w:tc>
        <w:tc>
          <w:tcPr>
            <w:tcW w:w="320" w:type="dxa"/>
            <w:vAlign w:val="bottom"/>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340" w:type="dxa"/>
            <w:vAlign w:val="bottom"/>
            <w:tcBorders>
              <w:top w:val="single" w:sz="8" w:color="0000FF"/>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160" w:type="dxa"/>
            <w:vAlign w:val="bottom"/>
            <w:tcBorders>
              <w:top w:val="single" w:sz="8" w:color="0000FF"/>
            </w:tcBorders>
            <w:shd w:val="clear" w:color="auto" w:fill="CEFEE7"/>
          </w:tcPr>
          <w:p>
            <w:pPr>
              <w:spacing w:after="0" w:line="20" w:lineRule="exact"/>
              <w:rPr>
                <w:sz w:val="1"/>
                <w:szCs w:val="1"/>
                <w:color w:val="auto"/>
              </w:rPr>
            </w:pPr>
          </w:p>
        </w:tc>
        <w:tc>
          <w:tcPr>
            <w:tcW w:w="100" w:type="dxa"/>
            <w:vAlign w:val="bottom"/>
            <w:tcBorders>
              <w:top w:val="single" w:sz="8" w:color="0000FF"/>
            </w:tcBorders>
            <w:shd w:val="clear" w:color="auto" w:fill="CEFEE7"/>
          </w:tcPr>
          <w:p>
            <w:pPr>
              <w:spacing w:after="0" w:line="20" w:lineRule="exact"/>
              <w:rPr>
                <w:sz w:val="1"/>
                <w:szCs w:val="1"/>
                <w:color w:val="auto"/>
              </w:rPr>
            </w:pPr>
          </w:p>
        </w:tc>
        <w:tc>
          <w:tcPr>
            <w:tcW w:w="800" w:type="dxa"/>
            <w:vAlign w:val="bottom"/>
            <w:tcBorders>
              <w:top w:val="single" w:sz="8" w:color="CEFEE7"/>
            </w:tcBorders>
            <w:shd w:val="clear" w:color="auto" w:fill="CEFEE7"/>
          </w:tcPr>
          <w:p>
            <w:pPr>
              <w:spacing w:after="0" w:line="20" w:lineRule="exact"/>
              <w:rPr>
                <w:sz w:val="1"/>
                <w:szCs w:val="1"/>
                <w:color w:val="auto"/>
              </w:rPr>
            </w:pPr>
          </w:p>
        </w:tc>
        <w:tc>
          <w:tcPr>
            <w:tcW w:w="56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1660" w:type="dxa"/>
            <w:vAlign w:val="bottom"/>
            <w:tcBorders>
              <w:top w:val="single" w:sz="8" w:color="CEFEE7"/>
            </w:tcBorders>
            <w:shd w:val="clear" w:color="auto" w:fill="CEFEE7"/>
          </w:tcPr>
          <w:p>
            <w:pPr>
              <w:spacing w:after="0" w:line="20" w:lineRule="exact"/>
              <w:rPr>
                <w:sz w:val="1"/>
                <w:szCs w:val="1"/>
                <w:color w:val="auto"/>
              </w:rPr>
            </w:pPr>
          </w:p>
        </w:tc>
        <w:tc>
          <w:tcPr>
            <w:tcW w:w="140" w:type="dxa"/>
            <w:vAlign w:val="bottom"/>
            <w:tcBorders>
              <w:top w:val="single" w:sz="8" w:color="CEFEE7"/>
            </w:tcBorders>
            <w:shd w:val="clear" w:color="auto" w:fill="CEFEE7"/>
          </w:tcPr>
          <w:p>
            <w:pPr>
              <w:spacing w:after="0" w:line="20" w:lineRule="exact"/>
              <w:rPr>
                <w:sz w:val="1"/>
                <w:szCs w:val="1"/>
                <w:color w:val="auto"/>
              </w:rPr>
            </w:pPr>
          </w:p>
        </w:tc>
        <w:tc>
          <w:tcPr>
            <w:tcW w:w="780" w:type="dxa"/>
            <w:vAlign w:val="bottom"/>
            <w:tcBorders>
              <w:top w:val="single" w:sz="8" w:color="CEFEE7"/>
            </w:tcBorders>
            <w:shd w:val="clear" w:color="auto" w:fill="CEFEE7"/>
          </w:tcPr>
          <w:p>
            <w:pPr>
              <w:spacing w:after="0" w:line="20" w:lineRule="exact"/>
              <w:rPr>
                <w:sz w:val="1"/>
                <w:szCs w:val="1"/>
                <w:color w:val="auto"/>
              </w:rPr>
            </w:pPr>
          </w:p>
        </w:tc>
        <w:tc>
          <w:tcPr>
            <w:tcW w:w="66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214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6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tcPr>
          <w:p>
            <w:pPr>
              <w:ind w:left="120"/>
              <w:spacing w:after="0" w:line="175" w:lineRule="exact"/>
              <w:rPr>
                <w:sz w:val="20"/>
                <w:szCs w:val="20"/>
                <w:color w:val="auto"/>
              </w:rPr>
            </w:pPr>
            <w:r>
              <w:rPr>
                <w:rFonts w:ascii="Arial" w:cs="Arial" w:eastAsia="Arial" w:hAnsi="Arial"/>
                <w:sz w:val="16"/>
                <w:szCs w:val="16"/>
                <w:color w:val="auto"/>
              </w:rPr>
              <w:t>4.1.8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20" w:type="dxa"/>
            <w:vAlign w:val="bottom"/>
            <w:gridSpan w:val="36"/>
          </w:tcPr>
          <w:p>
            <w:pPr>
              <w:spacing w:after="0" w:line="175" w:lineRule="exact"/>
              <w:rPr>
                <w:rFonts w:ascii="Arial" w:cs="Arial" w:eastAsia="Arial" w:hAnsi="Arial"/>
                <w:sz w:val="16"/>
                <w:szCs w:val="16"/>
                <w:color w:val="0000FF"/>
              </w:rPr>
            </w:pPr>
            <w:hyperlink r:id="rId167">
              <w:r>
                <w:rPr>
                  <w:rFonts w:ascii="Arial" w:cs="Arial" w:eastAsia="Arial" w:hAnsi="Arial"/>
                  <w:sz w:val="16"/>
                  <w:szCs w:val="16"/>
                  <w:color w:val="0000FF"/>
                </w:rPr>
                <w:t>Eighth Supplemental Indenture dated as of October 3, 2019 (filed as Exhibit 4.1 to the Registrant’s Form 8-K filed on October 4,</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6"/>
              </w:rPr>
            </w:pPr>
            <w:hyperlink r:id="rId167">
              <w:r>
                <w:rPr>
                  <w:rFonts w:ascii="Arial" w:cs="Arial" w:eastAsia="Arial" w:hAnsi="Arial"/>
                  <w:sz w:val="16"/>
                  <w:szCs w:val="16"/>
                  <w:color w:val="0000FF"/>
                  <w:w w:val="96"/>
                </w:rPr>
                <w:t>2019).</w:t>
              </w:r>
            </w:hyperlink>
          </w:p>
        </w:tc>
        <w:tc>
          <w:tcPr>
            <w:tcW w:w="1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1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shd w:val="clear" w:color="auto" w:fill="CEFEE7"/>
          </w:tcPr>
          <w:p>
            <w:pPr>
              <w:ind w:left="120"/>
              <w:spacing w:after="0" w:line="175" w:lineRule="exact"/>
              <w:rPr>
                <w:sz w:val="20"/>
                <w:szCs w:val="20"/>
                <w:color w:val="auto"/>
              </w:rPr>
            </w:pPr>
            <w:r>
              <w:rPr>
                <w:rFonts w:ascii="Arial" w:cs="Arial" w:eastAsia="Arial" w:hAnsi="Arial"/>
                <w:sz w:val="16"/>
                <w:szCs w:val="16"/>
                <w:color w:val="auto"/>
              </w:rPr>
              <w:t>4.1.9</w:t>
            </w:r>
          </w:p>
        </w:tc>
        <w:tc>
          <w:tcPr>
            <w:tcW w:w="240" w:type="dxa"/>
            <w:vAlign w:val="bottom"/>
            <w:shd w:val="clear" w:color="auto" w:fill="CEFEE7"/>
          </w:tcPr>
          <w:p>
            <w:pPr>
              <w:spacing w:after="0"/>
              <w:rPr>
                <w:sz w:val="15"/>
                <w:szCs w:val="15"/>
                <w:color w:val="auto"/>
              </w:rPr>
            </w:pPr>
          </w:p>
        </w:tc>
        <w:tc>
          <w:tcPr>
            <w:tcW w:w="120" w:type="dxa"/>
            <w:vAlign w:val="bottom"/>
            <w:shd w:val="clear" w:color="auto" w:fill="CEFEE7"/>
          </w:tcPr>
          <w:p>
            <w:pPr>
              <w:spacing w:after="0"/>
              <w:rPr>
                <w:sz w:val="15"/>
                <w:szCs w:val="15"/>
                <w:color w:val="auto"/>
              </w:rPr>
            </w:pPr>
          </w:p>
        </w:tc>
        <w:tc>
          <w:tcPr>
            <w:tcW w:w="9200" w:type="dxa"/>
            <w:vAlign w:val="bottom"/>
            <w:tcBorders>
              <w:right w:val="single" w:sz="8" w:color="CEFEE7"/>
            </w:tcBorders>
            <w:gridSpan w:val="35"/>
            <w:shd w:val="clear" w:color="auto" w:fill="CEFEE7"/>
          </w:tcPr>
          <w:p>
            <w:pPr>
              <w:spacing w:after="0" w:line="175" w:lineRule="exact"/>
              <w:rPr>
                <w:rFonts w:ascii="Arial" w:cs="Arial" w:eastAsia="Arial" w:hAnsi="Arial"/>
                <w:sz w:val="16"/>
                <w:szCs w:val="16"/>
                <w:color w:val="0000FF"/>
              </w:rPr>
            </w:pPr>
            <w:hyperlink r:id="rId168">
              <w:r>
                <w:rPr>
                  <w:rFonts w:ascii="Arial" w:cs="Arial" w:eastAsia="Arial" w:hAnsi="Arial"/>
                  <w:sz w:val="16"/>
                  <w:szCs w:val="16"/>
                  <w:color w:val="0000FF"/>
                </w:rPr>
                <w:t>Ninth Supplemental Indenture dated as of June 17, 2020 (filed as Exhibit 4.1 to the Registrant’s Form 8-K filed on June 17,</w:t>
              </w:r>
            </w:hyperlink>
          </w:p>
        </w:tc>
        <w:tc>
          <w:tcPr>
            <w:tcW w:w="320" w:type="dxa"/>
            <w:vAlign w:val="bottom"/>
          </w:tcPr>
          <w:p>
            <w:pPr>
              <w:spacing w:after="0"/>
              <w:rPr>
                <w:sz w:val="15"/>
                <w:szCs w:val="15"/>
                <w:color w:val="auto"/>
              </w:rPr>
            </w:pPr>
          </w:p>
        </w:tc>
      </w:tr>
      <w:tr>
        <w:trPr>
          <w:trHeight w:val="168"/>
        </w:trPr>
        <w:tc>
          <w:tcPr>
            <w:tcW w:w="340" w:type="dxa"/>
            <w:vAlign w:val="bottom"/>
          </w:tcPr>
          <w:p>
            <w:pPr>
              <w:spacing w:after="0"/>
              <w:rPr>
                <w:sz w:val="14"/>
                <w:szCs w:val="14"/>
                <w:color w:val="auto"/>
              </w:rPr>
            </w:pPr>
          </w:p>
        </w:tc>
        <w:tc>
          <w:tcPr>
            <w:tcW w:w="1020" w:type="dxa"/>
            <w:vAlign w:val="bottom"/>
            <w:tcBorders>
              <w:top w:val="single" w:sz="8" w:color="CEFEE7"/>
              <w:bottom w:val="single" w:sz="8" w:color="CEFEE7"/>
            </w:tcBorders>
            <w:shd w:val="clear" w:color="auto" w:fill="CEFEE7"/>
          </w:tcPr>
          <w:p>
            <w:pPr>
              <w:spacing w:after="0"/>
              <w:rPr>
                <w:sz w:val="14"/>
                <w:szCs w:val="14"/>
                <w:color w:val="auto"/>
              </w:rPr>
            </w:pPr>
          </w:p>
        </w:tc>
        <w:tc>
          <w:tcPr>
            <w:tcW w:w="240" w:type="dxa"/>
            <w:vAlign w:val="bottom"/>
            <w:tcBorders>
              <w:top w:val="single" w:sz="8" w:color="CEFEE7"/>
              <w:bottom w:val="single" w:sz="8" w:color="CEFEE7"/>
            </w:tcBorders>
            <w:shd w:val="clear" w:color="auto" w:fill="CEFEE7"/>
          </w:tcPr>
          <w:p>
            <w:pPr>
              <w:spacing w:after="0"/>
              <w:rPr>
                <w:sz w:val="14"/>
                <w:szCs w:val="14"/>
                <w:color w:val="auto"/>
              </w:rPr>
            </w:pPr>
          </w:p>
        </w:tc>
        <w:tc>
          <w:tcPr>
            <w:tcW w:w="120" w:type="dxa"/>
            <w:vAlign w:val="bottom"/>
            <w:tcBorders>
              <w:top w:val="single" w:sz="8" w:color="CEFEE7"/>
              <w:bottom w:val="single" w:sz="8" w:color="CEFEE7"/>
            </w:tcBorders>
            <w:shd w:val="clear" w:color="auto" w:fill="CEFEE7"/>
          </w:tcPr>
          <w:p>
            <w:pPr>
              <w:spacing w:after="0"/>
              <w:rPr>
                <w:sz w:val="14"/>
                <w:szCs w:val="14"/>
                <w:color w:val="auto"/>
              </w:rPr>
            </w:pPr>
          </w:p>
        </w:tc>
        <w:tc>
          <w:tcPr>
            <w:tcW w:w="460" w:type="dxa"/>
            <w:vAlign w:val="bottom"/>
            <w:tcBorders>
              <w:top w:val="single" w:sz="8" w:color="0000FF"/>
              <w:bottom w:val="single" w:sz="8" w:color="0000FF"/>
            </w:tcBorders>
            <w:gridSpan w:val="2"/>
            <w:shd w:val="clear" w:color="auto" w:fill="CEFEE7"/>
          </w:tcPr>
          <w:p>
            <w:pPr>
              <w:spacing w:after="0" w:line="142" w:lineRule="exact"/>
              <w:rPr>
                <w:rFonts w:ascii="Arial" w:cs="Arial" w:eastAsia="Arial" w:hAnsi="Arial"/>
                <w:sz w:val="16"/>
                <w:szCs w:val="16"/>
                <w:color w:val="0000FF"/>
                <w:w w:val="96"/>
              </w:rPr>
            </w:pPr>
            <w:hyperlink r:id="rId168">
              <w:r>
                <w:rPr>
                  <w:rFonts w:ascii="Arial" w:cs="Arial" w:eastAsia="Arial" w:hAnsi="Arial"/>
                  <w:sz w:val="16"/>
                  <w:szCs w:val="16"/>
                  <w:color w:val="0000FF"/>
                  <w:w w:val="96"/>
                </w:rPr>
                <w:t>2020).</w:t>
              </w:r>
            </w:hyperlink>
          </w:p>
        </w:tc>
        <w:tc>
          <w:tcPr>
            <w:tcW w:w="160" w:type="dxa"/>
            <w:vAlign w:val="bottom"/>
            <w:tcBorders>
              <w:top w:val="single" w:sz="8" w:color="0000FF"/>
              <w:bottom w:val="single" w:sz="8" w:color="CEFEE7"/>
            </w:tcBorders>
            <w:shd w:val="clear" w:color="auto" w:fill="CEFEE7"/>
          </w:tcPr>
          <w:p>
            <w:pPr>
              <w:spacing w:after="0"/>
              <w:rPr>
                <w:sz w:val="14"/>
                <w:szCs w:val="14"/>
                <w:color w:val="auto"/>
              </w:rPr>
            </w:pPr>
          </w:p>
        </w:tc>
        <w:tc>
          <w:tcPr>
            <w:tcW w:w="100" w:type="dxa"/>
            <w:vAlign w:val="bottom"/>
            <w:tcBorders>
              <w:top w:val="single" w:sz="8" w:color="0000FF"/>
              <w:bottom w:val="single" w:sz="8" w:color="CEFEE7"/>
            </w:tcBorders>
            <w:shd w:val="clear" w:color="auto" w:fill="CEFEE7"/>
          </w:tcPr>
          <w:p>
            <w:pPr>
              <w:spacing w:after="0"/>
              <w:rPr>
                <w:sz w:val="14"/>
                <w:szCs w:val="14"/>
                <w:color w:val="auto"/>
              </w:rPr>
            </w:pPr>
          </w:p>
        </w:tc>
        <w:tc>
          <w:tcPr>
            <w:tcW w:w="800" w:type="dxa"/>
            <w:vAlign w:val="bottom"/>
            <w:tcBorders>
              <w:top w:val="single" w:sz="8" w:color="0000FF"/>
              <w:bottom w:val="single" w:sz="8" w:color="CEFEE7"/>
            </w:tcBorders>
            <w:shd w:val="clear" w:color="auto" w:fill="CEFEE7"/>
          </w:tcPr>
          <w:p>
            <w:pPr>
              <w:spacing w:after="0"/>
              <w:rPr>
                <w:sz w:val="14"/>
                <w:szCs w:val="14"/>
                <w:color w:val="auto"/>
              </w:rPr>
            </w:pPr>
          </w:p>
        </w:tc>
        <w:tc>
          <w:tcPr>
            <w:tcW w:w="56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1660" w:type="dxa"/>
            <w:vAlign w:val="bottom"/>
            <w:tcBorders>
              <w:top w:val="single" w:sz="8" w:color="0000FF"/>
              <w:bottom w:val="single" w:sz="8" w:color="CEFEE7"/>
            </w:tcBorders>
            <w:shd w:val="clear" w:color="auto" w:fill="CEFEE7"/>
          </w:tcPr>
          <w:p>
            <w:pPr>
              <w:spacing w:after="0"/>
              <w:rPr>
                <w:sz w:val="14"/>
                <w:szCs w:val="14"/>
                <w:color w:val="auto"/>
              </w:rPr>
            </w:pPr>
          </w:p>
        </w:tc>
        <w:tc>
          <w:tcPr>
            <w:tcW w:w="140" w:type="dxa"/>
            <w:vAlign w:val="bottom"/>
            <w:tcBorders>
              <w:top w:val="single" w:sz="8" w:color="0000FF"/>
              <w:bottom w:val="single" w:sz="8" w:color="CEFEE7"/>
            </w:tcBorders>
            <w:shd w:val="clear" w:color="auto" w:fill="CEFEE7"/>
          </w:tcPr>
          <w:p>
            <w:pPr>
              <w:spacing w:after="0"/>
              <w:rPr>
                <w:sz w:val="14"/>
                <w:szCs w:val="14"/>
                <w:color w:val="auto"/>
              </w:rPr>
            </w:pPr>
          </w:p>
        </w:tc>
        <w:tc>
          <w:tcPr>
            <w:tcW w:w="780" w:type="dxa"/>
            <w:vAlign w:val="bottom"/>
            <w:tcBorders>
              <w:top w:val="single" w:sz="8" w:color="0000FF"/>
              <w:bottom w:val="single" w:sz="8" w:color="CEFEE7"/>
            </w:tcBorders>
            <w:shd w:val="clear" w:color="auto" w:fill="CEFEE7"/>
          </w:tcPr>
          <w:p>
            <w:pPr>
              <w:spacing w:after="0"/>
              <w:rPr>
                <w:sz w:val="14"/>
                <w:szCs w:val="14"/>
                <w:color w:val="auto"/>
              </w:rPr>
            </w:pPr>
          </w:p>
        </w:tc>
        <w:tc>
          <w:tcPr>
            <w:tcW w:w="660" w:type="dxa"/>
            <w:vAlign w:val="bottom"/>
            <w:tcBorders>
              <w:top w:val="single" w:sz="8" w:color="0000FF"/>
              <w:bottom w:val="single" w:sz="8" w:color="CEFEE7"/>
            </w:tcBorders>
            <w:shd w:val="clear" w:color="auto" w:fill="CEFEE7"/>
          </w:tcPr>
          <w:p>
            <w:pPr>
              <w:spacing w:after="0"/>
              <w:rPr>
                <w:sz w:val="14"/>
                <w:szCs w:val="14"/>
                <w:color w:val="auto"/>
              </w:rPr>
            </w:pPr>
          </w:p>
        </w:tc>
        <w:tc>
          <w:tcPr>
            <w:tcW w:w="60" w:type="dxa"/>
            <w:vAlign w:val="bottom"/>
            <w:tcBorders>
              <w:top w:val="single" w:sz="8" w:color="0000FF"/>
              <w:bottom w:val="single" w:sz="8" w:color="CEFEE7"/>
            </w:tcBorders>
            <w:shd w:val="clear" w:color="auto" w:fill="CEFEE7"/>
          </w:tcPr>
          <w:p>
            <w:pPr>
              <w:spacing w:after="0"/>
              <w:rPr>
                <w:sz w:val="14"/>
                <w:szCs w:val="14"/>
                <w:color w:val="auto"/>
              </w:rPr>
            </w:pPr>
          </w:p>
        </w:tc>
        <w:tc>
          <w:tcPr>
            <w:tcW w:w="2140" w:type="dxa"/>
            <w:vAlign w:val="bottom"/>
            <w:tcBorders>
              <w:top w:val="single" w:sz="8" w:color="0000FF"/>
              <w:bottom w:val="single" w:sz="8" w:color="CEFEE7"/>
            </w:tcBorders>
            <w:shd w:val="clear" w:color="auto" w:fill="CEFEE7"/>
          </w:tcPr>
          <w:p>
            <w:pPr>
              <w:spacing w:after="0"/>
              <w:rPr>
                <w:sz w:val="14"/>
                <w:szCs w:val="14"/>
                <w:color w:val="auto"/>
              </w:rPr>
            </w:pPr>
          </w:p>
        </w:tc>
        <w:tc>
          <w:tcPr>
            <w:tcW w:w="300" w:type="dxa"/>
            <w:vAlign w:val="bottom"/>
            <w:tcBorders>
              <w:top w:val="single" w:sz="8" w:color="0000FF"/>
              <w:bottom w:val="single" w:sz="8" w:color="CEFEE7"/>
            </w:tcBorders>
            <w:shd w:val="clear" w:color="auto" w:fill="CEFEE7"/>
          </w:tcPr>
          <w:p>
            <w:pPr>
              <w:spacing w:after="0"/>
              <w:rPr>
                <w:sz w:val="14"/>
                <w:szCs w:val="14"/>
                <w:color w:val="auto"/>
              </w:rPr>
            </w:pPr>
          </w:p>
        </w:tc>
        <w:tc>
          <w:tcPr>
            <w:tcW w:w="620" w:type="dxa"/>
            <w:vAlign w:val="bottom"/>
            <w:tcBorders>
              <w:top w:val="single" w:sz="8" w:color="0000FF"/>
              <w:bottom w:val="single" w:sz="8" w:color="CEFEE7"/>
            </w:tcBorders>
            <w:shd w:val="clear" w:color="auto" w:fill="CEFEE7"/>
          </w:tcPr>
          <w:p>
            <w:pPr>
              <w:spacing w:after="0"/>
              <w:rPr>
                <w:sz w:val="14"/>
                <w:szCs w:val="14"/>
                <w:color w:val="auto"/>
              </w:rPr>
            </w:pPr>
          </w:p>
        </w:tc>
        <w:tc>
          <w:tcPr>
            <w:tcW w:w="24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60" w:type="dxa"/>
            <w:vAlign w:val="bottom"/>
            <w:tcBorders>
              <w:top w:val="single" w:sz="8" w:color="CEFEE7"/>
              <w:bottom w:val="single" w:sz="8" w:color="CEFEE7"/>
            </w:tcBorders>
            <w:shd w:val="clear" w:color="auto" w:fill="CEFEE7"/>
          </w:tcPr>
          <w:p>
            <w:pPr>
              <w:spacing w:after="0"/>
              <w:rPr>
                <w:sz w:val="14"/>
                <w:szCs w:val="14"/>
                <w:color w:val="auto"/>
              </w:rPr>
            </w:pPr>
          </w:p>
        </w:tc>
        <w:tc>
          <w:tcPr>
            <w:tcW w:w="8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40" w:type="dxa"/>
            <w:vAlign w:val="bottom"/>
            <w:tcBorders>
              <w:top w:val="single" w:sz="8" w:color="CEFEE7"/>
              <w:bottom w:val="single" w:sz="8" w:color="CEFEE7"/>
              <w:right w:val="single" w:sz="8" w:color="CEFEE7"/>
            </w:tcBorders>
            <w:shd w:val="clear" w:color="auto" w:fill="CEFEE7"/>
          </w:tcPr>
          <w:p>
            <w:pPr>
              <w:spacing w:after="0"/>
              <w:rPr>
                <w:sz w:val="14"/>
                <w:szCs w:val="14"/>
                <w:color w:val="auto"/>
              </w:rPr>
            </w:pPr>
          </w:p>
        </w:tc>
        <w:tc>
          <w:tcPr>
            <w:tcW w:w="320" w:type="dxa"/>
            <w:vAlign w:val="bottom"/>
          </w:tcPr>
          <w:p>
            <w:pPr>
              <w:spacing w:after="0"/>
              <w:rPr>
                <w:sz w:val="14"/>
                <w:szCs w:val="14"/>
                <w:color w:val="auto"/>
              </w:rPr>
            </w:pPr>
          </w:p>
        </w:tc>
      </w:tr>
      <w:tr>
        <w:trPr>
          <w:trHeight w:val="176"/>
        </w:trPr>
        <w:tc>
          <w:tcPr>
            <w:tcW w:w="340" w:type="dxa"/>
            <w:vAlign w:val="bottom"/>
          </w:tcPr>
          <w:p>
            <w:pPr>
              <w:spacing w:after="0"/>
              <w:rPr>
                <w:sz w:val="15"/>
                <w:szCs w:val="15"/>
                <w:color w:val="auto"/>
              </w:rPr>
            </w:pPr>
          </w:p>
        </w:tc>
        <w:tc>
          <w:tcPr>
            <w:tcW w:w="1020" w:type="dxa"/>
            <w:vAlign w:val="bottom"/>
            <w:tcBorders>
              <w:top w:val="single" w:sz="8" w:color="CEFEE7"/>
            </w:tcBorders>
          </w:tcPr>
          <w:p>
            <w:pPr>
              <w:ind w:left="120"/>
              <w:spacing w:after="0" w:line="175" w:lineRule="exact"/>
              <w:rPr>
                <w:sz w:val="20"/>
                <w:szCs w:val="20"/>
                <w:color w:val="auto"/>
              </w:rPr>
            </w:pPr>
            <w:r>
              <w:rPr>
                <w:rFonts w:ascii="Arial" w:cs="Arial" w:eastAsia="Arial" w:hAnsi="Arial"/>
                <w:sz w:val="16"/>
                <w:szCs w:val="16"/>
                <w:color w:val="auto"/>
              </w:rPr>
              <w:t>4.1.10</w:t>
            </w:r>
          </w:p>
        </w:tc>
        <w:tc>
          <w:tcPr>
            <w:tcW w:w="240" w:type="dxa"/>
            <w:vAlign w:val="bottom"/>
            <w:tcBorders>
              <w:top w:val="single" w:sz="8" w:color="CEFEE7"/>
            </w:tcBorders>
          </w:tcPr>
          <w:p>
            <w:pPr>
              <w:spacing w:after="0"/>
              <w:rPr>
                <w:sz w:val="15"/>
                <w:szCs w:val="15"/>
                <w:color w:val="auto"/>
              </w:rPr>
            </w:pPr>
          </w:p>
        </w:tc>
        <w:tc>
          <w:tcPr>
            <w:tcW w:w="120" w:type="dxa"/>
            <w:vAlign w:val="bottom"/>
            <w:tcBorders>
              <w:top w:val="single" w:sz="8" w:color="CEFEE7"/>
            </w:tcBorders>
          </w:tcPr>
          <w:p>
            <w:pPr>
              <w:spacing w:after="0"/>
              <w:rPr>
                <w:sz w:val="15"/>
                <w:szCs w:val="15"/>
                <w:color w:val="auto"/>
              </w:rPr>
            </w:pPr>
          </w:p>
        </w:tc>
        <w:tc>
          <w:tcPr>
            <w:tcW w:w="9200" w:type="dxa"/>
            <w:vAlign w:val="bottom"/>
            <w:tcBorders>
              <w:top w:val="single" w:sz="8" w:color="CEFEE7"/>
            </w:tcBorders>
            <w:gridSpan w:val="35"/>
          </w:tcPr>
          <w:p>
            <w:pPr>
              <w:spacing w:after="0" w:line="175" w:lineRule="exact"/>
              <w:rPr>
                <w:rFonts w:ascii="Arial" w:cs="Arial" w:eastAsia="Arial" w:hAnsi="Arial"/>
                <w:sz w:val="16"/>
                <w:szCs w:val="16"/>
                <w:color w:val="0000FF"/>
              </w:rPr>
            </w:pPr>
            <w:hyperlink r:id="rId169">
              <w:r>
                <w:rPr>
                  <w:rFonts w:ascii="Arial" w:cs="Arial" w:eastAsia="Arial" w:hAnsi="Arial"/>
                  <w:sz w:val="16"/>
                  <w:szCs w:val="16"/>
                  <w:color w:val="0000FF"/>
                </w:rPr>
                <w:t>Tenth Supplemental Indenture dated as of August 26, 2021 (filed as Exhibit 4.1 to the Registrant’s Form 8-K filed on August 26,</w:t>
              </w:r>
            </w:hyperlink>
          </w:p>
        </w:tc>
        <w:tc>
          <w:tcPr>
            <w:tcW w:w="32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6"/>
              </w:rPr>
            </w:pPr>
            <w:hyperlink r:id="rId169">
              <w:r>
                <w:rPr>
                  <w:rFonts w:ascii="Arial" w:cs="Arial" w:eastAsia="Arial" w:hAnsi="Arial"/>
                  <w:sz w:val="16"/>
                  <w:szCs w:val="16"/>
                  <w:color w:val="0000FF"/>
                  <w:w w:val="96"/>
                </w:rPr>
                <w:t>2021).</w:t>
              </w:r>
            </w:hyperlink>
          </w:p>
        </w:tc>
        <w:tc>
          <w:tcPr>
            <w:tcW w:w="1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1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shd w:val="clear" w:color="auto" w:fill="CEFEE7"/>
          </w:tcPr>
          <w:p>
            <w:pPr>
              <w:jc w:val="right"/>
              <w:ind w:right="699"/>
              <w:spacing w:after="0" w:line="175" w:lineRule="exact"/>
              <w:rPr>
                <w:sz w:val="20"/>
                <w:szCs w:val="20"/>
                <w:color w:val="auto"/>
              </w:rPr>
            </w:pPr>
            <w:r>
              <w:rPr>
                <w:rFonts w:ascii="Arial" w:cs="Arial" w:eastAsia="Arial" w:hAnsi="Arial"/>
                <w:sz w:val="16"/>
                <w:szCs w:val="16"/>
                <w:color w:val="auto"/>
                <w:w w:val="98"/>
              </w:rPr>
              <w:t>4.2</w:t>
            </w:r>
          </w:p>
        </w:tc>
        <w:tc>
          <w:tcPr>
            <w:tcW w:w="240" w:type="dxa"/>
            <w:vAlign w:val="bottom"/>
            <w:shd w:val="clear" w:color="auto" w:fill="CEFEE7"/>
          </w:tcPr>
          <w:p>
            <w:pPr>
              <w:spacing w:after="0"/>
              <w:rPr>
                <w:sz w:val="15"/>
                <w:szCs w:val="15"/>
                <w:color w:val="auto"/>
              </w:rPr>
            </w:pPr>
          </w:p>
        </w:tc>
        <w:tc>
          <w:tcPr>
            <w:tcW w:w="9320" w:type="dxa"/>
            <w:vAlign w:val="bottom"/>
            <w:tcBorders>
              <w:right w:val="single" w:sz="8" w:color="CEFEE7"/>
            </w:tcBorders>
            <w:gridSpan w:val="36"/>
            <w:shd w:val="clear" w:color="auto" w:fill="CEFEE7"/>
          </w:tcPr>
          <w:p>
            <w:pPr>
              <w:spacing w:after="0" w:line="175" w:lineRule="exact"/>
              <w:rPr>
                <w:rFonts w:ascii="Arial" w:cs="Arial" w:eastAsia="Arial" w:hAnsi="Arial"/>
                <w:sz w:val="16"/>
                <w:szCs w:val="16"/>
                <w:color w:val="0000FF"/>
              </w:rPr>
            </w:pPr>
            <w:hyperlink r:id="rId170">
              <w:r>
                <w:rPr>
                  <w:rFonts w:ascii="Arial" w:cs="Arial" w:eastAsia="Arial" w:hAnsi="Arial"/>
                  <w:sz w:val="16"/>
                  <w:szCs w:val="16"/>
                  <w:color w:val="0000FF"/>
                </w:rPr>
                <w:t>Restated and Amended Indenture of Mortgage and Deed of Trust of Black Hills Corporation (now called Black Hills Power, Inc.)</w:t>
              </w:r>
            </w:hyperlink>
          </w:p>
        </w:tc>
        <w:tc>
          <w:tcPr>
            <w:tcW w:w="32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9120" w:type="dxa"/>
            <w:vAlign w:val="bottom"/>
            <w:tcBorders>
              <w:top w:val="single" w:sz="8" w:color="0000FF"/>
            </w:tcBorders>
            <w:gridSpan w:val="27"/>
            <w:shd w:val="clear" w:color="auto" w:fill="CEFEE7"/>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dated as of September 1, 1999 (filed as Exhibit 4.19 to the Registrant’s Post-Effective Amendment No. 1 to the Registrant’s</w:t>
              </w:r>
            </w:hyperlink>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100" w:type="dxa"/>
            <w:vAlign w:val="bottom"/>
            <w:tcBorders>
              <w:top w:val="single" w:sz="8" w:color="CEFEE7"/>
              <w:right w:val="single" w:sz="8" w:color="CEFEE7"/>
            </w:tcBorders>
            <w:gridSpan w:val="4"/>
            <w:shd w:val="clear" w:color="auto" w:fill="CEFEE7"/>
          </w:tcPr>
          <w:p>
            <w:pPr>
              <w:spacing w:after="0"/>
              <w:rPr>
                <w:sz w:val="12"/>
                <w:szCs w:val="12"/>
                <w:color w:val="auto"/>
              </w:rPr>
            </w:pPr>
          </w:p>
        </w:tc>
        <w:tc>
          <w:tcPr>
            <w:tcW w:w="320" w:type="dxa"/>
            <w:vAlign w:val="bottom"/>
          </w:tcPr>
          <w:p>
            <w:pPr>
              <w:spacing w:after="0"/>
              <w:rPr>
                <w:sz w:val="12"/>
                <w:szCs w:val="12"/>
                <w:color w:val="auto"/>
              </w:rPr>
            </w:pPr>
          </w:p>
        </w:tc>
      </w:tr>
      <w:tr>
        <w:trPr>
          <w:trHeight w:val="163"/>
        </w:trPr>
        <w:tc>
          <w:tcPr>
            <w:tcW w:w="340" w:type="dxa"/>
            <w:vAlign w:val="bottom"/>
          </w:tcPr>
          <w:p>
            <w:pPr>
              <w:spacing w:after="0"/>
              <w:rPr>
                <w:sz w:val="14"/>
                <w:szCs w:val="14"/>
                <w:color w:val="auto"/>
              </w:rPr>
            </w:pPr>
          </w:p>
        </w:tc>
        <w:tc>
          <w:tcPr>
            <w:tcW w:w="1020" w:type="dxa"/>
            <w:vAlign w:val="bottom"/>
            <w:tcBorders>
              <w:top w:val="single" w:sz="8" w:color="CEFEE7"/>
              <w:bottom w:val="single" w:sz="8" w:color="CEFEE7"/>
            </w:tcBorders>
            <w:shd w:val="clear" w:color="auto" w:fill="CEFEE7"/>
          </w:tcPr>
          <w:p>
            <w:pPr>
              <w:spacing w:after="0"/>
              <w:rPr>
                <w:sz w:val="14"/>
                <w:szCs w:val="14"/>
                <w:color w:val="auto"/>
              </w:rPr>
            </w:pPr>
          </w:p>
        </w:tc>
        <w:tc>
          <w:tcPr>
            <w:tcW w:w="240" w:type="dxa"/>
            <w:vAlign w:val="bottom"/>
            <w:tcBorders>
              <w:top w:val="single" w:sz="8" w:color="CEFEE7"/>
              <w:bottom w:val="single" w:sz="8" w:color="CEFEE7"/>
            </w:tcBorders>
            <w:shd w:val="clear" w:color="auto" w:fill="CEFEE7"/>
          </w:tcPr>
          <w:p>
            <w:pPr>
              <w:spacing w:after="0"/>
              <w:rPr>
                <w:sz w:val="14"/>
                <w:szCs w:val="14"/>
                <w:color w:val="auto"/>
              </w:rPr>
            </w:pPr>
          </w:p>
        </w:tc>
        <w:tc>
          <w:tcPr>
            <w:tcW w:w="4020" w:type="dxa"/>
            <w:vAlign w:val="bottom"/>
            <w:tcBorders>
              <w:top w:val="single" w:sz="8" w:color="0000FF"/>
              <w:bottom w:val="single" w:sz="8" w:color="0000FF"/>
            </w:tcBorders>
            <w:gridSpan w:val="10"/>
            <w:shd w:val="clear" w:color="auto" w:fill="CEFEE7"/>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Registration Statement on Form S-3 (No. 333-150669)).</w:t>
              </w:r>
            </w:hyperlink>
          </w:p>
        </w:tc>
        <w:tc>
          <w:tcPr>
            <w:tcW w:w="4800" w:type="dxa"/>
            <w:vAlign w:val="bottom"/>
            <w:tcBorders>
              <w:top w:val="single" w:sz="8" w:color="0000FF"/>
              <w:bottom w:val="single" w:sz="8" w:color="CEFEE7"/>
            </w:tcBorders>
            <w:gridSpan w:val="7"/>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80" w:type="dxa"/>
            <w:vAlign w:val="bottom"/>
            <w:tcBorders>
              <w:top w:val="single" w:sz="8" w:color="CEFEE7"/>
              <w:bottom w:val="single" w:sz="8" w:color="CEFEE7"/>
            </w:tcBorders>
            <w:gridSpan w:val="4"/>
            <w:shd w:val="clear" w:color="auto" w:fill="CEFEE7"/>
          </w:tcPr>
          <w:p>
            <w:pPr>
              <w:spacing w:after="0"/>
              <w:rPr>
                <w:sz w:val="14"/>
                <w:szCs w:val="14"/>
                <w:color w:val="auto"/>
              </w:rPr>
            </w:pPr>
          </w:p>
        </w:tc>
        <w:tc>
          <w:tcPr>
            <w:tcW w:w="80" w:type="dxa"/>
            <w:vAlign w:val="bottom"/>
            <w:tcBorders>
              <w:top w:val="single" w:sz="8" w:color="CEFEE7"/>
              <w:bottom w:val="single" w:sz="8" w:color="CEFEE7"/>
            </w:tcBorders>
            <w:gridSpan w:val="2"/>
            <w:shd w:val="clear" w:color="auto" w:fill="CEFEE7"/>
          </w:tcPr>
          <w:p>
            <w:pPr>
              <w:spacing w:after="0"/>
              <w:rPr>
                <w:sz w:val="14"/>
                <w:szCs w:val="14"/>
                <w:color w:val="auto"/>
              </w:rPr>
            </w:pPr>
          </w:p>
        </w:tc>
        <w:tc>
          <w:tcPr>
            <w:tcW w:w="8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40" w:type="dxa"/>
            <w:vAlign w:val="bottom"/>
            <w:tcBorders>
              <w:top w:val="single" w:sz="8" w:color="CEFEE7"/>
              <w:bottom w:val="single" w:sz="8" w:color="CEFEE7"/>
            </w:tcBorders>
            <w:gridSpan w:val="2"/>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100" w:type="dxa"/>
            <w:vAlign w:val="bottom"/>
            <w:tcBorders>
              <w:top w:val="single" w:sz="8" w:color="CEFEE7"/>
              <w:bottom w:val="single" w:sz="8" w:color="CEFEE7"/>
              <w:right w:val="single" w:sz="8" w:color="CEFEE7"/>
            </w:tcBorders>
            <w:gridSpan w:val="4"/>
            <w:shd w:val="clear" w:color="auto" w:fill="CEFEE7"/>
          </w:tcPr>
          <w:p>
            <w:pPr>
              <w:spacing w:after="0"/>
              <w:rPr>
                <w:sz w:val="14"/>
                <w:szCs w:val="14"/>
                <w:color w:val="auto"/>
              </w:rPr>
            </w:pPr>
          </w:p>
        </w:tc>
        <w:tc>
          <w:tcPr>
            <w:tcW w:w="320" w:type="dxa"/>
            <w:vAlign w:val="bottom"/>
          </w:tcPr>
          <w:p>
            <w:pPr>
              <w:spacing w:after="0"/>
              <w:rPr>
                <w:sz w:val="14"/>
                <w:szCs w:val="14"/>
                <w:color w:val="auto"/>
              </w:rPr>
            </w:pPr>
          </w:p>
        </w:tc>
      </w:tr>
      <w:tr>
        <w:trPr>
          <w:trHeight w:val="175"/>
        </w:trPr>
        <w:tc>
          <w:tcPr>
            <w:tcW w:w="1360" w:type="dxa"/>
            <w:vAlign w:val="bottom"/>
            <w:gridSpan w:val="2"/>
          </w:tcPr>
          <w:p>
            <w:pPr>
              <w:ind w:left="460"/>
              <w:spacing w:after="0" w:line="175" w:lineRule="exact"/>
              <w:rPr>
                <w:sz w:val="20"/>
                <w:szCs w:val="20"/>
                <w:color w:val="auto"/>
              </w:rPr>
            </w:pPr>
            <w:r>
              <w:rPr>
                <w:rFonts w:ascii="Arial" w:cs="Arial" w:eastAsia="Arial" w:hAnsi="Arial"/>
                <w:sz w:val="16"/>
                <w:szCs w:val="16"/>
                <w:color w:val="auto"/>
              </w:rPr>
              <w:t>4.2.1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20" w:type="dxa"/>
            <w:vAlign w:val="bottom"/>
            <w:gridSpan w:val="36"/>
          </w:tcPr>
          <w:p>
            <w:pPr>
              <w:spacing w:after="0" w:line="175" w:lineRule="exact"/>
              <w:rPr>
                <w:rFonts w:ascii="Arial" w:cs="Arial" w:eastAsia="Arial" w:hAnsi="Arial"/>
                <w:sz w:val="16"/>
                <w:szCs w:val="16"/>
                <w:color w:val="0000FF"/>
              </w:rPr>
            </w:pPr>
            <w:hyperlink r:id="rId171">
              <w:r>
                <w:rPr>
                  <w:rFonts w:ascii="Arial" w:cs="Arial" w:eastAsia="Arial" w:hAnsi="Arial"/>
                  <w:sz w:val="16"/>
                  <w:szCs w:val="16"/>
                  <w:color w:val="0000FF"/>
                </w:rPr>
                <w:t>First Supplemental Indenture, dated as of August 13, 2002, between Black Hills Power, Inc. and The Bank of New York Mellon</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60" w:type="dxa"/>
            <w:vAlign w:val="bottom"/>
            <w:tcBorders>
              <w:top w:val="single" w:sz="8" w:color="0000FF"/>
              <w:bottom w:val="single" w:sz="8" w:color="0000FF"/>
            </w:tcBorders>
            <w:gridSpan w:val="29"/>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(as successor to JPMorgan Chase Bank), as Trustee (filed as Exhibit 4.20 to the Registrant’s Post-Effective Amendment No. 1</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5"/>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80" w:type="dxa"/>
            <w:vAlign w:val="bottom"/>
            <w:gridSpan w:val="30"/>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to the Registrant’s Registration Statement on Form S</w:t>
              </w:r>
              <w:r>
                <w:rPr>
                  <w:rFonts w:ascii="MS PGothic" w:cs="MS PGothic" w:eastAsia="MS PGothic" w:hAnsi="MS PGothic"/>
                  <w:sz w:val="16"/>
                  <w:szCs w:val="16"/>
                  <w:color w:val="0000FF"/>
                </w:rPr>
                <w:t>‑</w:t>
              </w:r>
              <w:r>
                <w:rPr>
                  <w:rFonts w:ascii="Arial" w:cs="Arial" w:eastAsia="Arial" w:hAnsi="Arial"/>
                  <w:sz w:val="16"/>
                  <w:szCs w:val="16"/>
                  <w:color w:val="0000FF"/>
                </w:rPr>
                <w:t>3 (No. 333</w:t>
              </w:r>
              <w:r>
                <w:rPr>
                  <w:rFonts w:ascii="MS PGothic" w:cs="MS PGothic" w:eastAsia="MS PGothic" w:hAnsi="MS PGothic"/>
                  <w:sz w:val="16"/>
                  <w:szCs w:val="16"/>
                  <w:color w:val="0000FF"/>
                </w:rPr>
                <w:t>‑</w:t>
              </w:r>
              <w:r>
                <w:rPr>
                  <w:rFonts w:ascii="Arial" w:cs="Arial" w:eastAsia="Arial" w:hAnsi="Arial"/>
                  <w:sz w:val="16"/>
                  <w:szCs w:val="16"/>
                  <w:color w:val="0000FF"/>
                </w:rPr>
                <w:t>150669)).</w:t>
              </w:r>
            </w:hyperlink>
          </w:p>
        </w:tc>
        <w:tc>
          <w:tcPr>
            <w:tcW w:w="20" w:type="dxa"/>
            <w:vAlign w:val="bottom"/>
          </w:tcPr>
          <w:p>
            <w:pPr>
              <w:spacing w:after="0"/>
              <w:rPr>
                <w:sz w:val="12"/>
                <w:szCs w:val="12"/>
                <w:color w:val="auto"/>
              </w:rPr>
            </w:pPr>
          </w:p>
        </w:tc>
        <w:tc>
          <w:tcPr>
            <w:tcW w:w="420" w:type="dxa"/>
            <w:vAlign w:val="bottom"/>
            <w:gridSpan w:val="5"/>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shd w:val="clear" w:color="auto" w:fill="CEFEE7"/>
          </w:tcPr>
          <w:p>
            <w:pPr>
              <w:ind w:left="120"/>
              <w:spacing w:after="0" w:line="175" w:lineRule="exact"/>
              <w:rPr>
                <w:sz w:val="20"/>
                <w:szCs w:val="20"/>
                <w:color w:val="auto"/>
              </w:rPr>
            </w:pPr>
            <w:r>
              <w:rPr>
                <w:rFonts w:ascii="Arial" w:cs="Arial" w:eastAsia="Arial" w:hAnsi="Arial"/>
                <w:sz w:val="16"/>
                <w:szCs w:val="16"/>
                <w:color w:val="auto"/>
              </w:rPr>
              <w:t>4.2.2</w:t>
            </w:r>
          </w:p>
        </w:tc>
        <w:tc>
          <w:tcPr>
            <w:tcW w:w="240" w:type="dxa"/>
            <w:vAlign w:val="bottom"/>
            <w:shd w:val="clear" w:color="auto" w:fill="CEFEE7"/>
          </w:tcPr>
          <w:p>
            <w:pPr>
              <w:spacing w:after="0"/>
              <w:rPr>
                <w:sz w:val="15"/>
                <w:szCs w:val="15"/>
                <w:color w:val="auto"/>
              </w:rPr>
            </w:pPr>
          </w:p>
        </w:tc>
        <w:tc>
          <w:tcPr>
            <w:tcW w:w="120" w:type="dxa"/>
            <w:vAlign w:val="bottom"/>
            <w:shd w:val="clear" w:color="auto" w:fill="CEFEE7"/>
          </w:tcPr>
          <w:p>
            <w:pPr>
              <w:spacing w:after="0"/>
              <w:rPr>
                <w:sz w:val="15"/>
                <w:szCs w:val="15"/>
                <w:color w:val="auto"/>
              </w:rPr>
            </w:pPr>
          </w:p>
        </w:tc>
        <w:tc>
          <w:tcPr>
            <w:tcW w:w="9200" w:type="dxa"/>
            <w:vAlign w:val="bottom"/>
            <w:tcBorders>
              <w:right w:val="single" w:sz="8" w:color="CEFEE7"/>
            </w:tcBorders>
            <w:gridSpan w:val="35"/>
            <w:shd w:val="clear" w:color="auto" w:fill="CEFEE7"/>
          </w:tcPr>
          <w:p>
            <w:pPr>
              <w:spacing w:after="0" w:line="175" w:lineRule="exact"/>
              <w:rPr>
                <w:rFonts w:ascii="Arial" w:cs="Arial" w:eastAsia="Arial" w:hAnsi="Arial"/>
                <w:sz w:val="16"/>
                <w:szCs w:val="16"/>
                <w:color w:val="0000FF"/>
              </w:rPr>
            </w:pPr>
            <w:hyperlink r:id="rId172">
              <w:r>
                <w:rPr>
                  <w:rFonts w:ascii="Arial" w:cs="Arial" w:eastAsia="Arial" w:hAnsi="Arial"/>
                  <w:sz w:val="16"/>
                  <w:szCs w:val="16"/>
                  <w:color w:val="0000FF"/>
                </w:rPr>
                <w:t>Second Supplemental Indenture, dated as of October 27, 2009, between Black Hills Power, Inc. and The Bank of New York</w:t>
              </w:r>
            </w:hyperlink>
          </w:p>
        </w:tc>
        <w:tc>
          <w:tcPr>
            <w:tcW w:w="32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120" w:type="dxa"/>
            <w:vAlign w:val="bottom"/>
            <w:tcBorders>
              <w:top w:val="single" w:sz="8" w:color="CEFEE7"/>
            </w:tcBorders>
            <w:shd w:val="clear" w:color="auto" w:fill="CEFEE7"/>
          </w:tcPr>
          <w:p>
            <w:pPr>
              <w:spacing w:after="0"/>
              <w:rPr>
                <w:sz w:val="12"/>
                <w:szCs w:val="12"/>
                <w:color w:val="auto"/>
              </w:rPr>
            </w:pPr>
          </w:p>
        </w:tc>
        <w:tc>
          <w:tcPr>
            <w:tcW w:w="8800" w:type="dxa"/>
            <w:vAlign w:val="bottom"/>
            <w:tcBorders>
              <w:top w:val="single" w:sz="8" w:color="0000FF"/>
            </w:tcBorders>
            <w:gridSpan w:val="21"/>
            <w:shd w:val="clear" w:color="auto" w:fill="CEFEE7"/>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Mellon (filed as Exhibit 4.21 to the Registrant’s Post-Effective Amendment No. 2 to the Registrant’s Registration Statement</w:t>
              </w:r>
            </w:hyperlink>
          </w:p>
        </w:tc>
        <w:tc>
          <w:tcPr>
            <w:tcW w:w="400" w:type="dxa"/>
            <w:vAlign w:val="bottom"/>
            <w:tcBorders>
              <w:top w:val="single" w:sz="8" w:color="CEFEE7"/>
              <w:right w:val="single" w:sz="8" w:color="CEFEE7"/>
            </w:tcBorders>
            <w:gridSpan w:val="14"/>
            <w:shd w:val="clear" w:color="auto" w:fill="CEFEE7"/>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on</w:t>
              </w:r>
            </w:hyperlink>
          </w:p>
        </w:tc>
        <w:tc>
          <w:tcPr>
            <w:tcW w:w="32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120" w:type="dxa"/>
            <w:vAlign w:val="bottom"/>
            <w:tcBorders>
              <w:top w:val="single" w:sz="8" w:color="CEFEE7"/>
            </w:tcBorders>
            <w:shd w:val="clear" w:color="auto" w:fill="CEFEE7"/>
          </w:tcPr>
          <w:p>
            <w:pPr>
              <w:spacing w:after="0"/>
              <w:rPr>
                <w:sz w:val="12"/>
                <w:szCs w:val="12"/>
                <w:color w:val="auto"/>
              </w:rPr>
            </w:pPr>
          </w:p>
        </w:tc>
        <w:tc>
          <w:tcPr>
            <w:tcW w:w="8980" w:type="dxa"/>
            <w:vAlign w:val="bottom"/>
            <w:tcBorders>
              <w:top w:val="single" w:sz="8" w:color="0000FF"/>
            </w:tcBorders>
            <w:gridSpan w:val="25"/>
            <w:shd w:val="clear" w:color="auto" w:fill="CEFEE7"/>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Form S-3 (No. 333-150669)).</w:t>
              </w:r>
            </w:hyperlink>
          </w:p>
        </w:tc>
        <w:tc>
          <w:tcPr>
            <w:tcW w:w="40" w:type="dxa"/>
            <w:vAlign w:val="bottom"/>
            <w:tcBorders>
              <w:top w:val="single" w:sz="8" w:color="CEFEE7"/>
            </w:tcBorders>
            <w:gridSpan w:val="2"/>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60" w:type="dxa"/>
            <w:vAlign w:val="bottom"/>
            <w:tcBorders>
              <w:top w:val="single" w:sz="8" w:color="CEFEE7"/>
            </w:tcBorders>
            <w:gridSpan w:val="3"/>
            <w:shd w:val="clear" w:color="auto" w:fill="CEFEE7"/>
          </w:tcPr>
          <w:p>
            <w:pPr>
              <w:spacing w:after="0"/>
              <w:rPr>
                <w:sz w:val="12"/>
                <w:szCs w:val="12"/>
                <w:color w:val="auto"/>
              </w:rPr>
            </w:pPr>
          </w:p>
        </w:tc>
        <w:tc>
          <w:tcPr>
            <w:tcW w:w="100" w:type="dxa"/>
            <w:vAlign w:val="bottom"/>
            <w:tcBorders>
              <w:top w:val="single" w:sz="8" w:color="CEFEE7"/>
              <w:right w:val="single" w:sz="8" w:color="CEFEE7"/>
            </w:tcBorders>
            <w:gridSpan w:val="4"/>
            <w:shd w:val="clear" w:color="auto" w:fill="CEFEE7"/>
          </w:tcPr>
          <w:p>
            <w:pPr>
              <w:spacing w:after="0"/>
              <w:rPr>
                <w:sz w:val="12"/>
                <w:szCs w:val="12"/>
                <w:color w:val="auto"/>
              </w:rPr>
            </w:pPr>
          </w:p>
        </w:tc>
        <w:tc>
          <w:tcPr>
            <w:tcW w:w="32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340" w:type="dxa"/>
            <w:vAlign w:val="bottom"/>
            <w:tcBorders>
              <w:top w:val="single" w:sz="8" w:color="0000FF"/>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160" w:type="dxa"/>
            <w:vAlign w:val="bottom"/>
            <w:tcBorders>
              <w:top w:val="single" w:sz="8" w:color="0000FF"/>
            </w:tcBorders>
            <w:shd w:val="clear" w:color="auto" w:fill="CEFEE7"/>
          </w:tcPr>
          <w:p>
            <w:pPr>
              <w:spacing w:after="0" w:line="20" w:lineRule="exact"/>
              <w:rPr>
                <w:sz w:val="1"/>
                <w:szCs w:val="1"/>
                <w:color w:val="auto"/>
              </w:rPr>
            </w:pPr>
          </w:p>
        </w:tc>
        <w:tc>
          <w:tcPr>
            <w:tcW w:w="100" w:type="dxa"/>
            <w:vAlign w:val="bottom"/>
            <w:tcBorders>
              <w:top w:val="single" w:sz="8" w:color="0000FF"/>
            </w:tcBorders>
            <w:shd w:val="clear" w:color="auto" w:fill="CEFEE7"/>
          </w:tcPr>
          <w:p>
            <w:pPr>
              <w:spacing w:after="0" w:line="20" w:lineRule="exact"/>
              <w:rPr>
                <w:sz w:val="1"/>
                <w:szCs w:val="1"/>
                <w:color w:val="auto"/>
              </w:rPr>
            </w:pPr>
          </w:p>
        </w:tc>
        <w:tc>
          <w:tcPr>
            <w:tcW w:w="800" w:type="dxa"/>
            <w:vAlign w:val="bottom"/>
            <w:tcBorders>
              <w:top w:val="single" w:sz="8" w:color="0000FF"/>
            </w:tcBorders>
            <w:shd w:val="clear" w:color="auto" w:fill="CEFEE7"/>
          </w:tcPr>
          <w:p>
            <w:pPr>
              <w:spacing w:after="0" w:line="20" w:lineRule="exact"/>
              <w:rPr>
                <w:sz w:val="1"/>
                <w:szCs w:val="1"/>
                <w:color w:val="auto"/>
              </w:rPr>
            </w:pPr>
          </w:p>
        </w:tc>
        <w:tc>
          <w:tcPr>
            <w:tcW w:w="560" w:type="dxa"/>
            <w:vAlign w:val="bottom"/>
            <w:tcBorders>
              <w:top w:val="single" w:sz="8" w:color="0000FF"/>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1660" w:type="dxa"/>
            <w:vAlign w:val="bottom"/>
            <w:tcBorders>
              <w:top w:val="single" w:sz="8" w:color="CEFEE7"/>
            </w:tcBorders>
            <w:shd w:val="clear" w:color="auto" w:fill="CEFEE7"/>
          </w:tcPr>
          <w:p>
            <w:pPr>
              <w:spacing w:after="0" w:line="20" w:lineRule="exact"/>
              <w:rPr>
                <w:sz w:val="1"/>
                <w:szCs w:val="1"/>
                <w:color w:val="auto"/>
              </w:rPr>
            </w:pPr>
          </w:p>
        </w:tc>
        <w:tc>
          <w:tcPr>
            <w:tcW w:w="140" w:type="dxa"/>
            <w:vAlign w:val="bottom"/>
            <w:tcBorders>
              <w:top w:val="single" w:sz="8" w:color="CEFEE7"/>
            </w:tcBorders>
            <w:shd w:val="clear" w:color="auto" w:fill="CEFEE7"/>
          </w:tcPr>
          <w:p>
            <w:pPr>
              <w:spacing w:after="0" w:line="20" w:lineRule="exact"/>
              <w:rPr>
                <w:sz w:val="1"/>
                <w:szCs w:val="1"/>
                <w:color w:val="auto"/>
              </w:rPr>
            </w:pPr>
          </w:p>
        </w:tc>
        <w:tc>
          <w:tcPr>
            <w:tcW w:w="780" w:type="dxa"/>
            <w:vAlign w:val="bottom"/>
            <w:tcBorders>
              <w:top w:val="single" w:sz="8" w:color="CEFEE7"/>
            </w:tcBorders>
            <w:shd w:val="clear" w:color="auto" w:fill="CEFEE7"/>
          </w:tcPr>
          <w:p>
            <w:pPr>
              <w:spacing w:after="0" w:line="20" w:lineRule="exact"/>
              <w:rPr>
                <w:sz w:val="1"/>
                <w:szCs w:val="1"/>
                <w:color w:val="auto"/>
              </w:rPr>
            </w:pPr>
          </w:p>
        </w:tc>
        <w:tc>
          <w:tcPr>
            <w:tcW w:w="66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214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6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tcPr>
          <w:p>
            <w:pPr>
              <w:ind w:left="120"/>
              <w:spacing w:after="0" w:line="175" w:lineRule="exact"/>
              <w:rPr>
                <w:sz w:val="20"/>
                <w:szCs w:val="20"/>
                <w:color w:val="auto"/>
              </w:rPr>
            </w:pPr>
            <w:r>
              <w:rPr>
                <w:rFonts w:ascii="Arial" w:cs="Arial" w:eastAsia="Arial" w:hAnsi="Arial"/>
                <w:sz w:val="16"/>
                <w:szCs w:val="16"/>
                <w:color w:val="auto"/>
              </w:rPr>
              <w:t>4.2.3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20" w:type="dxa"/>
            <w:vAlign w:val="bottom"/>
            <w:gridSpan w:val="36"/>
          </w:tcPr>
          <w:p>
            <w:pPr>
              <w:spacing w:after="0" w:line="175" w:lineRule="exact"/>
              <w:rPr>
                <w:rFonts w:ascii="Arial" w:cs="Arial" w:eastAsia="Arial" w:hAnsi="Arial"/>
                <w:sz w:val="16"/>
                <w:szCs w:val="16"/>
                <w:color w:val="0000FF"/>
              </w:rPr>
            </w:pPr>
            <w:hyperlink r:id="rId173">
              <w:r>
                <w:rPr>
                  <w:rFonts w:ascii="Arial" w:cs="Arial" w:eastAsia="Arial" w:hAnsi="Arial"/>
                  <w:sz w:val="16"/>
                  <w:szCs w:val="16"/>
                  <w:color w:val="0000FF"/>
                </w:rPr>
                <w:t>Third Supplemental Indenture, dated as of October 1, 2014, between Black Hills Power, Inc. and The Bank of New York Mellon</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10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(filed as Exhibit 10.1 to the Registrant’s Form 8-K filed on October 2, 2014).</w:t>
              </w:r>
            </w:hyperlink>
          </w:p>
        </w:tc>
        <w:tc>
          <w:tcPr>
            <w:tcW w:w="420" w:type="dxa"/>
            <w:vAlign w:val="bottom"/>
            <w:gridSpan w:val="5"/>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shd w:val="clear" w:color="auto" w:fill="CEFEE7"/>
          </w:tcPr>
          <w:p>
            <w:pPr>
              <w:jc w:val="right"/>
              <w:ind w:right="699"/>
              <w:spacing w:after="0" w:line="175" w:lineRule="exact"/>
              <w:rPr>
                <w:sz w:val="20"/>
                <w:szCs w:val="20"/>
                <w:color w:val="auto"/>
              </w:rPr>
            </w:pPr>
            <w:r>
              <w:rPr>
                <w:rFonts w:ascii="Arial" w:cs="Arial" w:eastAsia="Arial" w:hAnsi="Arial"/>
                <w:sz w:val="16"/>
                <w:szCs w:val="16"/>
                <w:color w:val="auto"/>
                <w:w w:val="98"/>
              </w:rPr>
              <w:t>4.3</w:t>
            </w:r>
          </w:p>
        </w:tc>
        <w:tc>
          <w:tcPr>
            <w:tcW w:w="240" w:type="dxa"/>
            <w:vAlign w:val="bottom"/>
            <w:shd w:val="clear" w:color="auto" w:fill="CEFEE7"/>
          </w:tcPr>
          <w:p>
            <w:pPr>
              <w:spacing w:after="0"/>
              <w:rPr>
                <w:sz w:val="15"/>
                <w:szCs w:val="15"/>
                <w:color w:val="auto"/>
              </w:rPr>
            </w:pPr>
          </w:p>
        </w:tc>
        <w:tc>
          <w:tcPr>
            <w:tcW w:w="9320" w:type="dxa"/>
            <w:vAlign w:val="bottom"/>
            <w:tcBorders>
              <w:right w:val="single" w:sz="8" w:color="CEFEE7"/>
            </w:tcBorders>
            <w:gridSpan w:val="36"/>
            <w:shd w:val="clear" w:color="auto" w:fill="CEFEE7"/>
          </w:tcPr>
          <w:p>
            <w:pPr>
              <w:spacing w:after="0" w:line="175" w:lineRule="exact"/>
              <w:rPr>
                <w:rFonts w:ascii="Arial" w:cs="Arial" w:eastAsia="Arial" w:hAnsi="Arial"/>
                <w:sz w:val="16"/>
                <w:szCs w:val="16"/>
                <w:color w:val="0000FF"/>
              </w:rPr>
            </w:pPr>
            <w:hyperlink r:id="rId174">
              <w:r>
                <w:rPr>
                  <w:rFonts w:ascii="Arial" w:cs="Arial" w:eastAsia="Arial" w:hAnsi="Arial"/>
                  <w:sz w:val="16"/>
                  <w:szCs w:val="16"/>
                  <w:color w:val="0000FF"/>
                </w:rPr>
                <w:t>Restated Indenture of Mortgage, Deed of Trust, Security Agreement and Financing Statement, amended and restated as of</w:t>
              </w:r>
            </w:hyperlink>
          </w:p>
        </w:tc>
        <w:tc>
          <w:tcPr>
            <w:tcW w:w="32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8840" w:type="dxa"/>
            <w:vAlign w:val="bottom"/>
            <w:tcBorders>
              <w:top w:val="single" w:sz="8" w:color="0000FF"/>
            </w:tcBorders>
            <w:gridSpan w:val="18"/>
            <w:shd w:val="clear" w:color="auto" w:fill="CEFEE7"/>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November 20, 2007, between Cheyenne Light, Fuel and Power Company and Wells Fargo Bank, National Association (filed</w:t>
              </w:r>
            </w:hyperlink>
          </w:p>
        </w:tc>
        <w:tc>
          <w:tcPr>
            <w:tcW w:w="480" w:type="dxa"/>
            <w:vAlign w:val="bottom"/>
            <w:tcBorders>
              <w:top w:val="single" w:sz="8" w:color="CEFEE7"/>
              <w:right w:val="single" w:sz="8" w:color="CEFEE7"/>
            </w:tcBorders>
            <w:gridSpan w:val="18"/>
            <w:shd w:val="clear" w:color="auto" w:fill="CEFEE7"/>
          </w:tcPr>
          <w:p>
            <w:pPr>
              <w:ind w:left="60"/>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as</w:t>
              </w:r>
            </w:hyperlink>
          </w:p>
        </w:tc>
        <w:tc>
          <w:tcPr>
            <w:tcW w:w="320" w:type="dxa"/>
            <w:vAlign w:val="bottom"/>
          </w:tcPr>
          <w:p>
            <w:pPr>
              <w:spacing w:after="0"/>
              <w:rPr>
                <w:sz w:val="12"/>
                <w:szCs w:val="12"/>
                <w:color w:val="auto"/>
              </w:rPr>
            </w:pPr>
          </w:p>
        </w:tc>
      </w:tr>
      <w:tr>
        <w:trPr>
          <w:trHeight w:val="163"/>
        </w:trPr>
        <w:tc>
          <w:tcPr>
            <w:tcW w:w="340" w:type="dxa"/>
            <w:vAlign w:val="bottom"/>
          </w:tcPr>
          <w:p>
            <w:pPr>
              <w:spacing w:after="0"/>
              <w:rPr>
                <w:sz w:val="14"/>
                <w:szCs w:val="14"/>
                <w:color w:val="auto"/>
              </w:rPr>
            </w:pPr>
          </w:p>
        </w:tc>
        <w:tc>
          <w:tcPr>
            <w:tcW w:w="1020" w:type="dxa"/>
            <w:vAlign w:val="bottom"/>
            <w:tcBorders>
              <w:top w:val="single" w:sz="8" w:color="CEFEE7"/>
              <w:bottom w:val="single" w:sz="8" w:color="CEFEE7"/>
            </w:tcBorders>
            <w:shd w:val="clear" w:color="auto" w:fill="CEFEE7"/>
          </w:tcPr>
          <w:p>
            <w:pPr>
              <w:spacing w:after="0"/>
              <w:rPr>
                <w:sz w:val="14"/>
                <w:szCs w:val="14"/>
                <w:color w:val="auto"/>
              </w:rPr>
            </w:pPr>
          </w:p>
        </w:tc>
        <w:tc>
          <w:tcPr>
            <w:tcW w:w="240" w:type="dxa"/>
            <w:vAlign w:val="bottom"/>
            <w:tcBorders>
              <w:top w:val="single" w:sz="8" w:color="CEFEE7"/>
              <w:bottom w:val="single" w:sz="8" w:color="CEFEE7"/>
            </w:tcBorders>
            <w:shd w:val="clear" w:color="auto" w:fill="CEFEE7"/>
          </w:tcPr>
          <w:p>
            <w:pPr>
              <w:spacing w:after="0"/>
              <w:rPr>
                <w:sz w:val="14"/>
                <w:szCs w:val="14"/>
                <w:color w:val="auto"/>
              </w:rPr>
            </w:pPr>
          </w:p>
        </w:tc>
        <w:tc>
          <w:tcPr>
            <w:tcW w:w="4800" w:type="dxa"/>
            <w:vAlign w:val="bottom"/>
            <w:tcBorders>
              <w:top w:val="single" w:sz="8" w:color="0000FF"/>
              <w:bottom w:val="single" w:sz="8" w:color="0000FF"/>
            </w:tcBorders>
            <w:gridSpan w:val="11"/>
            <w:shd w:val="clear" w:color="auto" w:fill="CEFEE7"/>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Exhibit 10.2 to the Registrant’s Form 8-K filed on October 2, 2014).</w:t>
              </w:r>
            </w:hyperlink>
          </w:p>
        </w:tc>
        <w:tc>
          <w:tcPr>
            <w:tcW w:w="4280" w:type="dxa"/>
            <w:vAlign w:val="bottom"/>
            <w:tcBorders>
              <w:top w:val="single" w:sz="8" w:color="0000FF"/>
              <w:bottom w:val="single" w:sz="8" w:color="CEFEE7"/>
            </w:tcBorders>
            <w:gridSpan w:val="14"/>
            <w:shd w:val="clear" w:color="auto" w:fill="CEFEE7"/>
          </w:tcPr>
          <w:p>
            <w:pPr>
              <w:spacing w:after="0"/>
              <w:rPr>
                <w:sz w:val="14"/>
                <w:szCs w:val="14"/>
                <w:color w:val="auto"/>
              </w:rPr>
            </w:pPr>
          </w:p>
        </w:tc>
        <w:tc>
          <w:tcPr>
            <w:tcW w:w="60" w:type="dxa"/>
            <w:vAlign w:val="bottom"/>
            <w:tcBorders>
              <w:top w:val="single" w:sz="8" w:color="CEFEE7"/>
              <w:bottom w:val="single" w:sz="8" w:color="CEFEE7"/>
            </w:tcBorders>
            <w:gridSpan w:val="3"/>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160" w:type="dxa"/>
            <w:vAlign w:val="bottom"/>
            <w:tcBorders>
              <w:top w:val="single" w:sz="8" w:color="CEFEE7"/>
              <w:bottom w:val="single" w:sz="8" w:color="CEFEE7"/>
              <w:right w:val="single" w:sz="8" w:color="CEFEE7"/>
            </w:tcBorders>
            <w:gridSpan w:val="7"/>
            <w:shd w:val="clear" w:color="auto" w:fill="CEFEE7"/>
          </w:tcPr>
          <w:p>
            <w:pPr>
              <w:spacing w:after="0"/>
              <w:rPr>
                <w:sz w:val="14"/>
                <w:szCs w:val="14"/>
                <w:color w:val="auto"/>
              </w:rPr>
            </w:pPr>
          </w:p>
        </w:tc>
        <w:tc>
          <w:tcPr>
            <w:tcW w:w="320" w:type="dxa"/>
            <w:vAlign w:val="bottom"/>
          </w:tcPr>
          <w:p>
            <w:pPr>
              <w:spacing w:after="0"/>
              <w:rPr>
                <w:sz w:val="14"/>
                <w:szCs w:val="14"/>
                <w:color w:val="auto"/>
              </w:rPr>
            </w:pPr>
          </w:p>
        </w:tc>
      </w:tr>
      <w:tr>
        <w:trPr>
          <w:trHeight w:val="175"/>
        </w:trPr>
        <w:tc>
          <w:tcPr>
            <w:tcW w:w="1360" w:type="dxa"/>
            <w:vAlign w:val="bottom"/>
            <w:gridSpan w:val="2"/>
          </w:tcPr>
          <w:p>
            <w:pPr>
              <w:ind w:left="460"/>
              <w:spacing w:after="0" w:line="175" w:lineRule="exact"/>
              <w:rPr>
                <w:sz w:val="20"/>
                <w:szCs w:val="20"/>
                <w:color w:val="auto"/>
              </w:rPr>
            </w:pPr>
            <w:r>
              <w:rPr>
                <w:rFonts w:ascii="Arial" w:cs="Arial" w:eastAsia="Arial" w:hAnsi="Arial"/>
                <w:sz w:val="16"/>
                <w:szCs w:val="16"/>
                <w:color w:val="auto"/>
              </w:rPr>
              <w:t>4.3.1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20" w:type="dxa"/>
            <w:vAlign w:val="bottom"/>
            <w:gridSpan w:val="36"/>
          </w:tcPr>
          <w:p>
            <w:pPr>
              <w:spacing w:after="0" w:line="175" w:lineRule="exact"/>
              <w:rPr>
                <w:rFonts w:ascii="Arial" w:cs="Arial" w:eastAsia="Arial" w:hAnsi="Arial"/>
                <w:sz w:val="16"/>
                <w:szCs w:val="16"/>
                <w:color w:val="0000FF"/>
              </w:rPr>
            </w:pPr>
            <w:hyperlink r:id="rId175">
              <w:r>
                <w:rPr>
                  <w:rFonts w:ascii="Arial" w:cs="Arial" w:eastAsia="Arial" w:hAnsi="Arial"/>
                  <w:sz w:val="16"/>
                  <w:szCs w:val="16"/>
                  <w:color w:val="0000FF"/>
                </w:rPr>
                <w:t>First Supplemental Indenture, dated as of September 3, 2009, between Cheyenne Light, Fuel and Power Company and Wells</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Fargo Bank, National Association (filed as Exhibit 10.3 to the Registrant’s Form 8-K filed on October 2, 2014).</w:t>
              </w:r>
            </w:hyperlink>
          </w:p>
        </w:tc>
        <w:tc>
          <w:tcPr>
            <w:tcW w:w="20" w:type="dxa"/>
            <w:vAlign w:val="bottom"/>
          </w:tcPr>
          <w:p>
            <w:pPr>
              <w:spacing w:after="0"/>
              <w:rPr>
                <w:sz w:val="12"/>
                <w:szCs w:val="12"/>
                <w:color w:val="auto"/>
              </w:rPr>
            </w:pPr>
          </w:p>
        </w:tc>
        <w:tc>
          <w:tcPr>
            <w:tcW w:w="480" w:type="dxa"/>
            <w:vAlign w:val="bottom"/>
            <w:gridSpan w:val="8"/>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shd w:val="clear" w:color="auto" w:fill="CEFEE7"/>
          </w:tcPr>
          <w:p>
            <w:pPr>
              <w:ind w:left="120"/>
              <w:spacing w:after="0" w:line="175" w:lineRule="exact"/>
              <w:rPr>
                <w:sz w:val="20"/>
                <w:szCs w:val="20"/>
                <w:color w:val="auto"/>
              </w:rPr>
            </w:pPr>
            <w:r>
              <w:rPr>
                <w:rFonts w:ascii="Arial" w:cs="Arial" w:eastAsia="Arial" w:hAnsi="Arial"/>
                <w:sz w:val="16"/>
                <w:szCs w:val="16"/>
                <w:color w:val="auto"/>
              </w:rPr>
              <w:t>4.3.2</w:t>
            </w:r>
          </w:p>
        </w:tc>
        <w:tc>
          <w:tcPr>
            <w:tcW w:w="240" w:type="dxa"/>
            <w:vAlign w:val="bottom"/>
            <w:shd w:val="clear" w:color="auto" w:fill="CEFEE7"/>
          </w:tcPr>
          <w:p>
            <w:pPr>
              <w:spacing w:after="0"/>
              <w:rPr>
                <w:sz w:val="15"/>
                <w:szCs w:val="15"/>
                <w:color w:val="auto"/>
              </w:rPr>
            </w:pPr>
          </w:p>
        </w:tc>
        <w:tc>
          <w:tcPr>
            <w:tcW w:w="120" w:type="dxa"/>
            <w:vAlign w:val="bottom"/>
            <w:shd w:val="clear" w:color="auto" w:fill="CEFEE7"/>
          </w:tcPr>
          <w:p>
            <w:pPr>
              <w:spacing w:after="0"/>
              <w:rPr>
                <w:sz w:val="15"/>
                <w:szCs w:val="15"/>
                <w:color w:val="auto"/>
              </w:rPr>
            </w:pPr>
          </w:p>
        </w:tc>
        <w:tc>
          <w:tcPr>
            <w:tcW w:w="9200" w:type="dxa"/>
            <w:vAlign w:val="bottom"/>
            <w:tcBorders>
              <w:right w:val="single" w:sz="8" w:color="CEFEE7"/>
            </w:tcBorders>
            <w:gridSpan w:val="35"/>
            <w:shd w:val="clear" w:color="auto" w:fill="CEFEE7"/>
          </w:tcPr>
          <w:p>
            <w:pPr>
              <w:spacing w:after="0" w:line="175" w:lineRule="exact"/>
              <w:rPr>
                <w:rFonts w:ascii="Arial" w:cs="Arial" w:eastAsia="Arial" w:hAnsi="Arial"/>
                <w:sz w:val="16"/>
                <w:szCs w:val="16"/>
                <w:color w:val="0000FF"/>
              </w:rPr>
            </w:pPr>
            <w:hyperlink r:id="rId176">
              <w:r>
                <w:rPr>
                  <w:rFonts w:ascii="Arial" w:cs="Arial" w:eastAsia="Arial" w:hAnsi="Arial"/>
                  <w:sz w:val="16"/>
                  <w:szCs w:val="16"/>
                  <w:color w:val="0000FF"/>
                </w:rPr>
                <w:t>Second Supplemental Indenture, dated as of October 1, 2014, between Cheyenne Light, Fuel and Power Company and Wells</w:t>
              </w:r>
            </w:hyperlink>
          </w:p>
        </w:tc>
        <w:tc>
          <w:tcPr>
            <w:tcW w:w="320" w:type="dxa"/>
            <w:vAlign w:val="bottom"/>
          </w:tcPr>
          <w:p>
            <w:pPr>
              <w:spacing w:after="0"/>
              <w:rPr>
                <w:sz w:val="15"/>
                <w:szCs w:val="15"/>
                <w:color w:val="auto"/>
              </w:rPr>
            </w:pPr>
          </w:p>
        </w:tc>
      </w:tr>
      <w:tr>
        <w:trPr>
          <w:trHeight w:val="163"/>
        </w:trPr>
        <w:tc>
          <w:tcPr>
            <w:tcW w:w="340" w:type="dxa"/>
            <w:vAlign w:val="bottom"/>
          </w:tcPr>
          <w:p>
            <w:pPr>
              <w:spacing w:after="0"/>
              <w:rPr>
                <w:sz w:val="14"/>
                <w:szCs w:val="14"/>
                <w:color w:val="auto"/>
              </w:rPr>
            </w:pPr>
          </w:p>
        </w:tc>
        <w:tc>
          <w:tcPr>
            <w:tcW w:w="1020" w:type="dxa"/>
            <w:vAlign w:val="bottom"/>
            <w:tcBorders>
              <w:top w:val="single" w:sz="8" w:color="CEFEE7"/>
              <w:bottom w:val="single" w:sz="8" w:color="CEFEE7"/>
            </w:tcBorders>
            <w:shd w:val="clear" w:color="auto" w:fill="CEFEE7"/>
          </w:tcPr>
          <w:p>
            <w:pPr>
              <w:spacing w:after="0"/>
              <w:rPr>
                <w:sz w:val="14"/>
                <w:szCs w:val="14"/>
                <w:color w:val="auto"/>
              </w:rPr>
            </w:pPr>
          </w:p>
        </w:tc>
        <w:tc>
          <w:tcPr>
            <w:tcW w:w="240" w:type="dxa"/>
            <w:vAlign w:val="bottom"/>
            <w:tcBorders>
              <w:top w:val="single" w:sz="8" w:color="CEFEE7"/>
              <w:bottom w:val="single" w:sz="8" w:color="CEFEE7"/>
            </w:tcBorders>
            <w:shd w:val="clear" w:color="auto" w:fill="CEFEE7"/>
          </w:tcPr>
          <w:p>
            <w:pPr>
              <w:spacing w:after="0"/>
              <w:rPr>
                <w:sz w:val="14"/>
                <w:szCs w:val="14"/>
                <w:color w:val="auto"/>
              </w:rPr>
            </w:pPr>
          </w:p>
        </w:tc>
        <w:tc>
          <w:tcPr>
            <w:tcW w:w="120" w:type="dxa"/>
            <w:vAlign w:val="bottom"/>
            <w:tcBorders>
              <w:top w:val="single" w:sz="8" w:color="CEFEE7"/>
              <w:bottom w:val="single" w:sz="8" w:color="CEFEE7"/>
            </w:tcBorders>
            <w:shd w:val="clear" w:color="auto" w:fill="CEFEE7"/>
          </w:tcPr>
          <w:p>
            <w:pPr>
              <w:spacing w:after="0"/>
              <w:rPr>
                <w:sz w:val="14"/>
                <w:szCs w:val="14"/>
                <w:color w:val="auto"/>
              </w:rPr>
            </w:pPr>
          </w:p>
        </w:tc>
        <w:tc>
          <w:tcPr>
            <w:tcW w:w="7840" w:type="dxa"/>
            <w:vAlign w:val="bottom"/>
            <w:tcBorders>
              <w:top w:val="single" w:sz="8" w:color="0000FF"/>
              <w:bottom w:val="single" w:sz="8" w:color="0000FF"/>
            </w:tcBorders>
            <w:gridSpan w:val="14"/>
            <w:shd w:val="clear" w:color="auto" w:fill="CEFEE7"/>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Fargo Bank, National Association (filed as Exhibit 10.4 to the Registrant’s Form 8-K filed on October 2, 2014).</w:t>
              </w:r>
            </w:hyperlink>
          </w:p>
        </w:tc>
        <w:tc>
          <w:tcPr>
            <w:tcW w:w="1200" w:type="dxa"/>
            <w:vAlign w:val="bottom"/>
            <w:tcBorders>
              <w:top w:val="single" w:sz="8" w:color="0000FF"/>
              <w:bottom w:val="single" w:sz="8" w:color="CEFEE7"/>
            </w:tcBorders>
            <w:gridSpan w:val="14"/>
            <w:shd w:val="clear" w:color="auto" w:fill="CEFEE7"/>
          </w:tcPr>
          <w:p>
            <w:pPr>
              <w:spacing w:after="0"/>
              <w:rPr>
                <w:sz w:val="14"/>
                <w:szCs w:val="14"/>
                <w:color w:val="auto"/>
              </w:rPr>
            </w:pPr>
          </w:p>
        </w:tc>
        <w:tc>
          <w:tcPr>
            <w:tcW w:w="160" w:type="dxa"/>
            <w:vAlign w:val="bottom"/>
            <w:tcBorders>
              <w:top w:val="single" w:sz="8" w:color="CEFEE7"/>
              <w:bottom w:val="single" w:sz="8" w:color="CEFEE7"/>
              <w:right w:val="single" w:sz="8" w:color="CEFEE7"/>
            </w:tcBorders>
            <w:gridSpan w:val="7"/>
            <w:shd w:val="clear" w:color="auto" w:fill="CEFEE7"/>
          </w:tcPr>
          <w:p>
            <w:pPr>
              <w:spacing w:after="0"/>
              <w:rPr>
                <w:sz w:val="14"/>
                <w:szCs w:val="14"/>
                <w:color w:val="auto"/>
              </w:rPr>
            </w:pPr>
          </w:p>
        </w:tc>
        <w:tc>
          <w:tcPr>
            <w:tcW w:w="320" w:type="dxa"/>
            <w:vAlign w:val="bottom"/>
          </w:tcPr>
          <w:p>
            <w:pPr>
              <w:spacing w:after="0"/>
              <w:rPr>
                <w:sz w:val="14"/>
                <w:szCs w:val="14"/>
                <w:color w:val="auto"/>
              </w:rPr>
            </w:pPr>
          </w:p>
        </w:tc>
      </w:tr>
      <w:tr>
        <w:trPr>
          <w:trHeight w:val="175"/>
        </w:trPr>
        <w:tc>
          <w:tcPr>
            <w:tcW w:w="1360" w:type="dxa"/>
            <w:vAlign w:val="bottom"/>
            <w:gridSpan w:val="2"/>
          </w:tcPr>
          <w:p>
            <w:pPr>
              <w:jc w:val="right"/>
              <w:ind w:right="699"/>
              <w:spacing w:after="0" w:line="175" w:lineRule="exact"/>
              <w:rPr>
                <w:sz w:val="20"/>
                <w:szCs w:val="20"/>
                <w:color w:val="auto"/>
              </w:rPr>
            </w:pPr>
            <w:r>
              <w:rPr>
                <w:rFonts w:ascii="Arial" w:cs="Arial" w:eastAsia="Arial" w:hAnsi="Arial"/>
                <w:sz w:val="16"/>
                <w:szCs w:val="16"/>
                <w:color w:val="auto"/>
              </w:rPr>
              <w:t>4.4</w:t>
            </w:r>
          </w:p>
        </w:tc>
        <w:tc>
          <w:tcPr>
            <w:tcW w:w="240" w:type="dxa"/>
            <w:vAlign w:val="bottom"/>
          </w:tcPr>
          <w:p>
            <w:pPr>
              <w:spacing w:after="0"/>
              <w:rPr>
                <w:sz w:val="15"/>
                <w:szCs w:val="15"/>
                <w:color w:val="auto"/>
              </w:rPr>
            </w:pPr>
          </w:p>
        </w:tc>
        <w:tc>
          <w:tcPr>
            <w:tcW w:w="9640" w:type="dxa"/>
            <w:vAlign w:val="bottom"/>
            <w:gridSpan w:val="37"/>
          </w:tcPr>
          <w:p>
            <w:pPr>
              <w:spacing w:after="0" w:line="175" w:lineRule="exact"/>
              <w:rPr>
                <w:rFonts w:ascii="Arial" w:cs="Arial" w:eastAsia="Arial" w:hAnsi="Arial"/>
                <w:sz w:val="16"/>
                <w:szCs w:val="16"/>
                <w:color w:val="0000FF"/>
              </w:rPr>
            </w:pPr>
            <w:hyperlink r:id="rId177">
              <w:r>
                <w:rPr>
                  <w:rFonts w:ascii="Arial" w:cs="Arial" w:eastAsia="Arial" w:hAnsi="Arial"/>
                  <w:sz w:val="16"/>
                  <w:szCs w:val="16"/>
                  <w:color w:val="0000FF"/>
                </w:rPr>
                <w:t xml:space="preserve">Form of Stock Certificate for Common Stock, Par Value </w:t>
              </w:r>
              <w:r>
                <w:rPr>
                  <w:rFonts w:ascii="Arial" w:cs="Arial" w:eastAsia="Arial" w:hAnsi="Arial"/>
                  <w:sz w:val="16"/>
                  <w:szCs w:val="16"/>
                  <w:u w:val="single" w:color="auto"/>
                  <w:color w:val="0000FF"/>
                </w:rPr>
                <w:t>$</w:t>
              </w:r>
              <w:r>
                <w:rPr>
                  <w:rFonts w:ascii="Arial" w:cs="Arial" w:eastAsia="Arial" w:hAnsi="Arial"/>
                  <w:sz w:val="16"/>
                  <w:szCs w:val="16"/>
                  <w:color w:val="0000FF"/>
                </w:rPr>
                <w:t>1.00 Per Share (filed as Exhibit 4.2 to the Registrant’s Form 10-K for</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6"/>
              </w:rPr>
            </w:pPr>
            <w:hyperlink r:id="rId177">
              <w:r>
                <w:rPr>
                  <w:rFonts w:ascii="Arial" w:cs="Arial" w:eastAsia="Arial" w:hAnsi="Arial"/>
                  <w:sz w:val="16"/>
                  <w:szCs w:val="16"/>
                  <w:color w:val="0000FF"/>
                  <w:w w:val="96"/>
                </w:rPr>
                <w:t>2000).</w:t>
              </w:r>
            </w:hyperlink>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1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89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gridSpan w:val="11"/>
          </w:tcPr>
          <w:p>
            <w:pPr>
              <w:ind w:left="3880"/>
              <w:spacing w:after="0"/>
              <w:rPr>
                <w:sz w:val="20"/>
                <w:szCs w:val="20"/>
                <w:color w:val="auto"/>
              </w:rPr>
            </w:pPr>
            <w:r>
              <w:rPr>
                <w:rFonts w:ascii="Arial" w:cs="Arial" w:eastAsia="Arial" w:hAnsi="Arial"/>
                <w:sz w:val="16"/>
                <w:szCs w:val="16"/>
                <w:color w:val="auto"/>
              </w:rPr>
              <w:t>116</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08"/>
        </w:trPr>
        <w:tc>
          <w:tcPr>
            <w:tcW w:w="3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84"/>
        </w:trPr>
        <w:tc>
          <w:tcPr>
            <w:tcW w:w="1600" w:type="dxa"/>
            <w:vAlign w:val="bottom"/>
            <w:gridSpan w:val="3"/>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614"/>
        </w:trPr>
        <w:tc>
          <w:tcPr>
            <w:tcW w:w="1360" w:type="dxa"/>
            <w:vAlign w:val="bottom"/>
            <w:tcBorders>
              <w:top w:val="single" w:sz="8" w:color="0000FF"/>
            </w:tcBorders>
            <w:gridSpan w:val="2"/>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1020" w:type="dxa"/>
            <w:vAlign w:val="bottom"/>
            <w:tcBorders>
              <w:bottom w:val="single" w:sz="8" w:color="CEFEE7"/>
            </w:tcBorders>
            <w:shd w:val="clear" w:color="auto" w:fill="CEFEE7"/>
          </w:tcPr>
          <w:p>
            <w:pPr>
              <w:ind w:left="20"/>
              <w:spacing w:after="0" w:line="175" w:lineRule="exact"/>
              <w:rPr>
                <w:sz w:val="20"/>
                <w:szCs w:val="20"/>
                <w:color w:val="auto"/>
              </w:rPr>
            </w:pPr>
            <w:r>
              <w:rPr>
                <w:rFonts w:ascii="Arial" w:cs="Arial" w:eastAsia="Arial" w:hAnsi="Arial"/>
                <w:sz w:val="16"/>
                <w:szCs w:val="16"/>
                <w:color w:val="auto"/>
              </w:rPr>
              <w:t>4.5</w:t>
            </w:r>
          </w:p>
        </w:tc>
        <w:tc>
          <w:tcPr>
            <w:tcW w:w="240" w:type="dxa"/>
            <w:vAlign w:val="bottom"/>
            <w:tcBorders>
              <w:bottom w:val="single" w:sz="8" w:color="CEFEE7"/>
            </w:tcBorders>
            <w:shd w:val="clear" w:color="auto" w:fill="CEFEE7"/>
          </w:tcPr>
          <w:p>
            <w:pPr>
              <w:spacing w:after="0"/>
              <w:rPr>
                <w:sz w:val="17"/>
                <w:szCs w:val="17"/>
                <w:color w:val="auto"/>
              </w:rPr>
            </w:pPr>
          </w:p>
        </w:tc>
        <w:tc>
          <w:tcPr>
            <w:tcW w:w="6020" w:type="dxa"/>
            <w:vAlign w:val="bottom"/>
            <w:tcBorders>
              <w:bottom w:val="single" w:sz="8" w:color="0000FF"/>
            </w:tcBorders>
            <w:gridSpan w:val="20"/>
            <w:shd w:val="clear" w:color="auto" w:fill="CEFEE7"/>
          </w:tcPr>
          <w:p>
            <w:pPr>
              <w:spacing w:after="0" w:line="175" w:lineRule="exact"/>
              <w:rPr>
                <w:rFonts w:ascii="Arial" w:cs="Arial" w:eastAsia="Arial" w:hAnsi="Arial"/>
                <w:sz w:val="16"/>
                <w:szCs w:val="16"/>
                <w:color w:val="0000FF"/>
              </w:rPr>
            </w:pPr>
            <w:hyperlink r:id="rId180">
              <w:r>
                <w:rPr>
                  <w:rFonts w:ascii="Arial" w:cs="Arial" w:eastAsia="Arial" w:hAnsi="Arial"/>
                  <w:sz w:val="16"/>
                  <w:szCs w:val="16"/>
                  <w:color w:val="0000FF"/>
                </w:rPr>
                <w:t>Description of Securities (filed as Exhibit 4.5 to the Registrant's Form 10-K for 2019)</w:t>
              </w:r>
            </w:hyperlink>
          </w:p>
        </w:tc>
        <w:tc>
          <w:tcPr>
            <w:tcW w:w="3420" w:type="dxa"/>
            <w:vAlign w:val="bottom"/>
            <w:tcBorders>
              <w:bottom w:val="single" w:sz="8" w:color="CEFEE7"/>
              <w:right w:val="single" w:sz="8" w:color="CEFEE7"/>
            </w:tcBorders>
            <w:gridSpan w:val="26"/>
            <w:shd w:val="clear" w:color="auto" w:fill="CEFEE7"/>
          </w:tcPr>
          <w:p>
            <w:pPr>
              <w:spacing w:after="0"/>
              <w:rPr>
                <w:sz w:val="17"/>
                <w:szCs w:val="17"/>
                <w:color w:val="auto"/>
              </w:rPr>
            </w:pPr>
          </w:p>
        </w:tc>
        <w:tc>
          <w:tcPr>
            <w:tcW w:w="200" w:type="dxa"/>
            <w:vAlign w:val="bottom"/>
          </w:tcPr>
          <w:p>
            <w:pPr>
              <w:spacing w:after="0"/>
              <w:rPr>
                <w:sz w:val="17"/>
                <w:szCs w:val="17"/>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10.1†</w:t>
            </w:r>
          </w:p>
        </w:tc>
        <w:tc>
          <w:tcPr>
            <w:tcW w:w="9640" w:type="dxa"/>
            <w:vAlign w:val="bottom"/>
            <w:gridSpan w:val="47"/>
          </w:tcPr>
          <w:p>
            <w:pPr>
              <w:spacing w:after="0" w:line="175" w:lineRule="exact"/>
              <w:rPr>
                <w:rFonts w:ascii="Arial" w:cs="Arial" w:eastAsia="Arial" w:hAnsi="Arial"/>
                <w:sz w:val="16"/>
                <w:szCs w:val="16"/>
                <w:color w:val="0000FF"/>
              </w:rPr>
            </w:pPr>
            <w:hyperlink r:id="rId181">
              <w:r>
                <w:rPr>
                  <w:rFonts w:ascii="Arial" w:cs="Arial" w:eastAsia="Arial" w:hAnsi="Arial"/>
                  <w:sz w:val="16"/>
                  <w:szCs w:val="16"/>
                  <w:color w:val="0000FF"/>
                </w:rPr>
                <w:t>Amended and Restated Pension Equalization Plan of Black Hills Corporation dated November 6, 2001 (filed as Exhibit 10.11 to</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12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the Registrant’s Form 10-K/A for 2001).</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260" w:type="dxa"/>
            <w:vAlign w:val="bottom"/>
            <w:gridSpan w:val="2"/>
            <w:shd w:val="clear" w:color="auto" w:fill="CEFEE7"/>
          </w:tcPr>
          <w:p>
            <w:pPr>
              <w:ind w:left="120"/>
              <w:spacing w:after="0" w:line="175" w:lineRule="exact"/>
              <w:rPr>
                <w:sz w:val="20"/>
                <w:szCs w:val="20"/>
                <w:color w:val="auto"/>
              </w:rPr>
            </w:pPr>
            <w:r>
              <w:rPr>
                <w:rFonts w:ascii="Arial" w:cs="Arial" w:eastAsia="Arial" w:hAnsi="Arial"/>
                <w:sz w:val="16"/>
                <w:szCs w:val="16"/>
                <w:color w:val="auto"/>
              </w:rPr>
              <w:t>10.1.1†</w:t>
            </w:r>
          </w:p>
        </w:tc>
        <w:tc>
          <w:tcPr>
            <w:tcW w:w="120" w:type="dxa"/>
            <w:vAlign w:val="bottom"/>
            <w:shd w:val="clear" w:color="auto" w:fill="CEFEE7"/>
          </w:tcPr>
          <w:p>
            <w:pPr>
              <w:spacing w:after="0"/>
              <w:rPr>
                <w:sz w:val="15"/>
                <w:szCs w:val="15"/>
                <w:color w:val="auto"/>
              </w:rPr>
            </w:pPr>
          </w:p>
        </w:tc>
        <w:tc>
          <w:tcPr>
            <w:tcW w:w="9320" w:type="dxa"/>
            <w:vAlign w:val="bottom"/>
            <w:tcBorders>
              <w:right w:val="single" w:sz="8" w:color="CEFEE7"/>
            </w:tcBorders>
            <w:gridSpan w:val="45"/>
            <w:shd w:val="clear" w:color="auto" w:fill="CEFEE7"/>
          </w:tcPr>
          <w:p>
            <w:pPr>
              <w:spacing w:after="0" w:line="175" w:lineRule="exact"/>
              <w:rPr>
                <w:rFonts w:ascii="Arial" w:cs="Arial" w:eastAsia="Arial" w:hAnsi="Arial"/>
                <w:sz w:val="16"/>
                <w:szCs w:val="16"/>
                <w:color w:val="0000FF"/>
              </w:rPr>
            </w:pPr>
            <w:hyperlink r:id="rId182">
              <w:r>
                <w:rPr>
                  <w:rFonts w:ascii="Arial" w:cs="Arial" w:eastAsia="Arial" w:hAnsi="Arial"/>
                  <w:sz w:val="16"/>
                  <w:szCs w:val="16"/>
                  <w:color w:val="0000FF"/>
                </w:rPr>
                <w:t>First Amendment to Pension Equalization Plan (filed as Exhibit 10.10 to the Registrant’s Form 10-K for 2002).</w:t>
              </w:r>
            </w:hyperlink>
          </w:p>
        </w:tc>
        <w:tc>
          <w:tcPr>
            <w:tcW w:w="200" w:type="dxa"/>
            <w:vAlign w:val="bottom"/>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580" w:type="dxa"/>
            <w:vAlign w:val="bottom"/>
            <w:tcBorders>
              <w:top w:val="single" w:sz="8" w:color="0000FF"/>
            </w:tcBorders>
            <w:shd w:val="clear" w:color="auto" w:fill="CEFEE7"/>
          </w:tcPr>
          <w:p>
            <w:pPr>
              <w:spacing w:after="0" w:line="20" w:lineRule="exact"/>
              <w:rPr>
                <w:sz w:val="1"/>
                <w:szCs w:val="1"/>
                <w:color w:val="auto"/>
              </w:rPr>
            </w:pPr>
          </w:p>
        </w:tc>
        <w:tc>
          <w:tcPr>
            <w:tcW w:w="380" w:type="dxa"/>
            <w:vAlign w:val="bottom"/>
            <w:tcBorders>
              <w:top w:val="single" w:sz="8" w:color="0000FF"/>
            </w:tcBorders>
            <w:shd w:val="clear" w:color="auto" w:fill="CEFEE7"/>
          </w:tcPr>
          <w:p>
            <w:pPr>
              <w:spacing w:after="0" w:line="20" w:lineRule="exact"/>
              <w:rPr>
                <w:sz w:val="1"/>
                <w:szCs w:val="1"/>
                <w:color w:val="auto"/>
              </w:rPr>
            </w:pPr>
          </w:p>
        </w:tc>
        <w:tc>
          <w:tcPr>
            <w:tcW w:w="360" w:type="dxa"/>
            <w:vAlign w:val="bottom"/>
            <w:tcBorders>
              <w:top w:val="single" w:sz="8" w:color="0000FF"/>
            </w:tcBorders>
            <w:shd w:val="clear" w:color="auto" w:fill="CEFEE7"/>
          </w:tcPr>
          <w:p>
            <w:pPr>
              <w:spacing w:after="0" w:line="20" w:lineRule="exact"/>
              <w:rPr>
                <w:sz w:val="1"/>
                <w:szCs w:val="1"/>
                <w:color w:val="auto"/>
              </w:rPr>
            </w:pPr>
          </w:p>
        </w:tc>
        <w:tc>
          <w:tcPr>
            <w:tcW w:w="1180" w:type="dxa"/>
            <w:vAlign w:val="bottom"/>
            <w:tcBorders>
              <w:top w:val="single" w:sz="8" w:color="0000FF"/>
            </w:tcBorders>
            <w:shd w:val="clear" w:color="auto" w:fill="CEFEE7"/>
          </w:tcPr>
          <w:p>
            <w:pPr>
              <w:spacing w:after="0" w:line="20" w:lineRule="exact"/>
              <w:rPr>
                <w:sz w:val="1"/>
                <w:szCs w:val="1"/>
                <w:color w:val="auto"/>
              </w:rPr>
            </w:pPr>
          </w:p>
        </w:tc>
        <w:tc>
          <w:tcPr>
            <w:tcW w:w="60" w:type="dxa"/>
            <w:vAlign w:val="bottom"/>
            <w:tcBorders>
              <w:top w:val="single" w:sz="8" w:color="0000FF"/>
            </w:tcBorders>
            <w:shd w:val="clear" w:color="auto" w:fill="CEFEE7"/>
          </w:tcPr>
          <w:p>
            <w:pPr>
              <w:spacing w:after="0" w:line="20" w:lineRule="exact"/>
              <w:rPr>
                <w:sz w:val="1"/>
                <w:szCs w:val="1"/>
                <w:color w:val="auto"/>
              </w:rPr>
            </w:pPr>
          </w:p>
        </w:tc>
        <w:tc>
          <w:tcPr>
            <w:tcW w:w="140" w:type="dxa"/>
            <w:vAlign w:val="bottom"/>
            <w:tcBorders>
              <w:top w:val="single" w:sz="8" w:color="0000FF"/>
            </w:tcBorders>
            <w:shd w:val="clear" w:color="auto" w:fill="CEFEE7"/>
          </w:tcPr>
          <w:p>
            <w:pPr>
              <w:spacing w:after="0" w:line="20" w:lineRule="exact"/>
              <w:rPr>
                <w:sz w:val="1"/>
                <w:szCs w:val="1"/>
                <w:color w:val="auto"/>
              </w:rPr>
            </w:pPr>
          </w:p>
        </w:tc>
        <w:tc>
          <w:tcPr>
            <w:tcW w:w="40" w:type="dxa"/>
            <w:vAlign w:val="bottom"/>
            <w:tcBorders>
              <w:top w:val="single" w:sz="8" w:color="0000FF"/>
            </w:tcBorders>
            <w:shd w:val="clear" w:color="auto" w:fill="CEFEE7"/>
          </w:tcPr>
          <w:p>
            <w:pPr>
              <w:spacing w:after="0" w:line="20" w:lineRule="exact"/>
              <w:rPr>
                <w:sz w:val="1"/>
                <w:szCs w:val="1"/>
                <w:color w:val="auto"/>
              </w:rPr>
            </w:pPr>
          </w:p>
        </w:tc>
        <w:tc>
          <w:tcPr>
            <w:tcW w:w="440" w:type="dxa"/>
            <w:vAlign w:val="bottom"/>
            <w:tcBorders>
              <w:top w:val="single" w:sz="8" w:color="0000FF"/>
            </w:tcBorders>
            <w:shd w:val="clear" w:color="auto" w:fill="CEFEE7"/>
          </w:tcPr>
          <w:p>
            <w:pPr>
              <w:spacing w:after="0" w:line="20" w:lineRule="exact"/>
              <w:rPr>
                <w:sz w:val="1"/>
                <w:szCs w:val="1"/>
                <w:color w:val="auto"/>
              </w:rPr>
            </w:pPr>
          </w:p>
        </w:tc>
        <w:tc>
          <w:tcPr>
            <w:tcW w:w="20" w:type="dxa"/>
            <w:vAlign w:val="bottom"/>
            <w:tcBorders>
              <w:top w:val="single" w:sz="8" w:color="0000FF"/>
            </w:tcBorders>
            <w:shd w:val="clear" w:color="auto" w:fill="CEFEE7"/>
          </w:tcPr>
          <w:p>
            <w:pPr>
              <w:spacing w:after="0" w:line="20" w:lineRule="exact"/>
              <w:rPr>
                <w:sz w:val="1"/>
                <w:szCs w:val="1"/>
                <w:color w:val="auto"/>
              </w:rPr>
            </w:pPr>
          </w:p>
        </w:tc>
        <w:tc>
          <w:tcPr>
            <w:tcW w:w="420" w:type="dxa"/>
            <w:vAlign w:val="bottom"/>
            <w:tcBorders>
              <w:top w:val="single" w:sz="8" w:color="0000FF"/>
            </w:tcBorders>
            <w:shd w:val="clear" w:color="auto" w:fill="CEFEE7"/>
          </w:tcPr>
          <w:p>
            <w:pPr>
              <w:spacing w:after="0" w:line="20" w:lineRule="exact"/>
              <w:rPr>
                <w:sz w:val="1"/>
                <w:szCs w:val="1"/>
                <w:color w:val="auto"/>
              </w:rPr>
            </w:pPr>
          </w:p>
        </w:tc>
        <w:tc>
          <w:tcPr>
            <w:tcW w:w="100" w:type="dxa"/>
            <w:vAlign w:val="bottom"/>
            <w:tcBorders>
              <w:top w:val="single" w:sz="8" w:color="0000FF"/>
            </w:tcBorders>
            <w:shd w:val="clear" w:color="auto" w:fill="CEFEE7"/>
          </w:tcPr>
          <w:p>
            <w:pPr>
              <w:spacing w:after="0" w:line="20" w:lineRule="exact"/>
              <w:rPr>
                <w:sz w:val="1"/>
                <w:szCs w:val="1"/>
                <w:color w:val="auto"/>
              </w:rPr>
            </w:pPr>
          </w:p>
        </w:tc>
        <w:tc>
          <w:tcPr>
            <w:tcW w:w="400" w:type="dxa"/>
            <w:vAlign w:val="bottom"/>
            <w:tcBorders>
              <w:top w:val="single" w:sz="8" w:color="0000FF"/>
            </w:tcBorders>
            <w:shd w:val="clear" w:color="auto" w:fill="CEFEE7"/>
          </w:tcPr>
          <w:p>
            <w:pPr>
              <w:spacing w:after="0" w:line="20" w:lineRule="exact"/>
              <w:rPr>
                <w:sz w:val="1"/>
                <w:szCs w:val="1"/>
                <w:color w:val="auto"/>
              </w:rPr>
            </w:pPr>
          </w:p>
        </w:tc>
        <w:tc>
          <w:tcPr>
            <w:tcW w:w="220" w:type="dxa"/>
            <w:vAlign w:val="bottom"/>
            <w:tcBorders>
              <w:top w:val="single" w:sz="8" w:color="0000FF"/>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220" w:type="dxa"/>
            <w:vAlign w:val="bottom"/>
            <w:tcBorders>
              <w:top w:val="single" w:sz="8" w:color="0000FF"/>
            </w:tcBorders>
            <w:shd w:val="clear" w:color="auto" w:fill="CEFEE7"/>
          </w:tcPr>
          <w:p>
            <w:pPr>
              <w:spacing w:after="0" w:line="20" w:lineRule="exact"/>
              <w:rPr>
                <w:sz w:val="1"/>
                <w:szCs w:val="1"/>
                <w:color w:val="auto"/>
              </w:rPr>
            </w:pPr>
          </w:p>
        </w:tc>
        <w:tc>
          <w:tcPr>
            <w:tcW w:w="60" w:type="dxa"/>
            <w:vAlign w:val="bottom"/>
            <w:tcBorders>
              <w:top w:val="single" w:sz="8" w:color="0000FF"/>
            </w:tcBorders>
            <w:shd w:val="clear" w:color="auto" w:fill="CEFEE7"/>
          </w:tcPr>
          <w:p>
            <w:pPr>
              <w:spacing w:after="0" w:line="20" w:lineRule="exact"/>
              <w:rPr>
                <w:sz w:val="1"/>
                <w:szCs w:val="1"/>
                <w:color w:val="auto"/>
              </w:rPr>
            </w:pPr>
          </w:p>
        </w:tc>
        <w:tc>
          <w:tcPr>
            <w:tcW w:w="540" w:type="dxa"/>
            <w:vAlign w:val="bottom"/>
            <w:tcBorders>
              <w:top w:val="single" w:sz="8" w:color="0000FF"/>
            </w:tcBorders>
            <w:shd w:val="clear" w:color="auto" w:fill="CEFEE7"/>
          </w:tcPr>
          <w:p>
            <w:pPr>
              <w:spacing w:after="0" w:line="20" w:lineRule="exact"/>
              <w:rPr>
                <w:sz w:val="1"/>
                <w:szCs w:val="1"/>
                <w:color w:val="auto"/>
              </w:rPr>
            </w:pPr>
          </w:p>
        </w:tc>
        <w:tc>
          <w:tcPr>
            <w:tcW w:w="280" w:type="dxa"/>
            <w:vAlign w:val="bottom"/>
            <w:tcBorders>
              <w:top w:val="single" w:sz="8" w:color="0000FF"/>
            </w:tcBorders>
            <w:shd w:val="clear" w:color="auto" w:fill="CEFEE7"/>
          </w:tcPr>
          <w:p>
            <w:pPr>
              <w:spacing w:after="0" w:line="20" w:lineRule="exact"/>
              <w:rPr>
                <w:sz w:val="1"/>
                <w:szCs w:val="1"/>
                <w:color w:val="auto"/>
              </w:rPr>
            </w:pPr>
          </w:p>
        </w:tc>
        <w:tc>
          <w:tcPr>
            <w:tcW w:w="340" w:type="dxa"/>
            <w:vAlign w:val="bottom"/>
            <w:tcBorders>
              <w:top w:val="single" w:sz="8" w:color="0000FF"/>
            </w:tcBorders>
            <w:shd w:val="clear" w:color="auto" w:fill="CEFEE7"/>
          </w:tcPr>
          <w:p>
            <w:pPr>
              <w:spacing w:after="0" w:line="20" w:lineRule="exact"/>
              <w:rPr>
                <w:sz w:val="1"/>
                <w:szCs w:val="1"/>
                <w:color w:val="auto"/>
              </w:rPr>
            </w:pPr>
          </w:p>
        </w:tc>
        <w:tc>
          <w:tcPr>
            <w:tcW w:w="1320" w:type="dxa"/>
            <w:vAlign w:val="bottom"/>
            <w:tcBorders>
              <w:top w:val="single" w:sz="8" w:color="0000FF"/>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480" w:type="dxa"/>
            <w:vAlign w:val="bottom"/>
            <w:tcBorders>
              <w:top w:val="single" w:sz="8" w:color="0000FF"/>
            </w:tcBorders>
            <w:shd w:val="clear" w:color="auto" w:fill="CEFEE7"/>
          </w:tcPr>
          <w:p>
            <w:pPr>
              <w:spacing w:after="0" w:line="20" w:lineRule="exact"/>
              <w:rPr>
                <w:sz w:val="1"/>
                <w:szCs w:val="1"/>
                <w:color w:val="auto"/>
              </w:rPr>
            </w:pPr>
          </w:p>
        </w:tc>
        <w:tc>
          <w:tcPr>
            <w:tcW w:w="26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340" w:type="dxa"/>
            <w:vAlign w:val="bottom"/>
            <w:tcBorders>
              <w:top w:val="single" w:sz="8" w:color="CEFEE7"/>
            </w:tcBorders>
            <w:shd w:val="clear" w:color="auto" w:fill="CEFEE7"/>
          </w:tcPr>
          <w:p>
            <w:pPr>
              <w:spacing w:after="0" w:line="20" w:lineRule="exact"/>
              <w:rPr>
                <w:sz w:val="1"/>
                <w:szCs w:val="1"/>
                <w:color w:val="auto"/>
              </w:rPr>
            </w:pPr>
          </w:p>
        </w:tc>
        <w:tc>
          <w:tcPr>
            <w:tcW w:w="4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tcPr>
          <w:p>
            <w:pPr>
              <w:ind w:left="120"/>
              <w:spacing w:after="0" w:line="175" w:lineRule="exact"/>
              <w:rPr>
                <w:sz w:val="20"/>
                <w:szCs w:val="20"/>
                <w:color w:val="auto"/>
              </w:rPr>
            </w:pPr>
            <w:r>
              <w:rPr>
                <w:rFonts w:ascii="Arial" w:cs="Arial" w:eastAsia="Arial" w:hAnsi="Arial"/>
                <w:sz w:val="16"/>
                <w:szCs w:val="16"/>
                <w:color w:val="auto"/>
              </w:rPr>
              <w:t>10.1.2†</w:t>
            </w:r>
          </w:p>
        </w:tc>
        <w:tc>
          <w:tcPr>
            <w:tcW w:w="120" w:type="dxa"/>
            <w:vAlign w:val="bottom"/>
          </w:tcPr>
          <w:p>
            <w:pPr>
              <w:spacing w:after="0"/>
              <w:rPr>
                <w:sz w:val="15"/>
                <w:szCs w:val="15"/>
                <w:color w:val="auto"/>
              </w:rPr>
            </w:pPr>
          </w:p>
        </w:tc>
        <w:tc>
          <w:tcPr>
            <w:tcW w:w="9520" w:type="dxa"/>
            <w:vAlign w:val="bottom"/>
            <w:gridSpan w:val="46"/>
          </w:tcPr>
          <w:p>
            <w:pPr>
              <w:spacing w:after="0" w:line="175" w:lineRule="exact"/>
              <w:rPr>
                <w:rFonts w:ascii="Arial" w:cs="Arial" w:eastAsia="Arial" w:hAnsi="Arial"/>
                <w:sz w:val="16"/>
                <w:szCs w:val="16"/>
                <w:color w:val="0000FF"/>
              </w:rPr>
            </w:pPr>
            <w:hyperlink r:id="rId183">
              <w:r>
                <w:rPr>
                  <w:rFonts w:ascii="Arial" w:cs="Arial" w:eastAsia="Arial" w:hAnsi="Arial"/>
                  <w:sz w:val="16"/>
                  <w:szCs w:val="16"/>
                  <w:color w:val="0000FF"/>
                </w:rPr>
                <w:t>Grandfather Amendment to the Amended and Restated Pension Equalization Plan of Black Hills Corporation (filed as Exhibit</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90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10.</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the Registrant’s Form 10-K for 2008).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260" w:type="dxa"/>
            <w:vAlign w:val="bottom"/>
            <w:tcBorders>
              <w:bottom w:val="single" w:sz="8" w:color="CEFEE7"/>
            </w:tcBorders>
            <w:gridSpan w:val="2"/>
            <w:shd w:val="clear" w:color="auto" w:fill="CEFEE7"/>
          </w:tcPr>
          <w:p>
            <w:pPr>
              <w:ind w:left="20"/>
              <w:spacing w:after="0" w:line="175" w:lineRule="exact"/>
              <w:rPr>
                <w:sz w:val="20"/>
                <w:szCs w:val="20"/>
                <w:color w:val="auto"/>
              </w:rPr>
            </w:pPr>
            <w:r>
              <w:rPr>
                <w:rFonts w:ascii="Arial" w:cs="Arial" w:eastAsia="Arial" w:hAnsi="Arial"/>
                <w:sz w:val="16"/>
                <w:szCs w:val="16"/>
                <w:color w:val="auto"/>
              </w:rPr>
              <w:t>10.2†</w:t>
            </w:r>
          </w:p>
        </w:tc>
        <w:tc>
          <w:tcPr>
            <w:tcW w:w="8560" w:type="dxa"/>
            <w:vAlign w:val="bottom"/>
            <w:tcBorders>
              <w:bottom w:val="single" w:sz="8" w:color="0000FF"/>
            </w:tcBorders>
            <w:gridSpan w:val="26"/>
            <w:shd w:val="clear" w:color="auto" w:fill="CEFEE7"/>
          </w:tcPr>
          <w:p>
            <w:pPr>
              <w:spacing w:after="0" w:line="175" w:lineRule="exact"/>
              <w:rPr>
                <w:rFonts w:ascii="Arial" w:cs="Arial" w:eastAsia="Arial" w:hAnsi="Arial"/>
                <w:sz w:val="16"/>
                <w:szCs w:val="16"/>
                <w:color w:val="0000FF"/>
              </w:rPr>
            </w:pPr>
            <w:hyperlink r:id="rId184">
              <w:r>
                <w:rPr>
                  <w:rFonts w:ascii="Arial" w:cs="Arial" w:eastAsia="Arial" w:hAnsi="Arial"/>
                  <w:sz w:val="16"/>
                  <w:szCs w:val="16"/>
                  <w:color w:val="0000FF"/>
                </w:rPr>
                <w:t>2005 Pension Equalization Plan of Black Hills Corporation (filed as Exhibit 10.3 to the Registrant’s Form 10-K for 2008).</w:t>
              </w:r>
            </w:hyperlink>
          </w:p>
        </w:tc>
        <w:tc>
          <w:tcPr>
            <w:tcW w:w="880" w:type="dxa"/>
            <w:vAlign w:val="bottom"/>
            <w:tcBorders>
              <w:bottom w:val="single" w:sz="8" w:color="CEFEE7"/>
              <w:right w:val="single" w:sz="8" w:color="CEFEE7"/>
            </w:tcBorders>
            <w:gridSpan w:val="20"/>
            <w:shd w:val="clear" w:color="auto" w:fill="CEFEE7"/>
          </w:tcPr>
          <w:p>
            <w:pPr>
              <w:spacing w:after="0"/>
              <w:rPr>
                <w:sz w:val="17"/>
                <w:szCs w:val="17"/>
                <w:color w:val="auto"/>
              </w:rPr>
            </w:pPr>
          </w:p>
        </w:tc>
        <w:tc>
          <w:tcPr>
            <w:tcW w:w="200" w:type="dxa"/>
            <w:vAlign w:val="bottom"/>
          </w:tcPr>
          <w:p>
            <w:pPr>
              <w:spacing w:after="0"/>
              <w:rPr>
                <w:sz w:val="17"/>
                <w:szCs w:val="17"/>
                <w:color w:val="auto"/>
              </w:rPr>
            </w:pPr>
          </w:p>
        </w:tc>
      </w:tr>
      <w:tr>
        <w:trPr>
          <w:trHeight w:val="176"/>
        </w:trPr>
        <w:tc>
          <w:tcPr>
            <w:tcW w:w="340" w:type="dxa"/>
            <w:vAlign w:val="bottom"/>
          </w:tcPr>
          <w:p>
            <w:pPr>
              <w:spacing w:after="0"/>
              <w:rPr>
                <w:sz w:val="15"/>
                <w:szCs w:val="15"/>
                <w:color w:val="auto"/>
              </w:rPr>
            </w:pPr>
          </w:p>
        </w:tc>
        <w:tc>
          <w:tcPr>
            <w:tcW w:w="12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10.3†</w:t>
            </w:r>
          </w:p>
        </w:tc>
        <w:tc>
          <w:tcPr>
            <w:tcW w:w="9640" w:type="dxa"/>
            <w:vAlign w:val="bottom"/>
            <w:gridSpan w:val="47"/>
          </w:tcPr>
          <w:p>
            <w:pPr>
              <w:spacing w:after="0" w:line="175" w:lineRule="exact"/>
              <w:rPr>
                <w:rFonts w:ascii="Arial" w:cs="Arial" w:eastAsia="Arial" w:hAnsi="Arial"/>
                <w:sz w:val="16"/>
                <w:szCs w:val="16"/>
                <w:color w:val="0000FF"/>
              </w:rPr>
            </w:pPr>
            <w:hyperlink r:id="rId185">
              <w:r>
                <w:rPr>
                  <w:rFonts w:ascii="Arial" w:cs="Arial" w:eastAsia="Arial" w:hAnsi="Arial"/>
                  <w:sz w:val="16"/>
                  <w:szCs w:val="16"/>
                  <w:color w:val="0000FF"/>
                </w:rPr>
                <w:t>Restoration Plan of Black Hills Corporation (filed as Exhibit 10.5 to the Registrant’s Form 10-K for 2008).</w:t>
              </w:r>
            </w:hyperlink>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shd w:val="clear" w:color="auto" w:fill="CEFEE7"/>
          </w:tcPr>
          <w:p>
            <w:pPr>
              <w:ind w:left="120"/>
              <w:spacing w:after="0" w:line="175" w:lineRule="exact"/>
              <w:rPr>
                <w:sz w:val="20"/>
                <w:szCs w:val="20"/>
                <w:color w:val="auto"/>
              </w:rPr>
            </w:pPr>
            <w:r>
              <w:rPr>
                <w:rFonts w:ascii="Arial" w:cs="Arial" w:eastAsia="Arial" w:hAnsi="Arial"/>
                <w:sz w:val="16"/>
                <w:szCs w:val="16"/>
                <w:color w:val="auto"/>
              </w:rPr>
              <w:t>10.3.1†</w:t>
            </w:r>
          </w:p>
        </w:tc>
        <w:tc>
          <w:tcPr>
            <w:tcW w:w="120" w:type="dxa"/>
            <w:vAlign w:val="bottom"/>
            <w:shd w:val="clear" w:color="auto" w:fill="CEFEE7"/>
          </w:tcPr>
          <w:p>
            <w:pPr>
              <w:spacing w:after="0"/>
              <w:rPr>
                <w:sz w:val="15"/>
                <w:szCs w:val="15"/>
                <w:color w:val="auto"/>
              </w:rPr>
            </w:pPr>
          </w:p>
        </w:tc>
        <w:tc>
          <w:tcPr>
            <w:tcW w:w="9320" w:type="dxa"/>
            <w:vAlign w:val="bottom"/>
            <w:tcBorders>
              <w:right w:val="single" w:sz="8" w:color="CEFEE7"/>
            </w:tcBorders>
            <w:gridSpan w:val="45"/>
            <w:shd w:val="clear" w:color="auto" w:fill="CEFEE7"/>
          </w:tcPr>
          <w:p>
            <w:pPr>
              <w:spacing w:after="0" w:line="175" w:lineRule="exact"/>
              <w:rPr>
                <w:rFonts w:ascii="Arial" w:cs="Arial" w:eastAsia="Arial" w:hAnsi="Arial"/>
                <w:sz w:val="16"/>
                <w:szCs w:val="16"/>
                <w:color w:val="0000FF"/>
              </w:rPr>
            </w:pPr>
            <w:hyperlink r:id="rId186">
              <w:r>
                <w:rPr>
                  <w:rFonts w:ascii="Arial" w:cs="Arial" w:eastAsia="Arial" w:hAnsi="Arial"/>
                  <w:sz w:val="16"/>
                  <w:szCs w:val="16"/>
                  <w:color w:val="0000FF"/>
                </w:rPr>
                <w:t>First Amendment to the Restoration Plan of Black Hills Corporation dated July 24, 2011 (filed as Exhibit 10.2 to the Registrant’s</w:t>
              </w:r>
            </w:hyperlink>
          </w:p>
        </w:tc>
        <w:tc>
          <w:tcPr>
            <w:tcW w:w="200" w:type="dxa"/>
            <w:vAlign w:val="bottom"/>
          </w:tcPr>
          <w:p>
            <w:pPr>
              <w:spacing w:after="0"/>
              <w:rPr>
                <w:sz w:val="15"/>
                <w:szCs w:val="15"/>
                <w:color w:val="auto"/>
              </w:rPr>
            </w:pPr>
          </w:p>
        </w:tc>
      </w:tr>
      <w:tr>
        <w:trPr>
          <w:trHeight w:val="163"/>
        </w:trPr>
        <w:tc>
          <w:tcPr>
            <w:tcW w:w="340" w:type="dxa"/>
            <w:vAlign w:val="bottom"/>
          </w:tcPr>
          <w:p>
            <w:pPr>
              <w:spacing w:after="0"/>
              <w:rPr>
                <w:sz w:val="14"/>
                <w:szCs w:val="14"/>
                <w:color w:val="auto"/>
              </w:rPr>
            </w:pPr>
          </w:p>
        </w:tc>
        <w:tc>
          <w:tcPr>
            <w:tcW w:w="1020" w:type="dxa"/>
            <w:vAlign w:val="bottom"/>
            <w:tcBorders>
              <w:top w:val="single" w:sz="8" w:color="CEFEE7"/>
              <w:bottom w:val="single" w:sz="8" w:color="CEFEE7"/>
            </w:tcBorders>
            <w:shd w:val="clear" w:color="auto" w:fill="CEFEE7"/>
          </w:tcPr>
          <w:p>
            <w:pPr>
              <w:spacing w:after="0"/>
              <w:rPr>
                <w:sz w:val="14"/>
                <w:szCs w:val="14"/>
                <w:color w:val="auto"/>
              </w:rPr>
            </w:pPr>
          </w:p>
        </w:tc>
        <w:tc>
          <w:tcPr>
            <w:tcW w:w="240" w:type="dxa"/>
            <w:vAlign w:val="bottom"/>
            <w:tcBorders>
              <w:top w:val="single" w:sz="8" w:color="CEFEE7"/>
              <w:bottom w:val="single" w:sz="8" w:color="CEFEE7"/>
            </w:tcBorders>
            <w:shd w:val="clear" w:color="auto" w:fill="CEFEE7"/>
          </w:tcPr>
          <w:p>
            <w:pPr>
              <w:spacing w:after="0"/>
              <w:rPr>
                <w:sz w:val="14"/>
                <w:szCs w:val="14"/>
                <w:color w:val="auto"/>
              </w:rPr>
            </w:pPr>
          </w:p>
        </w:tc>
        <w:tc>
          <w:tcPr>
            <w:tcW w:w="120" w:type="dxa"/>
            <w:vAlign w:val="bottom"/>
            <w:tcBorders>
              <w:top w:val="single" w:sz="8" w:color="CEFEE7"/>
              <w:bottom w:val="single" w:sz="8" w:color="CEFEE7"/>
            </w:tcBorders>
            <w:shd w:val="clear" w:color="auto" w:fill="CEFEE7"/>
          </w:tcPr>
          <w:p>
            <w:pPr>
              <w:spacing w:after="0"/>
              <w:rPr>
                <w:sz w:val="14"/>
                <w:szCs w:val="14"/>
                <w:color w:val="auto"/>
              </w:rPr>
            </w:pPr>
          </w:p>
        </w:tc>
        <w:tc>
          <w:tcPr>
            <w:tcW w:w="4120" w:type="dxa"/>
            <w:vAlign w:val="bottom"/>
            <w:tcBorders>
              <w:top w:val="single" w:sz="8" w:color="0000FF"/>
              <w:bottom w:val="single" w:sz="8" w:color="0000FF"/>
            </w:tcBorders>
            <w:gridSpan w:val="12"/>
            <w:shd w:val="clear" w:color="auto" w:fill="CEFEE7"/>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Form 10-Q for the quarterly period ended June 30, 2011).</w:t>
              </w:r>
            </w:hyperlink>
          </w:p>
        </w:tc>
        <w:tc>
          <w:tcPr>
            <w:tcW w:w="5060" w:type="dxa"/>
            <w:vAlign w:val="bottom"/>
            <w:tcBorders>
              <w:top w:val="single" w:sz="8" w:color="0000FF"/>
              <w:bottom w:val="single" w:sz="8" w:color="CEFEE7"/>
            </w:tcBorders>
            <w:gridSpan w:val="27"/>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40" w:type="dxa"/>
            <w:vAlign w:val="bottom"/>
            <w:tcBorders>
              <w:top w:val="single" w:sz="8" w:color="CEFEE7"/>
              <w:bottom w:val="single" w:sz="8" w:color="CEFEE7"/>
              <w:right w:val="single" w:sz="8" w:color="CEFEE7"/>
            </w:tcBorders>
            <w:shd w:val="clear" w:color="auto" w:fill="CEFEE7"/>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10.4†</w:t>
            </w:r>
          </w:p>
        </w:tc>
        <w:tc>
          <w:tcPr>
            <w:tcW w:w="9640" w:type="dxa"/>
            <w:vAlign w:val="bottom"/>
            <w:gridSpan w:val="47"/>
          </w:tcPr>
          <w:p>
            <w:pPr>
              <w:spacing w:after="0" w:line="175" w:lineRule="exact"/>
              <w:rPr>
                <w:rFonts w:ascii="Arial" w:cs="Arial" w:eastAsia="Arial" w:hAnsi="Arial"/>
                <w:sz w:val="16"/>
                <w:szCs w:val="16"/>
                <w:color w:val="0000FF"/>
              </w:rPr>
            </w:pPr>
            <w:hyperlink r:id="rId187">
              <w:r>
                <w:rPr>
                  <w:rFonts w:ascii="Arial" w:cs="Arial" w:eastAsia="Arial" w:hAnsi="Arial"/>
                  <w:sz w:val="16"/>
                  <w:szCs w:val="16"/>
                  <w:color w:val="0000FF"/>
                </w:rPr>
                <w:t>Black Hills Corporation Non-qualified Deferred Compensation Plan as Amended and Restated effective January 1, 2011 (filed as</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8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Exhibit 10.4 to the Registrant’s Form 10-K for 2010).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260" w:type="dxa"/>
            <w:vAlign w:val="bottom"/>
            <w:gridSpan w:val="2"/>
            <w:shd w:val="clear" w:color="auto" w:fill="CEFEE7"/>
          </w:tcPr>
          <w:p>
            <w:pPr>
              <w:ind w:left="120"/>
              <w:spacing w:after="0" w:line="175" w:lineRule="exact"/>
              <w:rPr>
                <w:sz w:val="20"/>
                <w:szCs w:val="20"/>
                <w:color w:val="auto"/>
              </w:rPr>
            </w:pPr>
            <w:r>
              <w:rPr>
                <w:rFonts w:ascii="Arial" w:cs="Arial" w:eastAsia="Arial" w:hAnsi="Arial"/>
                <w:sz w:val="16"/>
                <w:szCs w:val="16"/>
                <w:color w:val="auto"/>
              </w:rPr>
              <w:t>10.4.1†</w:t>
            </w:r>
          </w:p>
        </w:tc>
        <w:tc>
          <w:tcPr>
            <w:tcW w:w="120" w:type="dxa"/>
            <w:vAlign w:val="bottom"/>
            <w:shd w:val="clear" w:color="auto" w:fill="CEFEE7"/>
          </w:tcPr>
          <w:p>
            <w:pPr>
              <w:spacing w:after="0"/>
              <w:rPr>
                <w:sz w:val="15"/>
                <w:szCs w:val="15"/>
                <w:color w:val="auto"/>
              </w:rPr>
            </w:pPr>
          </w:p>
        </w:tc>
        <w:tc>
          <w:tcPr>
            <w:tcW w:w="9320" w:type="dxa"/>
            <w:vAlign w:val="bottom"/>
            <w:tcBorders>
              <w:right w:val="single" w:sz="8" w:color="CEFEE7"/>
            </w:tcBorders>
            <w:gridSpan w:val="45"/>
            <w:shd w:val="clear" w:color="auto" w:fill="CEFEE7"/>
          </w:tcPr>
          <w:p>
            <w:pPr>
              <w:spacing w:after="0" w:line="175" w:lineRule="exact"/>
              <w:rPr>
                <w:rFonts w:ascii="Arial" w:cs="Arial" w:eastAsia="Arial" w:hAnsi="Arial"/>
                <w:sz w:val="16"/>
                <w:szCs w:val="16"/>
                <w:color w:val="0000FF"/>
              </w:rPr>
            </w:pPr>
            <w:hyperlink r:id="rId188">
              <w:r>
                <w:rPr>
                  <w:rFonts w:ascii="Arial" w:cs="Arial" w:eastAsia="Arial" w:hAnsi="Arial"/>
                  <w:sz w:val="16"/>
                  <w:szCs w:val="16"/>
                  <w:color w:val="0000FF"/>
                </w:rPr>
                <w:t>First Amendment to the Black Hills Corporation Nonqualified Deferred Compensation Plan as Amended and Restated effective</w:t>
              </w:r>
            </w:hyperlink>
          </w:p>
        </w:tc>
        <w:tc>
          <w:tcPr>
            <w:tcW w:w="200" w:type="dxa"/>
            <w:vAlign w:val="bottom"/>
          </w:tcPr>
          <w:p>
            <w:pPr>
              <w:spacing w:after="0"/>
              <w:rPr>
                <w:sz w:val="15"/>
                <w:szCs w:val="15"/>
                <w:color w:val="auto"/>
              </w:rPr>
            </w:pPr>
          </w:p>
        </w:tc>
      </w:tr>
      <w:tr>
        <w:trPr>
          <w:trHeight w:val="163"/>
        </w:trPr>
        <w:tc>
          <w:tcPr>
            <w:tcW w:w="340" w:type="dxa"/>
            <w:vAlign w:val="bottom"/>
          </w:tcPr>
          <w:p>
            <w:pPr>
              <w:spacing w:after="0"/>
              <w:rPr>
                <w:sz w:val="14"/>
                <w:szCs w:val="14"/>
                <w:color w:val="auto"/>
              </w:rPr>
            </w:pPr>
          </w:p>
        </w:tc>
        <w:tc>
          <w:tcPr>
            <w:tcW w:w="1020" w:type="dxa"/>
            <w:vAlign w:val="bottom"/>
            <w:tcBorders>
              <w:top w:val="single" w:sz="8" w:color="CEFEE7"/>
              <w:bottom w:val="single" w:sz="8" w:color="CEFEE7"/>
            </w:tcBorders>
            <w:shd w:val="clear" w:color="auto" w:fill="CEFEE7"/>
          </w:tcPr>
          <w:p>
            <w:pPr>
              <w:spacing w:after="0"/>
              <w:rPr>
                <w:sz w:val="14"/>
                <w:szCs w:val="14"/>
                <w:color w:val="auto"/>
              </w:rPr>
            </w:pPr>
          </w:p>
        </w:tc>
        <w:tc>
          <w:tcPr>
            <w:tcW w:w="240" w:type="dxa"/>
            <w:vAlign w:val="bottom"/>
            <w:tcBorders>
              <w:top w:val="single" w:sz="8" w:color="CEFEE7"/>
              <w:bottom w:val="single" w:sz="8" w:color="CEFEE7"/>
            </w:tcBorders>
            <w:shd w:val="clear" w:color="auto" w:fill="CEFEE7"/>
          </w:tcPr>
          <w:p>
            <w:pPr>
              <w:spacing w:after="0"/>
              <w:rPr>
                <w:sz w:val="14"/>
                <w:szCs w:val="14"/>
                <w:color w:val="auto"/>
              </w:rPr>
            </w:pPr>
          </w:p>
        </w:tc>
        <w:tc>
          <w:tcPr>
            <w:tcW w:w="120" w:type="dxa"/>
            <w:vAlign w:val="bottom"/>
            <w:tcBorders>
              <w:top w:val="single" w:sz="8" w:color="CEFEE7"/>
              <w:bottom w:val="single" w:sz="8" w:color="CEFEE7"/>
            </w:tcBorders>
            <w:shd w:val="clear" w:color="auto" w:fill="CEFEE7"/>
          </w:tcPr>
          <w:p>
            <w:pPr>
              <w:spacing w:after="0"/>
              <w:rPr>
                <w:sz w:val="14"/>
                <w:szCs w:val="14"/>
                <w:color w:val="auto"/>
              </w:rPr>
            </w:pPr>
          </w:p>
        </w:tc>
        <w:tc>
          <w:tcPr>
            <w:tcW w:w="5560" w:type="dxa"/>
            <w:vAlign w:val="bottom"/>
            <w:tcBorders>
              <w:top w:val="single" w:sz="8" w:color="0000FF"/>
              <w:bottom w:val="single" w:sz="8" w:color="0000FF"/>
            </w:tcBorders>
            <w:gridSpan w:val="18"/>
            <w:shd w:val="clear" w:color="auto" w:fill="CEFEE7"/>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January 1, 2011 (filed as Exhibit 10.5 to the Registrant’s Form 10-K for 2018).</w:t>
              </w:r>
            </w:hyperlink>
          </w:p>
        </w:tc>
        <w:tc>
          <w:tcPr>
            <w:tcW w:w="3540" w:type="dxa"/>
            <w:vAlign w:val="bottom"/>
            <w:tcBorders>
              <w:top w:val="single" w:sz="8" w:color="0000FF"/>
              <w:bottom w:val="single" w:sz="8" w:color="CEFEE7"/>
            </w:tcBorders>
            <w:gridSpan w:val="17"/>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60" w:type="dxa"/>
            <w:vAlign w:val="bottom"/>
            <w:tcBorders>
              <w:top w:val="single" w:sz="8" w:color="CEFEE7"/>
              <w:bottom w:val="single" w:sz="8" w:color="CEFEE7"/>
            </w:tcBorders>
            <w:gridSpan w:val="3"/>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40" w:type="dxa"/>
            <w:vAlign w:val="bottom"/>
            <w:tcBorders>
              <w:top w:val="single" w:sz="8" w:color="CEFEE7"/>
              <w:bottom w:val="single" w:sz="8" w:color="CEFEE7"/>
              <w:right w:val="single" w:sz="8" w:color="CEFEE7"/>
            </w:tcBorders>
            <w:shd w:val="clear" w:color="auto" w:fill="CEFEE7"/>
          </w:tcPr>
          <w:p>
            <w:pPr>
              <w:spacing w:after="0"/>
              <w:rPr>
                <w:sz w:val="14"/>
                <w:szCs w:val="14"/>
                <w:color w:val="auto"/>
              </w:rPr>
            </w:pPr>
          </w:p>
        </w:tc>
        <w:tc>
          <w:tcPr>
            <w:tcW w:w="200" w:type="dxa"/>
            <w:vAlign w:val="bottom"/>
          </w:tcPr>
          <w:p>
            <w:pPr>
              <w:spacing w:after="0"/>
              <w:rPr>
                <w:sz w:val="14"/>
                <w:szCs w:val="14"/>
                <w:color w:val="auto"/>
              </w:rPr>
            </w:pPr>
          </w:p>
        </w:tc>
      </w:tr>
      <w:tr>
        <w:trPr>
          <w:trHeight w:val="176"/>
        </w:trPr>
        <w:tc>
          <w:tcPr>
            <w:tcW w:w="340" w:type="dxa"/>
            <w:vAlign w:val="bottom"/>
          </w:tcPr>
          <w:p>
            <w:pPr>
              <w:spacing w:after="0"/>
              <w:rPr>
                <w:sz w:val="15"/>
                <w:szCs w:val="15"/>
                <w:color w:val="auto"/>
              </w:rPr>
            </w:pPr>
          </w:p>
        </w:tc>
        <w:tc>
          <w:tcPr>
            <w:tcW w:w="12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10.5†</w:t>
            </w:r>
          </w:p>
        </w:tc>
        <w:tc>
          <w:tcPr>
            <w:tcW w:w="9640" w:type="dxa"/>
            <w:vAlign w:val="bottom"/>
            <w:gridSpan w:val="47"/>
          </w:tcPr>
          <w:p>
            <w:pPr>
              <w:spacing w:after="0" w:line="175" w:lineRule="exact"/>
              <w:rPr>
                <w:rFonts w:ascii="Arial" w:cs="Arial" w:eastAsia="Arial" w:hAnsi="Arial"/>
                <w:sz w:val="16"/>
                <w:szCs w:val="16"/>
                <w:color w:val="0000FF"/>
              </w:rPr>
            </w:pPr>
            <w:hyperlink r:id="rId189">
              <w:r>
                <w:rPr>
                  <w:rFonts w:ascii="Arial" w:cs="Arial" w:eastAsia="Arial" w:hAnsi="Arial"/>
                  <w:sz w:val="16"/>
                  <w:szCs w:val="16"/>
                  <w:color w:val="0000FF"/>
                </w:rPr>
                <w:t>Black Hills Corporation Post-2018 Nonqualified Deferred Compensation Plan (filed as Exhibit 10.6 to the Registrant’s Form 10-K</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for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shd w:val="clear" w:color="auto" w:fill="CEFEE7"/>
          </w:tcPr>
          <w:p>
            <w:pPr>
              <w:ind w:left="20"/>
              <w:spacing w:after="0" w:line="175" w:lineRule="exact"/>
              <w:rPr>
                <w:sz w:val="20"/>
                <w:szCs w:val="20"/>
                <w:color w:val="auto"/>
              </w:rPr>
            </w:pPr>
            <w:r>
              <w:rPr>
                <w:rFonts w:ascii="Arial" w:cs="Arial" w:eastAsia="Arial" w:hAnsi="Arial"/>
                <w:sz w:val="16"/>
                <w:szCs w:val="16"/>
                <w:color w:val="auto"/>
              </w:rPr>
              <w:t>10.6†</w:t>
            </w:r>
          </w:p>
        </w:tc>
        <w:tc>
          <w:tcPr>
            <w:tcW w:w="9440" w:type="dxa"/>
            <w:vAlign w:val="bottom"/>
            <w:tcBorders>
              <w:right w:val="single" w:sz="8" w:color="CEFEE7"/>
            </w:tcBorders>
            <w:gridSpan w:val="46"/>
            <w:shd w:val="clear" w:color="auto" w:fill="CEFEE7"/>
          </w:tcPr>
          <w:p>
            <w:pPr>
              <w:spacing w:after="0" w:line="175" w:lineRule="exact"/>
              <w:rPr>
                <w:rFonts w:ascii="Arial" w:cs="Arial" w:eastAsia="Arial" w:hAnsi="Arial"/>
                <w:sz w:val="16"/>
                <w:szCs w:val="16"/>
                <w:color w:val="0000FF"/>
              </w:rPr>
            </w:pPr>
            <w:hyperlink r:id="rId190">
              <w:r>
                <w:rPr>
                  <w:rFonts w:ascii="Arial" w:cs="Arial" w:eastAsia="Arial" w:hAnsi="Arial"/>
                  <w:sz w:val="16"/>
                  <w:szCs w:val="16"/>
                  <w:color w:val="0000FF"/>
                </w:rPr>
                <w:t>Black Hills Corporation 2005 Omnibus Incentive Plan (”Omnibus Plan”) (filed as Appendix A to the Registrant’s Proxy Statement</w:t>
              </w:r>
            </w:hyperlink>
          </w:p>
        </w:tc>
        <w:tc>
          <w:tcPr>
            <w:tcW w:w="20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9180" w:type="dxa"/>
            <w:vAlign w:val="bottom"/>
            <w:tcBorders>
              <w:top w:val="single" w:sz="8" w:color="0000FF"/>
            </w:tcBorders>
            <w:gridSpan w:val="34"/>
            <w:shd w:val="clear" w:color="auto" w:fill="CEFEE7"/>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filed April 13, 2005).</w:t>
              </w:r>
            </w:hyperlink>
          </w:p>
        </w:tc>
        <w:tc>
          <w:tcPr>
            <w:tcW w:w="60" w:type="dxa"/>
            <w:vAlign w:val="bottom"/>
            <w:tcBorders>
              <w:top w:val="single" w:sz="8" w:color="CEFEE7"/>
            </w:tcBorders>
            <w:gridSpan w:val="3"/>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60" w:type="dxa"/>
            <w:vAlign w:val="bottom"/>
            <w:tcBorders>
              <w:top w:val="single" w:sz="8" w:color="CEFEE7"/>
            </w:tcBorders>
            <w:gridSpan w:val="3"/>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right w:val="single" w:sz="8" w:color="CEFEE7"/>
            </w:tcBorders>
            <w:shd w:val="clear" w:color="auto" w:fill="CEFEE7"/>
          </w:tcPr>
          <w:p>
            <w:pPr>
              <w:spacing w:after="0"/>
              <w:rPr>
                <w:sz w:val="12"/>
                <w:szCs w:val="12"/>
                <w:color w:val="auto"/>
              </w:rPr>
            </w:pPr>
          </w:p>
        </w:tc>
        <w:tc>
          <w:tcPr>
            <w:tcW w:w="200" w:type="dxa"/>
            <w:vAlign w:val="bottom"/>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580" w:type="dxa"/>
            <w:vAlign w:val="bottom"/>
            <w:tcBorders>
              <w:top w:val="single" w:sz="8" w:color="0000FF"/>
            </w:tcBorders>
            <w:shd w:val="clear" w:color="auto" w:fill="CEFEE7"/>
          </w:tcPr>
          <w:p>
            <w:pPr>
              <w:spacing w:after="0" w:line="20" w:lineRule="exact"/>
              <w:rPr>
                <w:sz w:val="1"/>
                <w:szCs w:val="1"/>
                <w:color w:val="auto"/>
              </w:rPr>
            </w:pPr>
          </w:p>
        </w:tc>
        <w:tc>
          <w:tcPr>
            <w:tcW w:w="380" w:type="dxa"/>
            <w:vAlign w:val="bottom"/>
            <w:tcBorders>
              <w:top w:val="single" w:sz="8" w:color="0000FF"/>
            </w:tcBorders>
            <w:shd w:val="clear" w:color="auto" w:fill="CEFEE7"/>
          </w:tcPr>
          <w:p>
            <w:pPr>
              <w:spacing w:after="0" w:line="20" w:lineRule="exact"/>
              <w:rPr>
                <w:sz w:val="1"/>
                <w:szCs w:val="1"/>
                <w:color w:val="auto"/>
              </w:rPr>
            </w:pPr>
          </w:p>
        </w:tc>
        <w:tc>
          <w:tcPr>
            <w:tcW w:w="360" w:type="dxa"/>
            <w:vAlign w:val="bottom"/>
            <w:tcBorders>
              <w:top w:val="single" w:sz="8" w:color="0000FF"/>
            </w:tcBorders>
            <w:shd w:val="clear" w:color="auto" w:fill="CEFEE7"/>
          </w:tcPr>
          <w:p>
            <w:pPr>
              <w:spacing w:after="0" w:line="20" w:lineRule="exact"/>
              <w:rPr>
                <w:sz w:val="1"/>
                <w:szCs w:val="1"/>
                <w:color w:val="auto"/>
              </w:rPr>
            </w:pPr>
          </w:p>
        </w:tc>
        <w:tc>
          <w:tcPr>
            <w:tcW w:w="118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14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4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20" w:type="dxa"/>
            <w:vAlign w:val="bottom"/>
            <w:tcBorders>
              <w:top w:val="single" w:sz="8" w:color="CEFEE7"/>
            </w:tcBorders>
            <w:shd w:val="clear" w:color="auto" w:fill="CEFEE7"/>
          </w:tcPr>
          <w:p>
            <w:pPr>
              <w:spacing w:after="0" w:line="20" w:lineRule="exact"/>
              <w:rPr>
                <w:sz w:val="1"/>
                <w:szCs w:val="1"/>
                <w:color w:val="auto"/>
              </w:rPr>
            </w:pPr>
          </w:p>
        </w:tc>
        <w:tc>
          <w:tcPr>
            <w:tcW w:w="100" w:type="dxa"/>
            <w:vAlign w:val="bottom"/>
            <w:tcBorders>
              <w:top w:val="single" w:sz="8" w:color="CEFEE7"/>
            </w:tcBorders>
            <w:shd w:val="clear" w:color="auto" w:fill="CEFEE7"/>
          </w:tcPr>
          <w:p>
            <w:pPr>
              <w:spacing w:after="0" w:line="20" w:lineRule="exact"/>
              <w:rPr>
                <w:sz w:val="1"/>
                <w:szCs w:val="1"/>
                <w:color w:val="auto"/>
              </w:rPr>
            </w:pPr>
          </w:p>
        </w:tc>
        <w:tc>
          <w:tcPr>
            <w:tcW w:w="400" w:type="dxa"/>
            <w:vAlign w:val="bottom"/>
            <w:tcBorders>
              <w:top w:val="single" w:sz="8" w:color="CEFEE7"/>
            </w:tcBorders>
            <w:shd w:val="clear" w:color="auto" w:fill="CEFEE7"/>
          </w:tcPr>
          <w:p>
            <w:pPr>
              <w:spacing w:after="0" w:line="20" w:lineRule="exact"/>
              <w:rPr>
                <w:sz w:val="1"/>
                <w:szCs w:val="1"/>
                <w:color w:val="auto"/>
              </w:rPr>
            </w:pPr>
          </w:p>
        </w:tc>
        <w:tc>
          <w:tcPr>
            <w:tcW w:w="22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22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540" w:type="dxa"/>
            <w:vAlign w:val="bottom"/>
            <w:tcBorders>
              <w:top w:val="single" w:sz="8" w:color="CEFEE7"/>
            </w:tcBorders>
            <w:shd w:val="clear" w:color="auto" w:fill="CEFEE7"/>
          </w:tcPr>
          <w:p>
            <w:pPr>
              <w:spacing w:after="0" w:line="20" w:lineRule="exact"/>
              <w:rPr>
                <w:sz w:val="1"/>
                <w:szCs w:val="1"/>
                <w:color w:val="auto"/>
              </w:rPr>
            </w:pPr>
          </w:p>
        </w:tc>
        <w:tc>
          <w:tcPr>
            <w:tcW w:w="280" w:type="dxa"/>
            <w:vAlign w:val="bottom"/>
            <w:tcBorders>
              <w:top w:val="single" w:sz="8" w:color="CEFEE7"/>
            </w:tcBorders>
            <w:shd w:val="clear" w:color="auto" w:fill="CEFEE7"/>
          </w:tcPr>
          <w:p>
            <w:pPr>
              <w:spacing w:after="0" w:line="20" w:lineRule="exact"/>
              <w:rPr>
                <w:sz w:val="1"/>
                <w:szCs w:val="1"/>
                <w:color w:val="auto"/>
              </w:rPr>
            </w:pPr>
          </w:p>
        </w:tc>
        <w:tc>
          <w:tcPr>
            <w:tcW w:w="340" w:type="dxa"/>
            <w:vAlign w:val="bottom"/>
            <w:tcBorders>
              <w:top w:val="single" w:sz="8" w:color="CEFEE7"/>
            </w:tcBorders>
            <w:shd w:val="clear" w:color="auto" w:fill="CEFEE7"/>
          </w:tcPr>
          <w:p>
            <w:pPr>
              <w:spacing w:after="0" w:line="20" w:lineRule="exact"/>
              <w:rPr>
                <w:sz w:val="1"/>
                <w:szCs w:val="1"/>
                <w:color w:val="auto"/>
              </w:rPr>
            </w:pPr>
          </w:p>
        </w:tc>
        <w:tc>
          <w:tcPr>
            <w:tcW w:w="132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480" w:type="dxa"/>
            <w:vAlign w:val="bottom"/>
            <w:tcBorders>
              <w:top w:val="single" w:sz="8" w:color="CEFEE7"/>
            </w:tcBorders>
            <w:shd w:val="clear" w:color="auto" w:fill="CEFEE7"/>
          </w:tcPr>
          <w:p>
            <w:pPr>
              <w:spacing w:after="0" w:line="20" w:lineRule="exact"/>
              <w:rPr>
                <w:sz w:val="1"/>
                <w:szCs w:val="1"/>
                <w:color w:val="auto"/>
              </w:rPr>
            </w:pPr>
          </w:p>
        </w:tc>
        <w:tc>
          <w:tcPr>
            <w:tcW w:w="26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340" w:type="dxa"/>
            <w:vAlign w:val="bottom"/>
            <w:tcBorders>
              <w:top w:val="single" w:sz="8" w:color="CEFEE7"/>
            </w:tcBorders>
            <w:shd w:val="clear" w:color="auto" w:fill="CEFEE7"/>
          </w:tcPr>
          <w:p>
            <w:pPr>
              <w:spacing w:after="0" w:line="20" w:lineRule="exact"/>
              <w:rPr>
                <w:sz w:val="1"/>
                <w:szCs w:val="1"/>
                <w:color w:val="auto"/>
              </w:rPr>
            </w:pPr>
          </w:p>
        </w:tc>
        <w:tc>
          <w:tcPr>
            <w:tcW w:w="4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tcPr>
          <w:p>
            <w:pPr>
              <w:ind w:left="120"/>
              <w:spacing w:after="0" w:line="175" w:lineRule="exact"/>
              <w:rPr>
                <w:sz w:val="20"/>
                <w:szCs w:val="20"/>
                <w:color w:val="auto"/>
              </w:rPr>
            </w:pPr>
            <w:r>
              <w:rPr>
                <w:rFonts w:ascii="Arial" w:cs="Arial" w:eastAsia="Arial" w:hAnsi="Arial"/>
                <w:sz w:val="16"/>
                <w:szCs w:val="16"/>
                <w:color w:val="auto"/>
              </w:rPr>
              <w:t>10.6.1†</w:t>
            </w:r>
          </w:p>
        </w:tc>
        <w:tc>
          <w:tcPr>
            <w:tcW w:w="120" w:type="dxa"/>
            <w:vAlign w:val="bottom"/>
          </w:tcPr>
          <w:p>
            <w:pPr>
              <w:spacing w:after="0"/>
              <w:rPr>
                <w:sz w:val="15"/>
                <w:szCs w:val="15"/>
                <w:color w:val="auto"/>
              </w:rPr>
            </w:pPr>
          </w:p>
        </w:tc>
        <w:tc>
          <w:tcPr>
            <w:tcW w:w="9520" w:type="dxa"/>
            <w:vAlign w:val="bottom"/>
            <w:gridSpan w:val="46"/>
          </w:tcPr>
          <w:p>
            <w:pPr>
              <w:spacing w:after="0" w:line="175" w:lineRule="exact"/>
              <w:rPr>
                <w:rFonts w:ascii="Arial" w:cs="Arial" w:eastAsia="Arial" w:hAnsi="Arial"/>
                <w:sz w:val="16"/>
                <w:szCs w:val="16"/>
                <w:color w:val="0000FF"/>
              </w:rPr>
            </w:pPr>
            <w:hyperlink r:id="rId191">
              <w:r>
                <w:rPr>
                  <w:rFonts w:ascii="Arial" w:cs="Arial" w:eastAsia="Arial" w:hAnsi="Arial"/>
                  <w:sz w:val="16"/>
                  <w:szCs w:val="16"/>
                  <w:color w:val="0000FF"/>
                </w:rPr>
                <w:t>First Amendment to the Omnibus Plan (filed as Exhibit 10.11 to the Registrant’s Form 10-K for 2008).</w:t>
              </w:r>
            </w:hyperlink>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260" w:type="dxa"/>
            <w:vAlign w:val="bottom"/>
            <w:gridSpan w:val="2"/>
            <w:shd w:val="clear" w:color="auto" w:fill="CEFEE7"/>
          </w:tcPr>
          <w:p>
            <w:pPr>
              <w:ind w:left="120"/>
              <w:spacing w:after="0" w:line="175" w:lineRule="exact"/>
              <w:rPr>
                <w:sz w:val="20"/>
                <w:szCs w:val="20"/>
                <w:color w:val="auto"/>
              </w:rPr>
            </w:pPr>
            <w:r>
              <w:rPr>
                <w:rFonts w:ascii="Arial" w:cs="Arial" w:eastAsia="Arial" w:hAnsi="Arial"/>
                <w:sz w:val="16"/>
                <w:szCs w:val="16"/>
                <w:color w:val="auto"/>
              </w:rPr>
              <w:t>10.6.2†</w:t>
            </w:r>
          </w:p>
        </w:tc>
        <w:tc>
          <w:tcPr>
            <w:tcW w:w="120" w:type="dxa"/>
            <w:vAlign w:val="bottom"/>
            <w:shd w:val="clear" w:color="auto" w:fill="CEFEE7"/>
          </w:tcPr>
          <w:p>
            <w:pPr>
              <w:spacing w:after="0"/>
              <w:rPr>
                <w:sz w:val="15"/>
                <w:szCs w:val="15"/>
                <w:color w:val="auto"/>
              </w:rPr>
            </w:pPr>
          </w:p>
        </w:tc>
        <w:tc>
          <w:tcPr>
            <w:tcW w:w="9320" w:type="dxa"/>
            <w:vAlign w:val="bottom"/>
            <w:tcBorders>
              <w:right w:val="single" w:sz="8" w:color="CEFEE7"/>
            </w:tcBorders>
            <w:gridSpan w:val="45"/>
            <w:shd w:val="clear" w:color="auto" w:fill="CEFEE7"/>
          </w:tcPr>
          <w:p>
            <w:pPr>
              <w:spacing w:after="0" w:line="175" w:lineRule="exact"/>
              <w:rPr>
                <w:rFonts w:ascii="Arial" w:cs="Arial" w:eastAsia="Arial" w:hAnsi="Arial"/>
                <w:sz w:val="16"/>
                <w:szCs w:val="16"/>
                <w:color w:val="0000FF"/>
              </w:rPr>
            </w:pPr>
            <w:hyperlink r:id="rId192">
              <w:r>
                <w:rPr>
                  <w:rFonts w:ascii="Arial" w:cs="Arial" w:eastAsia="Arial" w:hAnsi="Arial"/>
                  <w:sz w:val="16"/>
                  <w:szCs w:val="16"/>
                  <w:color w:val="0000FF"/>
                </w:rPr>
                <w:t>Second Amendment to the Omnibus Plan (filed as Exhibit 10 to the Registrant’s Form 8-K filed on May 26, 2010).</w:t>
              </w:r>
            </w:hyperlink>
          </w:p>
        </w:tc>
        <w:tc>
          <w:tcPr>
            <w:tcW w:w="200" w:type="dxa"/>
            <w:vAlign w:val="bottom"/>
          </w:tcPr>
          <w:p>
            <w:pPr>
              <w:spacing w:after="0"/>
              <w:rPr>
                <w:sz w:val="15"/>
                <w:szCs w:val="15"/>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580" w:type="dxa"/>
            <w:vAlign w:val="bottom"/>
            <w:tcBorders>
              <w:top w:val="single" w:sz="8" w:color="0000FF"/>
            </w:tcBorders>
            <w:shd w:val="clear" w:color="auto" w:fill="CEFEE7"/>
          </w:tcPr>
          <w:p>
            <w:pPr>
              <w:spacing w:after="0" w:line="20" w:lineRule="exact"/>
              <w:rPr>
                <w:sz w:val="1"/>
                <w:szCs w:val="1"/>
                <w:color w:val="auto"/>
              </w:rPr>
            </w:pPr>
          </w:p>
        </w:tc>
        <w:tc>
          <w:tcPr>
            <w:tcW w:w="380" w:type="dxa"/>
            <w:vAlign w:val="bottom"/>
            <w:tcBorders>
              <w:top w:val="single" w:sz="8" w:color="0000FF"/>
            </w:tcBorders>
            <w:shd w:val="clear" w:color="auto" w:fill="CEFEE7"/>
          </w:tcPr>
          <w:p>
            <w:pPr>
              <w:spacing w:after="0" w:line="20" w:lineRule="exact"/>
              <w:rPr>
                <w:sz w:val="1"/>
                <w:szCs w:val="1"/>
                <w:color w:val="auto"/>
              </w:rPr>
            </w:pPr>
          </w:p>
        </w:tc>
        <w:tc>
          <w:tcPr>
            <w:tcW w:w="360" w:type="dxa"/>
            <w:vAlign w:val="bottom"/>
            <w:tcBorders>
              <w:top w:val="single" w:sz="8" w:color="0000FF"/>
            </w:tcBorders>
            <w:shd w:val="clear" w:color="auto" w:fill="CEFEE7"/>
          </w:tcPr>
          <w:p>
            <w:pPr>
              <w:spacing w:after="0" w:line="20" w:lineRule="exact"/>
              <w:rPr>
                <w:sz w:val="1"/>
                <w:szCs w:val="1"/>
                <w:color w:val="auto"/>
              </w:rPr>
            </w:pPr>
          </w:p>
        </w:tc>
        <w:tc>
          <w:tcPr>
            <w:tcW w:w="1180" w:type="dxa"/>
            <w:vAlign w:val="bottom"/>
            <w:tcBorders>
              <w:top w:val="single" w:sz="8" w:color="0000FF"/>
            </w:tcBorders>
            <w:shd w:val="clear" w:color="auto" w:fill="CEFEE7"/>
          </w:tcPr>
          <w:p>
            <w:pPr>
              <w:spacing w:after="0" w:line="20" w:lineRule="exact"/>
              <w:rPr>
                <w:sz w:val="1"/>
                <w:szCs w:val="1"/>
                <w:color w:val="auto"/>
              </w:rPr>
            </w:pPr>
          </w:p>
        </w:tc>
        <w:tc>
          <w:tcPr>
            <w:tcW w:w="60" w:type="dxa"/>
            <w:vAlign w:val="bottom"/>
            <w:tcBorders>
              <w:top w:val="single" w:sz="8" w:color="0000FF"/>
            </w:tcBorders>
            <w:shd w:val="clear" w:color="auto" w:fill="CEFEE7"/>
          </w:tcPr>
          <w:p>
            <w:pPr>
              <w:spacing w:after="0" w:line="20" w:lineRule="exact"/>
              <w:rPr>
                <w:sz w:val="1"/>
                <w:szCs w:val="1"/>
                <w:color w:val="auto"/>
              </w:rPr>
            </w:pPr>
          </w:p>
        </w:tc>
        <w:tc>
          <w:tcPr>
            <w:tcW w:w="140" w:type="dxa"/>
            <w:vAlign w:val="bottom"/>
            <w:tcBorders>
              <w:top w:val="single" w:sz="8" w:color="0000FF"/>
            </w:tcBorders>
            <w:shd w:val="clear" w:color="auto" w:fill="CEFEE7"/>
          </w:tcPr>
          <w:p>
            <w:pPr>
              <w:spacing w:after="0" w:line="20" w:lineRule="exact"/>
              <w:rPr>
                <w:sz w:val="1"/>
                <w:szCs w:val="1"/>
                <w:color w:val="auto"/>
              </w:rPr>
            </w:pPr>
          </w:p>
        </w:tc>
        <w:tc>
          <w:tcPr>
            <w:tcW w:w="40" w:type="dxa"/>
            <w:vAlign w:val="bottom"/>
            <w:tcBorders>
              <w:top w:val="single" w:sz="8" w:color="0000FF"/>
            </w:tcBorders>
            <w:shd w:val="clear" w:color="auto" w:fill="CEFEE7"/>
          </w:tcPr>
          <w:p>
            <w:pPr>
              <w:spacing w:after="0" w:line="20" w:lineRule="exact"/>
              <w:rPr>
                <w:sz w:val="1"/>
                <w:szCs w:val="1"/>
                <w:color w:val="auto"/>
              </w:rPr>
            </w:pPr>
          </w:p>
        </w:tc>
        <w:tc>
          <w:tcPr>
            <w:tcW w:w="440" w:type="dxa"/>
            <w:vAlign w:val="bottom"/>
            <w:tcBorders>
              <w:top w:val="single" w:sz="8" w:color="0000FF"/>
            </w:tcBorders>
            <w:shd w:val="clear" w:color="auto" w:fill="CEFEE7"/>
          </w:tcPr>
          <w:p>
            <w:pPr>
              <w:spacing w:after="0" w:line="20" w:lineRule="exact"/>
              <w:rPr>
                <w:sz w:val="1"/>
                <w:szCs w:val="1"/>
                <w:color w:val="auto"/>
              </w:rPr>
            </w:pPr>
          </w:p>
        </w:tc>
        <w:tc>
          <w:tcPr>
            <w:tcW w:w="20" w:type="dxa"/>
            <w:vAlign w:val="bottom"/>
            <w:tcBorders>
              <w:top w:val="single" w:sz="8" w:color="0000FF"/>
            </w:tcBorders>
            <w:shd w:val="clear" w:color="auto" w:fill="CEFEE7"/>
          </w:tcPr>
          <w:p>
            <w:pPr>
              <w:spacing w:after="0" w:line="20" w:lineRule="exact"/>
              <w:rPr>
                <w:sz w:val="1"/>
                <w:szCs w:val="1"/>
                <w:color w:val="auto"/>
              </w:rPr>
            </w:pPr>
          </w:p>
        </w:tc>
        <w:tc>
          <w:tcPr>
            <w:tcW w:w="420" w:type="dxa"/>
            <w:vAlign w:val="bottom"/>
            <w:tcBorders>
              <w:top w:val="single" w:sz="8" w:color="0000FF"/>
            </w:tcBorders>
            <w:shd w:val="clear" w:color="auto" w:fill="CEFEE7"/>
          </w:tcPr>
          <w:p>
            <w:pPr>
              <w:spacing w:after="0" w:line="20" w:lineRule="exact"/>
              <w:rPr>
                <w:sz w:val="1"/>
                <w:szCs w:val="1"/>
                <w:color w:val="auto"/>
              </w:rPr>
            </w:pPr>
          </w:p>
        </w:tc>
        <w:tc>
          <w:tcPr>
            <w:tcW w:w="100" w:type="dxa"/>
            <w:vAlign w:val="bottom"/>
            <w:tcBorders>
              <w:top w:val="single" w:sz="8" w:color="0000FF"/>
            </w:tcBorders>
            <w:shd w:val="clear" w:color="auto" w:fill="CEFEE7"/>
          </w:tcPr>
          <w:p>
            <w:pPr>
              <w:spacing w:after="0" w:line="20" w:lineRule="exact"/>
              <w:rPr>
                <w:sz w:val="1"/>
                <w:szCs w:val="1"/>
                <w:color w:val="auto"/>
              </w:rPr>
            </w:pPr>
          </w:p>
        </w:tc>
        <w:tc>
          <w:tcPr>
            <w:tcW w:w="400" w:type="dxa"/>
            <w:vAlign w:val="bottom"/>
            <w:tcBorders>
              <w:top w:val="single" w:sz="8" w:color="0000FF"/>
            </w:tcBorders>
            <w:shd w:val="clear" w:color="auto" w:fill="CEFEE7"/>
          </w:tcPr>
          <w:p>
            <w:pPr>
              <w:spacing w:after="0" w:line="20" w:lineRule="exact"/>
              <w:rPr>
                <w:sz w:val="1"/>
                <w:szCs w:val="1"/>
                <w:color w:val="auto"/>
              </w:rPr>
            </w:pPr>
          </w:p>
        </w:tc>
        <w:tc>
          <w:tcPr>
            <w:tcW w:w="220" w:type="dxa"/>
            <w:vAlign w:val="bottom"/>
            <w:tcBorders>
              <w:top w:val="single" w:sz="8" w:color="0000FF"/>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220" w:type="dxa"/>
            <w:vAlign w:val="bottom"/>
            <w:tcBorders>
              <w:top w:val="single" w:sz="8" w:color="0000FF"/>
            </w:tcBorders>
            <w:shd w:val="clear" w:color="auto" w:fill="CEFEE7"/>
          </w:tcPr>
          <w:p>
            <w:pPr>
              <w:spacing w:after="0" w:line="20" w:lineRule="exact"/>
              <w:rPr>
                <w:sz w:val="1"/>
                <w:szCs w:val="1"/>
                <w:color w:val="auto"/>
              </w:rPr>
            </w:pPr>
          </w:p>
        </w:tc>
        <w:tc>
          <w:tcPr>
            <w:tcW w:w="60" w:type="dxa"/>
            <w:vAlign w:val="bottom"/>
            <w:tcBorders>
              <w:top w:val="single" w:sz="8" w:color="0000FF"/>
            </w:tcBorders>
            <w:shd w:val="clear" w:color="auto" w:fill="CEFEE7"/>
          </w:tcPr>
          <w:p>
            <w:pPr>
              <w:spacing w:after="0" w:line="20" w:lineRule="exact"/>
              <w:rPr>
                <w:sz w:val="1"/>
                <w:szCs w:val="1"/>
                <w:color w:val="auto"/>
              </w:rPr>
            </w:pPr>
          </w:p>
        </w:tc>
        <w:tc>
          <w:tcPr>
            <w:tcW w:w="540" w:type="dxa"/>
            <w:vAlign w:val="bottom"/>
            <w:tcBorders>
              <w:top w:val="single" w:sz="8" w:color="0000FF"/>
            </w:tcBorders>
            <w:shd w:val="clear" w:color="auto" w:fill="CEFEE7"/>
          </w:tcPr>
          <w:p>
            <w:pPr>
              <w:spacing w:after="0" w:line="20" w:lineRule="exact"/>
              <w:rPr>
                <w:sz w:val="1"/>
                <w:szCs w:val="1"/>
                <w:color w:val="auto"/>
              </w:rPr>
            </w:pPr>
          </w:p>
        </w:tc>
        <w:tc>
          <w:tcPr>
            <w:tcW w:w="280" w:type="dxa"/>
            <w:vAlign w:val="bottom"/>
            <w:tcBorders>
              <w:top w:val="single" w:sz="8" w:color="0000FF"/>
            </w:tcBorders>
            <w:shd w:val="clear" w:color="auto" w:fill="CEFEE7"/>
          </w:tcPr>
          <w:p>
            <w:pPr>
              <w:spacing w:after="0" w:line="20" w:lineRule="exact"/>
              <w:rPr>
                <w:sz w:val="1"/>
                <w:szCs w:val="1"/>
                <w:color w:val="auto"/>
              </w:rPr>
            </w:pPr>
          </w:p>
        </w:tc>
        <w:tc>
          <w:tcPr>
            <w:tcW w:w="340" w:type="dxa"/>
            <w:vAlign w:val="bottom"/>
            <w:tcBorders>
              <w:top w:val="single" w:sz="8" w:color="0000FF"/>
            </w:tcBorders>
            <w:shd w:val="clear" w:color="auto" w:fill="CEFEE7"/>
          </w:tcPr>
          <w:p>
            <w:pPr>
              <w:spacing w:after="0" w:line="20" w:lineRule="exact"/>
              <w:rPr>
                <w:sz w:val="1"/>
                <w:szCs w:val="1"/>
                <w:color w:val="auto"/>
              </w:rPr>
            </w:pPr>
          </w:p>
        </w:tc>
        <w:tc>
          <w:tcPr>
            <w:tcW w:w="1320" w:type="dxa"/>
            <w:vAlign w:val="bottom"/>
            <w:tcBorders>
              <w:top w:val="single" w:sz="8" w:color="0000FF"/>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480" w:type="dxa"/>
            <w:vAlign w:val="bottom"/>
            <w:tcBorders>
              <w:top w:val="single" w:sz="8" w:color="0000FF"/>
            </w:tcBorders>
            <w:shd w:val="clear" w:color="auto" w:fill="CEFEE7"/>
          </w:tcPr>
          <w:p>
            <w:pPr>
              <w:spacing w:after="0" w:line="20" w:lineRule="exact"/>
              <w:rPr>
                <w:sz w:val="1"/>
                <w:szCs w:val="1"/>
                <w:color w:val="auto"/>
              </w:rPr>
            </w:pPr>
          </w:p>
        </w:tc>
        <w:tc>
          <w:tcPr>
            <w:tcW w:w="260" w:type="dxa"/>
            <w:vAlign w:val="bottom"/>
            <w:tcBorders>
              <w:top w:val="single" w:sz="8" w:color="0000FF"/>
            </w:tcBorders>
            <w:shd w:val="clear" w:color="auto" w:fill="CEFEE7"/>
          </w:tcPr>
          <w:p>
            <w:pPr>
              <w:spacing w:after="0" w:line="20" w:lineRule="exact"/>
              <w:rPr>
                <w:sz w:val="1"/>
                <w:szCs w:val="1"/>
                <w:color w:val="auto"/>
              </w:rPr>
            </w:pPr>
          </w:p>
        </w:tc>
        <w:tc>
          <w:tcPr>
            <w:tcW w:w="20" w:type="dxa"/>
            <w:vAlign w:val="bottom"/>
            <w:tcBorders>
              <w:top w:val="single" w:sz="8" w:color="0000FF"/>
            </w:tcBorders>
            <w:shd w:val="clear" w:color="auto" w:fill="CEFEE7"/>
          </w:tcPr>
          <w:p>
            <w:pPr>
              <w:spacing w:after="0" w:line="20" w:lineRule="exact"/>
              <w:rPr>
                <w:sz w:val="1"/>
                <w:szCs w:val="1"/>
                <w:color w:val="auto"/>
              </w:rPr>
            </w:pPr>
          </w:p>
        </w:tc>
        <w:tc>
          <w:tcPr>
            <w:tcW w:w="340" w:type="dxa"/>
            <w:vAlign w:val="bottom"/>
            <w:tcBorders>
              <w:top w:val="single" w:sz="8" w:color="CEFEE7"/>
            </w:tcBorders>
            <w:shd w:val="clear" w:color="auto" w:fill="CEFEE7"/>
          </w:tcPr>
          <w:p>
            <w:pPr>
              <w:spacing w:after="0" w:line="20" w:lineRule="exact"/>
              <w:rPr>
                <w:sz w:val="1"/>
                <w:szCs w:val="1"/>
                <w:color w:val="auto"/>
              </w:rPr>
            </w:pPr>
          </w:p>
        </w:tc>
        <w:tc>
          <w:tcPr>
            <w:tcW w:w="4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10.7*†</w:t>
            </w:r>
          </w:p>
        </w:tc>
        <w:tc>
          <w:tcPr>
            <w:tcW w:w="9640" w:type="dxa"/>
            <w:vAlign w:val="bottom"/>
            <w:gridSpan w:val="47"/>
          </w:tcPr>
          <w:p>
            <w:pPr>
              <w:spacing w:after="0" w:line="175" w:lineRule="exact"/>
              <w:rPr>
                <w:rFonts w:ascii="Arial" w:cs="Arial" w:eastAsia="Arial" w:hAnsi="Arial"/>
                <w:sz w:val="16"/>
                <w:szCs w:val="16"/>
                <w:color w:val="0000FF"/>
              </w:rPr>
            </w:pPr>
            <w:hyperlink r:id="rId193">
              <w:r>
                <w:rPr>
                  <w:rFonts w:ascii="Arial" w:cs="Arial" w:eastAsia="Arial" w:hAnsi="Arial"/>
                  <w:sz w:val="16"/>
                  <w:szCs w:val="16"/>
                  <w:color w:val="0000FF"/>
                </w:rPr>
                <w:t>Black Hills Corporation Amended and Restated 2015 Omnibus Incentive Plan effective January 26, 2021 (filed as Exhibit 10.7 to</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4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the Registrant's Form 10-K for 2020)</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shd w:val="clear" w:color="auto" w:fill="CEFEE7"/>
          </w:tcPr>
          <w:p>
            <w:pPr>
              <w:ind w:left="20"/>
              <w:spacing w:after="0" w:line="175" w:lineRule="exact"/>
              <w:rPr>
                <w:sz w:val="20"/>
                <w:szCs w:val="20"/>
                <w:color w:val="auto"/>
              </w:rPr>
            </w:pPr>
            <w:r>
              <w:rPr>
                <w:rFonts w:ascii="Arial" w:cs="Arial" w:eastAsia="Arial" w:hAnsi="Arial"/>
                <w:sz w:val="16"/>
                <w:szCs w:val="16"/>
                <w:color w:val="auto"/>
              </w:rPr>
              <w:t>10.8†</w:t>
            </w:r>
          </w:p>
        </w:tc>
        <w:tc>
          <w:tcPr>
            <w:tcW w:w="9440" w:type="dxa"/>
            <w:vAlign w:val="bottom"/>
            <w:tcBorders>
              <w:right w:val="single" w:sz="8" w:color="CEFEE7"/>
            </w:tcBorders>
            <w:gridSpan w:val="46"/>
            <w:shd w:val="clear" w:color="auto" w:fill="CEFEE7"/>
          </w:tcPr>
          <w:p>
            <w:pPr>
              <w:spacing w:after="0" w:line="175" w:lineRule="exact"/>
              <w:rPr>
                <w:rFonts w:ascii="Arial" w:cs="Arial" w:eastAsia="Arial" w:hAnsi="Arial"/>
                <w:sz w:val="16"/>
                <w:szCs w:val="16"/>
                <w:color w:val="0000FF"/>
              </w:rPr>
            </w:pPr>
            <w:hyperlink r:id="rId194">
              <w:r>
                <w:rPr>
                  <w:rFonts w:ascii="Arial" w:cs="Arial" w:eastAsia="Arial" w:hAnsi="Arial"/>
                  <w:sz w:val="16"/>
                  <w:szCs w:val="16"/>
                  <w:color w:val="0000FF"/>
                </w:rPr>
                <w:t>Form of Stock Option Agreement for Omnibus Plan effective for awards granted on or after January 1, 2014 (filed as Exhibit 10.7</w:t>
              </w:r>
            </w:hyperlink>
          </w:p>
        </w:tc>
        <w:tc>
          <w:tcPr>
            <w:tcW w:w="200" w:type="dxa"/>
            <w:vAlign w:val="bottom"/>
          </w:tcPr>
          <w:p>
            <w:pPr>
              <w:spacing w:after="0"/>
              <w:rPr>
                <w:sz w:val="15"/>
                <w:szCs w:val="15"/>
                <w:color w:val="auto"/>
              </w:rPr>
            </w:pPr>
          </w:p>
        </w:tc>
      </w:tr>
      <w:tr>
        <w:trPr>
          <w:trHeight w:val="163"/>
        </w:trPr>
        <w:tc>
          <w:tcPr>
            <w:tcW w:w="340" w:type="dxa"/>
            <w:vAlign w:val="bottom"/>
          </w:tcPr>
          <w:p>
            <w:pPr>
              <w:spacing w:after="0"/>
              <w:rPr>
                <w:sz w:val="14"/>
                <w:szCs w:val="14"/>
                <w:color w:val="auto"/>
              </w:rPr>
            </w:pPr>
          </w:p>
        </w:tc>
        <w:tc>
          <w:tcPr>
            <w:tcW w:w="1020" w:type="dxa"/>
            <w:vAlign w:val="bottom"/>
            <w:tcBorders>
              <w:top w:val="single" w:sz="8" w:color="CEFEE7"/>
              <w:bottom w:val="single" w:sz="8" w:color="CEFEE7"/>
            </w:tcBorders>
            <w:shd w:val="clear" w:color="auto" w:fill="CEFEE7"/>
          </w:tcPr>
          <w:p>
            <w:pPr>
              <w:spacing w:after="0"/>
              <w:rPr>
                <w:sz w:val="14"/>
                <w:szCs w:val="14"/>
                <w:color w:val="auto"/>
              </w:rPr>
            </w:pPr>
          </w:p>
        </w:tc>
        <w:tc>
          <w:tcPr>
            <w:tcW w:w="240" w:type="dxa"/>
            <w:vAlign w:val="bottom"/>
            <w:tcBorders>
              <w:top w:val="single" w:sz="8" w:color="CEFEE7"/>
              <w:bottom w:val="single" w:sz="8" w:color="CEFEE7"/>
            </w:tcBorders>
            <w:shd w:val="clear" w:color="auto" w:fill="CEFEE7"/>
          </w:tcPr>
          <w:p>
            <w:pPr>
              <w:spacing w:after="0"/>
              <w:rPr>
                <w:sz w:val="14"/>
                <w:szCs w:val="14"/>
                <w:color w:val="auto"/>
              </w:rPr>
            </w:pPr>
          </w:p>
        </w:tc>
        <w:tc>
          <w:tcPr>
            <w:tcW w:w="2860" w:type="dxa"/>
            <w:vAlign w:val="bottom"/>
            <w:tcBorders>
              <w:top w:val="single" w:sz="8" w:color="0000FF"/>
              <w:bottom w:val="single" w:sz="8" w:color="0000FF"/>
            </w:tcBorders>
            <w:gridSpan w:val="8"/>
            <w:shd w:val="clear" w:color="auto" w:fill="CEFEE7"/>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to the Registrant’s Form 10-K for 2013).</w:t>
              </w:r>
            </w:hyperlink>
          </w:p>
        </w:tc>
        <w:tc>
          <w:tcPr>
            <w:tcW w:w="6400" w:type="dxa"/>
            <w:vAlign w:val="bottom"/>
            <w:tcBorders>
              <w:top w:val="single" w:sz="8" w:color="0000FF"/>
              <w:bottom w:val="single" w:sz="8" w:color="CEFEE7"/>
            </w:tcBorders>
            <w:gridSpan w:val="30"/>
            <w:shd w:val="clear" w:color="auto" w:fill="CEFEE7"/>
          </w:tcPr>
          <w:p>
            <w:pPr>
              <w:spacing w:after="0"/>
              <w:rPr>
                <w:sz w:val="14"/>
                <w:szCs w:val="14"/>
                <w:color w:val="auto"/>
              </w:rPr>
            </w:pPr>
          </w:p>
        </w:tc>
        <w:tc>
          <w:tcPr>
            <w:tcW w:w="60" w:type="dxa"/>
            <w:vAlign w:val="bottom"/>
            <w:tcBorders>
              <w:top w:val="single" w:sz="8" w:color="CEFEE7"/>
              <w:bottom w:val="single" w:sz="8" w:color="CEFEE7"/>
            </w:tcBorders>
            <w:gridSpan w:val="3"/>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40" w:type="dxa"/>
            <w:vAlign w:val="bottom"/>
            <w:tcBorders>
              <w:top w:val="single" w:sz="8" w:color="CEFEE7"/>
              <w:bottom w:val="single" w:sz="8" w:color="CEFEE7"/>
              <w:right w:val="single" w:sz="8" w:color="CEFEE7"/>
            </w:tcBorders>
            <w:shd w:val="clear" w:color="auto" w:fill="CEFEE7"/>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10.9†</w:t>
            </w:r>
          </w:p>
        </w:tc>
        <w:tc>
          <w:tcPr>
            <w:tcW w:w="9640" w:type="dxa"/>
            <w:vAlign w:val="bottom"/>
            <w:gridSpan w:val="47"/>
          </w:tcPr>
          <w:p>
            <w:pPr>
              <w:spacing w:after="0" w:line="175" w:lineRule="exact"/>
              <w:rPr>
                <w:rFonts w:ascii="Arial" w:cs="Arial" w:eastAsia="Arial" w:hAnsi="Arial"/>
                <w:sz w:val="16"/>
                <w:szCs w:val="16"/>
                <w:color w:val="0000FF"/>
              </w:rPr>
            </w:pPr>
            <w:hyperlink r:id="rId195">
              <w:r>
                <w:rPr>
                  <w:rFonts w:ascii="Arial" w:cs="Arial" w:eastAsia="Arial" w:hAnsi="Arial"/>
                  <w:sz w:val="16"/>
                  <w:szCs w:val="16"/>
                  <w:color w:val="0000FF"/>
                </w:rPr>
                <w:t>Form of Stock Option Agreement effective for awards granted on or after April 28, 2015 (filed as Exhibit 10.8 to Registrant’s Form</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36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10-K for 2015).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260" w:type="dxa"/>
            <w:vAlign w:val="bottom"/>
            <w:gridSpan w:val="2"/>
            <w:shd w:val="clear" w:color="auto" w:fill="CEFEE7"/>
          </w:tcPr>
          <w:p>
            <w:pPr>
              <w:ind w:left="20"/>
              <w:spacing w:after="0" w:line="175" w:lineRule="exact"/>
              <w:rPr>
                <w:sz w:val="20"/>
                <w:szCs w:val="20"/>
                <w:color w:val="auto"/>
              </w:rPr>
            </w:pPr>
            <w:r>
              <w:rPr>
                <w:rFonts w:ascii="Arial" w:cs="Arial" w:eastAsia="Arial" w:hAnsi="Arial"/>
                <w:sz w:val="16"/>
                <w:szCs w:val="16"/>
                <w:color w:val="auto"/>
              </w:rPr>
              <w:t>10.10†</w:t>
            </w:r>
          </w:p>
        </w:tc>
        <w:tc>
          <w:tcPr>
            <w:tcW w:w="9440" w:type="dxa"/>
            <w:vAlign w:val="bottom"/>
            <w:tcBorders>
              <w:right w:val="single" w:sz="8" w:color="CEFEE7"/>
            </w:tcBorders>
            <w:gridSpan w:val="46"/>
            <w:shd w:val="clear" w:color="auto" w:fill="CEFEE7"/>
          </w:tcPr>
          <w:p>
            <w:pPr>
              <w:spacing w:after="0" w:line="175" w:lineRule="exact"/>
              <w:rPr>
                <w:rFonts w:ascii="Arial" w:cs="Arial" w:eastAsia="Arial" w:hAnsi="Arial"/>
                <w:sz w:val="16"/>
                <w:szCs w:val="16"/>
                <w:color w:val="0000FF"/>
              </w:rPr>
            </w:pPr>
            <w:hyperlink r:id="rId196">
              <w:r>
                <w:rPr>
                  <w:rFonts w:ascii="Arial" w:cs="Arial" w:eastAsia="Arial" w:hAnsi="Arial"/>
                  <w:sz w:val="16"/>
                  <w:szCs w:val="16"/>
                  <w:color w:val="0000FF"/>
                </w:rPr>
                <w:t>Form of Restricted Stock Award Agreement for 2015 Omnibus Incentive Plan effective for awards granted on or after April 28,</w:t>
              </w:r>
            </w:hyperlink>
          </w:p>
        </w:tc>
        <w:tc>
          <w:tcPr>
            <w:tcW w:w="20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8980" w:type="dxa"/>
            <w:vAlign w:val="bottom"/>
            <w:tcBorders>
              <w:top w:val="single" w:sz="8" w:color="0000FF"/>
            </w:tcBorders>
            <w:gridSpan w:val="27"/>
            <w:shd w:val="clear" w:color="auto" w:fill="CEFEE7"/>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2015 (filed as Exhibit 10.10 to Registrant’s Form 10-K for 2015).</w:t>
              </w:r>
            </w:hyperlink>
          </w:p>
        </w:tc>
        <w:tc>
          <w:tcPr>
            <w:tcW w:w="60" w:type="dxa"/>
            <w:vAlign w:val="bottom"/>
            <w:tcBorders>
              <w:top w:val="single" w:sz="8" w:color="CEFEE7"/>
            </w:tcBorders>
            <w:gridSpan w:val="2"/>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tcBorders>
            <w:shd w:val="clear" w:color="auto" w:fill="CEFEE7"/>
          </w:tcPr>
          <w:p>
            <w:pPr>
              <w:spacing w:after="0"/>
              <w:rPr>
                <w:sz w:val="12"/>
                <w:szCs w:val="12"/>
                <w:color w:val="auto"/>
              </w:rPr>
            </w:pPr>
          </w:p>
        </w:tc>
        <w:tc>
          <w:tcPr>
            <w:tcW w:w="60" w:type="dxa"/>
            <w:vAlign w:val="bottom"/>
            <w:tcBorders>
              <w:top w:val="single" w:sz="8" w:color="CEFEE7"/>
            </w:tcBorders>
            <w:gridSpan w:val="2"/>
            <w:shd w:val="clear" w:color="auto" w:fill="CEFEE7"/>
          </w:tcPr>
          <w:p>
            <w:pPr>
              <w:spacing w:after="0"/>
              <w:rPr>
                <w:sz w:val="12"/>
                <w:szCs w:val="12"/>
                <w:color w:val="auto"/>
              </w:rPr>
            </w:pPr>
          </w:p>
        </w:tc>
        <w:tc>
          <w:tcPr>
            <w:tcW w:w="160" w:type="dxa"/>
            <w:vAlign w:val="bottom"/>
            <w:tcBorders>
              <w:top w:val="single" w:sz="8" w:color="CEFEE7"/>
            </w:tcBorders>
            <w:gridSpan w:val="8"/>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tcBorders>
            <w:gridSpan w:val="2"/>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right w:val="single" w:sz="8" w:color="CEFEE7"/>
            </w:tcBorders>
            <w:shd w:val="clear" w:color="auto" w:fill="CEFEE7"/>
          </w:tcPr>
          <w:p>
            <w:pPr>
              <w:spacing w:after="0"/>
              <w:rPr>
                <w:sz w:val="12"/>
                <w:szCs w:val="12"/>
                <w:color w:val="auto"/>
              </w:rPr>
            </w:pPr>
          </w:p>
        </w:tc>
        <w:tc>
          <w:tcPr>
            <w:tcW w:w="20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580" w:type="dxa"/>
            <w:vAlign w:val="bottom"/>
            <w:tcBorders>
              <w:top w:val="single" w:sz="8" w:color="0000FF"/>
            </w:tcBorders>
            <w:shd w:val="clear" w:color="auto" w:fill="CEFEE7"/>
          </w:tcPr>
          <w:p>
            <w:pPr>
              <w:spacing w:after="0" w:line="20" w:lineRule="exact"/>
              <w:rPr>
                <w:sz w:val="1"/>
                <w:szCs w:val="1"/>
                <w:color w:val="auto"/>
              </w:rPr>
            </w:pPr>
          </w:p>
        </w:tc>
        <w:tc>
          <w:tcPr>
            <w:tcW w:w="380" w:type="dxa"/>
            <w:vAlign w:val="bottom"/>
            <w:tcBorders>
              <w:top w:val="single" w:sz="8" w:color="0000FF"/>
            </w:tcBorders>
            <w:shd w:val="clear" w:color="auto" w:fill="CEFEE7"/>
          </w:tcPr>
          <w:p>
            <w:pPr>
              <w:spacing w:after="0" w:line="20" w:lineRule="exact"/>
              <w:rPr>
                <w:sz w:val="1"/>
                <w:szCs w:val="1"/>
                <w:color w:val="auto"/>
              </w:rPr>
            </w:pPr>
          </w:p>
        </w:tc>
        <w:tc>
          <w:tcPr>
            <w:tcW w:w="360" w:type="dxa"/>
            <w:vAlign w:val="bottom"/>
            <w:tcBorders>
              <w:top w:val="single" w:sz="8" w:color="0000FF"/>
            </w:tcBorders>
            <w:shd w:val="clear" w:color="auto" w:fill="CEFEE7"/>
          </w:tcPr>
          <w:p>
            <w:pPr>
              <w:spacing w:after="0" w:line="20" w:lineRule="exact"/>
              <w:rPr>
                <w:sz w:val="1"/>
                <w:szCs w:val="1"/>
                <w:color w:val="auto"/>
              </w:rPr>
            </w:pPr>
          </w:p>
        </w:tc>
        <w:tc>
          <w:tcPr>
            <w:tcW w:w="1180" w:type="dxa"/>
            <w:vAlign w:val="bottom"/>
            <w:tcBorders>
              <w:top w:val="single" w:sz="8" w:color="0000FF"/>
            </w:tcBorders>
            <w:shd w:val="clear" w:color="auto" w:fill="CEFEE7"/>
          </w:tcPr>
          <w:p>
            <w:pPr>
              <w:spacing w:after="0" w:line="20" w:lineRule="exact"/>
              <w:rPr>
                <w:sz w:val="1"/>
                <w:szCs w:val="1"/>
                <w:color w:val="auto"/>
              </w:rPr>
            </w:pPr>
          </w:p>
        </w:tc>
        <w:tc>
          <w:tcPr>
            <w:tcW w:w="60" w:type="dxa"/>
            <w:vAlign w:val="bottom"/>
            <w:tcBorders>
              <w:top w:val="single" w:sz="8" w:color="0000FF"/>
            </w:tcBorders>
            <w:shd w:val="clear" w:color="auto" w:fill="CEFEE7"/>
          </w:tcPr>
          <w:p>
            <w:pPr>
              <w:spacing w:after="0" w:line="20" w:lineRule="exact"/>
              <w:rPr>
                <w:sz w:val="1"/>
                <w:szCs w:val="1"/>
                <w:color w:val="auto"/>
              </w:rPr>
            </w:pPr>
          </w:p>
        </w:tc>
        <w:tc>
          <w:tcPr>
            <w:tcW w:w="140" w:type="dxa"/>
            <w:vAlign w:val="bottom"/>
            <w:tcBorders>
              <w:top w:val="single" w:sz="8" w:color="0000FF"/>
            </w:tcBorders>
            <w:shd w:val="clear" w:color="auto" w:fill="CEFEE7"/>
          </w:tcPr>
          <w:p>
            <w:pPr>
              <w:spacing w:after="0" w:line="20" w:lineRule="exact"/>
              <w:rPr>
                <w:sz w:val="1"/>
                <w:szCs w:val="1"/>
                <w:color w:val="auto"/>
              </w:rPr>
            </w:pPr>
          </w:p>
        </w:tc>
        <w:tc>
          <w:tcPr>
            <w:tcW w:w="40" w:type="dxa"/>
            <w:vAlign w:val="bottom"/>
            <w:tcBorders>
              <w:top w:val="single" w:sz="8" w:color="0000FF"/>
            </w:tcBorders>
            <w:shd w:val="clear" w:color="auto" w:fill="CEFEE7"/>
          </w:tcPr>
          <w:p>
            <w:pPr>
              <w:spacing w:after="0" w:line="20" w:lineRule="exact"/>
              <w:rPr>
                <w:sz w:val="1"/>
                <w:szCs w:val="1"/>
                <w:color w:val="auto"/>
              </w:rPr>
            </w:pPr>
          </w:p>
        </w:tc>
        <w:tc>
          <w:tcPr>
            <w:tcW w:w="440" w:type="dxa"/>
            <w:vAlign w:val="bottom"/>
            <w:tcBorders>
              <w:top w:val="single" w:sz="8" w:color="0000FF"/>
            </w:tcBorders>
            <w:shd w:val="clear" w:color="auto" w:fill="CEFEE7"/>
          </w:tcPr>
          <w:p>
            <w:pPr>
              <w:spacing w:after="0" w:line="20" w:lineRule="exact"/>
              <w:rPr>
                <w:sz w:val="1"/>
                <w:szCs w:val="1"/>
                <w:color w:val="auto"/>
              </w:rPr>
            </w:pPr>
          </w:p>
        </w:tc>
        <w:tc>
          <w:tcPr>
            <w:tcW w:w="20" w:type="dxa"/>
            <w:vAlign w:val="bottom"/>
            <w:tcBorders>
              <w:top w:val="single" w:sz="8" w:color="0000FF"/>
            </w:tcBorders>
            <w:shd w:val="clear" w:color="auto" w:fill="CEFEE7"/>
          </w:tcPr>
          <w:p>
            <w:pPr>
              <w:spacing w:after="0" w:line="20" w:lineRule="exact"/>
              <w:rPr>
                <w:sz w:val="1"/>
                <w:szCs w:val="1"/>
                <w:color w:val="auto"/>
              </w:rPr>
            </w:pPr>
          </w:p>
        </w:tc>
        <w:tc>
          <w:tcPr>
            <w:tcW w:w="420" w:type="dxa"/>
            <w:vAlign w:val="bottom"/>
            <w:tcBorders>
              <w:top w:val="single" w:sz="8" w:color="0000FF"/>
            </w:tcBorders>
            <w:shd w:val="clear" w:color="auto" w:fill="CEFEE7"/>
          </w:tcPr>
          <w:p>
            <w:pPr>
              <w:spacing w:after="0" w:line="20" w:lineRule="exact"/>
              <w:rPr>
                <w:sz w:val="1"/>
                <w:szCs w:val="1"/>
                <w:color w:val="auto"/>
              </w:rPr>
            </w:pPr>
          </w:p>
        </w:tc>
        <w:tc>
          <w:tcPr>
            <w:tcW w:w="100" w:type="dxa"/>
            <w:vAlign w:val="bottom"/>
            <w:tcBorders>
              <w:top w:val="single" w:sz="8" w:color="0000FF"/>
            </w:tcBorders>
            <w:shd w:val="clear" w:color="auto" w:fill="CEFEE7"/>
          </w:tcPr>
          <w:p>
            <w:pPr>
              <w:spacing w:after="0" w:line="20" w:lineRule="exact"/>
              <w:rPr>
                <w:sz w:val="1"/>
                <w:szCs w:val="1"/>
                <w:color w:val="auto"/>
              </w:rPr>
            </w:pPr>
          </w:p>
        </w:tc>
        <w:tc>
          <w:tcPr>
            <w:tcW w:w="400" w:type="dxa"/>
            <w:vAlign w:val="bottom"/>
            <w:tcBorders>
              <w:top w:val="single" w:sz="8" w:color="0000FF"/>
            </w:tcBorders>
            <w:shd w:val="clear" w:color="auto" w:fill="CEFEE7"/>
          </w:tcPr>
          <w:p>
            <w:pPr>
              <w:spacing w:after="0" w:line="20" w:lineRule="exact"/>
              <w:rPr>
                <w:sz w:val="1"/>
                <w:szCs w:val="1"/>
                <w:color w:val="auto"/>
              </w:rPr>
            </w:pPr>
          </w:p>
        </w:tc>
        <w:tc>
          <w:tcPr>
            <w:tcW w:w="220" w:type="dxa"/>
            <w:vAlign w:val="bottom"/>
            <w:tcBorders>
              <w:top w:val="single" w:sz="8" w:color="0000FF"/>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22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540" w:type="dxa"/>
            <w:vAlign w:val="bottom"/>
            <w:tcBorders>
              <w:top w:val="single" w:sz="8" w:color="CEFEE7"/>
            </w:tcBorders>
            <w:shd w:val="clear" w:color="auto" w:fill="CEFEE7"/>
          </w:tcPr>
          <w:p>
            <w:pPr>
              <w:spacing w:after="0" w:line="20" w:lineRule="exact"/>
              <w:rPr>
                <w:sz w:val="1"/>
                <w:szCs w:val="1"/>
                <w:color w:val="auto"/>
              </w:rPr>
            </w:pPr>
          </w:p>
        </w:tc>
        <w:tc>
          <w:tcPr>
            <w:tcW w:w="280" w:type="dxa"/>
            <w:vAlign w:val="bottom"/>
            <w:tcBorders>
              <w:top w:val="single" w:sz="8" w:color="CEFEE7"/>
            </w:tcBorders>
            <w:shd w:val="clear" w:color="auto" w:fill="CEFEE7"/>
          </w:tcPr>
          <w:p>
            <w:pPr>
              <w:spacing w:after="0" w:line="20" w:lineRule="exact"/>
              <w:rPr>
                <w:sz w:val="1"/>
                <w:szCs w:val="1"/>
                <w:color w:val="auto"/>
              </w:rPr>
            </w:pPr>
          </w:p>
        </w:tc>
        <w:tc>
          <w:tcPr>
            <w:tcW w:w="340" w:type="dxa"/>
            <w:vAlign w:val="bottom"/>
            <w:tcBorders>
              <w:top w:val="single" w:sz="8" w:color="CEFEE7"/>
            </w:tcBorders>
            <w:shd w:val="clear" w:color="auto" w:fill="CEFEE7"/>
          </w:tcPr>
          <w:p>
            <w:pPr>
              <w:spacing w:after="0" w:line="20" w:lineRule="exact"/>
              <w:rPr>
                <w:sz w:val="1"/>
                <w:szCs w:val="1"/>
                <w:color w:val="auto"/>
              </w:rPr>
            </w:pPr>
          </w:p>
        </w:tc>
        <w:tc>
          <w:tcPr>
            <w:tcW w:w="132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480" w:type="dxa"/>
            <w:vAlign w:val="bottom"/>
            <w:tcBorders>
              <w:top w:val="single" w:sz="8" w:color="CEFEE7"/>
            </w:tcBorders>
            <w:shd w:val="clear" w:color="auto" w:fill="CEFEE7"/>
          </w:tcPr>
          <w:p>
            <w:pPr>
              <w:spacing w:after="0" w:line="20" w:lineRule="exact"/>
              <w:rPr>
                <w:sz w:val="1"/>
                <w:szCs w:val="1"/>
                <w:color w:val="auto"/>
              </w:rPr>
            </w:pPr>
          </w:p>
        </w:tc>
        <w:tc>
          <w:tcPr>
            <w:tcW w:w="26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340" w:type="dxa"/>
            <w:vAlign w:val="bottom"/>
            <w:tcBorders>
              <w:top w:val="single" w:sz="8" w:color="CEFEE7"/>
            </w:tcBorders>
            <w:shd w:val="clear" w:color="auto" w:fill="CEFEE7"/>
          </w:tcPr>
          <w:p>
            <w:pPr>
              <w:spacing w:after="0" w:line="20" w:lineRule="exact"/>
              <w:rPr>
                <w:sz w:val="1"/>
                <w:szCs w:val="1"/>
                <w:color w:val="auto"/>
              </w:rPr>
            </w:pPr>
          </w:p>
        </w:tc>
        <w:tc>
          <w:tcPr>
            <w:tcW w:w="4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10.11*†</w:t>
            </w:r>
          </w:p>
        </w:tc>
        <w:tc>
          <w:tcPr>
            <w:tcW w:w="9640" w:type="dxa"/>
            <w:vAlign w:val="bottom"/>
            <w:gridSpan w:val="47"/>
          </w:tcPr>
          <w:p>
            <w:pPr>
              <w:spacing w:after="0" w:line="175" w:lineRule="exact"/>
              <w:rPr>
                <w:rFonts w:ascii="Arial" w:cs="Arial" w:eastAsia="Arial" w:hAnsi="Arial"/>
                <w:sz w:val="16"/>
                <w:szCs w:val="16"/>
                <w:color w:val="0000FF"/>
              </w:rPr>
            </w:pPr>
            <w:hyperlink r:id="rId197">
              <w:r>
                <w:rPr>
                  <w:rFonts w:ascii="Arial" w:cs="Arial" w:eastAsia="Arial" w:hAnsi="Arial"/>
                  <w:sz w:val="16"/>
                  <w:szCs w:val="16"/>
                  <w:color w:val="0000FF"/>
                </w:rPr>
                <w:t>Form of Restricted Stock Award Agreement for 2015 Omnibus Incentive Plan effective for awards granted on or after January 26,</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34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197">
              <w:r>
                <w:rPr>
                  <w:rFonts w:ascii="Arial" w:cs="Arial" w:eastAsia="Arial" w:hAnsi="Arial"/>
                  <w:sz w:val="16"/>
                  <w:szCs w:val="16"/>
                  <w:color w:val="0000FF"/>
                </w:rPr>
                <w:t>2021. (filed as Exhibit 10.11 to the Registrant's Form 10-K for 2020)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shd w:val="clear" w:color="auto" w:fill="CEFEE7"/>
          </w:tcPr>
          <w:p>
            <w:pPr>
              <w:ind w:left="20"/>
              <w:spacing w:after="0" w:line="175" w:lineRule="exact"/>
              <w:rPr>
                <w:sz w:val="20"/>
                <w:szCs w:val="20"/>
                <w:color w:val="auto"/>
              </w:rPr>
            </w:pPr>
            <w:r>
              <w:rPr>
                <w:rFonts w:ascii="Arial" w:cs="Arial" w:eastAsia="Arial" w:hAnsi="Arial"/>
                <w:sz w:val="16"/>
                <w:szCs w:val="16"/>
                <w:color w:val="auto"/>
              </w:rPr>
              <w:t>10.12†</w:t>
            </w:r>
          </w:p>
        </w:tc>
        <w:tc>
          <w:tcPr>
            <w:tcW w:w="9440" w:type="dxa"/>
            <w:vAlign w:val="bottom"/>
            <w:tcBorders>
              <w:right w:val="single" w:sz="8" w:color="CEFEE7"/>
            </w:tcBorders>
            <w:gridSpan w:val="46"/>
            <w:shd w:val="clear" w:color="auto" w:fill="CEFEE7"/>
          </w:tcPr>
          <w:p>
            <w:pPr>
              <w:spacing w:after="0" w:line="175" w:lineRule="exact"/>
              <w:rPr>
                <w:rFonts w:ascii="Arial" w:cs="Arial" w:eastAsia="Arial" w:hAnsi="Arial"/>
                <w:sz w:val="16"/>
                <w:szCs w:val="16"/>
                <w:color w:val="0000FF"/>
              </w:rPr>
            </w:pPr>
            <w:hyperlink r:id="rId198">
              <w:r>
                <w:rPr>
                  <w:rFonts w:ascii="Arial" w:cs="Arial" w:eastAsia="Arial" w:hAnsi="Arial"/>
                  <w:sz w:val="16"/>
                  <w:szCs w:val="16"/>
                  <w:color w:val="0000FF"/>
                </w:rPr>
                <w:t>Form of Restricted Stock Unit Award Agreement for 2015 Omnibus Plan effective for awards granted on or after April 28, 2015</w:t>
              </w:r>
            </w:hyperlink>
          </w:p>
        </w:tc>
        <w:tc>
          <w:tcPr>
            <w:tcW w:w="200" w:type="dxa"/>
            <w:vAlign w:val="bottom"/>
          </w:tcPr>
          <w:p>
            <w:pPr>
              <w:spacing w:after="0"/>
              <w:rPr>
                <w:sz w:val="15"/>
                <w:szCs w:val="15"/>
                <w:color w:val="auto"/>
              </w:rPr>
            </w:pPr>
          </w:p>
        </w:tc>
      </w:tr>
      <w:tr>
        <w:trPr>
          <w:trHeight w:val="163"/>
        </w:trPr>
        <w:tc>
          <w:tcPr>
            <w:tcW w:w="340" w:type="dxa"/>
            <w:vAlign w:val="bottom"/>
          </w:tcPr>
          <w:p>
            <w:pPr>
              <w:spacing w:after="0"/>
              <w:rPr>
                <w:sz w:val="14"/>
                <w:szCs w:val="14"/>
                <w:color w:val="auto"/>
              </w:rPr>
            </w:pPr>
          </w:p>
        </w:tc>
        <w:tc>
          <w:tcPr>
            <w:tcW w:w="1020" w:type="dxa"/>
            <w:vAlign w:val="bottom"/>
            <w:tcBorders>
              <w:top w:val="single" w:sz="8" w:color="CEFEE7"/>
              <w:bottom w:val="single" w:sz="8" w:color="CEFEE7"/>
            </w:tcBorders>
            <w:shd w:val="clear" w:color="auto" w:fill="CEFEE7"/>
          </w:tcPr>
          <w:p>
            <w:pPr>
              <w:spacing w:after="0"/>
              <w:rPr>
                <w:sz w:val="14"/>
                <w:szCs w:val="14"/>
                <w:color w:val="auto"/>
              </w:rPr>
            </w:pPr>
          </w:p>
        </w:tc>
        <w:tc>
          <w:tcPr>
            <w:tcW w:w="240" w:type="dxa"/>
            <w:vAlign w:val="bottom"/>
            <w:tcBorders>
              <w:top w:val="single" w:sz="8" w:color="CEFEE7"/>
              <w:bottom w:val="single" w:sz="8" w:color="CEFEE7"/>
            </w:tcBorders>
            <w:shd w:val="clear" w:color="auto" w:fill="CEFEE7"/>
          </w:tcPr>
          <w:p>
            <w:pPr>
              <w:spacing w:after="0"/>
              <w:rPr>
                <w:sz w:val="14"/>
                <w:szCs w:val="14"/>
                <w:color w:val="auto"/>
              </w:rPr>
            </w:pPr>
          </w:p>
        </w:tc>
        <w:tc>
          <w:tcPr>
            <w:tcW w:w="4460" w:type="dxa"/>
            <w:vAlign w:val="bottom"/>
            <w:tcBorders>
              <w:top w:val="single" w:sz="8" w:color="0000FF"/>
              <w:bottom w:val="single" w:sz="8" w:color="0000FF"/>
            </w:tcBorders>
            <w:gridSpan w:val="14"/>
            <w:shd w:val="clear" w:color="auto" w:fill="CEFEE7"/>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(filed as Exhibit 10.12 to the Registrant’s Form 10-K for 2015).</w:t>
              </w:r>
            </w:hyperlink>
          </w:p>
        </w:tc>
        <w:tc>
          <w:tcPr>
            <w:tcW w:w="4580" w:type="dxa"/>
            <w:vAlign w:val="bottom"/>
            <w:tcBorders>
              <w:top w:val="single" w:sz="8" w:color="0000FF"/>
              <w:bottom w:val="single" w:sz="8" w:color="CEFEE7"/>
            </w:tcBorders>
            <w:gridSpan w:val="15"/>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40" w:type="dxa"/>
            <w:vAlign w:val="bottom"/>
            <w:tcBorders>
              <w:top w:val="single" w:sz="8" w:color="CEFEE7"/>
              <w:bottom w:val="single" w:sz="8" w:color="CEFEE7"/>
            </w:tcBorders>
            <w:shd w:val="clear" w:color="auto" w:fill="CEFEE7"/>
          </w:tcPr>
          <w:p>
            <w:pPr>
              <w:spacing w:after="0"/>
              <w:rPr>
                <w:sz w:val="14"/>
                <w:szCs w:val="14"/>
                <w:color w:val="auto"/>
              </w:rPr>
            </w:pPr>
          </w:p>
        </w:tc>
        <w:tc>
          <w:tcPr>
            <w:tcW w:w="60" w:type="dxa"/>
            <w:vAlign w:val="bottom"/>
            <w:tcBorders>
              <w:top w:val="single" w:sz="8" w:color="CEFEE7"/>
              <w:bottom w:val="single" w:sz="8" w:color="CEFEE7"/>
            </w:tcBorders>
            <w:gridSpan w:val="2"/>
            <w:shd w:val="clear" w:color="auto" w:fill="CEFEE7"/>
          </w:tcPr>
          <w:p>
            <w:pPr>
              <w:spacing w:after="0"/>
              <w:rPr>
                <w:sz w:val="14"/>
                <w:szCs w:val="14"/>
                <w:color w:val="auto"/>
              </w:rPr>
            </w:pPr>
          </w:p>
        </w:tc>
        <w:tc>
          <w:tcPr>
            <w:tcW w:w="160" w:type="dxa"/>
            <w:vAlign w:val="bottom"/>
            <w:tcBorders>
              <w:top w:val="single" w:sz="8" w:color="CEFEE7"/>
              <w:bottom w:val="single" w:sz="8" w:color="CEFEE7"/>
            </w:tcBorders>
            <w:gridSpan w:val="8"/>
            <w:shd w:val="clear" w:color="auto" w:fill="CEFEE7"/>
          </w:tcPr>
          <w:p>
            <w:pPr>
              <w:spacing w:after="0"/>
              <w:rPr>
                <w:sz w:val="14"/>
                <w:szCs w:val="14"/>
                <w:color w:val="auto"/>
              </w:rPr>
            </w:pPr>
          </w:p>
        </w:tc>
        <w:tc>
          <w:tcPr>
            <w:tcW w:w="60" w:type="dxa"/>
            <w:vAlign w:val="bottom"/>
            <w:tcBorders>
              <w:top w:val="single" w:sz="8" w:color="CEFEE7"/>
              <w:bottom w:val="single" w:sz="8" w:color="CEFEE7"/>
            </w:tcBorders>
            <w:gridSpan w:val="3"/>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40" w:type="dxa"/>
            <w:vAlign w:val="bottom"/>
            <w:tcBorders>
              <w:top w:val="single" w:sz="8" w:color="CEFEE7"/>
              <w:bottom w:val="single" w:sz="8" w:color="CEFEE7"/>
              <w:right w:val="single" w:sz="8" w:color="CEFEE7"/>
            </w:tcBorders>
            <w:shd w:val="clear" w:color="auto" w:fill="CEFEE7"/>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10.13†</w:t>
            </w:r>
          </w:p>
        </w:tc>
        <w:tc>
          <w:tcPr>
            <w:tcW w:w="9640" w:type="dxa"/>
            <w:vAlign w:val="bottom"/>
            <w:gridSpan w:val="47"/>
          </w:tcPr>
          <w:p>
            <w:pPr>
              <w:spacing w:after="0" w:line="175" w:lineRule="exact"/>
              <w:rPr>
                <w:rFonts w:ascii="Arial" w:cs="Arial" w:eastAsia="Arial" w:hAnsi="Arial"/>
                <w:sz w:val="16"/>
                <w:szCs w:val="16"/>
                <w:color w:val="0000FF"/>
              </w:rPr>
            </w:pPr>
            <w:hyperlink r:id="rId199">
              <w:r>
                <w:rPr>
                  <w:rFonts w:ascii="Arial" w:cs="Arial" w:eastAsia="Arial" w:hAnsi="Arial"/>
                  <w:sz w:val="16"/>
                  <w:szCs w:val="16"/>
                  <w:color w:val="0000FF"/>
                </w:rPr>
                <w:t>Form of Performance Share Award Agreement effective for awards granted on or after January 1, 2016 (filed as Exhibit 10.6 to</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6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the Registrant’s Form 10-Q for the quarterly period ended March 31, 2016).</w:t>
              </w:r>
            </w:hyperlink>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shd w:val="clear" w:color="auto" w:fill="CEFEE7"/>
          </w:tcPr>
          <w:p>
            <w:pPr>
              <w:ind w:left="20"/>
              <w:spacing w:after="0" w:line="175" w:lineRule="exact"/>
              <w:rPr>
                <w:sz w:val="20"/>
                <w:szCs w:val="20"/>
                <w:color w:val="auto"/>
              </w:rPr>
            </w:pPr>
            <w:r>
              <w:rPr>
                <w:rFonts w:ascii="Arial" w:cs="Arial" w:eastAsia="Arial" w:hAnsi="Arial"/>
                <w:sz w:val="16"/>
                <w:szCs w:val="16"/>
                <w:color w:val="auto"/>
              </w:rPr>
              <w:t>10.14†</w:t>
            </w:r>
          </w:p>
        </w:tc>
        <w:tc>
          <w:tcPr>
            <w:tcW w:w="9440" w:type="dxa"/>
            <w:vAlign w:val="bottom"/>
            <w:tcBorders>
              <w:right w:val="single" w:sz="8" w:color="CEFEE7"/>
            </w:tcBorders>
            <w:gridSpan w:val="46"/>
            <w:shd w:val="clear" w:color="auto" w:fill="CEFEE7"/>
          </w:tcPr>
          <w:p>
            <w:pPr>
              <w:spacing w:after="0" w:line="175" w:lineRule="exact"/>
              <w:rPr>
                <w:rFonts w:ascii="Arial" w:cs="Arial" w:eastAsia="Arial" w:hAnsi="Arial"/>
                <w:sz w:val="16"/>
                <w:szCs w:val="16"/>
                <w:color w:val="0000FF"/>
              </w:rPr>
            </w:pPr>
            <w:hyperlink r:id="rId200">
              <w:r>
                <w:rPr>
                  <w:rFonts w:ascii="Arial" w:cs="Arial" w:eastAsia="Arial" w:hAnsi="Arial"/>
                  <w:sz w:val="16"/>
                  <w:szCs w:val="16"/>
                  <w:color w:val="0000FF"/>
                </w:rPr>
                <w:t>Form of Performance Share Award Agreement effective for awards granted on or after January 1, 2017 (filed as Exhibit 10.12 to</w:t>
              </w:r>
            </w:hyperlink>
          </w:p>
        </w:tc>
        <w:tc>
          <w:tcPr>
            <w:tcW w:w="200" w:type="dxa"/>
            <w:vAlign w:val="bottom"/>
          </w:tcPr>
          <w:p>
            <w:pPr>
              <w:spacing w:after="0"/>
              <w:rPr>
                <w:sz w:val="15"/>
                <w:szCs w:val="15"/>
                <w:color w:val="auto"/>
              </w:rPr>
            </w:pPr>
          </w:p>
        </w:tc>
      </w:tr>
      <w:tr>
        <w:trPr>
          <w:trHeight w:val="163"/>
        </w:trPr>
        <w:tc>
          <w:tcPr>
            <w:tcW w:w="340" w:type="dxa"/>
            <w:vAlign w:val="bottom"/>
          </w:tcPr>
          <w:p>
            <w:pPr>
              <w:spacing w:after="0"/>
              <w:rPr>
                <w:sz w:val="14"/>
                <w:szCs w:val="14"/>
                <w:color w:val="auto"/>
              </w:rPr>
            </w:pPr>
          </w:p>
        </w:tc>
        <w:tc>
          <w:tcPr>
            <w:tcW w:w="1020" w:type="dxa"/>
            <w:vAlign w:val="bottom"/>
            <w:tcBorders>
              <w:top w:val="single" w:sz="8" w:color="CEFEE7"/>
              <w:bottom w:val="single" w:sz="8" w:color="CEFEE7"/>
            </w:tcBorders>
            <w:shd w:val="clear" w:color="auto" w:fill="CEFEE7"/>
          </w:tcPr>
          <w:p>
            <w:pPr>
              <w:spacing w:after="0"/>
              <w:rPr>
                <w:sz w:val="14"/>
                <w:szCs w:val="14"/>
                <w:color w:val="auto"/>
              </w:rPr>
            </w:pPr>
          </w:p>
        </w:tc>
        <w:tc>
          <w:tcPr>
            <w:tcW w:w="240" w:type="dxa"/>
            <w:vAlign w:val="bottom"/>
            <w:tcBorders>
              <w:top w:val="single" w:sz="8" w:color="CEFEE7"/>
              <w:bottom w:val="single" w:sz="8" w:color="CEFEE7"/>
            </w:tcBorders>
            <w:shd w:val="clear" w:color="auto" w:fill="CEFEE7"/>
          </w:tcPr>
          <w:p>
            <w:pPr>
              <w:spacing w:after="0"/>
              <w:rPr>
                <w:sz w:val="14"/>
                <w:szCs w:val="14"/>
                <w:color w:val="auto"/>
              </w:rPr>
            </w:pPr>
          </w:p>
        </w:tc>
        <w:tc>
          <w:tcPr>
            <w:tcW w:w="2680" w:type="dxa"/>
            <w:vAlign w:val="bottom"/>
            <w:tcBorders>
              <w:top w:val="single" w:sz="8" w:color="0000FF"/>
              <w:bottom w:val="single" w:sz="8" w:color="0000FF"/>
            </w:tcBorders>
            <w:gridSpan w:val="6"/>
            <w:shd w:val="clear" w:color="auto" w:fill="CEFEE7"/>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the Registrant's Form 10-K for 2019).</w:t>
              </w:r>
            </w:hyperlink>
          </w:p>
        </w:tc>
        <w:tc>
          <w:tcPr>
            <w:tcW w:w="6480" w:type="dxa"/>
            <w:vAlign w:val="bottom"/>
            <w:tcBorders>
              <w:top w:val="single" w:sz="8" w:color="0000FF"/>
              <w:bottom w:val="single" w:sz="8" w:color="CEFEE7"/>
            </w:tcBorders>
            <w:gridSpan w:val="27"/>
            <w:shd w:val="clear" w:color="auto" w:fill="CEFEE7"/>
          </w:tcPr>
          <w:p>
            <w:pPr>
              <w:spacing w:after="0"/>
              <w:rPr>
                <w:sz w:val="14"/>
                <w:szCs w:val="14"/>
                <w:color w:val="auto"/>
              </w:rPr>
            </w:pPr>
          </w:p>
        </w:tc>
        <w:tc>
          <w:tcPr>
            <w:tcW w:w="160" w:type="dxa"/>
            <w:vAlign w:val="bottom"/>
            <w:tcBorders>
              <w:top w:val="single" w:sz="8" w:color="CEFEE7"/>
              <w:bottom w:val="single" w:sz="8" w:color="CEFEE7"/>
            </w:tcBorders>
            <w:gridSpan w:val="8"/>
            <w:shd w:val="clear" w:color="auto" w:fill="CEFEE7"/>
          </w:tcPr>
          <w:p>
            <w:pPr>
              <w:spacing w:after="0"/>
              <w:rPr>
                <w:sz w:val="14"/>
                <w:szCs w:val="14"/>
                <w:color w:val="auto"/>
              </w:rPr>
            </w:pPr>
          </w:p>
        </w:tc>
        <w:tc>
          <w:tcPr>
            <w:tcW w:w="60" w:type="dxa"/>
            <w:vAlign w:val="bottom"/>
            <w:tcBorders>
              <w:top w:val="single" w:sz="8" w:color="CEFEE7"/>
              <w:bottom w:val="single" w:sz="8" w:color="CEFEE7"/>
            </w:tcBorders>
            <w:gridSpan w:val="3"/>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40" w:type="dxa"/>
            <w:vAlign w:val="bottom"/>
            <w:tcBorders>
              <w:top w:val="single" w:sz="8" w:color="CEFEE7"/>
              <w:bottom w:val="single" w:sz="8" w:color="CEFEE7"/>
              <w:right w:val="single" w:sz="8" w:color="CEFEE7"/>
            </w:tcBorders>
            <w:shd w:val="clear" w:color="auto" w:fill="CEFEE7"/>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10.15*†</w:t>
            </w:r>
          </w:p>
        </w:tc>
        <w:tc>
          <w:tcPr>
            <w:tcW w:w="9640" w:type="dxa"/>
            <w:vAlign w:val="bottom"/>
            <w:gridSpan w:val="47"/>
          </w:tcPr>
          <w:p>
            <w:pPr>
              <w:spacing w:after="0" w:line="175" w:lineRule="exact"/>
              <w:rPr>
                <w:rFonts w:ascii="Arial" w:cs="Arial" w:eastAsia="Arial" w:hAnsi="Arial"/>
                <w:sz w:val="16"/>
                <w:szCs w:val="16"/>
                <w:color w:val="0000FF"/>
              </w:rPr>
            </w:pPr>
            <w:hyperlink r:id="rId201">
              <w:r>
                <w:rPr>
                  <w:rFonts w:ascii="Arial" w:cs="Arial" w:eastAsia="Arial" w:hAnsi="Arial"/>
                  <w:sz w:val="16"/>
                  <w:szCs w:val="16"/>
                  <w:color w:val="0000FF"/>
                </w:rPr>
                <w:t>Form of Short-term Incentive Plan for Officers Award Agreement effective for awards granted on or after January 1, 2021 (filed as</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38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Exhibit 10.16 to the Registrant's Form 10-K for 2020).</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shd w:val="clear" w:color="auto" w:fill="CEFEE7"/>
          </w:tcPr>
          <w:p>
            <w:pPr>
              <w:ind w:left="20"/>
              <w:spacing w:after="0" w:line="175" w:lineRule="exact"/>
              <w:rPr>
                <w:sz w:val="20"/>
                <w:szCs w:val="20"/>
                <w:color w:val="auto"/>
              </w:rPr>
            </w:pPr>
            <w:r>
              <w:rPr>
                <w:rFonts w:ascii="Arial" w:cs="Arial" w:eastAsia="Arial" w:hAnsi="Arial"/>
                <w:sz w:val="16"/>
                <w:szCs w:val="16"/>
                <w:color w:val="auto"/>
              </w:rPr>
              <w:t>10.16*†</w:t>
            </w:r>
          </w:p>
        </w:tc>
        <w:tc>
          <w:tcPr>
            <w:tcW w:w="9440" w:type="dxa"/>
            <w:vAlign w:val="bottom"/>
            <w:tcBorders>
              <w:right w:val="single" w:sz="8" w:color="CEFEE7"/>
            </w:tcBorders>
            <w:gridSpan w:val="46"/>
            <w:shd w:val="clear" w:color="auto" w:fill="CEFEE7"/>
          </w:tcPr>
          <w:p>
            <w:pPr>
              <w:spacing w:after="0" w:line="175" w:lineRule="exact"/>
              <w:rPr>
                <w:rFonts w:ascii="Arial" w:cs="Arial" w:eastAsia="Arial" w:hAnsi="Arial"/>
                <w:sz w:val="16"/>
                <w:szCs w:val="16"/>
                <w:color w:val="0000FF"/>
              </w:rPr>
            </w:pPr>
            <w:hyperlink r:id="rId202">
              <w:r>
                <w:rPr>
                  <w:rFonts w:ascii="Arial" w:cs="Arial" w:eastAsia="Arial" w:hAnsi="Arial"/>
                  <w:sz w:val="16"/>
                  <w:szCs w:val="16"/>
                  <w:color w:val="0000FF"/>
                </w:rPr>
                <w:t>Form of Performance Unit Award Agreement for 2015 Omnibus Incentive Plan effective for awards granted on or after January 1,</w:t>
              </w:r>
            </w:hyperlink>
          </w:p>
        </w:tc>
        <w:tc>
          <w:tcPr>
            <w:tcW w:w="200" w:type="dxa"/>
            <w:vAlign w:val="bottom"/>
          </w:tcPr>
          <w:p>
            <w:pPr>
              <w:spacing w:after="0"/>
              <w:rPr>
                <w:sz w:val="15"/>
                <w:szCs w:val="15"/>
                <w:color w:val="auto"/>
              </w:rPr>
            </w:pPr>
          </w:p>
        </w:tc>
      </w:tr>
      <w:tr>
        <w:trPr>
          <w:trHeight w:val="163"/>
        </w:trPr>
        <w:tc>
          <w:tcPr>
            <w:tcW w:w="340" w:type="dxa"/>
            <w:vAlign w:val="bottom"/>
          </w:tcPr>
          <w:p>
            <w:pPr>
              <w:spacing w:after="0"/>
              <w:rPr>
                <w:sz w:val="14"/>
                <w:szCs w:val="14"/>
                <w:color w:val="auto"/>
              </w:rPr>
            </w:pPr>
          </w:p>
        </w:tc>
        <w:tc>
          <w:tcPr>
            <w:tcW w:w="1020" w:type="dxa"/>
            <w:vAlign w:val="bottom"/>
            <w:tcBorders>
              <w:top w:val="single" w:sz="8" w:color="CEFEE7"/>
              <w:bottom w:val="single" w:sz="8" w:color="CEFEE7"/>
            </w:tcBorders>
            <w:shd w:val="clear" w:color="auto" w:fill="CEFEE7"/>
          </w:tcPr>
          <w:p>
            <w:pPr>
              <w:spacing w:after="0"/>
              <w:rPr>
                <w:sz w:val="14"/>
                <w:szCs w:val="14"/>
                <w:color w:val="auto"/>
              </w:rPr>
            </w:pPr>
          </w:p>
        </w:tc>
        <w:tc>
          <w:tcPr>
            <w:tcW w:w="240" w:type="dxa"/>
            <w:vAlign w:val="bottom"/>
            <w:tcBorders>
              <w:top w:val="single" w:sz="8" w:color="CEFEE7"/>
              <w:bottom w:val="single" w:sz="8" w:color="CEFEE7"/>
            </w:tcBorders>
            <w:shd w:val="clear" w:color="auto" w:fill="CEFEE7"/>
          </w:tcPr>
          <w:p>
            <w:pPr>
              <w:spacing w:after="0"/>
              <w:rPr>
                <w:sz w:val="14"/>
                <w:szCs w:val="14"/>
                <w:color w:val="auto"/>
              </w:rPr>
            </w:pPr>
          </w:p>
        </w:tc>
        <w:tc>
          <w:tcPr>
            <w:tcW w:w="4800" w:type="dxa"/>
            <w:vAlign w:val="bottom"/>
            <w:tcBorders>
              <w:top w:val="single" w:sz="8" w:color="0000FF"/>
              <w:bottom w:val="single" w:sz="8" w:color="0000FF"/>
            </w:tcBorders>
            <w:gridSpan w:val="16"/>
            <w:shd w:val="clear" w:color="auto" w:fill="CEFEE7"/>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2021. (filed as Exhibit 10.17 to the Rigistrant's Form 10-K for 2020)</w:t>
              </w:r>
            </w:hyperlink>
          </w:p>
        </w:tc>
        <w:tc>
          <w:tcPr>
            <w:tcW w:w="4520" w:type="dxa"/>
            <w:vAlign w:val="bottom"/>
            <w:tcBorders>
              <w:top w:val="single" w:sz="8" w:color="0000FF"/>
              <w:bottom w:val="single" w:sz="8" w:color="CEFEE7"/>
            </w:tcBorders>
            <w:gridSpan w:val="25"/>
            <w:shd w:val="clear" w:color="auto" w:fill="CEFEE7"/>
          </w:tcPr>
          <w:p>
            <w:pPr>
              <w:spacing w:after="0"/>
              <w:rPr>
                <w:sz w:val="14"/>
                <w:szCs w:val="14"/>
                <w:color w:val="auto"/>
              </w:rPr>
            </w:pPr>
          </w:p>
        </w:tc>
        <w:tc>
          <w:tcPr>
            <w:tcW w:w="80" w:type="dxa"/>
            <w:vAlign w:val="bottom"/>
            <w:tcBorders>
              <w:top w:val="single" w:sz="8" w:color="CEFEE7"/>
              <w:bottom w:val="single" w:sz="8" w:color="CEFEE7"/>
            </w:tcBorders>
            <w:gridSpan w:val="4"/>
            <w:shd w:val="clear" w:color="auto" w:fill="CEFEE7"/>
          </w:tcPr>
          <w:p>
            <w:pPr>
              <w:spacing w:after="0"/>
              <w:rPr>
                <w:sz w:val="14"/>
                <w:szCs w:val="14"/>
                <w:color w:val="auto"/>
              </w:rPr>
            </w:pPr>
          </w:p>
        </w:tc>
        <w:tc>
          <w:tcPr>
            <w:tcW w:w="40" w:type="dxa"/>
            <w:vAlign w:val="bottom"/>
            <w:tcBorders>
              <w:top w:val="single" w:sz="8" w:color="CEFEE7"/>
              <w:bottom w:val="single" w:sz="8" w:color="CEFEE7"/>
              <w:right w:val="single" w:sz="8" w:color="CEFEE7"/>
            </w:tcBorders>
            <w:shd w:val="clear" w:color="auto" w:fill="CEFEE7"/>
          </w:tcPr>
          <w:p>
            <w:pPr>
              <w:spacing w:after="0"/>
              <w:rPr>
                <w:sz w:val="14"/>
                <w:szCs w:val="14"/>
                <w:color w:val="auto"/>
              </w:rPr>
            </w:pPr>
          </w:p>
        </w:tc>
        <w:tc>
          <w:tcPr>
            <w:tcW w:w="200" w:type="dxa"/>
            <w:vAlign w:val="bottom"/>
          </w:tcPr>
          <w:p>
            <w:pPr>
              <w:spacing w:after="0"/>
              <w:rPr>
                <w:sz w:val="14"/>
                <w:szCs w:val="14"/>
                <w:color w:val="auto"/>
              </w:rPr>
            </w:pPr>
          </w:p>
        </w:tc>
      </w:tr>
      <w:tr>
        <w:trPr>
          <w:trHeight w:val="176"/>
        </w:trPr>
        <w:tc>
          <w:tcPr>
            <w:tcW w:w="340" w:type="dxa"/>
            <w:vAlign w:val="bottom"/>
          </w:tcPr>
          <w:p>
            <w:pPr>
              <w:spacing w:after="0"/>
              <w:rPr>
                <w:sz w:val="15"/>
                <w:szCs w:val="15"/>
                <w:color w:val="auto"/>
              </w:rPr>
            </w:pPr>
          </w:p>
        </w:tc>
        <w:tc>
          <w:tcPr>
            <w:tcW w:w="12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10.17†</w:t>
            </w:r>
          </w:p>
        </w:tc>
        <w:tc>
          <w:tcPr>
            <w:tcW w:w="9640" w:type="dxa"/>
            <w:vAlign w:val="bottom"/>
            <w:gridSpan w:val="47"/>
          </w:tcPr>
          <w:p>
            <w:pPr>
              <w:spacing w:after="0" w:line="175" w:lineRule="exact"/>
              <w:rPr>
                <w:rFonts w:ascii="Arial" w:cs="Arial" w:eastAsia="Arial" w:hAnsi="Arial"/>
                <w:sz w:val="16"/>
                <w:szCs w:val="16"/>
                <w:color w:val="0000FF"/>
              </w:rPr>
            </w:pPr>
            <w:hyperlink r:id="rId203">
              <w:r>
                <w:rPr>
                  <w:rFonts w:ascii="Arial" w:cs="Arial" w:eastAsia="Arial" w:hAnsi="Arial"/>
                  <w:sz w:val="16"/>
                  <w:szCs w:val="16"/>
                  <w:color w:val="0000FF"/>
                </w:rPr>
                <w:t>Form of Indemnification Agreement (filed as Exhibit 10.5 to the Registrant’s Form 8-K filed on September 3, 2004).</w:t>
              </w:r>
            </w:hyperlink>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shd w:val="clear" w:color="auto" w:fill="CEFEE7"/>
          </w:tcPr>
          <w:p>
            <w:pPr>
              <w:ind w:left="20"/>
              <w:spacing w:after="0" w:line="175" w:lineRule="exact"/>
              <w:rPr>
                <w:sz w:val="20"/>
                <w:szCs w:val="20"/>
                <w:color w:val="auto"/>
              </w:rPr>
            </w:pPr>
            <w:r>
              <w:rPr>
                <w:rFonts w:ascii="Arial" w:cs="Arial" w:eastAsia="Arial" w:hAnsi="Arial"/>
                <w:sz w:val="16"/>
                <w:szCs w:val="16"/>
                <w:color w:val="auto"/>
              </w:rPr>
              <w:t>10.18†</w:t>
            </w:r>
          </w:p>
        </w:tc>
        <w:tc>
          <w:tcPr>
            <w:tcW w:w="9440" w:type="dxa"/>
            <w:vAlign w:val="bottom"/>
            <w:tcBorders>
              <w:right w:val="single" w:sz="8" w:color="CEFEE7"/>
            </w:tcBorders>
            <w:gridSpan w:val="46"/>
            <w:shd w:val="clear" w:color="auto" w:fill="CEFEE7"/>
          </w:tcPr>
          <w:p>
            <w:pPr>
              <w:spacing w:after="0" w:line="175" w:lineRule="exact"/>
              <w:rPr>
                <w:rFonts w:ascii="Arial" w:cs="Arial" w:eastAsia="Arial" w:hAnsi="Arial"/>
                <w:sz w:val="16"/>
                <w:szCs w:val="16"/>
                <w:color w:val="0000FF"/>
              </w:rPr>
            </w:pPr>
            <w:hyperlink r:id="rId204">
              <w:r>
                <w:rPr>
                  <w:rFonts w:ascii="Arial" w:cs="Arial" w:eastAsia="Arial" w:hAnsi="Arial"/>
                  <w:sz w:val="16"/>
                  <w:szCs w:val="16"/>
                  <w:color w:val="0000FF"/>
                </w:rPr>
                <w:t>Change in Control Agreement dated November 15, 2019 between Black Hills Corporation and Linden R. Evans (filed as Exhibit</w:t>
              </w:r>
            </w:hyperlink>
          </w:p>
        </w:tc>
        <w:tc>
          <w:tcPr>
            <w:tcW w:w="20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9100" w:type="dxa"/>
            <w:vAlign w:val="bottom"/>
            <w:tcBorders>
              <w:top w:val="single" w:sz="8" w:color="0000FF"/>
            </w:tcBorders>
            <w:gridSpan w:val="31"/>
            <w:shd w:val="clear" w:color="auto" w:fill="CEFEE7"/>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10.</w:t>
              </w:r>
              <w:r>
                <w:rPr>
                  <w:rFonts w:ascii="Arial" w:cs="Arial" w:eastAsia="Arial" w:hAnsi="Arial"/>
                  <w:sz w:val="16"/>
                  <w:szCs w:val="16"/>
                  <w:u w:val="single" w:color="auto"/>
                  <w:color w:val="0000FF"/>
                </w:rPr>
                <w:t>15</w:t>
              </w:r>
              <w:r>
                <w:rPr>
                  <w:rFonts w:ascii="Arial" w:cs="Arial" w:eastAsia="Arial" w:hAnsi="Arial"/>
                  <w:sz w:val="16"/>
                  <w:szCs w:val="16"/>
                  <w:color w:val="0000FF"/>
                </w:rPr>
                <w:t xml:space="preserve"> to the Registrant's Form 10-K for 2019).</w:t>
              </w:r>
            </w:hyperlink>
          </w:p>
        </w:tc>
        <w:tc>
          <w:tcPr>
            <w:tcW w:w="300" w:type="dxa"/>
            <w:vAlign w:val="bottom"/>
            <w:tcBorders>
              <w:top w:val="single" w:sz="8" w:color="CEFEE7"/>
            </w:tcBorders>
            <w:gridSpan w:val="14"/>
            <w:shd w:val="clear" w:color="auto" w:fill="CEFEE7"/>
          </w:tcPr>
          <w:p>
            <w:pPr>
              <w:spacing w:after="0"/>
              <w:rPr>
                <w:sz w:val="12"/>
                <w:szCs w:val="12"/>
                <w:color w:val="auto"/>
              </w:rPr>
            </w:pPr>
          </w:p>
        </w:tc>
        <w:tc>
          <w:tcPr>
            <w:tcW w:w="40" w:type="dxa"/>
            <w:vAlign w:val="bottom"/>
            <w:tcBorders>
              <w:top w:val="single" w:sz="8" w:color="CEFEE7"/>
              <w:right w:val="single" w:sz="8" w:color="CEFEE7"/>
            </w:tcBorders>
            <w:shd w:val="clear" w:color="auto" w:fill="CEFEE7"/>
          </w:tcPr>
          <w:p>
            <w:pPr>
              <w:spacing w:after="0"/>
              <w:rPr>
                <w:sz w:val="12"/>
                <w:szCs w:val="12"/>
                <w:color w:val="auto"/>
              </w:rPr>
            </w:pPr>
          </w:p>
        </w:tc>
        <w:tc>
          <w:tcPr>
            <w:tcW w:w="200" w:type="dxa"/>
            <w:vAlign w:val="bottom"/>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580" w:type="dxa"/>
            <w:vAlign w:val="bottom"/>
            <w:tcBorders>
              <w:top w:val="single" w:sz="8" w:color="0000FF"/>
            </w:tcBorders>
            <w:shd w:val="clear" w:color="auto" w:fill="CEFEE7"/>
          </w:tcPr>
          <w:p>
            <w:pPr>
              <w:spacing w:after="0" w:line="20" w:lineRule="exact"/>
              <w:rPr>
                <w:sz w:val="1"/>
                <w:szCs w:val="1"/>
                <w:color w:val="auto"/>
              </w:rPr>
            </w:pPr>
          </w:p>
        </w:tc>
        <w:tc>
          <w:tcPr>
            <w:tcW w:w="380" w:type="dxa"/>
            <w:vAlign w:val="bottom"/>
            <w:tcBorders>
              <w:top w:val="single" w:sz="8" w:color="0000FF"/>
            </w:tcBorders>
            <w:shd w:val="clear" w:color="auto" w:fill="CEFEE7"/>
          </w:tcPr>
          <w:p>
            <w:pPr>
              <w:spacing w:after="0" w:line="20" w:lineRule="exact"/>
              <w:rPr>
                <w:sz w:val="1"/>
                <w:szCs w:val="1"/>
                <w:color w:val="auto"/>
              </w:rPr>
            </w:pPr>
          </w:p>
        </w:tc>
        <w:tc>
          <w:tcPr>
            <w:tcW w:w="360" w:type="dxa"/>
            <w:vAlign w:val="bottom"/>
            <w:tcBorders>
              <w:top w:val="single" w:sz="8" w:color="0000FF"/>
            </w:tcBorders>
            <w:shd w:val="clear" w:color="auto" w:fill="CEFEE7"/>
          </w:tcPr>
          <w:p>
            <w:pPr>
              <w:spacing w:after="0" w:line="20" w:lineRule="exact"/>
              <w:rPr>
                <w:sz w:val="1"/>
                <w:szCs w:val="1"/>
                <w:color w:val="auto"/>
              </w:rPr>
            </w:pPr>
          </w:p>
        </w:tc>
        <w:tc>
          <w:tcPr>
            <w:tcW w:w="1180" w:type="dxa"/>
            <w:vAlign w:val="bottom"/>
            <w:tcBorders>
              <w:top w:val="single" w:sz="8" w:color="0000FF"/>
            </w:tcBorders>
            <w:shd w:val="clear" w:color="auto" w:fill="CEFEE7"/>
          </w:tcPr>
          <w:p>
            <w:pPr>
              <w:spacing w:after="0" w:line="20" w:lineRule="exact"/>
              <w:rPr>
                <w:sz w:val="1"/>
                <w:szCs w:val="1"/>
                <w:color w:val="auto"/>
              </w:rPr>
            </w:pPr>
          </w:p>
        </w:tc>
        <w:tc>
          <w:tcPr>
            <w:tcW w:w="60" w:type="dxa"/>
            <w:vAlign w:val="bottom"/>
            <w:tcBorders>
              <w:top w:val="single" w:sz="8" w:color="0000FF"/>
            </w:tcBorders>
            <w:shd w:val="clear" w:color="auto" w:fill="CEFEE7"/>
          </w:tcPr>
          <w:p>
            <w:pPr>
              <w:spacing w:after="0" w:line="20" w:lineRule="exact"/>
              <w:rPr>
                <w:sz w:val="1"/>
                <w:szCs w:val="1"/>
                <w:color w:val="auto"/>
              </w:rPr>
            </w:pPr>
          </w:p>
        </w:tc>
        <w:tc>
          <w:tcPr>
            <w:tcW w:w="140" w:type="dxa"/>
            <w:vAlign w:val="bottom"/>
            <w:tcBorders>
              <w:top w:val="single" w:sz="8" w:color="0000FF"/>
            </w:tcBorders>
            <w:shd w:val="clear" w:color="auto" w:fill="CEFEE7"/>
          </w:tcPr>
          <w:p>
            <w:pPr>
              <w:spacing w:after="0" w:line="20" w:lineRule="exact"/>
              <w:rPr>
                <w:sz w:val="1"/>
                <w:szCs w:val="1"/>
                <w:color w:val="auto"/>
              </w:rPr>
            </w:pPr>
          </w:p>
        </w:tc>
        <w:tc>
          <w:tcPr>
            <w:tcW w:w="40" w:type="dxa"/>
            <w:vAlign w:val="bottom"/>
            <w:tcBorders>
              <w:top w:val="single" w:sz="8" w:color="0000FF"/>
            </w:tcBorders>
            <w:shd w:val="clear" w:color="auto" w:fill="CEFEE7"/>
          </w:tcPr>
          <w:p>
            <w:pPr>
              <w:spacing w:after="0" w:line="20" w:lineRule="exact"/>
              <w:rPr>
                <w:sz w:val="1"/>
                <w:szCs w:val="1"/>
                <w:color w:val="auto"/>
              </w:rPr>
            </w:pPr>
          </w:p>
        </w:tc>
        <w:tc>
          <w:tcPr>
            <w:tcW w:w="440" w:type="dxa"/>
            <w:vAlign w:val="bottom"/>
            <w:tcBorders>
              <w:top w:val="single" w:sz="8" w:color="0000FF"/>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20" w:type="dxa"/>
            <w:vAlign w:val="bottom"/>
            <w:tcBorders>
              <w:top w:val="single" w:sz="8" w:color="CEFEE7"/>
            </w:tcBorders>
            <w:shd w:val="clear" w:color="auto" w:fill="CEFEE7"/>
          </w:tcPr>
          <w:p>
            <w:pPr>
              <w:spacing w:after="0" w:line="20" w:lineRule="exact"/>
              <w:rPr>
                <w:sz w:val="1"/>
                <w:szCs w:val="1"/>
                <w:color w:val="auto"/>
              </w:rPr>
            </w:pPr>
          </w:p>
        </w:tc>
        <w:tc>
          <w:tcPr>
            <w:tcW w:w="100" w:type="dxa"/>
            <w:vAlign w:val="bottom"/>
            <w:tcBorders>
              <w:top w:val="single" w:sz="8" w:color="CEFEE7"/>
            </w:tcBorders>
            <w:shd w:val="clear" w:color="auto" w:fill="CEFEE7"/>
          </w:tcPr>
          <w:p>
            <w:pPr>
              <w:spacing w:after="0" w:line="20" w:lineRule="exact"/>
              <w:rPr>
                <w:sz w:val="1"/>
                <w:szCs w:val="1"/>
                <w:color w:val="auto"/>
              </w:rPr>
            </w:pPr>
          </w:p>
        </w:tc>
        <w:tc>
          <w:tcPr>
            <w:tcW w:w="400" w:type="dxa"/>
            <w:vAlign w:val="bottom"/>
            <w:tcBorders>
              <w:top w:val="single" w:sz="8" w:color="CEFEE7"/>
            </w:tcBorders>
            <w:shd w:val="clear" w:color="auto" w:fill="CEFEE7"/>
          </w:tcPr>
          <w:p>
            <w:pPr>
              <w:spacing w:after="0" w:line="20" w:lineRule="exact"/>
              <w:rPr>
                <w:sz w:val="1"/>
                <w:szCs w:val="1"/>
                <w:color w:val="auto"/>
              </w:rPr>
            </w:pPr>
          </w:p>
        </w:tc>
        <w:tc>
          <w:tcPr>
            <w:tcW w:w="22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22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540" w:type="dxa"/>
            <w:vAlign w:val="bottom"/>
            <w:tcBorders>
              <w:top w:val="single" w:sz="8" w:color="CEFEE7"/>
            </w:tcBorders>
            <w:shd w:val="clear" w:color="auto" w:fill="CEFEE7"/>
          </w:tcPr>
          <w:p>
            <w:pPr>
              <w:spacing w:after="0" w:line="20" w:lineRule="exact"/>
              <w:rPr>
                <w:sz w:val="1"/>
                <w:szCs w:val="1"/>
                <w:color w:val="auto"/>
              </w:rPr>
            </w:pPr>
          </w:p>
        </w:tc>
        <w:tc>
          <w:tcPr>
            <w:tcW w:w="280" w:type="dxa"/>
            <w:vAlign w:val="bottom"/>
            <w:tcBorders>
              <w:top w:val="single" w:sz="8" w:color="CEFEE7"/>
            </w:tcBorders>
            <w:shd w:val="clear" w:color="auto" w:fill="CEFEE7"/>
          </w:tcPr>
          <w:p>
            <w:pPr>
              <w:spacing w:after="0" w:line="20" w:lineRule="exact"/>
              <w:rPr>
                <w:sz w:val="1"/>
                <w:szCs w:val="1"/>
                <w:color w:val="auto"/>
              </w:rPr>
            </w:pPr>
          </w:p>
        </w:tc>
        <w:tc>
          <w:tcPr>
            <w:tcW w:w="340" w:type="dxa"/>
            <w:vAlign w:val="bottom"/>
            <w:tcBorders>
              <w:top w:val="single" w:sz="8" w:color="CEFEE7"/>
            </w:tcBorders>
            <w:shd w:val="clear" w:color="auto" w:fill="CEFEE7"/>
          </w:tcPr>
          <w:p>
            <w:pPr>
              <w:spacing w:after="0" w:line="20" w:lineRule="exact"/>
              <w:rPr>
                <w:sz w:val="1"/>
                <w:szCs w:val="1"/>
                <w:color w:val="auto"/>
              </w:rPr>
            </w:pPr>
          </w:p>
        </w:tc>
        <w:tc>
          <w:tcPr>
            <w:tcW w:w="132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480" w:type="dxa"/>
            <w:vAlign w:val="bottom"/>
            <w:tcBorders>
              <w:top w:val="single" w:sz="8" w:color="CEFEE7"/>
            </w:tcBorders>
            <w:shd w:val="clear" w:color="auto" w:fill="CEFEE7"/>
          </w:tcPr>
          <w:p>
            <w:pPr>
              <w:spacing w:after="0" w:line="20" w:lineRule="exact"/>
              <w:rPr>
                <w:sz w:val="1"/>
                <w:szCs w:val="1"/>
                <w:color w:val="auto"/>
              </w:rPr>
            </w:pPr>
          </w:p>
        </w:tc>
        <w:tc>
          <w:tcPr>
            <w:tcW w:w="26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340" w:type="dxa"/>
            <w:vAlign w:val="bottom"/>
            <w:tcBorders>
              <w:top w:val="single" w:sz="8" w:color="CEFEE7"/>
            </w:tcBorders>
            <w:shd w:val="clear" w:color="auto" w:fill="CEFEE7"/>
          </w:tcPr>
          <w:p>
            <w:pPr>
              <w:spacing w:after="0" w:line="20" w:lineRule="exact"/>
              <w:rPr>
                <w:sz w:val="1"/>
                <w:szCs w:val="1"/>
                <w:color w:val="auto"/>
              </w:rPr>
            </w:pPr>
          </w:p>
        </w:tc>
        <w:tc>
          <w:tcPr>
            <w:tcW w:w="4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10.19†</w:t>
            </w:r>
          </w:p>
        </w:tc>
        <w:tc>
          <w:tcPr>
            <w:tcW w:w="9640" w:type="dxa"/>
            <w:vAlign w:val="bottom"/>
            <w:gridSpan w:val="47"/>
          </w:tcPr>
          <w:p>
            <w:pPr>
              <w:spacing w:after="0" w:line="175" w:lineRule="exact"/>
              <w:rPr>
                <w:rFonts w:ascii="Arial" w:cs="Arial" w:eastAsia="Arial" w:hAnsi="Arial"/>
                <w:sz w:val="16"/>
                <w:szCs w:val="16"/>
                <w:color w:val="0000FF"/>
              </w:rPr>
            </w:pPr>
            <w:hyperlink r:id="rId205">
              <w:r>
                <w:rPr>
                  <w:rFonts w:ascii="Arial" w:cs="Arial" w:eastAsia="Arial" w:hAnsi="Arial"/>
                  <w:sz w:val="16"/>
                  <w:szCs w:val="16"/>
                  <w:color w:val="0000FF"/>
                </w:rPr>
                <w:t>Change in Control Agreements between Black Hills Corporation and its non-CEO Senior Executive Officers (filed as Exhibit 10.16</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40" w:type="dxa"/>
            <w:vAlign w:val="bottom"/>
            <w:tcBorders>
              <w:top w:val="single" w:sz="8" w:color="0000FF"/>
            </w:tcBorders>
            <w:gridSpan w:val="46"/>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to the Registrant's Form 10-K for 2019).</w:t>
              </w:r>
            </w:hyperlink>
          </w:p>
        </w:tc>
        <w:tc>
          <w:tcPr>
            <w:tcW w:w="200" w:type="dxa"/>
            <w:vAlign w:val="bottom"/>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shd w:val="clear" w:color="auto" w:fill="CEFEE7"/>
          </w:tcPr>
          <w:p>
            <w:pPr>
              <w:ind w:left="20"/>
              <w:spacing w:after="0" w:line="175" w:lineRule="exact"/>
              <w:rPr>
                <w:sz w:val="20"/>
                <w:szCs w:val="20"/>
                <w:color w:val="auto"/>
              </w:rPr>
            </w:pPr>
            <w:r>
              <w:rPr>
                <w:rFonts w:ascii="Arial" w:cs="Arial" w:eastAsia="Arial" w:hAnsi="Arial"/>
                <w:sz w:val="16"/>
                <w:szCs w:val="16"/>
                <w:color w:val="auto"/>
              </w:rPr>
              <w:t>10.20†</w:t>
            </w:r>
          </w:p>
        </w:tc>
        <w:tc>
          <w:tcPr>
            <w:tcW w:w="9440" w:type="dxa"/>
            <w:vAlign w:val="bottom"/>
            <w:tcBorders>
              <w:right w:val="single" w:sz="8" w:color="CEFEE7"/>
            </w:tcBorders>
            <w:gridSpan w:val="46"/>
            <w:shd w:val="clear" w:color="auto" w:fill="CEFEE7"/>
          </w:tcPr>
          <w:p>
            <w:pPr>
              <w:spacing w:after="0" w:line="175" w:lineRule="exact"/>
              <w:rPr>
                <w:rFonts w:ascii="Arial" w:cs="Arial" w:eastAsia="Arial" w:hAnsi="Arial"/>
                <w:sz w:val="16"/>
                <w:szCs w:val="16"/>
                <w:color w:val="0000FF"/>
              </w:rPr>
            </w:pPr>
            <w:hyperlink r:id="rId206">
              <w:r>
                <w:rPr>
                  <w:rFonts w:ascii="Arial" w:cs="Arial" w:eastAsia="Arial" w:hAnsi="Arial"/>
                  <w:sz w:val="16"/>
                  <w:szCs w:val="16"/>
                  <w:color w:val="0000FF"/>
                </w:rPr>
                <w:t>Outside Directors Stock Based Compensation Plan as Amended and Restated effective January 1, 2009 (filed as Exhibit 10.23 to</w:t>
              </w:r>
            </w:hyperlink>
          </w:p>
        </w:tc>
        <w:tc>
          <w:tcPr>
            <w:tcW w:w="200" w:type="dxa"/>
            <w:vAlign w:val="bottom"/>
          </w:tcPr>
          <w:p>
            <w:pPr>
              <w:spacing w:after="0"/>
              <w:rPr>
                <w:sz w:val="15"/>
                <w:szCs w:val="15"/>
                <w:color w:val="auto"/>
              </w:rPr>
            </w:pPr>
          </w:p>
        </w:tc>
      </w:tr>
      <w:tr>
        <w:trPr>
          <w:trHeight w:val="163"/>
        </w:trPr>
        <w:tc>
          <w:tcPr>
            <w:tcW w:w="340" w:type="dxa"/>
            <w:vAlign w:val="bottom"/>
          </w:tcPr>
          <w:p>
            <w:pPr>
              <w:spacing w:after="0"/>
              <w:rPr>
                <w:sz w:val="14"/>
                <w:szCs w:val="14"/>
                <w:color w:val="auto"/>
              </w:rPr>
            </w:pPr>
          </w:p>
        </w:tc>
        <w:tc>
          <w:tcPr>
            <w:tcW w:w="1020" w:type="dxa"/>
            <w:vAlign w:val="bottom"/>
            <w:tcBorders>
              <w:top w:val="single" w:sz="8" w:color="CEFEE7"/>
              <w:bottom w:val="single" w:sz="8" w:color="CEFEE7"/>
            </w:tcBorders>
            <w:shd w:val="clear" w:color="auto" w:fill="CEFEE7"/>
          </w:tcPr>
          <w:p>
            <w:pPr>
              <w:spacing w:after="0"/>
              <w:rPr>
                <w:sz w:val="14"/>
                <w:szCs w:val="14"/>
                <w:color w:val="auto"/>
              </w:rPr>
            </w:pPr>
          </w:p>
        </w:tc>
        <w:tc>
          <w:tcPr>
            <w:tcW w:w="240" w:type="dxa"/>
            <w:vAlign w:val="bottom"/>
            <w:tcBorders>
              <w:top w:val="single" w:sz="8" w:color="CEFEE7"/>
              <w:bottom w:val="single" w:sz="8" w:color="CEFEE7"/>
            </w:tcBorders>
            <w:shd w:val="clear" w:color="auto" w:fill="CEFEE7"/>
          </w:tcPr>
          <w:p>
            <w:pPr>
              <w:spacing w:after="0"/>
              <w:rPr>
                <w:sz w:val="14"/>
                <w:szCs w:val="14"/>
                <w:color w:val="auto"/>
              </w:rPr>
            </w:pPr>
          </w:p>
        </w:tc>
        <w:tc>
          <w:tcPr>
            <w:tcW w:w="2680" w:type="dxa"/>
            <w:vAlign w:val="bottom"/>
            <w:tcBorders>
              <w:top w:val="single" w:sz="8" w:color="0000FF"/>
              <w:bottom w:val="single" w:sz="8" w:color="0000FF"/>
            </w:tcBorders>
            <w:gridSpan w:val="6"/>
            <w:shd w:val="clear" w:color="auto" w:fill="CEFEE7"/>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the Registrant’s Form 10-K for 2008).</w:t>
              </w:r>
            </w:hyperlink>
          </w:p>
        </w:tc>
        <w:tc>
          <w:tcPr>
            <w:tcW w:w="6720" w:type="dxa"/>
            <w:vAlign w:val="bottom"/>
            <w:tcBorders>
              <w:top w:val="single" w:sz="8" w:color="0000FF"/>
              <w:bottom w:val="single" w:sz="8" w:color="CEFEE7"/>
            </w:tcBorders>
            <w:gridSpan w:val="39"/>
            <w:shd w:val="clear" w:color="auto" w:fill="CEFEE7"/>
          </w:tcPr>
          <w:p>
            <w:pPr>
              <w:spacing w:after="0"/>
              <w:rPr>
                <w:sz w:val="14"/>
                <w:szCs w:val="14"/>
                <w:color w:val="auto"/>
              </w:rPr>
            </w:pPr>
          </w:p>
        </w:tc>
        <w:tc>
          <w:tcPr>
            <w:tcW w:w="40" w:type="dxa"/>
            <w:vAlign w:val="bottom"/>
            <w:tcBorders>
              <w:top w:val="single" w:sz="8" w:color="CEFEE7"/>
              <w:bottom w:val="single" w:sz="8" w:color="CEFEE7"/>
              <w:right w:val="single" w:sz="8" w:color="CEFEE7"/>
            </w:tcBorders>
            <w:shd w:val="clear" w:color="auto" w:fill="CEFEE7"/>
          </w:tcPr>
          <w:p>
            <w:pPr>
              <w:spacing w:after="0"/>
              <w:rPr>
                <w:sz w:val="14"/>
                <w:szCs w:val="14"/>
                <w:color w:val="auto"/>
              </w:rPr>
            </w:pPr>
          </w:p>
        </w:tc>
        <w:tc>
          <w:tcPr>
            <w:tcW w:w="200" w:type="dxa"/>
            <w:vAlign w:val="bottom"/>
          </w:tcPr>
          <w:p>
            <w:pPr>
              <w:spacing w:after="0"/>
              <w:rPr>
                <w:sz w:val="14"/>
                <w:szCs w:val="14"/>
                <w:color w:val="auto"/>
              </w:rPr>
            </w:pPr>
          </w:p>
        </w:tc>
      </w:tr>
      <w:tr>
        <w:trPr>
          <w:trHeight w:val="87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gridSpan w:val="13"/>
          </w:tcPr>
          <w:p>
            <w:pPr>
              <w:ind w:left="3880"/>
              <w:spacing w:after="0"/>
              <w:rPr>
                <w:sz w:val="20"/>
                <w:szCs w:val="20"/>
                <w:color w:val="auto"/>
              </w:rPr>
            </w:pPr>
            <w:r>
              <w:rPr>
                <w:rFonts w:ascii="Arial" w:cs="Arial" w:eastAsia="Arial" w:hAnsi="Arial"/>
                <w:sz w:val="16"/>
                <w:szCs w:val="16"/>
                <w:color w:val="auto"/>
              </w:rPr>
              <w:t>117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08"/>
        </w:trPr>
        <w:tc>
          <w:tcPr>
            <w:tcW w:w="3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84"/>
        </w:trPr>
        <w:tc>
          <w:tcPr>
            <w:tcW w:w="1600" w:type="dxa"/>
            <w:vAlign w:val="bottom"/>
            <w:gridSpan w:val="3"/>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790"/>
        </w:trPr>
        <w:tc>
          <w:tcPr>
            <w:tcW w:w="34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ind w:left="120"/>
              <w:spacing w:after="0"/>
              <w:rPr>
                <w:sz w:val="20"/>
                <w:szCs w:val="20"/>
                <w:color w:val="auto"/>
              </w:rPr>
            </w:pPr>
            <w:r>
              <w:rPr>
                <w:rFonts w:ascii="Arial" w:cs="Arial" w:eastAsia="Arial" w:hAnsi="Arial"/>
                <w:sz w:val="16"/>
                <w:szCs w:val="16"/>
                <w:color w:val="auto"/>
              </w:rPr>
              <w:t>10.20.1†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20" w:type="dxa"/>
            <w:vAlign w:val="bottom"/>
            <w:gridSpan w:val="32"/>
          </w:tcPr>
          <w:p>
            <w:pPr>
              <w:spacing w:after="0"/>
              <w:rPr>
                <w:rFonts w:ascii="Arial" w:cs="Arial" w:eastAsia="Arial" w:hAnsi="Arial"/>
                <w:sz w:val="16"/>
                <w:szCs w:val="16"/>
                <w:color w:val="0000FF"/>
              </w:rPr>
            </w:pPr>
            <w:hyperlink r:id="rId209">
              <w:r>
                <w:rPr>
                  <w:rFonts w:ascii="Arial" w:cs="Arial" w:eastAsia="Arial" w:hAnsi="Arial"/>
                  <w:sz w:val="16"/>
                  <w:szCs w:val="16"/>
                  <w:color w:val="0000FF"/>
                </w:rPr>
                <w:t>First Amendment to the Outside Directors Stock Based Compensation Plan effective January 1, 2011 (filed as Exhibit 10.16 to</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2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the Registrant’s Form 10-K for 2010).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260" w:type="dxa"/>
            <w:vAlign w:val="bottom"/>
            <w:gridSpan w:val="2"/>
            <w:shd w:val="clear" w:color="auto" w:fill="CEFEE7"/>
          </w:tcPr>
          <w:p>
            <w:pPr>
              <w:ind w:left="120"/>
              <w:spacing w:after="0" w:line="175" w:lineRule="exact"/>
              <w:rPr>
                <w:sz w:val="20"/>
                <w:szCs w:val="20"/>
                <w:color w:val="auto"/>
              </w:rPr>
            </w:pPr>
            <w:r>
              <w:rPr>
                <w:rFonts w:ascii="Arial" w:cs="Arial" w:eastAsia="Arial" w:hAnsi="Arial"/>
                <w:sz w:val="16"/>
                <w:szCs w:val="16"/>
                <w:color w:val="auto"/>
              </w:rPr>
              <w:t>10.20.2†</w:t>
            </w:r>
          </w:p>
        </w:tc>
        <w:tc>
          <w:tcPr>
            <w:tcW w:w="120" w:type="dxa"/>
            <w:vAlign w:val="bottom"/>
            <w:shd w:val="clear" w:color="auto" w:fill="CEFEE7"/>
          </w:tcPr>
          <w:p>
            <w:pPr>
              <w:spacing w:after="0"/>
              <w:rPr>
                <w:sz w:val="15"/>
                <w:szCs w:val="15"/>
                <w:color w:val="auto"/>
              </w:rPr>
            </w:pPr>
          </w:p>
        </w:tc>
        <w:tc>
          <w:tcPr>
            <w:tcW w:w="9280" w:type="dxa"/>
            <w:vAlign w:val="bottom"/>
            <w:tcBorders>
              <w:right w:val="single" w:sz="8" w:color="CEFEE7"/>
            </w:tcBorders>
            <w:gridSpan w:val="31"/>
            <w:shd w:val="clear" w:color="auto" w:fill="CEFEE7"/>
          </w:tcPr>
          <w:p>
            <w:pPr>
              <w:spacing w:after="0" w:line="175" w:lineRule="exact"/>
              <w:rPr>
                <w:rFonts w:ascii="Arial" w:cs="Arial" w:eastAsia="Arial" w:hAnsi="Arial"/>
                <w:sz w:val="16"/>
                <w:szCs w:val="16"/>
                <w:color w:val="0000FF"/>
              </w:rPr>
            </w:pPr>
            <w:hyperlink r:id="rId210">
              <w:r>
                <w:rPr>
                  <w:rFonts w:ascii="Arial" w:cs="Arial" w:eastAsia="Arial" w:hAnsi="Arial"/>
                  <w:sz w:val="16"/>
                  <w:szCs w:val="16"/>
                  <w:color w:val="0000FF"/>
                </w:rPr>
                <w:t>Second Amendment to the Outside Director’s Stock Based Compensation Plan effective January 1, 2013 (filed as Exhibit 10.15</w:t>
              </w:r>
            </w:hyperlink>
          </w:p>
        </w:tc>
        <w:tc>
          <w:tcPr>
            <w:tcW w:w="24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120" w:type="dxa"/>
            <w:vAlign w:val="bottom"/>
            <w:tcBorders>
              <w:top w:val="single" w:sz="8" w:color="CEFEE7"/>
            </w:tcBorders>
            <w:shd w:val="clear" w:color="auto" w:fill="CEFEE7"/>
          </w:tcPr>
          <w:p>
            <w:pPr>
              <w:spacing w:after="0"/>
              <w:rPr>
                <w:sz w:val="12"/>
                <w:szCs w:val="12"/>
                <w:color w:val="auto"/>
              </w:rPr>
            </w:pPr>
          </w:p>
        </w:tc>
        <w:tc>
          <w:tcPr>
            <w:tcW w:w="9220" w:type="dxa"/>
            <w:vAlign w:val="bottom"/>
            <w:tcBorders>
              <w:top w:val="single" w:sz="8" w:color="0000FF"/>
            </w:tcBorders>
            <w:gridSpan w:val="29"/>
            <w:shd w:val="clear" w:color="auto" w:fill="CEFEE7"/>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to the Registrant’s Form 10-K for 2012).</w:t>
              </w:r>
            </w:hyperlink>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right w:val="single" w:sz="8" w:color="CEFEE7"/>
            </w:tcBorders>
            <w:shd w:val="clear" w:color="auto" w:fill="CEFEE7"/>
          </w:tcPr>
          <w:p>
            <w:pPr>
              <w:spacing w:after="0"/>
              <w:rPr>
                <w:sz w:val="12"/>
                <w:szCs w:val="12"/>
                <w:color w:val="auto"/>
              </w:rPr>
            </w:pPr>
          </w:p>
        </w:tc>
        <w:tc>
          <w:tcPr>
            <w:tcW w:w="24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0000FF"/>
            </w:tcBorders>
            <w:shd w:val="clear" w:color="auto" w:fill="CEFEE7"/>
          </w:tcPr>
          <w:p>
            <w:pPr>
              <w:spacing w:after="0" w:line="20" w:lineRule="exact"/>
              <w:rPr>
                <w:sz w:val="1"/>
                <w:szCs w:val="1"/>
                <w:color w:val="auto"/>
              </w:rPr>
            </w:pPr>
          </w:p>
        </w:tc>
        <w:tc>
          <w:tcPr>
            <w:tcW w:w="960" w:type="dxa"/>
            <w:vAlign w:val="bottom"/>
            <w:tcBorders>
              <w:top w:val="single" w:sz="8" w:color="0000FF"/>
            </w:tcBorders>
            <w:shd w:val="clear" w:color="auto" w:fill="CEFEE7"/>
          </w:tcPr>
          <w:p>
            <w:pPr>
              <w:spacing w:after="0" w:line="20" w:lineRule="exact"/>
              <w:rPr>
                <w:sz w:val="1"/>
                <w:szCs w:val="1"/>
                <w:color w:val="auto"/>
              </w:rPr>
            </w:pPr>
          </w:p>
        </w:tc>
        <w:tc>
          <w:tcPr>
            <w:tcW w:w="820" w:type="dxa"/>
            <w:vAlign w:val="bottom"/>
            <w:tcBorders>
              <w:top w:val="single" w:sz="8" w:color="0000FF"/>
            </w:tcBorders>
            <w:shd w:val="clear" w:color="auto" w:fill="CEFEE7"/>
          </w:tcPr>
          <w:p>
            <w:pPr>
              <w:spacing w:after="0" w:line="20" w:lineRule="exact"/>
              <w:rPr>
                <w:sz w:val="1"/>
                <w:szCs w:val="1"/>
                <w:color w:val="auto"/>
              </w:rPr>
            </w:pPr>
          </w:p>
        </w:tc>
        <w:tc>
          <w:tcPr>
            <w:tcW w:w="640" w:type="dxa"/>
            <w:vAlign w:val="bottom"/>
            <w:tcBorders>
              <w:top w:val="single" w:sz="8" w:color="0000FF"/>
            </w:tcBorders>
            <w:shd w:val="clear" w:color="auto" w:fill="CEFEE7"/>
          </w:tcPr>
          <w:p>
            <w:pPr>
              <w:spacing w:after="0" w:line="20" w:lineRule="exact"/>
              <w:rPr>
                <w:sz w:val="1"/>
                <w:szCs w:val="1"/>
                <w:color w:val="auto"/>
              </w:rPr>
            </w:pPr>
          </w:p>
        </w:tc>
        <w:tc>
          <w:tcPr>
            <w:tcW w:w="180" w:type="dxa"/>
            <w:vAlign w:val="bottom"/>
            <w:tcBorders>
              <w:top w:val="single" w:sz="8" w:color="0000FF"/>
            </w:tcBorders>
            <w:shd w:val="clear" w:color="auto" w:fill="CEFEE7"/>
          </w:tcPr>
          <w:p>
            <w:pPr>
              <w:spacing w:after="0" w:line="20" w:lineRule="exact"/>
              <w:rPr>
                <w:sz w:val="1"/>
                <w:szCs w:val="1"/>
                <w:color w:val="auto"/>
              </w:rPr>
            </w:pPr>
          </w:p>
        </w:tc>
        <w:tc>
          <w:tcPr>
            <w:tcW w:w="32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600" w:type="dxa"/>
            <w:vAlign w:val="bottom"/>
            <w:tcBorders>
              <w:top w:val="single" w:sz="8" w:color="CEFEE7"/>
            </w:tcBorders>
            <w:shd w:val="clear" w:color="auto" w:fill="CEFEE7"/>
          </w:tcPr>
          <w:p>
            <w:pPr>
              <w:spacing w:after="0" w:line="20" w:lineRule="exact"/>
              <w:rPr>
                <w:sz w:val="1"/>
                <w:szCs w:val="1"/>
                <w:color w:val="auto"/>
              </w:rPr>
            </w:pPr>
          </w:p>
        </w:tc>
        <w:tc>
          <w:tcPr>
            <w:tcW w:w="94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2040" w:type="dxa"/>
            <w:vAlign w:val="bottom"/>
            <w:tcBorders>
              <w:top w:val="single" w:sz="8" w:color="CEFEE7"/>
            </w:tcBorders>
            <w:shd w:val="clear" w:color="auto" w:fill="CEFEE7"/>
          </w:tcPr>
          <w:p>
            <w:pPr>
              <w:spacing w:after="0" w:line="20" w:lineRule="exact"/>
              <w:rPr>
                <w:sz w:val="1"/>
                <w:szCs w:val="1"/>
                <w:color w:val="auto"/>
              </w:rPr>
            </w:pPr>
          </w:p>
        </w:tc>
        <w:tc>
          <w:tcPr>
            <w:tcW w:w="560" w:type="dxa"/>
            <w:vAlign w:val="bottom"/>
            <w:tcBorders>
              <w:top w:val="single" w:sz="8" w:color="CEFEE7"/>
            </w:tcBorders>
            <w:shd w:val="clear" w:color="auto" w:fill="CEFEE7"/>
          </w:tcPr>
          <w:p>
            <w:pPr>
              <w:spacing w:after="0" w:line="20" w:lineRule="exact"/>
              <w:rPr>
                <w:sz w:val="1"/>
                <w:szCs w:val="1"/>
                <w:color w:val="auto"/>
              </w:rPr>
            </w:pPr>
          </w:p>
        </w:tc>
        <w:tc>
          <w:tcPr>
            <w:tcW w:w="4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1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tcPr>
          <w:p>
            <w:pPr>
              <w:ind w:left="120"/>
              <w:spacing w:after="0" w:line="175" w:lineRule="exact"/>
              <w:rPr>
                <w:sz w:val="20"/>
                <w:szCs w:val="20"/>
                <w:color w:val="auto"/>
              </w:rPr>
            </w:pPr>
            <w:r>
              <w:rPr>
                <w:rFonts w:ascii="Arial" w:cs="Arial" w:eastAsia="Arial" w:hAnsi="Arial"/>
                <w:sz w:val="16"/>
                <w:szCs w:val="16"/>
                <w:color w:val="auto"/>
              </w:rPr>
              <w:t>10.20.3†</w:t>
            </w:r>
          </w:p>
        </w:tc>
        <w:tc>
          <w:tcPr>
            <w:tcW w:w="120" w:type="dxa"/>
            <w:vAlign w:val="bottom"/>
          </w:tcPr>
          <w:p>
            <w:pPr>
              <w:spacing w:after="0"/>
              <w:rPr>
                <w:sz w:val="15"/>
                <w:szCs w:val="15"/>
                <w:color w:val="auto"/>
              </w:rPr>
            </w:pPr>
          </w:p>
        </w:tc>
        <w:tc>
          <w:tcPr>
            <w:tcW w:w="9520" w:type="dxa"/>
            <w:vAlign w:val="bottom"/>
            <w:gridSpan w:val="32"/>
          </w:tcPr>
          <w:p>
            <w:pPr>
              <w:spacing w:after="0" w:line="175" w:lineRule="exact"/>
              <w:rPr>
                <w:rFonts w:ascii="Arial" w:cs="Arial" w:eastAsia="Arial" w:hAnsi="Arial"/>
                <w:sz w:val="16"/>
                <w:szCs w:val="16"/>
                <w:color w:val="0000FF"/>
              </w:rPr>
            </w:pPr>
            <w:hyperlink r:id="rId211">
              <w:r>
                <w:rPr>
                  <w:rFonts w:ascii="Arial" w:cs="Arial" w:eastAsia="Arial" w:hAnsi="Arial"/>
                  <w:sz w:val="16"/>
                  <w:szCs w:val="16"/>
                  <w:color w:val="0000FF"/>
                </w:rPr>
                <w:t>Third Amendment to the Outside Director’s Stock Based Compensation Plan effective January 1, 2015 (filed as Exhibit 10.16 to</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the Registrant’s Form 10-K for 2014).</w:t>
              </w:r>
            </w:hyperlink>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shd w:val="clear" w:color="auto" w:fill="CEFEE7"/>
          </w:tcPr>
          <w:p>
            <w:pPr>
              <w:ind w:left="120"/>
              <w:spacing w:after="0" w:line="175" w:lineRule="exact"/>
              <w:rPr>
                <w:sz w:val="20"/>
                <w:szCs w:val="20"/>
                <w:color w:val="auto"/>
              </w:rPr>
            </w:pPr>
            <w:r>
              <w:rPr>
                <w:rFonts w:ascii="Arial" w:cs="Arial" w:eastAsia="Arial" w:hAnsi="Arial"/>
                <w:sz w:val="16"/>
                <w:szCs w:val="16"/>
                <w:color w:val="auto"/>
              </w:rPr>
              <w:t>10.20.4†</w:t>
            </w:r>
          </w:p>
        </w:tc>
        <w:tc>
          <w:tcPr>
            <w:tcW w:w="120" w:type="dxa"/>
            <w:vAlign w:val="bottom"/>
            <w:shd w:val="clear" w:color="auto" w:fill="CEFEE7"/>
          </w:tcPr>
          <w:p>
            <w:pPr>
              <w:spacing w:after="0"/>
              <w:rPr>
                <w:sz w:val="15"/>
                <w:szCs w:val="15"/>
                <w:color w:val="auto"/>
              </w:rPr>
            </w:pPr>
          </w:p>
        </w:tc>
        <w:tc>
          <w:tcPr>
            <w:tcW w:w="9280" w:type="dxa"/>
            <w:vAlign w:val="bottom"/>
            <w:tcBorders>
              <w:right w:val="single" w:sz="8" w:color="CEFEE7"/>
            </w:tcBorders>
            <w:gridSpan w:val="31"/>
            <w:shd w:val="clear" w:color="auto" w:fill="CEFEE7"/>
          </w:tcPr>
          <w:p>
            <w:pPr>
              <w:spacing w:after="0" w:line="175" w:lineRule="exact"/>
              <w:rPr>
                <w:rFonts w:ascii="Arial" w:cs="Arial" w:eastAsia="Arial" w:hAnsi="Arial"/>
                <w:sz w:val="16"/>
                <w:szCs w:val="16"/>
                <w:color w:val="0000FF"/>
              </w:rPr>
            </w:pPr>
            <w:hyperlink r:id="rId212">
              <w:r>
                <w:rPr>
                  <w:rFonts w:ascii="Arial" w:cs="Arial" w:eastAsia="Arial" w:hAnsi="Arial"/>
                  <w:sz w:val="16"/>
                  <w:szCs w:val="16"/>
                  <w:color w:val="0000FF"/>
                </w:rPr>
                <w:t>Fourth Amendment to the Outside Director’s Stock Based Compensation Plan effective January 1, 2017 (filed as Exhibit 10.4 to</w:t>
              </w:r>
            </w:hyperlink>
          </w:p>
        </w:tc>
        <w:tc>
          <w:tcPr>
            <w:tcW w:w="24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120" w:type="dxa"/>
            <w:vAlign w:val="bottom"/>
            <w:tcBorders>
              <w:top w:val="single" w:sz="8" w:color="CEFEE7"/>
            </w:tcBorders>
            <w:shd w:val="clear" w:color="auto" w:fill="CEFEE7"/>
          </w:tcPr>
          <w:p>
            <w:pPr>
              <w:spacing w:after="0"/>
              <w:rPr>
                <w:sz w:val="12"/>
                <w:szCs w:val="12"/>
                <w:color w:val="auto"/>
              </w:rPr>
            </w:pPr>
          </w:p>
        </w:tc>
        <w:tc>
          <w:tcPr>
            <w:tcW w:w="9240" w:type="dxa"/>
            <w:vAlign w:val="bottom"/>
            <w:tcBorders>
              <w:top w:val="single" w:sz="8" w:color="0000FF"/>
            </w:tcBorders>
            <w:gridSpan w:val="30"/>
            <w:shd w:val="clear" w:color="auto" w:fill="CEFEE7"/>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the Registrant’s Form 10-Q for the quarterly period ended September 30, 2016).</w:t>
              </w:r>
            </w:hyperlink>
          </w:p>
        </w:tc>
        <w:tc>
          <w:tcPr>
            <w:tcW w:w="40" w:type="dxa"/>
            <w:vAlign w:val="bottom"/>
            <w:tcBorders>
              <w:top w:val="single" w:sz="8" w:color="CEFEE7"/>
              <w:right w:val="single" w:sz="8" w:color="CEFEE7"/>
            </w:tcBorders>
            <w:shd w:val="clear" w:color="auto" w:fill="CEFEE7"/>
          </w:tcPr>
          <w:p>
            <w:pPr>
              <w:spacing w:after="0"/>
              <w:rPr>
                <w:sz w:val="12"/>
                <w:szCs w:val="12"/>
                <w:color w:val="auto"/>
              </w:rPr>
            </w:pPr>
          </w:p>
        </w:tc>
        <w:tc>
          <w:tcPr>
            <w:tcW w:w="24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0000FF"/>
            </w:tcBorders>
            <w:shd w:val="clear" w:color="auto" w:fill="CEFEE7"/>
          </w:tcPr>
          <w:p>
            <w:pPr>
              <w:spacing w:after="0" w:line="20" w:lineRule="exact"/>
              <w:rPr>
                <w:sz w:val="1"/>
                <w:szCs w:val="1"/>
                <w:color w:val="auto"/>
              </w:rPr>
            </w:pPr>
          </w:p>
        </w:tc>
        <w:tc>
          <w:tcPr>
            <w:tcW w:w="960" w:type="dxa"/>
            <w:vAlign w:val="bottom"/>
            <w:tcBorders>
              <w:top w:val="single" w:sz="8" w:color="0000FF"/>
            </w:tcBorders>
            <w:shd w:val="clear" w:color="auto" w:fill="CEFEE7"/>
          </w:tcPr>
          <w:p>
            <w:pPr>
              <w:spacing w:after="0" w:line="20" w:lineRule="exact"/>
              <w:rPr>
                <w:sz w:val="1"/>
                <w:szCs w:val="1"/>
                <w:color w:val="auto"/>
              </w:rPr>
            </w:pPr>
          </w:p>
        </w:tc>
        <w:tc>
          <w:tcPr>
            <w:tcW w:w="820" w:type="dxa"/>
            <w:vAlign w:val="bottom"/>
            <w:tcBorders>
              <w:top w:val="single" w:sz="8" w:color="0000FF"/>
            </w:tcBorders>
            <w:shd w:val="clear" w:color="auto" w:fill="CEFEE7"/>
          </w:tcPr>
          <w:p>
            <w:pPr>
              <w:spacing w:after="0" w:line="20" w:lineRule="exact"/>
              <w:rPr>
                <w:sz w:val="1"/>
                <w:szCs w:val="1"/>
                <w:color w:val="auto"/>
              </w:rPr>
            </w:pPr>
          </w:p>
        </w:tc>
        <w:tc>
          <w:tcPr>
            <w:tcW w:w="640" w:type="dxa"/>
            <w:vAlign w:val="bottom"/>
            <w:tcBorders>
              <w:top w:val="single" w:sz="8" w:color="0000FF"/>
            </w:tcBorders>
            <w:shd w:val="clear" w:color="auto" w:fill="CEFEE7"/>
          </w:tcPr>
          <w:p>
            <w:pPr>
              <w:spacing w:after="0" w:line="20" w:lineRule="exact"/>
              <w:rPr>
                <w:sz w:val="1"/>
                <w:szCs w:val="1"/>
                <w:color w:val="auto"/>
              </w:rPr>
            </w:pPr>
          </w:p>
        </w:tc>
        <w:tc>
          <w:tcPr>
            <w:tcW w:w="180" w:type="dxa"/>
            <w:vAlign w:val="bottom"/>
            <w:tcBorders>
              <w:top w:val="single" w:sz="8" w:color="0000FF"/>
            </w:tcBorders>
            <w:shd w:val="clear" w:color="auto" w:fill="CEFEE7"/>
          </w:tcPr>
          <w:p>
            <w:pPr>
              <w:spacing w:after="0" w:line="20" w:lineRule="exact"/>
              <w:rPr>
                <w:sz w:val="1"/>
                <w:szCs w:val="1"/>
                <w:color w:val="auto"/>
              </w:rPr>
            </w:pPr>
          </w:p>
        </w:tc>
        <w:tc>
          <w:tcPr>
            <w:tcW w:w="320" w:type="dxa"/>
            <w:vAlign w:val="bottom"/>
            <w:tcBorders>
              <w:top w:val="single" w:sz="8" w:color="0000FF"/>
            </w:tcBorders>
            <w:shd w:val="clear" w:color="auto" w:fill="CEFEE7"/>
          </w:tcPr>
          <w:p>
            <w:pPr>
              <w:spacing w:after="0" w:line="20" w:lineRule="exact"/>
              <w:rPr>
                <w:sz w:val="1"/>
                <w:szCs w:val="1"/>
                <w:color w:val="auto"/>
              </w:rPr>
            </w:pPr>
          </w:p>
        </w:tc>
        <w:tc>
          <w:tcPr>
            <w:tcW w:w="300" w:type="dxa"/>
            <w:vAlign w:val="bottom"/>
            <w:tcBorders>
              <w:top w:val="single" w:sz="8" w:color="0000FF"/>
            </w:tcBorders>
            <w:shd w:val="clear" w:color="auto" w:fill="CEFEE7"/>
          </w:tcPr>
          <w:p>
            <w:pPr>
              <w:spacing w:after="0" w:line="20" w:lineRule="exact"/>
              <w:rPr>
                <w:sz w:val="1"/>
                <w:szCs w:val="1"/>
                <w:color w:val="auto"/>
              </w:rPr>
            </w:pPr>
          </w:p>
        </w:tc>
        <w:tc>
          <w:tcPr>
            <w:tcW w:w="80" w:type="dxa"/>
            <w:vAlign w:val="bottom"/>
            <w:tcBorders>
              <w:top w:val="single" w:sz="8" w:color="0000FF"/>
            </w:tcBorders>
            <w:shd w:val="clear" w:color="auto" w:fill="CEFEE7"/>
          </w:tcPr>
          <w:p>
            <w:pPr>
              <w:spacing w:after="0" w:line="20" w:lineRule="exact"/>
              <w:rPr>
                <w:sz w:val="1"/>
                <w:szCs w:val="1"/>
                <w:color w:val="auto"/>
              </w:rPr>
            </w:pPr>
          </w:p>
        </w:tc>
        <w:tc>
          <w:tcPr>
            <w:tcW w:w="40" w:type="dxa"/>
            <w:vAlign w:val="bottom"/>
            <w:tcBorders>
              <w:top w:val="single" w:sz="8" w:color="0000FF"/>
            </w:tcBorders>
            <w:shd w:val="clear" w:color="auto" w:fill="CEFEE7"/>
          </w:tcPr>
          <w:p>
            <w:pPr>
              <w:spacing w:after="0" w:line="20" w:lineRule="exact"/>
              <w:rPr>
                <w:sz w:val="1"/>
                <w:szCs w:val="1"/>
                <w:color w:val="auto"/>
              </w:rPr>
            </w:pPr>
          </w:p>
        </w:tc>
        <w:tc>
          <w:tcPr>
            <w:tcW w:w="600" w:type="dxa"/>
            <w:vAlign w:val="bottom"/>
            <w:tcBorders>
              <w:top w:val="single" w:sz="8" w:color="0000FF"/>
            </w:tcBorders>
            <w:shd w:val="clear" w:color="auto" w:fill="CEFEE7"/>
          </w:tcPr>
          <w:p>
            <w:pPr>
              <w:spacing w:after="0" w:line="20" w:lineRule="exact"/>
              <w:rPr>
                <w:sz w:val="1"/>
                <w:szCs w:val="1"/>
                <w:color w:val="auto"/>
              </w:rPr>
            </w:pPr>
          </w:p>
        </w:tc>
        <w:tc>
          <w:tcPr>
            <w:tcW w:w="940" w:type="dxa"/>
            <w:vAlign w:val="bottom"/>
            <w:tcBorders>
              <w:top w:val="single" w:sz="8" w:color="0000FF"/>
            </w:tcBorders>
            <w:shd w:val="clear" w:color="auto" w:fill="CEFEE7"/>
          </w:tcPr>
          <w:p>
            <w:pPr>
              <w:spacing w:after="0" w:line="20" w:lineRule="exact"/>
              <w:rPr>
                <w:sz w:val="1"/>
                <w:szCs w:val="1"/>
                <w:color w:val="auto"/>
              </w:rPr>
            </w:pPr>
          </w:p>
        </w:tc>
        <w:tc>
          <w:tcPr>
            <w:tcW w:w="300" w:type="dxa"/>
            <w:vAlign w:val="bottom"/>
            <w:tcBorders>
              <w:top w:val="single" w:sz="8" w:color="0000FF"/>
            </w:tcBorders>
            <w:shd w:val="clear" w:color="auto" w:fill="CEFEE7"/>
          </w:tcPr>
          <w:p>
            <w:pPr>
              <w:spacing w:after="0" w:line="20" w:lineRule="exact"/>
              <w:rPr>
                <w:sz w:val="1"/>
                <w:szCs w:val="1"/>
                <w:color w:val="auto"/>
              </w:rPr>
            </w:pPr>
          </w:p>
        </w:tc>
        <w:tc>
          <w:tcPr>
            <w:tcW w:w="300" w:type="dxa"/>
            <w:vAlign w:val="bottom"/>
            <w:tcBorders>
              <w:top w:val="single" w:sz="8" w:color="0000FF"/>
            </w:tcBorders>
            <w:shd w:val="clear" w:color="auto" w:fill="CEFEE7"/>
          </w:tcPr>
          <w:p>
            <w:pPr>
              <w:spacing w:after="0" w:line="20" w:lineRule="exact"/>
              <w:rPr>
                <w:sz w:val="1"/>
                <w:szCs w:val="1"/>
                <w:color w:val="auto"/>
              </w:rPr>
            </w:pPr>
          </w:p>
        </w:tc>
        <w:tc>
          <w:tcPr>
            <w:tcW w:w="2040" w:type="dxa"/>
            <w:vAlign w:val="bottom"/>
            <w:tcBorders>
              <w:top w:val="single" w:sz="8" w:color="CEFEE7"/>
            </w:tcBorders>
            <w:shd w:val="clear" w:color="auto" w:fill="CEFEE7"/>
          </w:tcPr>
          <w:p>
            <w:pPr>
              <w:spacing w:after="0" w:line="20" w:lineRule="exact"/>
              <w:rPr>
                <w:sz w:val="1"/>
                <w:szCs w:val="1"/>
                <w:color w:val="auto"/>
              </w:rPr>
            </w:pPr>
          </w:p>
        </w:tc>
        <w:tc>
          <w:tcPr>
            <w:tcW w:w="560" w:type="dxa"/>
            <w:vAlign w:val="bottom"/>
            <w:tcBorders>
              <w:top w:val="single" w:sz="8" w:color="CEFEE7"/>
            </w:tcBorders>
            <w:shd w:val="clear" w:color="auto" w:fill="CEFEE7"/>
          </w:tcPr>
          <w:p>
            <w:pPr>
              <w:spacing w:after="0" w:line="20" w:lineRule="exact"/>
              <w:rPr>
                <w:sz w:val="1"/>
                <w:szCs w:val="1"/>
                <w:color w:val="auto"/>
              </w:rPr>
            </w:pPr>
          </w:p>
        </w:tc>
        <w:tc>
          <w:tcPr>
            <w:tcW w:w="4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1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gridSpan w:val="2"/>
          </w:tcPr>
          <w:p>
            <w:pPr>
              <w:ind w:left="120"/>
              <w:spacing w:after="0" w:line="175" w:lineRule="exact"/>
              <w:rPr>
                <w:sz w:val="20"/>
                <w:szCs w:val="20"/>
                <w:color w:val="auto"/>
              </w:rPr>
            </w:pPr>
            <w:r>
              <w:rPr>
                <w:rFonts w:ascii="Arial" w:cs="Arial" w:eastAsia="Arial" w:hAnsi="Arial"/>
                <w:sz w:val="16"/>
                <w:szCs w:val="16"/>
                <w:color w:val="auto"/>
              </w:rPr>
              <w:t>10.20.5†</w:t>
            </w:r>
          </w:p>
        </w:tc>
        <w:tc>
          <w:tcPr>
            <w:tcW w:w="120" w:type="dxa"/>
            <w:vAlign w:val="bottom"/>
          </w:tcPr>
          <w:p>
            <w:pPr>
              <w:spacing w:after="0"/>
              <w:rPr>
                <w:sz w:val="15"/>
                <w:szCs w:val="15"/>
                <w:color w:val="auto"/>
              </w:rPr>
            </w:pPr>
          </w:p>
        </w:tc>
        <w:tc>
          <w:tcPr>
            <w:tcW w:w="9520" w:type="dxa"/>
            <w:vAlign w:val="bottom"/>
            <w:gridSpan w:val="32"/>
          </w:tcPr>
          <w:p>
            <w:pPr>
              <w:spacing w:after="0" w:line="175" w:lineRule="exact"/>
              <w:rPr>
                <w:rFonts w:ascii="Arial" w:cs="Arial" w:eastAsia="Arial" w:hAnsi="Arial"/>
                <w:sz w:val="16"/>
                <w:szCs w:val="16"/>
                <w:color w:val="0000FF"/>
              </w:rPr>
            </w:pPr>
            <w:hyperlink r:id="rId213">
              <w:r>
                <w:rPr>
                  <w:rFonts w:ascii="Arial" w:cs="Arial" w:eastAsia="Arial" w:hAnsi="Arial"/>
                  <w:sz w:val="16"/>
                  <w:szCs w:val="16"/>
                  <w:color w:val="0000FF"/>
                </w:rPr>
                <w:t>Fifth Amendment to the Outside Director’s Stock Based Compensation Plan effective January 1, 2018 (filed as Exhibit 10.16 to</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the Registrant’s Form 10-K for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24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260" w:type="dxa"/>
            <w:vAlign w:val="bottom"/>
            <w:gridSpan w:val="2"/>
            <w:shd w:val="clear" w:color="auto" w:fill="CEFEE7"/>
          </w:tcPr>
          <w:p>
            <w:pPr>
              <w:ind w:left="120"/>
              <w:spacing w:after="0" w:line="175" w:lineRule="exact"/>
              <w:rPr>
                <w:sz w:val="20"/>
                <w:szCs w:val="20"/>
                <w:color w:val="auto"/>
              </w:rPr>
            </w:pPr>
            <w:r>
              <w:rPr>
                <w:rFonts w:ascii="Arial" w:cs="Arial" w:eastAsia="Arial" w:hAnsi="Arial"/>
                <w:sz w:val="16"/>
                <w:szCs w:val="16"/>
                <w:color w:val="auto"/>
              </w:rPr>
              <w:t>10.20.6†</w:t>
            </w:r>
          </w:p>
        </w:tc>
        <w:tc>
          <w:tcPr>
            <w:tcW w:w="120" w:type="dxa"/>
            <w:vAlign w:val="bottom"/>
            <w:shd w:val="clear" w:color="auto" w:fill="CEFEE7"/>
          </w:tcPr>
          <w:p>
            <w:pPr>
              <w:spacing w:after="0"/>
              <w:rPr>
                <w:sz w:val="15"/>
                <w:szCs w:val="15"/>
                <w:color w:val="auto"/>
              </w:rPr>
            </w:pPr>
          </w:p>
        </w:tc>
        <w:tc>
          <w:tcPr>
            <w:tcW w:w="9280" w:type="dxa"/>
            <w:vAlign w:val="bottom"/>
            <w:tcBorders>
              <w:right w:val="single" w:sz="8" w:color="CEFEE7"/>
            </w:tcBorders>
            <w:gridSpan w:val="31"/>
            <w:shd w:val="clear" w:color="auto" w:fill="CEFEE7"/>
          </w:tcPr>
          <w:p>
            <w:pPr>
              <w:spacing w:after="0" w:line="175" w:lineRule="exact"/>
              <w:rPr>
                <w:rFonts w:ascii="Arial" w:cs="Arial" w:eastAsia="Arial" w:hAnsi="Arial"/>
                <w:sz w:val="16"/>
                <w:szCs w:val="16"/>
                <w:color w:val="0000FF"/>
              </w:rPr>
            </w:pPr>
            <w:hyperlink r:id="rId214">
              <w:r>
                <w:rPr>
                  <w:rFonts w:ascii="Arial" w:cs="Arial" w:eastAsia="Arial" w:hAnsi="Arial"/>
                  <w:sz w:val="16"/>
                  <w:szCs w:val="16"/>
                  <w:color w:val="0000FF"/>
                </w:rPr>
                <w:t>Sixth Amendment to the Outside Director’s Stock Based Compensation Plan effective January 1, 2019 (filed as Exhibit 10.18 to</w:t>
              </w:r>
            </w:hyperlink>
          </w:p>
        </w:tc>
        <w:tc>
          <w:tcPr>
            <w:tcW w:w="24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120" w:type="dxa"/>
            <w:vAlign w:val="bottom"/>
            <w:tcBorders>
              <w:top w:val="single" w:sz="8" w:color="CEFEE7"/>
            </w:tcBorders>
            <w:shd w:val="clear" w:color="auto" w:fill="CEFEE7"/>
          </w:tcPr>
          <w:p>
            <w:pPr>
              <w:spacing w:after="0"/>
              <w:rPr>
                <w:sz w:val="12"/>
                <w:szCs w:val="12"/>
                <w:color w:val="auto"/>
              </w:rPr>
            </w:pPr>
          </w:p>
        </w:tc>
        <w:tc>
          <w:tcPr>
            <w:tcW w:w="9180" w:type="dxa"/>
            <w:vAlign w:val="bottom"/>
            <w:tcBorders>
              <w:top w:val="single" w:sz="8" w:color="0000FF"/>
            </w:tcBorders>
            <w:gridSpan w:val="27"/>
            <w:shd w:val="clear" w:color="auto" w:fill="CEFEE7"/>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the Registrant’s Form 10-K for 2018).</w:t>
              </w:r>
            </w:hyperlink>
          </w:p>
        </w:tc>
        <w:tc>
          <w:tcPr>
            <w:tcW w:w="100" w:type="dxa"/>
            <w:vAlign w:val="bottom"/>
            <w:tcBorders>
              <w:top w:val="single" w:sz="8" w:color="CEFEE7"/>
              <w:right w:val="single" w:sz="8" w:color="CEFEE7"/>
            </w:tcBorders>
            <w:gridSpan w:val="4"/>
            <w:shd w:val="clear" w:color="auto" w:fill="CEFEE7"/>
          </w:tcPr>
          <w:p>
            <w:pPr>
              <w:spacing w:after="0"/>
              <w:rPr>
                <w:sz w:val="12"/>
                <w:szCs w:val="12"/>
                <w:color w:val="auto"/>
              </w:rPr>
            </w:pPr>
          </w:p>
        </w:tc>
        <w:tc>
          <w:tcPr>
            <w:tcW w:w="24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0000FF"/>
            </w:tcBorders>
            <w:shd w:val="clear" w:color="auto" w:fill="CEFEE7"/>
          </w:tcPr>
          <w:p>
            <w:pPr>
              <w:spacing w:after="0" w:line="20" w:lineRule="exact"/>
              <w:rPr>
                <w:sz w:val="1"/>
                <w:szCs w:val="1"/>
                <w:color w:val="auto"/>
              </w:rPr>
            </w:pPr>
          </w:p>
        </w:tc>
        <w:tc>
          <w:tcPr>
            <w:tcW w:w="960" w:type="dxa"/>
            <w:vAlign w:val="bottom"/>
            <w:tcBorders>
              <w:top w:val="single" w:sz="8" w:color="0000FF"/>
            </w:tcBorders>
            <w:shd w:val="clear" w:color="auto" w:fill="CEFEE7"/>
          </w:tcPr>
          <w:p>
            <w:pPr>
              <w:spacing w:after="0" w:line="20" w:lineRule="exact"/>
              <w:rPr>
                <w:sz w:val="1"/>
                <w:szCs w:val="1"/>
                <w:color w:val="auto"/>
              </w:rPr>
            </w:pPr>
          </w:p>
        </w:tc>
        <w:tc>
          <w:tcPr>
            <w:tcW w:w="820" w:type="dxa"/>
            <w:vAlign w:val="bottom"/>
            <w:tcBorders>
              <w:top w:val="single" w:sz="8" w:color="0000FF"/>
            </w:tcBorders>
            <w:shd w:val="clear" w:color="auto" w:fill="CEFEE7"/>
          </w:tcPr>
          <w:p>
            <w:pPr>
              <w:spacing w:after="0" w:line="20" w:lineRule="exact"/>
              <w:rPr>
                <w:sz w:val="1"/>
                <w:szCs w:val="1"/>
                <w:color w:val="auto"/>
              </w:rPr>
            </w:pPr>
          </w:p>
        </w:tc>
        <w:tc>
          <w:tcPr>
            <w:tcW w:w="640" w:type="dxa"/>
            <w:vAlign w:val="bottom"/>
            <w:tcBorders>
              <w:top w:val="single" w:sz="8" w:color="0000FF"/>
            </w:tcBorders>
            <w:shd w:val="clear" w:color="auto" w:fill="CEFEE7"/>
          </w:tcPr>
          <w:p>
            <w:pPr>
              <w:spacing w:after="0" w:line="20" w:lineRule="exact"/>
              <w:rPr>
                <w:sz w:val="1"/>
                <w:szCs w:val="1"/>
                <w:color w:val="auto"/>
              </w:rPr>
            </w:pPr>
          </w:p>
        </w:tc>
        <w:tc>
          <w:tcPr>
            <w:tcW w:w="180" w:type="dxa"/>
            <w:vAlign w:val="bottom"/>
            <w:tcBorders>
              <w:top w:val="single" w:sz="8" w:color="CEFEE7"/>
            </w:tcBorders>
            <w:shd w:val="clear" w:color="auto" w:fill="CEFEE7"/>
          </w:tcPr>
          <w:p>
            <w:pPr>
              <w:spacing w:after="0" w:line="20" w:lineRule="exact"/>
              <w:rPr>
                <w:sz w:val="1"/>
                <w:szCs w:val="1"/>
                <w:color w:val="auto"/>
              </w:rPr>
            </w:pPr>
          </w:p>
        </w:tc>
        <w:tc>
          <w:tcPr>
            <w:tcW w:w="32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600" w:type="dxa"/>
            <w:vAlign w:val="bottom"/>
            <w:tcBorders>
              <w:top w:val="single" w:sz="8" w:color="CEFEE7"/>
            </w:tcBorders>
            <w:shd w:val="clear" w:color="auto" w:fill="CEFEE7"/>
          </w:tcPr>
          <w:p>
            <w:pPr>
              <w:spacing w:after="0" w:line="20" w:lineRule="exact"/>
              <w:rPr>
                <w:sz w:val="1"/>
                <w:szCs w:val="1"/>
                <w:color w:val="auto"/>
              </w:rPr>
            </w:pPr>
          </w:p>
        </w:tc>
        <w:tc>
          <w:tcPr>
            <w:tcW w:w="94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2040" w:type="dxa"/>
            <w:vAlign w:val="bottom"/>
            <w:tcBorders>
              <w:top w:val="single" w:sz="8" w:color="CEFEE7"/>
            </w:tcBorders>
            <w:shd w:val="clear" w:color="auto" w:fill="CEFEE7"/>
          </w:tcPr>
          <w:p>
            <w:pPr>
              <w:spacing w:after="0" w:line="20" w:lineRule="exact"/>
              <w:rPr>
                <w:sz w:val="1"/>
                <w:szCs w:val="1"/>
                <w:color w:val="auto"/>
              </w:rPr>
            </w:pPr>
          </w:p>
        </w:tc>
        <w:tc>
          <w:tcPr>
            <w:tcW w:w="560" w:type="dxa"/>
            <w:vAlign w:val="bottom"/>
            <w:tcBorders>
              <w:top w:val="single" w:sz="8" w:color="CEFEE7"/>
            </w:tcBorders>
            <w:shd w:val="clear" w:color="auto" w:fill="CEFEE7"/>
          </w:tcPr>
          <w:p>
            <w:pPr>
              <w:spacing w:after="0" w:line="20" w:lineRule="exact"/>
              <w:rPr>
                <w:sz w:val="1"/>
                <w:szCs w:val="1"/>
                <w:color w:val="auto"/>
              </w:rPr>
            </w:pPr>
          </w:p>
        </w:tc>
        <w:tc>
          <w:tcPr>
            <w:tcW w:w="4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1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2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10.21†</w:t>
            </w:r>
          </w:p>
        </w:tc>
        <w:tc>
          <w:tcPr>
            <w:tcW w:w="9640" w:type="dxa"/>
            <w:vAlign w:val="bottom"/>
            <w:gridSpan w:val="33"/>
          </w:tcPr>
          <w:p>
            <w:pPr>
              <w:spacing w:after="0" w:line="175" w:lineRule="exact"/>
              <w:rPr>
                <w:rFonts w:ascii="Arial" w:cs="Arial" w:eastAsia="Arial" w:hAnsi="Arial"/>
                <w:sz w:val="16"/>
                <w:szCs w:val="16"/>
                <w:color w:val="0000FF"/>
              </w:rPr>
            </w:pPr>
            <w:hyperlink r:id="rId215">
              <w:r>
                <w:rPr>
                  <w:rFonts w:ascii="Arial" w:cs="Arial" w:eastAsia="Arial" w:hAnsi="Arial"/>
                  <w:sz w:val="16"/>
                  <w:szCs w:val="16"/>
                  <w:color w:val="0000FF"/>
                </w:rPr>
                <w:t>Form of Non-Disclosure and Non-Solicitation Agreement for Certain Employees (filed as Exhibit 10.8 to the Registrant’s Form 10-</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Q for the quarterly period ended March 31, 2016).</w:t>
              </w:r>
            </w:hyperlink>
          </w:p>
        </w:tc>
        <w:tc>
          <w:tcPr>
            <w:tcW w:w="240" w:type="dxa"/>
            <w:vAlign w:val="bottom"/>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10.22</w:t>
            </w:r>
          </w:p>
        </w:tc>
        <w:tc>
          <w:tcPr>
            <w:tcW w:w="240" w:type="dxa"/>
            <w:vAlign w:val="bottom"/>
            <w:shd w:val="clear" w:color="auto" w:fill="CEFEE7"/>
          </w:tcPr>
          <w:p>
            <w:pPr>
              <w:spacing w:after="0"/>
              <w:rPr>
                <w:sz w:val="15"/>
                <w:szCs w:val="15"/>
                <w:color w:val="auto"/>
              </w:rPr>
            </w:pPr>
          </w:p>
        </w:tc>
        <w:tc>
          <w:tcPr>
            <w:tcW w:w="9400" w:type="dxa"/>
            <w:vAlign w:val="bottom"/>
            <w:tcBorders>
              <w:right w:val="single" w:sz="8" w:color="CEFEE7"/>
            </w:tcBorders>
            <w:gridSpan w:val="32"/>
            <w:shd w:val="clear" w:color="auto" w:fill="CEFEE7"/>
          </w:tcPr>
          <w:p>
            <w:pPr>
              <w:spacing w:after="0" w:line="175" w:lineRule="exact"/>
              <w:rPr>
                <w:rFonts w:ascii="Arial" w:cs="Arial" w:eastAsia="Arial" w:hAnsi="Arial"/>
                <w:sz w:val="16"/>
                <w:szCs w:val="16"/>
                <w:color w:val="0000FF"/>
              </w:rPr>
            </w:pPr>
            <w:hyperlink r:id="rId216">
              <w:r>
                <w:rPr>
                  <w:rFonts w:ascii="Arial" w:cs="Arial" w:eastAsia="Arial" w:hAnsi="Arial"/>
                  <w:sz w:val="16"/>
                  <w:szCs w:val="16"/>
                  <w:color w:val="0000FF"/>
                </w:rPr>
                <w:t>Equity Distribution Sales Agreement dated August 4, 2020 among Black Hills Corporation and the several Agents named therein</w:t>
              </w:r>
            </w:hyperlink>
          </w:p>
        </w:tc>
        <w:tc>
          <w:tcPr>
            <w:tcW w:w="24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9220" w:type="dxa"/>
            <w:vAlign w:val="bottom"/>
            <w:tcBorders>
              <w:top w:val="single" w:sz="8" w:color="0000FF"/>
            </w:tcBorders>
            <w:gridSpan w:val="24"/>
            <w:shd w:val="clear" w:color="auto" w:fill="CEFEE7"/>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(filed as Exhibit 1.1 to the Registrant’s Form 8-K filed on August 4, 2020).</w:t>
              </w:r>
            </w:hyperlink>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120" w:type="dxa"/>
            <w:vAlign w:val="bottom"/>
            <w:tcBorders>
              <w:top w:val="single" w:sz="8" w:color="CEFEE7"/>
              <w:right w:val="single" w:sz="8" w:color="CEFEE7"/>
            </w:tcBorders>
            <w:gridSpan w:val="5"/>
            <w:shd w:val="clear" w:color="auto" w:fill="CEFEE7"/>
          </w:tcPr>
          <w:p>
            <w:pPr>
              <w:spacing w:after="0"/>
              <w:rPr>
                <w:sz w:val="12"/>
                <w:szCs w:val="12"/>
                <w:color w:val="auto"/>
              </w:rPr>
            </w:pPr>
          </w:p>
        </w:tc>
        <w:tc>
          <w:tcPr>
            <w:tcW w:w="24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240" w:type="dxa"/>
            <w:vAlign w:val="bottom"/>
            <w:tcBorders>
              <w:top w:val="single" w:sz="8" w:color="0000FF"/>
            </w:tcBorders>
            <w:shd w:val="clear" w:color="auto" w:fill="CEFEE7"/>
          </w:tcPr>
          <w:p>
            <w:pPr>
              <w:spacing w:after="0" w:line="20" w:lineRule="exact"/>
              <w:rPr>
                <w:sz w:val="1"/>
                <w:szCs w:val="1"/>
                <w:color w:val="auto"/>
              </w:rPr>
            </w:pPr>
          </w:p>
        </w:tc>
        <w:tc>
          <w:tcPr>
            <w:tcW w:w="960" w:type="dxa"/>
            <w:vAlign w:val="bottom"/>
            <w:tcBorders>
              <w:top w:val="single" w:sz="8" w:color="0000FF"/>
            </w:tcBorders>
            <w:shd w:val="clear" w:color="auto" w:fill="CEFEE7"/>
          </w:tcPr>
          <w:p>
            <w:pPr>
              <w:spacing w:after="0" w:line="20" w:lineRule="exact"/>
              <w:rPr>
                <w:sz w:val="1"/>
                <w:szCs w:val="1"/>
                <w:color w:val="auto"/>
              </w:rPr>
            </w:pPr>
          </w:p>
        </w:tc>
        <w:tc>
          <w:tcPr>
            <w:tcW w:w="820" w:type="dxa"/>
            <w:vAlign w:val="bottom"/>
            <w:tcBorders>
              <w:top w:val="single" w:sz="8" w:color="0000FF"/>
            </w:tcBorders>
            <w:shd w:val="clear" w:color="auto" w:fill="CEFEE7"/>
          </w:tcPr>
          <w:p>
            <w:pPr>
              <w:spacing w:after="0" w:line="20" w:lineRule="exact"/>
              <w:rPr>
                <w:sz w:val="1"/>
                <w:szCs w:val="1"/>
                <w:color w:val="auto"/>
              </w:rPr>
            </w:pPr>
          </w:p>
        </w:tc>
        <w:tc>
          <w:tcPr>
            <w:tcW w:w="640" w:type="dxa"/>
            <w:vAlign w:val="bottom"/>
            <w:tcBorders>
              <w:top w:val="single" w:sz="8" w:color="0000FF"/>
            </w:tcBorders>
            <w:shd w:val="clear" w:color="auto" w:fill="CEFEE7"/>
          </w:tcPr>
          <w:p>
            <w:pPr>
              <w:spacing w:after="0" w:line="20" w:lineRule="exact"/>
              <w:rPr>
                <w:sz w:val="1"/>
                <w:szCs w:val="1"/>
                <w:color w:val="auto"/>
              </w:rPr>
            </w:pPr>
          </w:p>
        </w:tc>
        <w:tc>
          <w:tcPr>
            <w:tcW w:w="180" w:type="dxa"/>
            <w:vAlign w:val="bottom"/>
            <w:tcBorders>
              <w:top w:val="single" w:sz="8" w:color="0000FF"/>
            </w:tcBorders>
            <w:shd w:val="clear" w:color="auto" w:fill="CEFEE7"/>
          </w:tcPr>
          <w:p>
            <w:pPr>
              <w:spacing w:after="0" w:line="20" w:lineRule="exact"/>
              <w:rPr>
                <w:sz w:val="1"/>
                <w:szCs w:val="1"/>
                <w:color w:val="auto"/>
              </w:rPr>
            </w:pPr>
          </w:p>
        </w:tc>
        <w:tc>
          <w:tcPr>
            <w:tcW w:w="320" w:type="dxa"/>
            <w:vAlign w:val="bottom"/>
            <w:tcBorders>
              <w:top w:val="single" w:sz="8" w:color="0000FF"/>
            </w:tcBorders>
            <w:shd w:val="clear" w:color="auto" w:fill="CEFEE7"/>
          </w:tcPr>
          <w:p>
            <w:pPr>
              <w:spacing w:after="0" w:line="20" w:lineRule="exact"/>
              <w:rPr>
                <w:sz w:val="1"/>
                <w:szCs w:val="1"/>
                <w:color w:val="auto"/>
              </w:rPr>
            </w:pPr>
          </w:p>
        </w:tc>
        <w:tc>
          <w:tcPr>
            <w:tcW w:w="300" w:type="dxa"/>
            <w:vAlign w:val="bottom"/>
            <w:tcBorders>
              <w:top w:val="single" w:sz="8" w:color="0000FF"/>
            </w:tcBorders>
            <w:shd w:val="clear" w:color="auto" w:fill="CEFEE7"/>
          </w:tcPr>
          <w:p>
            <w:pPr>
              <w:spacing w:after="0" w:line="20" w:lineRule="exact"/>
              <w:rPr>
                <w:sz w:val="1"/>
                <w:szCs w:val="1"/>
                <w:color w:val="auto"/>
              </w:rPr>
            </w:pPr>
          </w:p>
        </w:tc>
        <w:tc>
          <w:tcPr>
            <w:tcW w:w="80" w:type="dxa"/>
            <w:vAlign w:val="bottom"/>
            <w:tcBorders>
              <w:top w:val="single" w:sz="8" w:color="0000FF"/>
            </w:tcBorders>
            <w:shd w:val="clear" w:color="auto" w:fill="CEFEE7"/>
          </w:tcPr>
          <w:p>
            <w:pPr>
              <w:spacing w:after="0" w:line="20" w:lineRule="exact"/>
              <w:rPr>
                <w:sz w:val="1"/>
                <w:szCs w:val="1"/>
                <w:color w:val="auto"/>
              </w:rPr>
            </w:pPr>
          </w:p>
        </w:tc>
        <w:tc>
          <w:tcPr>
            <w:tcW w:w="40" w:type="dxa"/>
            <w:vAlign w:val="bottom"/>
            <w:tcBorders>
              <w:top w:val="single" w:sz="8" w:color="0000FF"/>
            </w:tcBorders>
            <w:shd w:val="clear" w:color="auto" w:fill="CEFEE7"/>
          </w:tcPr>
          <w:p>
            <w:pPr>
              <w:spacing w:after="0" w:line="20" w:lineRule="exact"/>
              <w:rPr>
                <w:sz w:val="1"/>
                <w:szCs w:val="1"/>
                <w:color w:val="auto"/>
              </w:rPr>
            </w:pPr>
          </w:p>
        </w:tc>
        <w:tc>
          <w:tcPr>
            <w:tcW w:w="600" w:type="dxa"/>
            <w:vAlign w:val="bottom"/>
            <w:tcBorders>
              <w:top w:val="single" w:sz="8" w:color="0000FF"/>
            </w:tcBorders>
            <w:shd w:val="clear" w:color="auto" w:fill="CEFEE7"/>
          </w:tcPr>
          <w:p>
            <w:pPr>
              <w:spacing w:after="0" w:line="20" w:lineRule="exact"/>
              <w:rPr>
                <w:sz w:val="1"/>
                <w:szCs w:val="1"/>
                <w:color w:val="auto"/>
              </w:rPr>
            </w:pPr>
          </w:p>
        </w:tc>
        <w:tc>
          <w:tcPr>
            <w:tcW w:w="940" w:type="dxa"/>
            <w:vAlign w:val="bottom"/>
            <w:tcBorders>
              <w:top w:val="single" w:sz="8" w:color="0000FF"/>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2040" w:type="dxa"/>
            <w:vAlign w:val="bottom"/>
            <w:tcBorders>
              <w:top w:val="single" w:sz="8" w:color="CEFEE7"/>
            </w:tcBorders>
            <w:shd w:val="clear" w:color="auto" w:fill="CEFEE7"/>
          </w:tcPr>
          <w:p>
            <w:pPr>
              <w:spacing w:after="0" w:line="20" w:lineRule="exact"/>
              <w:rPr>
                <w:sz w:val="1"/>
                <w:szCs w:val="1"/>
                <w:color w:val="auto"/>
              </w:rPr>
            </w:pPr>
          </w:p>
        </w:tc>
        <w:tc>
          <w:tcPr>
            <w:tcW w:w="560" w:type="dxa"/>
            <w:vAlign w:val="bottom"/>
            <w:tcBorders>
              <w:top w:val="single" w:sz="8" w:color="CEFEE7"/>
            </w:tcBorders>
            <w:shd w:val="clear" w:color="auto" w:fill="CEFEE7"/>
          </w:tcPr>
          <w:p>
            <w:pPr>
              <w:spacing w:after="0" w:line="20" w:lineRule="exact"/>
              <w:rPr>
                <w:sz w:val="1"/>
                <w:szCs w:val="1"/>
                <w:color w:val="auto"/>
              </w:rPr>
            </w:pPr>
          </w:p>
        </w:tc>
        <w:tc>
          <w:tcPr>
            <w:tcW w:w="4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1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10.23</w:t>
            </w:r>
          </w:p>
        </w:tc>
        <w:tc>
          <w:tcPr>
            <w:tcW w:w="240" w:type="dxa"/>
            <w:vAlign w:val="bottom"/>
          </w:tcPr>
          <w:p>
            <w:pPr>
              <w:spacing w:after="0"/>
              <w:rPr>
                <w:sz w:val="15"/>
                <w:szCs w:val="15"/>
                <w:color w:val="auto"/>
              </w:rPr>
            </w:pPr>
          </w:p>
        </w:tc>
        <w:tc>
          <w:tcPr>
            <w:tcW w:w="9640" w:type="dxa"/>
            <w:vAlign w:val="bottom"/>
            <w:gridSpan w:val="33"/>
          </w:tcPr>
          <w:p>
            <w:pPr>
              <w:spacing w:after="0" w:line="175" w:lineRule="exact"/>
              <w:rPr>
                <w:rFonts w:ascii="Arial" w:cs="Arial" w:eastAsia="Arial" w:hAnsi="Arial"/>
                <w:sz w:val="16"/>
                <w:szCs w:val="16"/>
                <w:color w:val="0000FF"/>
              </w:rPr>
            </w:pPr>
            <w:hyperlink r:id="rId217">
              <w:r>
                <w:rPr>
                  <w:rFonts w:ascii="Arial" w:cs="Arial" w:eastAsia="Arial" w:hAnsi="Arial"/>
                  <w:sz w:val="16"/>
                  <w:szCs w:val="16"/>
                  <w:color w:val="0000FF"/>
                </w:rPr>
                <w:t xml:space="preserve">Fourth Amended and Restated Credit Agreement dated as of July 19, 2021 (relating to </w:t>
              </w:r>
              <w:r>
                <w:rPr>
                  <w:rFonts w:ascii="Arial" w:cs="Arial" w:eastAsia="Arial" w:hAnsi="Arial"/>
                  <w:sz w:val="16"/>
                  <w:szCs w:val="16"/>
                  <w:u w:val="single" w:color="auto"/>
                  <w:color w:val="0000FF"/>
                </w:rPr>
                <w:t>$</w:t>
              </w:r>
              <w:r>
                <w:rPr>
                  <w:rFonts w:ascii="Arial" w:cs="Arial" w:eastAsia="Arial" w:hAnsi="Arial"/>
                  <w:sz w:val="16"/>
                  <w:szCs w:val="16"/>
                  <w:color w:val="0000FF"/>
                </w:rPr>
                <w:t>750 million Revolving Credit Facility),</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among Black Hills Corporation, as Borrower, the financial institutions party thereto, as Banks, and U.S. Bank, National</w:t>
              </w:r>
            </w:hyperlink>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6"/>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Association, as Administrative Agent (filed as Exhibit 10.1 to the Registrant’s Form 8-K filed on July 19, 2021).</w:t>
              </w:r>
            </w:hyperlink>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6"/>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tcBorders>
              <w:bottom w:val="single" w:sz="8" w:color="CEFEE7"/>
            </w:tcBorders>
            <w:shd w:val="clear" w:color="auto" w:fill="CEFEE7"/>
          </w:tcPr>
          <w:p>
            <w:pPr>
              <w:ind w:left="20"/>
              <w:spacing w:after="0" w:line="175" w:lineRule="exact"/>
              <w:rPr>
                <w:sz w:val="20"/>
                <w:szCs w:val="20"/>
                <w:color w:val="auto"/>
              </w:rPr>
            </w:pPr>
            <w:r>
              <w:rPr>
                <w:rFonts w:ascii="Arial" w:cs="Arial" w:eastAsia="Arial" w:hAnsi="Arial"/>
                <w:sz w:val="16"/>
                <w:szCs w:val="16"/>
                <w:color w:val="auto"/>
              </w:rPr>
              <w:t>10.24</w:t>
            </w:r>
          </w:p>
        </w:tc>
        <w:tc>
          <w:tcPr>
            <w:tcW w:w="240" w:type="dxa"/>
            <w:vAlign w:val="bottom"/>
            <w:tcBorders>
              <w:bottom w:val="single" w:sz="8" w:color="CEFEE7"/>
            </w:tcBorders>
            <w:shd w:val="clear" w:color="auto" w:fill="CEFEE7"/>
          </w:tcPr>
          <w:p>
            <w:pPr>
              <w:spacing w:after="0"/>
              <w:rPr>
                <w:sz w:val="15"/>
                <w:szCs w:val="15"/>
                <w:color w:val="auto"/>
              </w:rPr>
            </w:pPr>
          </w:p>
        </w:tc>
        <w:tc>
          <w:tcPr>
            <w:tcW w:w="8840" w:type="dxa"/>
            <w:vAlign w:val="bottom"/>
            <w:tcBorders>
              <w:bottom w:val="single" w:sz="8" w:color="0000FF"/>
            </w:tcBorders>
            <w:gridSpan w:val="17"/>
            <w:shd w:val="clear" w:color="auto" w:fill="CEFEE7"/>
          </w:tcPr>
          <w:p>
            <w:pPr>
              <w:spacing w:after="0" w:line="175" w:lineRule="exact"/>
              <w:rPr>
                <w:rFonts w:ascii="Arial" w:cs="Arial" w:eastAsia="Arial" w:hAnsi="Arial"/>
                <w:sz w:val="16"/>
                <w:szCs w:val="16"/>
                <w:color w:val="0000FF"/>
              </w:rPr>
            </w:pPr>
            <w:hyperlink r:id="rId218">
              <w:r>
                <w:rPr>
                  <w:rFonts w:ascii="Arial" w:cs="Arial" w:eastAsia="Arial" w:hAnsi="Arial"/>
                  <w:sz w:val="16"/>
                  <w:szCs w:val="16"/>
                  <w:color w:val="0000FF"/>
                </w:rPr>
                <w:t>Credit Agreement dated as of February 24, 2021 among Black Hills Corporation, as Borrower, the financial institutions party</w:t>
              </w:r>
            </w:hyperlink>
          </w:p>
        </w:tc>
        <w:tc>
          <w:tcPr>
            <w:tcW w:w="560" w:type="dxa"/>
            <w:vAlign w:val="bottom"/>
            <w:tcBorders>
              <w:bottom w:val="single" w:sz="8" w:color="CEFEE7"/>
              <w:right w:val="single" w:sz="8" w:color="CEFEE7"/>
            </w:tcBorders>
            <w:gridSpan w:val="15"/>
            <w:shd w:val="clear" w:color="auto" w:fill="CEFEE7"/>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shd w:val="clear" w:color="auto" w:fill="CEFEE7"/>
          </w:tcPr>
          <w:p>
            <w:pPr>
              <w:spacing w:after="0"/>
              <w:rPr>
                <w:sz w:val="12"/>
                <w:szCs w:val="12"/>
                <w:color w:val="auto"/>
              </w:rPr>
            </w:pPr>
          </w:p>
        </w:tc>
        <w:tc>
          <w:tcPr>
            <w:tcW w:w="240" w:type="dxa"/>
            <w:vAlign w:val="bottom"/>
            <w:shd w:val="clear" w:color="auto" w:fill="CEFEE7"/>
          </w:tcPr>
          <w:p>
            <w:pPr>
              <w:spacing w:after="0"/>
              <w:rPr>
                <w:sz w:val="12"/>
                <w:szCs w:val="12"/>
                <w:color w:val="auto"/>
              </w:rPr>
            </w:pPr>
          </w:p>
        </w:tc>
        <w:tc>
          <w:tcPr>
            <w:tcW w:w="9400" w:type="dxa"/>
            <w:vAlign w:val="bottom"/>
            <w:tcBorders>
              <w:right w:val="single" w:sz="8" w:color="CEFEE7"/>
            </w:tcBorders>
            <w:gridSpan w:val="32"/>
            <w:shd w:val="clear" w:color="auto" w:fill="CEFEE7"/>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thereto, as Banks, and U.S. Bank National Association, as Administrative Agent (filed as Exhibit 10.1 to the Registrant’s Form 8–</w:t>
              </w:r>
            </w:hyperlink>
          </w:p>
        </w:tc>
        <w:tc>
          <w:tcPr>
            <w:tcW w:w="24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9240" w:type="dxa"/>
            <w:vAlign w:val="bottom"/>
            <w:tcBorders>
              <w:top w:val="single" w:sz="8" w:color="0000FF"/>
            </w:tcBorders>
            <w:gridSpan w:val="25"/>
            <w:shd w:val="clear" w:color="auto" w:fill="CEFEE7"/>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K filed on February 25, 2021).</w:t>
              </w:r>
            </w:hyperlink>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120" w:type="dxa"/>
            <w:vAlign w:val="bottom"/>
            <w:tcBorders>
              <w:top w:val="single" w:sz="8" w:color="CEFEE7"/>
              <w:right w:val="single" w:sz="8" w:color="CEFEE7"/>
            </w:tcBorders>
            <w:gridSpan w:val="5"/>
            <w:shd w:val="clear" w:color="auto" w:fill="CEFEE7"/>
          </w:tcPr>
          <w:p>
            <w:pPr>
              <w:spacing w:after="0"/>
              <w:rPr>
                <w:sz w:val="12"/>
                <w:szCs w:val="12"/>
                <w:color w:val="auto"/>
              </w:rPr>
            </w:pPr>
          </w:p>
        </w:tc>
        <w:tc>
          <w:tcPr>
            <w:tcW w:w="24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240" w:type="dxa"/>
            <w:vAlign w:val="bottom"/>
            <w:tcBorders>
              <w:top w:val="single" w:sz="8" w:color="0000FF"/>
            </w:tcBorders>
            <w:shd w:val="clear" w:color="auto" w:fill="CEFEE7"/>
          </w:tcPr>
          <w:p>
            <w:pPr>
              <w:spacing w:after="0" w:line="20" w:lineRule="exact"/>
              <w:rPr>
                <w:sz w:val="1"/>
                <w:szCs w:val="1"/>
                <w:color w:val="auto"/>
              </w:rPr>
            </w:pPr>
          </w:p>
        </w:tc>
        <w:tc>
          <w:tcPr>
            <w:tcW w:w="960" w:type="dxa"/>
            <w:vAlign w:val="bottom"/>
            <w:tcBorders>
              <w:top w:val="single" w:sz="8" w:color="0000FF"/>
            </w:tcBorders>
            <w:shd w:val="clear" w:color="auto" w:fill="CEFEE7"/>
          </w:tcPr>
          <w:p>
            <w:pPr>
              <w:spacing w:after="0" w:line="20" w:lineRule="exact"/>
              <w:rPr>
                <w:sz w:val="1"/>
                <w:szCs w:val="1"/>
                <w:color w:val="auto"/>
              </w:rPr>
            </w:pPr>
          </w:p>
        </w:tc>
        <w:tc>
          <w:tcPr>
            <w:tcW w:w="820" w:type="dxa"/>
            <w:vAlign w:val="bottom"/>
            <w:tcBorders>
              <w:top w:val="single" w:sz="8" w:color="0000FF"/>
            </w:tcBorders>
            <w:shd w:val="clear" w:color="auto" w:fill="CEFEE7"/>
          </w:tcPr>
          <w:p>
            <w:pPr>
              <w:spacing w:after="0" w:line="20" w:lineRule="exact"/>
              <w:rPr>
                <w:sz w:val="1"/>
                <w:szCs w:val="1"/>
                <w:color w:val="auto"/>
              </w:rPr>
            </w:pPr>
          </w:p>
        </w:tc>
        <w:tc>
          <w:tcPr>
            <w:tcW w:w="640" w:type="dxa"/>
            <w:vAlign w:val="bottom"/>
            <w:tcBorders>
              <w:top w:val="single" w:sz="8" w:color="CEFEE7"/>
            </w:tcBorders>
            <w:shd w:val="clear" w:color="auto" w:fill="CEFEE7"/>
          </w:tcPr>
          <w:p>
            <w:pPr>
              <w:spacing w:after="0" w:line="20" w:lineRule="exact"/>
              <w:rPr>
                <w:sz w:val="1"/>
                <w:szCs w:val="1"/>
                <w:color w:val="auto"/>
              </w:rPr>
            </w:pPr>
          </w:p>
        </w:tc>
        <w:tc>
          <w:tcPr>
            <w:tcW w:w="180" w:type="dxa"/>
            <w:vAlign w:val="bottom"/>
            <w:tcBorders>
              <w:top w:val="single" w:sz="8" w:color="CEFEE7"/>
            </w:tcBorders>
            <w:shd w:val="clear" w:color="auto" w:fill="CEFEE7"/>
          </w:tcPr>
          <w:p>
            <w:pPr>
              <w:spacing w:after="0" w:line="20" w:lineRule="exact"/>
              <w:rPr>
                <w:sz w:val="1"/>
                <w:szCs w:val="1"/>
                <w:color w:val="auto"/>
              </w:rPr>
            </w:pPr>
          </w:p>
        </w:tc>
        <w:tc>
          <w:tcPr>
            <w:tcW w:w="32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600" w:type="dxa"/>
            <w:vAlign w:val="bottom"/>
            <w:tcBorders>
              <w:top w:val="single" w:sz="8" w:color="CEFEE7"/>
            </w:tcBorders>
            <w:shd w:val="clear" w:color="auto" w:fill="CEFEE7"/>
          </w:tcPr>
          <w:p>
            <w:pPr>
              <w:spacing w:after="0" w:line="20" w:lineRule="exact"/>
              <w:rPr>
                <w:sz w:val="1"/>
                <w:szCs w:val="1"/>
                <w:color w:val="auto"/>
              </w:rPr>
            </w:pPr>
          </w:p>
        </w:tc>
        <w:tc>
          <w:tcPr>
            <w:tcW w:w="94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2040" w:type="dxa"/>
            <w:vAlign w:val="bottom"/>
            <w:tcBorders>
              <w:top w:val="single" w:sz="8" w:color="CEFEE7"/>
            </w:tcBorders>
            <w:shd w:val="clear" w:color="auto" w:fill="CEFEE7"/>
          </w:tcPr>
          <w:p>
            <w:pPr>
              <w:spacing w:after="0" w:line="20" w:lineRule="exact"/>
              <w:rPr>
                <w:sz w:val="1"/>
                <w:szCs w:val="1"/>
                <w:color w:val="auto"/>
              </w:rPr>
            </w:pPr>
          </w:p>
        </w:tc>
        <w:tc>
          <w:tcPr>
            <w:tcW w:w="560" w:type="dxa"/>
            <w:vAlign w:val="bottom"/>
            <w:tcBorders>
              <w:top w:val="single" w:sz="8" w:color="CEFEE7"/>
            </w:tcBorders>
            <w:shd w:val="clear" w:color="auto" w:fill="CEFEE7"/>
          </w:tcPr>
          <w:p>
            <w:pPr>
              <w:spacing w:after="0" w:line="20" w:lineRule="exact"/>
              <w:rPr>
                <w:sz w:val="1"/>
                <w:szCs w:val="1"/>
                <w:color w:val="auto"/>
              </w:rPr>
            </w:pPr>
          </w:p>
        </w:tc>
        <w:tc>
          <w:tcPr>
            <w:tcW w:w="4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1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10.25</w:t>
            </w:r>
          </w:p>
        </w:tc>
        <w:tc>
          <w:tcPr>
            <w:tcW w:w="240" w:type="dxa"/>
            <w:vAlign w:val="bottom"/>
          </w:tcPr>
          <w:p>
            <w:pPr>
              <w:spacing w:after="0"/>
              <w:rPr>
                <w:sz w:val="15"/>
                <w:szCs w:val="15"/>
                <w:color w:val="auto"/>
              </w:rPr>
            </w:pPr>
          </w:p>
        </w:tc>
        <w:tc>
          <w:tcPr>
            <w:tcW w:w="9640" w:type="dxa"/>
            <w:vAlign w:val="bottom"/>
            <w:gridSpan w:val="33"/>
          </w:tcPr>
          <w:p>
            <w:pPr>
              <w:spacing w:after="0" w:line="175" w:lineRule="exact"/>
              <w:rPr>
                <w:rFonts w:ascii="Arial" w:cs="Arial" w:eastAsia="Arial" w:hAnsi="Arial"/>
                <w:sz w:val="16"/>
                <w:szCs w:val="16"/>
                <w:color w:val="0000FF"/>
              </w:rPr>
            </w:pPr>
            <w:hyperlink w:anchor="page121">
              <w:r>
                <w:rPr>
                  <w:rFonts w:ascii="Arial" w:cs="Arial" w:eastAsia="Arial" w:hAnsi="Arial"/>
                  <w:sz w:val="16"/>
                  <w:szCs w:val="16"/>
                  <w:color w:val="0000FF"/>
                </w:rPr>
                <w:t>Non-Employee Director Equity Compensation Plan effective January 1, 2022.</w:t>
              </w:r>
            </w:hyperlink>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0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10.26</w:t>
            </w:r>
          </w:p>
        </w:tc>
        <w:tc>
          <w:tcPr>
            <w:tcW w:w="240" w:type="dxa"/>
            <w:vAlign w:val="bottom"/>
            <w:shd w:val="clear" w:color="auto" w:fill="CEFEE7"/>
          </w:tcPr>
          <w:p>
            <w:pPr>
              <w:spacing w:after="0"/>
              <w:rPr>
                <w:sz w:val="15"/>
                <w:szCs w:val="15"/>
                <w:color w:val="auto"/>
              </w:rPr>
            </w:pPr>
          </w:p>
        </w:tc>
        <w:tc>
          <w:tcPr>
            <w:tcW w:w="9400" w:type="dxa"/>
            <w:vAlign w:val="bottom"/>
            <w:tcBorders>
              <w:right w:val="single" w:sz="8" w:color="CEFEE7"/>
            </w:tcBorders>
            <w:gridSpan w:val="32"/>
            <w:shd w:val="clear" w:color="auto" w:fill="CEFEE7"/>
          </w:tcPr>
          <w:p>
            <w:pPr>
              <w:spacing w:after="0" w:line="175" w:lineRule="exact"/>
              <w:rPr>
                <w:rFonts w:ascii="Arial" w:cs="Arial" w:eastAsia="Arial" w:hAnsi="Arial"/>
                <w:sz w:val="16"/>
                <w:szCs w:val="16"/>
                <w:color w:val="0000FF"/>
              </w:rPr>
            </w:pPr>
            <w:hyperlink w:anchor="page126">
              <w:r>
                <w:rPr>
                  <w:rFonts w:ascii="Arial" w:cs="Arial" w:eastAsia="Arial" w:hAnsi="Arial"/>
                  <w:sz w:val="16"/>
                  <w:szCs w:val="16"/>
                  <w:color w:val="0000FF"/>
                </w:rPr>
                <w:t>Form of Restricted Stock Unit Award Agreement (Non-Employee Director) effective for awards granted on or after January 1,</w:t>
              </w:r>
            </w:hyperlink>
          </w:p>
        </w:tc>
        <w:tc>
          <w:tcPr>
            <w:tcW w:w="24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1320" w:type="dxa"/>
            <w:vAlign w:val="bottom"/>
            <w:tcBorders>
              <w:top w:val="single" w:sz="8" w:color="0000FF"/>
            </w:tcBorders>
            <w:gridSpan w:val="3"/>
            <w:shd w:val="clear" w:color="auto" w:fill="CEFEE7"/>
          </w:tcPr>
          <w:p>
            <w:pPr>
              <w:spacing w:after="0" w:line="142" w:lineRule="exact"/>
              <w:rPr>
                <w:rFonts w:ascii="Arial" w:cs="Arial" w:eastAsia="Arial" w:hAnsi="Arial"/>
                <w:sz w:val="16"/>
                <w:szCs w:val="16"/>
                <w:color w:val="0000FF"/>
              </w:rPr>
            </w:pPr>
            <w:hyperlink w:anchor="page126">
              <w:r>
                <w:rPr>
                  <w:rFonts w:ascii="Arial" w:cs="Arial" w:eastAsia="Arial" w:hAnsi="Arial"/>
                  <w:sz w:val="16"/>
                  <w:szCs w:val="16"/>
                  <w:color w:val="0000FF"/>
                </w:rPr>
                <w:t>2022</w:t>
              </w:r>
              <w:r>
                <w:rPr>
                  <w:rFonts w:ascii="Arial" w:cs="Arial" w:eastAsia="Arial" w:hAnsi="Arial"/>
                  <w:sz w:val="16"/>
                  <w:szCs w:val="16"/>
                  <w:color w:val="000000"/>
                </w:rPr>
                <w:t>.</w:t>
              </w:r>
            </w:hyperlink>
          </w:p>
        </w:tc>
        <w:tc>
          <w:tcPr>
            <w:tcW w:w="820" w:type="dxa"/>
            <w:vAlign w:val="bottom"/>
            <w:tcBorders>
              <w:top w:val="single" w:sz="8" w:color="0000FF"/>
            </w:tcBorders>
            <w:shd w:val="clear" w:color="auto" w:fill="CEFEE7"/>
          </w:tcPr>
          <w:p>
            <w:pPr>
              <w:spacing w:after="0"/>
              <w:rPr>
                <w:sz w:val="12"/>
                <w:szCs w:val="12"/>
                <w:color w:val="auto"/>
              </w:rPr>
            </w:pPr>
          </w:p>
        </w:tc>
        <w:tc>
          <w:tcPr>
            <w:tcW w:w="640" w:type="dxa"/>
            <w:vAlign w:val="bottom"/>
            <w:tcBorders>
              <w:top w:val="single" w:sz="8" w:color="0000FF"/>
            </w:tcBorders>
            <w:shd w:val="clear" w:color="auto" w:fill="CEFEE7"/>
          </w:tcPr>
          <w:p>
            <w:pPr>
              <w:spacing w:after="0"/>
              <w:rPr>
                <w:sz w:val="12"/>
                <w:szCs w:val="12"/>
                <w:color w:val="auto"/>
              </w:rPr>
            </w:pPr>
          </w:p>
        </w:tc>
        <w:tc>
          <w:tcPr>
            <w:tcW w:w="180" w:type="dxa"/>
            <w:vAlign w:val="bottom"/>
            <w:tcBorders>
              <w:top w:val="single" w:sz="8" w:color="0000FF"/>
            </w:tcBorders>
            <w:shd w:val="clear" w:color="auto" w:fill="CEFEE7"/>
          </w:tcPr>
          <w:p>
            <w:pPr>
              <w:spacing w:after="0"/>
              <w:rPr>
                <w:sz w:val="12"/>
                <w:szCs w:val="12"/>
                <w:color w:val="auto"/>
              </w:rPr>
            </w:pPr>
          </w:p>
        </w:tc>
        <w:tc>
          <w:tcPr>
            <w:tcW w:w="320" w:type="dxa"/>
            <w:vAlign w:val="bottom"/>
            <w:tcBorders>
              <w:top w:val="single" w:sz="8" w:color="0000FF"/>
            </w:tcBorders>
            <w:shd w:val="clear" w:color="auto" w:fill="CEFEE7"/>
          </w:tcPr>
          <w:p>
            <w:pPr>
              <w:spacing w:after="0"/>
              <w:rPr>
                <w:sz w:val="12"/>
                <w:szCs w:val="12"/>
                <w:color w:val="auto"/>
              </w:rPr>
            </w:pPr>
          </w:p>
        </w:tc>
        <w:tc>
          <w:tcPr>
            <w:tcW w:w="300" w:type="dxa"/>
            <w:vAlign w:val="bottom"/>
            <w:tcBorders>
              <w:top w:val="single" w:sz="8" w:color="0000FF"/>
            </w:tcBorders>
            <w:shd w:val="clear" w:color="auto" w:fill="CEFEE7"/>
          </w:tcPr>
          <w:p>
            <w:pPr>
              <w:spacing w:after="0"/>
              <w:rPr>
                <w:sz w:val="12"/>
                <w:szCs w:val="12"/>
                <w:color w:val="auto"/>
              </w:rPr>
            </w:pPr>
          </w:p>
        </w:tc>
        <w:tc>
          <w:tcPr>
            <w:tcW w:w="80" w:type="dxa"/>
            <w:vAlign w:val="bottom"/>
            <w:tcBorders>
              <w:top w:val="single" w:sz="8" w:color="0000FF"/>
            </w:tcBorders>
            <w:shd w:val="clear" w:color="auto" w:fill="CEFEE7"/>
          </w:tcPr>
          <w:p>
            <w:pPr>
              <w:spacing w:after="0"/>
              <w:rPr>
                <w:sz w:val="12"/>
                <w:szCs w:val="12"/>
                <w:color w:val="auto"/>
              </w:rPr>
            </w:pPr>
          </w:p>
        </w:tc>
        <w:tc>
          <w:tcPr>
            <w:tcW w:w="40" w:type="dxa"/>
            <w:vAlign w:val="bottom"/>
            <w:tcBorders>
              <w:top w:val="single" w:sz="8" w:color="0000FF"/>
            </w:tcBorders>
            <w:shd w:val="clear" w:color="auto" w:fill="CEFEE7"/>
          </w:tcPr>
          <w:p>
            <w:pPr>
              <w:spacing w:after="0"/>
              <w:rPr>
                <w:sz w:val="12"/>
                <w:szCs w:val="12"/>
                <w:color w:val="auto"/>
              </w:rPr>
            </w:pPr>
          </w:p>
        </w:tc>
        <w:tc>
          <w:tcPr>
            <w:tcW w:w="600" w:type="dxa"/>
            <w:vAlign w:val="bottom"/>
            <w:tcBorders>
              <w:top w:val="single" w:sz="8" w:color="0000FF"/>
            </w:tcBorders>
            <w:shd w:val="clear" w:color="auto" w:fill="CEFEE7"/>
          </w:tcPr>
          <w:p>
            <w:pPr>
              <w:spacing w:after="0"/>
              <w:rPr>
                <w:sz w:val="12"/>
                <w:szCs w:val="12"/>
                <w:color w:val="auto"/>
              </w:rPr>
            </w:pPr>
          </w:p>
        </w:tc>
        <w:tc>
          <w:tcPr>
            <w:tcW w:w="940" w:type="dxa"/>
            <w:vAlign w:val="bottom"/>
            <w:tcBorders>
              <w:top w:val="single" w:sz="8" w:color="0000FF"/>
            </w:tcBorders>
            <w:shd w:val="clear" w:color="auto" w:fill="CEFEE7"/>
          </w:tcPr>
          <w:p>
            <w:pPr>
              <w:spacing w:after="0"/>
              <w:rPr>
                <w:sz w:val="12"/>
                <w:szCs w:val="12"/>
                <w:color w:val="auto"/>
              </w:rPr>
            </w:pPr>
          </w:p>
        </w:tc>
        <w:tc>
          <w:tcPr>
            <w:tcW w:w="300" w:type="dxa"/>
            <w:vAlign w:val="bottom"/>
            <w:tcBorders>
              <w:top w:val="single" w:sz="8" w:color="0000FF"/>
            </w:tcBorders>
            <w:shd w:val="clear" w:color="auto" w:fill="CEFEE7"/>
          </w:tcPr>
          <w:p>
            <w:pPr>
              <w:spacing w:after="0"/>
              <w:rPr>
                <w:sz w:val="12"/>
                <w:szCs w:val="12"/>
                <w:color w:val="auto"/>
              </w:rPr>
            </w:pPr>
          </w:p>
        </w:tc>
        <w:tc>
          <w:tcPr>
            <w:tcW w:w="300" w:type="dxa"/>
            <w:vAlign w:val="bottom"/>
            <w:tcBorders>
              <w:top w:val="single" w:sz="8" w:color="0000FF"/>
            </w:tcBorders>
            <w:shd w:val="clear" w:color="auto" w:fill="CEFEE7"/>
          </w:tcPr>
          <w:p>
            <w:pPr>
              <w:spacing w:after="0"/>
              <w:rPr>
                <w:sz w:val="12"/>
                <w:szCs w:val="12"/>
                <w:color w:val="auto"/>
              </w:rPr>
            </w:pPr>
          </w:p>
        </w:tc>
        <w:tc>
          <w:tcPr>
            <w:tcW w:w="2040" w:type="dxa"/>
            <w:vAlign w:val="bottom"/>
            <w:tcBorders>
              <w:top w:val="single" w:sz="8" w:color="0000FF"/>
            </w:tcBorders>
            <w:shd w:val="clear" w:color="auto" w:fill="CEFEE7"/>
          </w:tcPr>
          <w:p>
            <w:pPr>
              <w:spacing w:after="0"/>
              <w:rPr>
                <w:sz w:val="12"/>
                <w:szCs w:val="12"/>
                <w:color w:val="auto"/>
              </w:rPr>
            </w:pPr>
          </w:p>
        </w:tc>
        <w:tc>
          <w:tcPr>
            <w:tcW w:w="560" w:type="dxa"/>
            <w:vAlign w:val="bottom"/>
            <w:tcBorders>
              <w:top w:val="single" w:sz="8" w:color="0000FF"/>
            </w:tcBorders>
            <w:shd w:val="clear" w:color="auto" w:fill="CEFEE7"/>
          </w:tcPr>
          <w:p>
            <w:pPr>
              <w:spacing w:after="0"/>
              <w:rPr>
                <w:sz w:val="12"/>
                <w:szCs w:val="12"/>
                <w:color w:val="auto"/>
              </w:rPr>
            </w:pPr>
          </w:p>
        </w:tc>
        <w:tc>
          <w:tcPr>
            <w:tcW w:w="400" w:type="dxa"/>
            <w:vAlign w:val="bottom"/>
            <w:tcBorders>
              <w:top w:val="single" w:sz="8" w:color="0000FF"/>
            </w:tcBorders>
            <w:shd w:val="clear" w:color="auto" w:fill="CEFEE7"/>
          </w:tcPr>
          <w:p>
            <w:pPr>
              <w:spacing w:after="0"/>
              <w:rPr>
                <w:sz w:val="12"/>
                <w:szCs w:val="12"/>
                <w:color w:val="auto"/>
              </w:rPr>
            </w:pPr>
          </w:p>
        </w:tc>
        <w:tc>
          <w:tcPr>
            <w:tcW w:w="80" w:type="dxa"/>
            <w:vAlign w:val="bottom"/>
            <w:tcBorders>
              <w:top w:val="single" w:sz="8" w:color="0000FF"/>
            </w:tcBorders>
            <w:shd w:val="clear" w:color="auto" w:fill="CEFEE7"/>
          </w:tcPr>
          <w:p>
            <w:pPr>
              <w:spacing w:after="0"/>
              <w:rPr>
                <w:sz w:val="12"/>
                <w:szCs w:val="12"/>
                <w:color w:val="auto"/>
              </w:rPr>
            </w:pPr>
          </w:p>
        </w:tc>
        <w:tc>
          <w:tcPr>
            <w:tcW w:w="80" w:type="dxa"/>
            <w:vAlign w:val="bottom"/>
            <w:tcBorders>
              <w:top w:val="single" w:sz="8" w:color="CEFEE7"/>
            </w:tcBorders>
            <w:shd w:val="clear" w:color="auto" w:fill="CEFEE7"/>
          </w:tcPr>
          <w:p>
            <w:pPr>
              <w:spacing w:after="0"/>
              <w:rPr>
                <w:sz w:val="12"/>
                <w:szCs w:val="12"/>
                <w:color w:val="auto"/>
              </w:rPr>
            </w:pPr>
          </w:p>
        </w:tc>
        <w:tc>
          <w:tcPr>
            <w:tcW w:w="14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right w:val="single" w:sz="8" w:color="CEFEE7"/>
            </w:tcBorders>
            <w:shd w:val="clear" w:color="auto" w:fill="CEFEE7"/>
          </w:tcPr>
          <w:p>
            <w:pPr>
              <w:spacing w:after="0"/>
              <w:rPr>
                <w:sz w:val="12"/>
                <w:szCs w:val="12"/>
                <w:color w:val="auto"/>
              </w:rPr>
            </w:pPr>
          </w:p>
        </w:tc>
        <w:tc>
          <w:tcPr>
            <w:tcW w:w="240" w:type="dxa"/>
            <w:vAlign w:val="bottom"/>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240" w:type="dxa"/>
            <w:vAlign w:val="bottom"/>
            <w:tcBorders>
              <w:top w:val="single" w:sz="8" w:color="0000FF"/>
            </w:tcBorders>
            <w:shd w:val="clear" w:color="auto" w:fill="CEFEE7"/>
          </w:tcPr>
          <w:p>
            <w:pPr>
              <w:spacing w:after="0" w:line="20" w:lineRule="exact"/>
              <w:rPr>
                <w:sz w:val="1"/>
                <w:szCs w:val="1"/>
                <w:color w:val="auto"/>
              </w:rPr>
            </w:pPr>
          </w:p>
        </w:tc>
        <w:tc>
          <w:tcPr>
            <w:tcW w:w="960" w:type="dxa"/>
            <w:vAlign w:val="bottom"/>
            <w:tcBorders>
              <w:top w:val="single" w:sz="8" w:color="CEFEE7"/>
            </w:tcBorders>
            <w:shd w:val="clear" w:color="auto" w:fill="CEFEE7"/>
          </w:tcPr>
          <w:p>
            <w:pPr>
              <w:spacing w:after="0" w:line="20" w:lineRule="exact"/>
              <w:rPr>
                <w:sz w:val="1"/>
                <w:szCs w:val="1"/>
                <w:color w:val="auto"/>
              </w:rPr>
            </w:pPr>
          </w:p>
        </w:tc>
        <w:tc>
          <w:tcPr>
            <w:tcW w:w="820" w:type="dxa"/>
            <w:vAlign w:val="bottom"/>
            <w:tcBorders>
              <w:top w:val="single" w:sz="8" w:color="CEFEE7"/>
            </w:tcBorders>
            <w:shd w:val="clear" w:color="auto" w:fill="CEFEE7"/>
          </w:tcPr>
          <w:p>
            <w:pPr>
              <w:spacing w:after="0" w:line="20" w:lineRule="exact"/>
              <w:rPr>
                <w:sz w:val="1"/>
                <w:szCs w:val="1"/>
                <w:color w:val="auto"/>
              </w:rPr>
            </w:pPr>
          </w:p>
        </w:tc>
        <w:tc>
          <w:tcPr>
            <w:tcW w:w="640" w:type="dxa"/>
            <w:vAlign w:val="bottom"/>
            <w:tcBorders>
              <w:top w:val="single" w:sz="8" w:color="CEFEE7"/>
            </w:tcBorders>
            <w:shd w:val="clear" w:color="auto" w:fill="CEFEE7"/>
          </w:tcPr>
          <w:p>
            <w:pPr>
              <w:spacing w:after="0" w:line="20" w:lineRule="exact"/>
              <w:rPr>
                <w:sz w:val="1"/>
                <w:szCs w:val="1"/>
                <w:color w:val="auto"/>
              </w:rPr>
            </w:pPr>
          </w:p>
        </w:tc>
        <w:tc>
          <w:tcPr>
            <w:tcW w:w="180" w:type="dxa"/>
            <w:vAlign w:val="bottom"/>
            <w:tcBorders>
              <w:top w:val="single" w:sz="8" w:color="CEFEE7"/>
            </w:tcBorders>
            <w:shd w:val="clear" w:color="auto" w:fill="CEFEE7"/>
          </w:tcPr>
          <w:p>
            <w:pPr>
              <w:spacing w:after="0" w:line="20" w:lineRule="exact"/>
              <w:rPr>
                <w:sz w:val="1"/>
                <w:szCs w:val="1"/>
                <w:color w:val="auto"/>
              </w:rPr>
            </w:pPr>
          </w:p>
        </w:tc>
        <w:tc>
          <w:tcPr>
            <w:tcW w:w="32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600" w:type="dxa"/>
            <w:vAlign w:val="bottom"/>
            <w:tcBorders>
              <w:top w:val="single" w:sz="8" w:color="CEFEE7"/>
            </w:tcBorders>
            <w:shd w:val="clear" w:color="auto" w:fill="CEFEE7"/>
          </w:tcPr>
          <w:p>
            <w:pPr>
              <w:spacing w:after="0" w:line="20" w:lineRule="exact"/>
              <w:rPr>
                <w:sz w:val="1"/>
                <w:szCs w:val="1"/>
                <w:color w:val="auto"/>
              </w:rPr>
            </w:pPr>
          </w:p>
        </w:tc>
        <w:tc>
          <w:tcPr>
            <w:tcW w:w="94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2040" w:type="dxa"/>
            <w:vAlign w:val="bottom"/>
            <w:tcBorders>
              <w:top w:val="single" w:sz="8" w:color="CEFEE7"/>
            </w:tcBorders>
            <w:shd w:val="clear" w:color="auto" w:fill="CEFEE7"/>
          </w:tcPr>
          <w:p>
            <w:pPr>
              <w:spacing w:after="0" w:line="20" w:lineRule="exact"/>
              <w:rPr>
                <w:sz w:val="1"/>
                <w:szCs w:val="1"/>
                <w:color w:val="auto"/>
              </w:rPr>
            </w:pPr>
          </w:p>
        </w:tc>
        <w:tc>
          <w:tcPr>
            <w:tcW w:w="560" w:type="dxa"/>
            <w:vAlign w:val="bottom"/>
            <w:tcBorders>
              <w:top w:val="single" w:sz="8" w:color="CEFEE7"/>
            </w:tcBorders>
            <w:shd w:val="clear" w:color="auto" w:fill="CEFEE7"/>
          </w:tcPr>
          <w:p>
            <w:pPr>
              <w:spacing w:after="0" w:line="20" w:lineRule="exact"/>
              <w:rPr>
                <w:sz w:val="1"/>
                <w:szCs w:val="1"/>
                <w:color w:val="auto"/>
              </w:rPr>
            </w:pPr>
          </w:p>
        </w:tc>
        <w:tc>
          <w:tcPr>
            <w:tcW w:w="4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1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7"/>
        </w:trPr>
        <w:tc>
          <w:tcPr>
            <w:tcW w:w="340" w:type="dxa"/>
            <w:vAlign w:val="bottom"/>
          </w:tcPr>
          <w:p>
            <w:pPr>
              <w:spacing w:after="0"/>
              <w:rPr>
                <w:sz w:val="15"/>
                <w:szCs w:val="15"/>
                <w:color w:val="auto"/>
              </w:rPr>
            </w:pPr>
          </w:p>
        </w:tc>
        <w:tc>
          <w:tcPr>
            <w:tcW w:w="1020" w:type="dxa"/>
            <w:vAlign w:val="bottom"/>
          </w:tcPr>
          <w:p>
            <w:pPr>
              <w:ind w:left="20"/>
              <w:spacing w:after="0" w:line="178" w:lineRule="exact"/>
              <w:rPr>
                <w:sz w:val="20"/>
                <w:szCs w:val="20"/>
                <w:color w:val="auto"/>
              </w:rPr>
            </w:pPr>
            <w:r>
              <w:rPr>
                <w:rFonts w:ascii="Arial" w:cs="Arial" w:eastAsia="Arial" w:hAnsi="Arial"/>
                <w:sz w:val="16"/>
                <w:szCs w:val="16"/>
                <w:color w:val="auto"/>
              </w:rPr>
              <w:t>10.27</w:t>
            </w:r>
          </w:p>
        </w:tc>
        <w:tc>
          <w:tcPr>
            <w:tcW w:w="240" w:type="dxa"/>
            <w:vAlign w:val="bottom"/>
          </w:tcPr>
          <w:p>
            <w:pPr>
              <w:spacing w:after="0"/>
              <w:rPr>
                <w:sz w:val="15"/>
                <w:szCs w:val="15"/>
                <w:color w:val="auto"/>
              </w:rPr>
            </w:pPr>
          </w:p>
        </w:tc>
        <w:tc>
          <w:tcPr>
            <w:tcW w:w="9640" w:type="dxa"/>
            <w:vAlign w:val="bottom"/>
            <w:gridSpan w:val="33"/>
          </w:tcPr>
          <w:p>
            <w:pPr>
              <w:spacing w:after="0" w:line="178" w:lineRule="exact"/>
              <w:rPr>
                <w:sz w:val="20"/>
                <w:szCs w:val="20"/>
                <w:color w:val="auto"/>
              </w:rPr>
            </w:pPr>
            <w:r>
              <w:rPr>
                <w:rFonts w:ascii="Arial" w:cs="Arial" w:eastAsia="Arial" w:hAnsi="Arial"/>
                <w:sz w:val="16"/>
                <w:szCs w:val="16"/>
                <w:color w:val="auto"/>
              </w:rPr>
              <w:t>Coal Leases between WRDC and the Federal Government</w:t>
            </w:r>
          </w:p>
        </w:tc>
      </w:tr>
      <w:tr>
        <w:trPr>
          <w:trHeight w:val="162"/>
        </w:trPr>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20" w:type="dxa"/>
            <w:vAlign w:val="bottom"/>
            <w:gridSpan w:val="32"/>
          </w:tcPr>
          <w:p>
            <w:pPr>
              <w:ind w:left="120"/>
              <w:spacing w:after="0" w:line="162" w:lineRule="exact"/>
              <w:rPr>
                <w:sz w:val="20"/>
                <w:szCs w:val="20"/>
                <w:color w:val="auto"/>
              </w:rPr>
            </w:pPr>
            <w:r>
              <w:rPr>
                <w:rFonts w:ascii="Arial" w:cs="Arial" w:eastAsia="Arial" w:hAnsi="Arial"/>
                <w:sz w:val="16"/>
                <w:szCs w:val="16"/>
                <w:color w:val="auto"/>
              </w:rPr>
              <w:t>-Dated May 1, 1959 (filed as Exhibit 5(i) to the Registrant’s Form S</w:t>
            </w:r>
            <w:r>
              <w:rPr>
                <w:rFonts w:ascii="MS PGothic" w:cs="MS PGothic" w:eastAsia="MS PGothic" w:hAnsi="MS PGothic"/>
                <w:sz w:val="16"/>
                <w:szCs w:val="16"/>
                <w:color w:val="auto"/>
              </w:rPr>
              <w:t>‑</w:t>
            </w:r>
            <w:r>
              <w:rPr>
                <w:rFonts w:ascii="Arial" w:cs="Arial" w:eastAsia="Arial" w:hAnsi="Arial"/>
                <w:sz w:val="16"/>
                <w:szCs w:val="16"/>
                <w:color w:val="auto"/>
              </w:rPr>
              <w:t>7, File No. 2</w:t>
            </w:r>
            <w:r>
              <w:rPr>
                <w:rFonts w:ascii="MS PGothic" w:cs="MS PGothic" w:eastAsia="MS PGothic" w:hAnsi="MS PGothic"/>
                <w:sz w:val="16"/>
                <w:szCs w:val="16"/>
                <w:color w:val="auto"/>
              </w:rPr>
              <w:t>‑</w:t>
            </w:r>
            <w:r>
              <w:rPr>
                <w:rFonts w:ascii="Arial" w:cs="Arial" w:eastAsia="Arial" w:hAnsi="Arial"/>
                <w:sz w:val="16"/>
                <w:szCs w:val="16"/>
                <w:color w:val="auto"/>
              </w:rPr>
              <w:t>60755)</w:t>
            </w:r>
          </w:p>
        </w:tc>
      </w:tr>
      <w:tr>
        <w:trPr>
          <w:trHeight w:val="162"/>
        </w:trPr>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80" w:type="dxa"/>
            <w:vAlign w:val="bottom"/>
            <w:gridSpan w:val="31"/>
          </w:tcPr>
          <w:p>
            <w:pPr>
              <w:spacing w:after="0" w:line="162" w:lineRule="exact"/>
              <w:rPr>
                <w:sz w:val="20"/>
                <w:szCs w:val="20"/>
                <w:color w:val="auto"/>
              </w:rPr>
            </w:pPr>
            <w:r>
              <w:rPr>
                <w:rFonts w:ascii="Arial" w:cs="Arial" w:eastAsia="Arial" w:hAnsi="Arial"/>
                <w:sz w:val="16"/>
                <w:szCs w:val="16"/>
                <w:color w:val="auto"/>
              </w:rPr>
              <w:t>-Modified January 22, 1990 (filed as Exhibit 10(h) to the Registrant’s Form 10</w:t>
            </w:r>
            <w:r>
              <w:rPr>
                <w:rFonts w:ascii="MS PGothic" w:cs="MS PGothic" w:eastAsia="MS PGothic" w:hAnsi="MS PGothic"/>
                <w:sz w:val="16"/>
                <w:szCs w:val="16"/>
                <w:color w:val="auto"/>
              </w:rPr>
              <w:t>‑</w:t>
            </w:r>
            <w:r>
              <w:rPr>
                <w:rFonts w:ascii="Arial" w:cs="Arial" w:eastAsia="Arial" w:hAnsi="Arial"/>
                <w:sz w:val="16"/>
                <w:szCs w:val="16"/>
                <w:color w:val="auto"/>
              </w:rPr>
              <w:t>K for 1989)</w:t>
            </w:r>
          </w:p>
        </w:tc>
      </w:tr>
      <w:tr>
        <w:trPr>
          <w:trHeight w:val="162"/>
        </w:trPr>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20" w:type="dxa"/>
            <w:vAlign w:val="bottom"/>
            <w:gridSpan w:val="32"/>
          </w:tcPr>
          <w:p>
            <w:pPr>
              <w:ind w:left="120"/>
              <w:spacing w:after="0" w:line="162" w:lineRule="exact"/>
              <w:rPr>
                <w:sz w:val="20"/>
                <w:szCs w:val="20"/>
                <w:color w:val="auto"/>
              </w:rPr>
            </w:pPr>
            <w:r>
              <w:rPr>
                <w:rFonts w:ascii="Arial" w:cs="Arial" w:eastAsia="Arial" w:hAnsi="Arial"/>
                <w:sz w:val="16"/>
                <w:szCs w:val="16"/>
                <w:color w:val="auto"/>
              </w:rPr>
              <w:t>-Dated April 1, 1961 (filed as Exhibit 5(j) to the Registrant’s Form S</w:t>
            </w:r>
            <w:r>
              <w:rPr>
                <w:rFonts w:ascii="MS PGothic" w:cs="MS PGothic" w:eastAsia="MS PGothic" w:hAnsi="MS PGothic"/>
                <w:sz w:val="16"/>
                <w:szCs w:val="16"/>
                <w:color w:val="auto"/>
              </w:rPr>
              <w:t>‑</w:t>
            </w:r>
            <w:r>
              <w:rPr>
                <w:rFonts w:ascii="Arial" w:cs="Arial" w:eastAsia="Arial" w:hAnsi="Arial"/>
                <w:sz w:val="16"/>
                <w:szCs w:val="16"/>
                <w:color w:val="auto"/>
              </w:rPr>
              <w:t>7, File No. 2</w:t>
            </w:r>
            <w:r>
              <w:rPr>
                <w:rFonts w:ascii="MS PGothic" w:cs="MS PGothic" w:eastAsia="MS PGothic" w:hAnsi="MS PGothic"/>
                <w:sz w:val="16"/>
                <w:szCs w:val="16"/>
                <w:color w:val="auto"/>
              </w:rPr>
              <w:t>‑</w:t>
            </w:r>
            <w:r>
              <w:rPr>
                <w:rFonts w:ascii="Arial" w:cs="Arial" w:eastAsia="Arial" w:hAnsi="Arial"/>
                <w:sz w:val="16"/>
                <w:szCs w:val="16"/>
                <w:color w:val="auto"/>
              </w:rPr>
              <w:t>60755)</w:t>
            </w:r>
          </w:p>
        </w:tc>
      </w:tr>
      <w:tr>
        <w:trPr>
          <w:trHeight w:val="162"/>
        </w:trPr>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80" w:type="dxa"/>
            <w:vAlign w:val="bottom"/>
            <w:gridSpan w:val="31"/>
          </w:tcPr>
          <w:p>
            <w:pPr>
              <w:spacing w:after="0" w:line="162" w:lineRule="exact"/>
              <w:rPr>
                <w:sz w:val="20"/>
                <w:szCs w:val="20"/>
                <w:color w:val="auto"/>
              </w:rPr>
            </w:pPr>
            <w:r>
              <w:rPr>
                <w:rFonts w:ascii="Arial" w:cs="Arial" w:eastAsia="Arial" w:hAnsi="Arial"/>
                <w:sz w:val="16"/>
                <w:szCs w:val="16"/>
                <w:color w:val="auto"/>
              </w:rPr>
              <w:t>-Modified January 22, 1990 (filed as Exhibit 10(i) to Registrant’s Form 10</w:t>
            </w:r>
            <w:r>
              <w:rPr>
                <w:rFonts w:ascii="MS PGothic" w:cs="MS PGothic" w:eastAsia="MS PGothic" w:hAnsi="MS PGothic"/>
                <w:sz w:val="16"/>
                <w:szCs w:val="16"/>
                <w:color w:val="auto"/>
              </w:rPr>
              <w:t>‑</w:t>
            </w:r>
            <w:r>
              <w:rPr>
                <w:rFonts w:ascii="Arial" w:cs="Arial" w:eastAsia="Arial" w:hAnsi="Arial"/>
                <w:sz w:val="16"/>
                <w:szCs w:val="16"/>
                <w:color w:val="auto"/>
              </w:rPr>
              <w:t>K for 1989)</w:t>
            </w:r>
          </w:p>
        </w:tc>
      </w:tr>
      <w:tr>
        <w:trPr>
          <w:trHeight w:val="162"/>
        </w:trPr>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20" w:type="dxa"/>
            <w:vAlign w:val="bottom"/>
            <w:gridSpan w:val="32"/>
          </w:tcPr>
          <w:p>
            <w:pPr>
              <w:ind w:left="120"/>
              <w:spacing w:after="0" w:line="162" w:lineRule="exact"/>
              <w:rPr>
                <w:sz w:val="20"/>
                <w:szCs w:val="20"/>
                <w:color w:val="auto"/>
              </w:rPr>
            </w:pPr>
            <w:r>
              <w:rPr>
                <w:rFonts w:ascii="Arial" w:cs="Arial" w:eastAsia="Arial" w:hAnsi="Arial"/>
                <w:sz w:val="16"/>
                <w:szCs w:val="16"/>
                <w:color w:val="auto"/>
              </w:rPr>
              <w:t>-Dated October 1, 1965 (filed as Exhibit 5(k) to the Registrant’s Form S</w:t>
            </w:r>
            <w:r>
              <w:rPr>
                <w:rFonts w:ascii="MS PGothic" w:cs="MS PGothic" w:eastAsia="MS PGothic" w:hAnsi="MS PGothic"/>
                <w:sz w:val="16"/>
                <w:szCs w:val="16"/>
                <w:color w:val="auto"/>
              </w:rPr>
              <w:t>‑</w:t>
            </w:r>
            <w:r>
              <w:rPr>
                <w:rFonts w:ascii="Arial" w:cs="Arial" w:eastAsia="Arial" w:hAnsi="Arial"/>
                <w:sz w:val="16"/>
                <w:szCs w:val="16"/>
                <w:color w:val="auto"/>
              </w:rPr>
              <w:t>7, File No. 2</w:t>
            </w:r>
            <w:r>
              <w:rPr>
                <w:rFonts w:ascii="MS PGothic" w:cs="MS PGothic" w:eastAsia="MS PGothic" w:hAnsi="MS PGothic"/>
                <w:sz w:val="16"/>
                <w:szCs w:val="16"/>
                <w:color w:val="auto"/>
              </w:rPr>
              <w:t>‑</w:t>
            </w:r>
            <w:r>
              <w:rPr>
                <w:rFonts w:ascii="Arial" w:cs="Arial" w:eastAsia="Arial" w:hAnsi="Arial"/>
                <w:sz w:val="16"/>
                <w:szCs w:val="16"/>
                <w:color w:val="auto"/>
              </w:rPr>
              <w:t>60755)</w:t>
            </w:r>
          </w:p>
        </w:tc>
      </w:tr>
      <w:tr>
        <w:trPr>
          <w:trHeight w:val="198"/>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80" w:type="dxa"/>
            <w:vAlign w:val="bottom"/>
            <w:gridSpan w:val="31"/>
          </w:tcPr>
          <w:p>
            <w:pPr>
              <w:spacing w:after="0" w:line="184" w:lineRule="exact"/>
              <w:rPr>
                <w:sz w:val="20"/>
                <w:szCs w:val="20"/>
                <w:color w:val="auto"/>
              </w:rPr>
            </w:pPr>
            <w:r>
              <w:rPr>
                <w:rFonts w:ascii="Arial" w:cs="Arial" w:eastAsia="Arial" w:hAnsi="Arial"/>
                <w:sz w:val="16"/>
                <w:szCs w:val="16"/>
                <w:color w:val="auto"/>
              </w:rPr>
              <w:t>-Modified January 22, 1990 (filed as Exhibit 10(j) to the Registrant’s Form 10</w:t>
            </w:r>
            <w:r>
              <w:rPr>
                <w:rFonts w:ascii="MS PGothic" w:cs="MS PGothic" w:eastAsia="MS PGothic" w:hAnsi="MS PGothic"/>
                <w:sz w:val="16"/>
                <w:szCs w:val="16"/>
                <w:color w:val="auto"/>
              </w:rPr>
              <w:t>‑</w:t>
            </w:r>
            <w:r>
              <w:rPr>
                <w:rFonts w:ascii="Arial" w:cs="Arial" w:eastAsia="Arial" w:hAnsi="Arial"/>
                <w:sz w:val="16"/>
                <w:szCs w:val="16"/>
                <w:color w:val="auto"/>
              </w:rPr>
              <w:t>K for 1989).</w:t>
            </w:r>
          </w:p>
        </w:tc>
      </w:tr>
      <w:tr>
        <w:trPr>
          <w:trHeight w:val="180"/>
        </w:trPr>
        <w:tc>
          <w:tcPr>
            <w:tcW w:w="340" w:type="dxa"/>
            <w:vAlign w:val="bottom"/>
          </w:tcPr>
          <w:p>
            <w:pPr>
              <w:spacing w:after="0"/>
              <w:rPr>
                <w:sz w:val="15"/>
                <w:szCs w:val="15"/>
                <w:color w:val="auto"/>
              </w:rPr>
            </w:pPr>
          </w:p>
        </w:tc>
        <w:tc>
          <w:tcPr>
            <w:tcW w:w="1020" w:type="dxa"/>
            <w:vAlign w:val="bottom"/>
            <w:shd w:val="clear" w:color="auto" w:fill="CEFEE7"/>
          </w:tcPr>
          <w:p>
            <w:pPr>
              <w:ind w:left="20"/>
              <w:spacing w:after="0" w:line="181" w:lineRule="exact"/>
              <w:rPr>
                <w:sz w:val="20"/>
                <w:szCs w:val="20"/>
                <w:color w:val="auto"/>
              </w:rPr>
            </w:pPr>
            <w:r>
              <w:rPr>
                <w:rFonts w:ascii="Arial" w:cs="Arial" w:eastAsia="Arial" w:hAnsi="Arial"/>
                <w:sz w:val="16"/>
                <w:szCs w:val="16"/>
                <w:color w:val="auto"/>
              </w:rPr>
              <w:t>10.28</w:t>
            </w:r>
          </w:p>
        </w:tc>
        <w:tc>
          <w:tcPr>
            <w:tcW w:w="240" w:type="dxa"/>
            <w:vAlign w:val="bottom"/>
            <w:shd w:val="clear" w:color="auto" w:fill="CEFEE7"/>
          </w:tcPr>
          <w:p>
            <w:pPr>
              <w:spacing w:after="0"/>
              <w:rPr>
                <w:sz w:val="15"/>
                <w:szCs w:val="15"/>
                <w:color w:val="auto"/>
              </w:rPr>
            </w:pPr>
          </w:p>
        </w:tc>
        <w:tc>
          <w:tcPr>
            <w:tcW w:w="9400" w:type="dxa"/>
            <w:vAlign w:val="bottom"/>
            <w:tcBorders>
              <w:right w:val="single" w:sz="8" w:color="CEFEE7"/>
            </w:tcBorders>
            <w:gridSpan w:val="32"/>
            <w:shd w:val="clear" w:color="auto" w:fill="CEFEE7"/>
          </w:tcPr>
          <w:p>
            <w:pPr>
              <w:spacing w:after="0" w:line="181" w:lineRule="exact"/>
              <w:rPr>
                <w:sz w:val="20"/>
                <w:szCs w:val="20"/>
                <w:color w:val="auto"/>
              </w:rPr>
            </w:pPr>
            <w:r>
              <w:rPr>
                <w:rFonts w:ascii="Arial" w:cs="Arial" w:eastAsia="Arial" w:hAnsi="Arial"/>
                <w:sz w:val="16"/>
                <w:szCs w:val="16"/>
                <w:color w:val="auto"/>
              </w:rPr>
              <w:t>Assignment of Mining Leases and Related Agreement effective May 27, 1997, between WRDC and Kerr-McGee Coal</w:t>
            </w:r>
          </w:p>
        </w:tc>
        <w:tc>
          <w:tcPr>
            <w:tcW w:w="240" w:type="dxa"/>
            <w:vAlign w:val="bottom"/>
          </w:tcPr>
          <w:p>
            <w:pPr>
              <w:spacing w:after="0"/>
              <w:rPr>
                <w:sz w:val="15"/>
                <w:szCs w:val="15"/>
                <w:color w:val="auto"/>
              </w:rPr>
            </w:pPr>
          </w:p>
        </w:tc>
      </w:tr>
      <w:tr>
        <w:trPr>
          <w:trHeight w:val="201"/>
        </w:trPr>
        <w:tc>
          <w:tcPr>
            <w:tcW w:w="340" w:type="dxa"/>
            <w:vAlign w:val="bottom"/>
          </w:tcPr>
          <w:p>
            <w:pPr>
              <w:spacing w:after="0"/>
              <w:rPr>
                <w:sz w:val="17"/>
                <w:szCs w:val="17"/>
                <w:color w:val="auto"/>
              </w:rPr>
            </w:pPr>
          </w:p>
        </w:tc>
        <w:tc>
          <w:tcPr>
            <w:tcW w:w="1020" w:type="dxa"/>
            <w:vAlign w:val="bottom"/>
            <w:shd w:val="clear" w:color="auto" w:fill="CEFEE7"/>
          </w:tcPr>
          <w:p>
            <w:pPr>
              <w:spacing w:after="0"/>
              <w:rPr>
                <w:sz w:val="17"/>
                <w:szCs w:val="17"/>
                <w:color w:val="auto"/>
              </w:rPr>
            </w:pPr>
          </w:p>
        </w:tc>
        <w:tc>
          <w:tcPr>
            <w:tcW w:w="240" w:type="dxa"/>
            <w:vAlign w:val="bottom"/>
            <w:shd w:val="clear" w:color="auto" w:fill="CEFEE7"/>
          </w:tcPr>
          <w:p>
            <w:pPr>
              <w:spacing w:after="0"/>
              <w:rPr>
                <w:sz w:val="17"/>
                <w:szCs w:val="17"/>
                <w:color w:val="auto"/>
              </w:rPr>
            </w:pPr>
          </w:p>
        </w:tc>
        <w:tc>
          <w:tcPr>
            <w:tcW w:w="9400" w:type="dxa"/>
            <w:vAlign w:val="bottom"/>
            <w:tcBorders>
              <w:right w:val="single" w:sz="8" w:color="CEFEE7"/>
            </w:tcBorders>
            <w:gridSpan w:val="32"/>
            <w:shd w:val="clear" w:color="auto" w:fill="CEFEE7"/>
          </w:tcPr>
          <w:p>
            <w:pPr>
              <w:spacing w:after="0"/>
              <w:rPr>
                <w:sz w:val="20"/>
                <w:szCs w:val="20"/>
                <w:color w:val="auto"/>
              </w:rPr>
            </w:pPr>
            <w:r>
              <w:rPr>
                <w:rFonts w:ascii="Arial" w:cs="Arial" w:eastAsia="Arial" w:hAnsi="Arial"/>
                <w:sz w:val="16"/>
                <w:szCs w:val="16"/>
                <w:color w:val="auto"/>
              </w:rPr>
              <w:t>Corporation (filed as Exhibit 10(u) to the Registrant’s Form 10-K for 1997).</w:t>
            </w:r>
          </w:p>
        </w:tc>
        <w:tc>
          <w:tcPr>
            <w:tcW w:w="240" w:type="dxa"/>
            <w:vAlign w:val="bottom"/>
          </w:tcPr>
          <w:p>
            <w:pPr>
              <w:spacing w:after="0"/>
              <w:rPr>
                <w:sz w:val="17"/>
                <w:szCs w:val="17"/>
                <w:color w:val="auto"/>
              </w:rPr>
            </w:pPr>
          </w:p>
        </w:tc>
      </w:tr>
      <w:tr>
        <w:trPr>
          <w:trHeight w:val="176"/>
        </w:trPr>
        <w:tc>
          <w:tcPr>
            <w:tcW w:w="1360" w:type="dxa"/>
            <w:vAlign w:val="bottom"/>
            <w:gridSpan w:val="2"/>
          </w:tcPr>
          <w:p>
            <w:pPr>
              <w:ind w:left="360"/>
              <w:spacing w:after="0" w:line="175" w:lineRule="exact"/>
              <w:rPr>
                <w:sz w:val="20"/>
                <w:szCs w:val="20"/>
                <w:color w:val="auto"/>
              </w:rPr>
            </w:pPr>
            <w:r>
              <w:rPr>
                <w:rFonts w:ascii="Arial" w:cs="Arial" w:eastAsia="Arial" w:hAnsi="Arial"/>
                <w:sz w:val="16"/>
                <w:szCs w:val="16"/>
                <w:color w:val="auto"/>
              </w:rPr>
              <w:t>21*</w:t>
            </w:r>
          </w:p>
        </w:tc>
        <w:tc>
          <w:tcPr>
            <w:tcW w:w="240" w:type="dxa"/>
            <w:vAlign w:val="bottom"/>
          </w:tcPr>
          <w:p>
            <w:pPr>
              <w:spacing w:after="0"/>
              <w:rPr>
                <w:sz w:val="15"/>
                <w:szCs w:val="15"/>
                <w:color w:val="auto"/>
              </w:rPr>
            </w:pPr>
          </w:p>
        </w:tc>
        <w:tc>
          <w:tcPr>
            <w:tcW w:w="9640" w:type="dxa"/>
            <w:vAlign w:val="bottom"/>
            <w:gridSpan w:val="33"/>
          </w:tcPr>
          <w:p>
            <w:pPr>
              <w:spacing w:after="0" w:line="175" w:lineRule="exact"/>
              <w:rPr>
                <w:rFonts w:ascii="Arial" w:cs="Arial" w:eastAsia="Arial" w:hAnsi="Arial"/>
                <w:sz w:val="16"/>
                <w:szCs w:val="16"/>
                <w:color w:val="0000FF"/>
              </w:rPr>
            </w:pPr>
            <w:hyperlink w:anchor="page130">
              <w:r>
                <w:rPr>
                  <w:rFonts w:ascii="Arial" w:cs="Arial" w:eastAsia="Arial" w:hAnsi="Arial"/>
                  <w:sz w:val="16"/>
                  <w:szCs w:val="16"/>
                  <w:color w:val="0000FF"/>
                </w:rPr>
                <w:t>List of Subsidiaries of Black Hills Corporation.</w:t>
              </w:r>
            </w:hyperlink>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23.1*</w:t>
            </w:r>
          </w:p>
        </w:tc>
        <w:tc>
          <w:tcPr>
            <w:tcW w:w="240" w:type="dxa"/>
            <w:vAlign w:val="bottom"/>
            <w:shd w:val="clear" w:color="auto" w:fill="CEFEE7"/>
          </w:tcPr>
          <w:p>
            <w:pPr>
              <w:spacing w:after="0"/>
              <w:rPr>
                <w:sz w:val="15"/>
                <w:szCs w:val="15"/>
                <w:color w:val="auto"/>
              </w:rPr>
            </w:pPr>
          </w:p>
        </w:tc>
        <w:tc>
          <w:tcPr>
            <w:tcW w:w="9400" w:type="dxa"/>
            <w:vAlign w:val="bottom"/>
            <w:tcBorders>
              <w:right w:val="single" w:sz="8" w:color="CEFEE7"/>
            </w:tcBorders>
            <w:gridSpan w:val="32"/>
            <w:shd w:val="clear" w:color="auto" w:fill="CEFEE7"/>
          </w:tcPr>
          <w:p>
            <w:pPr>
              <w:spacing w:after="0" w:line="175" w:lineRule="exact"/>
              <w:rPr>
                <w:rFonts w:ascii="Arial" w:cs="Arial" w:eastAsia="Arial" w:hAnsi="Arial"/>
                <w:sz w:val="16"/>
                <w:szCs w:val="16"/>
                <w:color w:val="0000FF"/>
              </w:rPr>
            </w:pPr>
            <w:hyperlink w:anchor="page131">
              <w:r>
                <w:rPr>
                  <w:rFonts w:ascii="Arial" w:cs="Arial" w:eastAsia="Arial" w:hAnsi="Arial"/>
                  <w:sz w:val="16"/>
                  <w:szCs w:val="16"/>
                  <w:color w:val="0000FF"/>
                </w:rPr>
                <w:t>Consent of Independent Registered Public Accounting Firm.</w:t>
              </w:r>
            </w:hyperlink>
          </w:p>
        </w:tc>
        <w:tc>
          <w:tcPr>
            <w:tcW w:w="240" w:type="dxa"/>
            <w:vAlign w:val="bottom"/>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240" w:type="dxa"/>
            <w:vAlign w:val="bottom"/>
            <w:tcBorders>
              <w:top w:val="single" w:sz="8" w:color="0000FF"/>
            </w:tcBorders>
            <w:shd w:val="clear" w:color="auto" w:fill="CEFEE7"/>
          </w:tcPr>
          <w:p>
            <w:pPr>
              <w:spacing w:after="0" w:line="20" w:lineRule="exact"/>
              <w:rPr>
                <w:sz w:val="1"/>
                <w:szCs w:val="1"/>
                <w:color w:val="auto"/>
              </w:rPr>
            </w:pPr>
          </w:p>
        </w:tc>
        <w:tc>
          <w:tcPr>
            <w:tcW w:w="960" w:type="dxa"/>
            <w:vAlign w:val="bottom"/>
            <w:tcBorders>
              <w:top w:val="single" w:sz="8" w:color="0000FF"/>
            </w:tcBorders>
            <w:shd w:val="clear" w:color="auto" w:fill="CEFEE7"/>
          </w:tcPr>
          <w:p>
            <w:pPr>
              <w:spacing w:after="0" w:line="20" w:lineRule="exact"/>
              <w:rPr>
                <w:sz w:val="1"/>
                <w:szCs w:val="1"/>
                <w:color w:val="auto"/>
              </w:rPr>
            </w:pPr>
          </w:p>
        </w:tc>
        <w:tc>
          <w:tcPr>
            <w:tcW w:w="820" w:type="dxa"/>
            <w:vAlign w:val="bottom"/>
            <w:tcBorders>
              <w:top w:val="single" w:sz="8" w:color="0000FF"/>
            </w:tcBorders>
            <w:shd w:val="clear" w:color="auto" w:fill="CEFEE7"/>
          </w:tcPr>
          <w:p>
            <w:pPr>
              <w:spacing w:after="0" w:line="20" w:lineRule="exact"/>
              <w:rPr>
                <w:sz w:val="1"/>
                <w:szCs w:val="1"/>
                <w:color w:val="auto"/>
              </w:rPr>
            </w:pPr>
          </w:p>
        </w:tc>
        <w:tc>
          <w:tcPr>
            <w:tcW w:w="640" w:type="dxa"/>
            <w:vAlign w:val="bottom"/>
            <w:tcBorders>
              <w:top w:val="single" w:sz="8" w:color="0000FF"/>
            </w:tcBorders>
            <w:shd w:val="clear" w:color="auto" w:fill="CEFEE7"/>
          </w:tcPr>
          <w:p>
            <w:pPr>
              <w:spacing w:after="0" w:line="20" w:lineRule="exact"/>
              <w:rPr>
                <w:sz w:val="1"/>
                <w:szCs w:val="1"/>
                <w:color w:val="auto"/>
              </w:rPr>
            </w:pPr>
          </w:p>
        </w:tc>
        <w:tc>
          <w:tcPr>
            <w:tcW w:w="180" w:type="dxa"/>
            <w:vAlign w:val="bottom"/>
            <w:tcBorders>
              <w:top w:val="single" w:sz="8" w:color="0000FF"/>
            </w:tcBorders>
            <w:shd w:val="clear" w:color="auto" w:fill="CEFEE7"/>
          </w:tcPr>
          <w:p>
            <w:pPr>
              <w:spacing w:after="0" w:line="20" w:lineRule="exact"/>
              <w:rPr>
                <w:sz w:val="1"/>
                <w:szCs w:val="1"/>
                <w:color w:val="auto"/>
              </w:rPr>
            </w:pPr>
          </w:p>
        </w:tc>
        <w:tc>
          <w:tcPr>
            <w:tcW w:w="320" w:type="dxa"/>
            <w:vAlign w:val="bottom"/>
            <w:tcBorders>
              <w:top w:val="single" w:sz="8" w:color="0000FF"/>
            </w:tcBorders>
            <w:shd w:val="clear" w:color="auto" w:fill="CEFEE7"/>
          </w:tcPr>
          <w:p>
            <w:pPr>
              <w:spacing w:after="0" w:line="20" w:lineRule="exact"/>
              <w:rPr>
                <w:sz w:val="1"/>
                <w:szCs w:val="1"/>
                <w:color w:val="auto"/>
              </w:rPr>
            </w:pPr>
          </w:p>
        </w:tc>
        <w:tc>
          <w:tcPr>
            <w:tcW w:w="300" w:type="dxa"/>
            <w:vAlign w:val="bottom"/>
            <w:tcBorders>
              <w:top w:val="single" w:sz="8" w:color="0000FF"/>
            </w:tcBorders>
            <w:shd w:val="clear" w:color="auto" w:fill="CEFEE7"/>
          </w:tcPr>
          <w:p>
            <w:pPr>
              <w:spacing w:after="0" w:line="20" w:lineRule="exact"/>
              <w:rPr>
                <w:sz w:val="1"/>
                <w:szCs w:val="1"/>
                <w:color w:val="auto"/>
              </w:rPr>
            </w:pPr>
          </w:p>
        </w:tc>
        <w:tc>
          <w:tcPr>
            <w:tcW w:w="80" w:type="dxa"/>
            <w:vAlign w:val="bottom"/>
            <w:tcBorders>
              <w:top w:val="single" w:sz="8" w:color="0000FF"/>
            </w:tcBorders>
            <w:shd w:val="clear" w:color="auto" w:fill="CEFEE7"/>
          </w:tcPr>
          <w:p>
            <w:pPr>
              <w:spacing w:after="0" w:line="20" w:lineRule="exact"/>
              <w:rPr>
                <w:sz w:val="1"/>
                <w:szCs w:val="1"/>
                <w:color w:val="auto"/>
              </w:rPr>
            </w:pPr>
          </w:p>
        </w:tc>
        <w:tc>
          <w:tcPr>
            <w:tcW w:w="40" w:type="dxa"/>
            <w:vAlign w:val="bottom"/>
            <w:tcBorders>
              <w:top w:val="single" w:sz="8" w:color="0000FF"/>
            </w:tcBorders>
            <w:shd w:val="clear" w:color="auto" w:fill="CEFEE7"/>
          </w:tcPr>
          <w:p>
            <w:pPr>
              <w:spacing w:after="0" w:line="20" w:lineRule="exact"/>
              <w:rPr>
                <w:sz w:val="1"/>
                <w:szCs w:val="1"/>
                <w:color w:val="auto"/>
              </w:rPr>
            </w:pPr>
          </w:p>
        </w:tc>
        <w:tc>
          <w:tcPr>
            <w:tcW w:w="600" w:type="dxa"/>
            <w:vAlign w:val="bottom"/>
            <w:tcBorders>
              <w:top w:val="single" w:sz="8" w:color="0000FF"/>
            </w:tcBorders>
            <w:shd w:val="clear" w:color="auto" w:fill="CEFEE7"/>
          </w:tcPr>
          <w:p>
            <w:pPr>
              <w:spacing w:after="0" w:line="20" w:lineRule="exact"/>
              <w:rPr>
                <w:sz w:val="1"/>
                <w:szCs w:val="1"/>
                <w:color w:val="auto"/>
              </w:rPr>
            </w:pPr>
          </w:p>
        </w:tc>
        <w:tc>
          <w:tcPr>
            <w:tcW w:w="94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2040" w:type="dxa"/>
            <w:vAlign w:val="bottom"/>
            <w:tcBorders>
              <w:top w:val="single" w:sz="8" w:color="CEFEE7"/>
            </w:tcBorders>
            <w:shd w:val="clear" w:color="auto" w:fill="CEFEE7"/>
          </w:tcPr>
          <w:p>
            <w:pPr>
              <w:spacing w:after="0" w:line="20" w:lineRule="exact"/>
              <w:rPr>
                <w:sz w:val="1"/>
                <w:szCs w:val="1"/>
                <w:color w:val="auto"/>
              </w:rPr>
            </w:pPr>
          </w:p>
        </w:tc>
        <w:tc>
          <w:tcPr>
            <w:tcW w:w="560" w:type="dxa"/>
            <w:vAlign w:val="bottom"/>
            <w:tcBorders>
              <w:top w:val="single" w:sz="8" w:color="CEFEE7"/>
            </w:tcBorders>
            <w:shd w:val="clear" w:color="auto" w:fill="CEFEE7"/>
          </w:tcPr>
          <w:p>
            <w:pPr>
              <w:spacing w:after="0" w:line="20" w:lineRule="exact"/>
              <w:rPr>
                <w:sz w:val="1"/>
                <w:szCs w:val="1"/>
                <w:color w:val="auto"/>
              </w:rPr>
            </w:pPr>
          </w:p>
        </w:tc>
        <w:tc>
          <w:tcPr>
            <w:tcW w:w="4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1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31.1*</w:t>
            </w:r>
          </w:p>
        </w:tc>
        <w:tc>
          <w:tcPr>
            <w:tcW w:w="240" w:type="dxa"/>
            <w:vAlign w:val="bottom"/>
          </w:tcPr>
          <w:p>
            <w:pPr>
              <w:spacing w:after="0"/>
              <w:rPr>
                <w:sz w:val="15"/>
                <w:szCs w:val="15"/>
                <w:color w:val="auto"/>
              </w:rPr>
            </w:pPr>
          </w:p>
        </w:tc>
        <w:tc>
          <w:tcPr>
            <w:tcW w:w="9640" w:type="dxa"/>
            <w:vAlign w:val="bottom"/>
            <w:gridSpan w:val="33"/>
          </w:tcPr>
          <w:p>
            <w:pPr>
              <w:spacing w:after="0" w:line="175" w:lineRule="exact"/>
              <w:rPr>
                <w:rFonts w:ascii="Arial" w:cs="Arial" w:eastAsia="Arial" w:hAnsi="Arial"/>
                <w:sz w:val="16"/>
                <w:szCs w:val="16"/>
                <w:color w:val="0000FF"/>
              </w:rPr>
            </w:pPr>
            <w:hyperlink w:anchor="page132">
              <w:r>
                <w:rPr>
                  <w:rFonts w:ascii="Arial" w:cs="Arial" w:eastAsia="Arial" w:hAnsi="Arial"/>
                  <w:sz w:val="16"/>
                  <w:szCs w:val="16"/>
                  <w:color w:val="0000FF"/>
                </w:rPr>
                <w:t>Certification of Chief Executive Officer pursuant to Rule 13a - 14(a) of the Securities Exchange Act of 1934, as adopted pursuant</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6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w:anchor="page132">
              <w:r>
                <w:rPr>
                  <w:rFonts w:ascii="Arial" w:cs="Arial" w:eastAsia="Arial" w:hAnsi="Arial"/>
                  <w:sz w:val="16"/>
                  <w:szCs w:val="16"/>
                  <w:color w:val="0000FF"/>
                </w:rPr>
                <w:t>to Section 302 of the Sarbanes - Oxley Act of 2002.</w:t>
              </w:r>
            </w:hyperlink>
          </w:p>
        </w:tc>
        <w:tc>
          <w:tcPr>
            <w:tcW w:w="20" w:type="dxa"/>
            <w:vAlign w:val="bottom"/>
          </w:tcPr>
          <w:p>
            <w:pPr>
              <w:spacing w:after="0"/>
              <w:rPr>
                <w:sz w:val="12"/>
                <w:szCs w:val="12"/>
                <w:color w:val="auto"/>
              </w:rPr>
            </w:pPr>
          </w:p>
        </w:tc>
        <w:tc>
          <w:tcPr>
            <w:tcW w:w="360" w:type="dxa"/>
            <w:vAlign w:val="bottom"/>
            <w:gridSpan w:val="6"/>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0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31.2*</w:t>
            </w:r>
          </w:p>
        </w:tc>
        <w:tc>
          <w:tcPr>
            <w:tcW w:w="240" w:type="dxa"/>
            <w:vAlign w:val="bottom"/>
            <w:shd w:val="clear" w:color="auto" w:fill="CEFEE7"/>
          </w:tcPr>
          <w:p>
            <w:pPr>
              <w:spacing w:after="0"/>
              <w:rPr>
                <w:sz w:val="15"/>
                <w:szCs w:val="15"/>
                <w:color w:val="auto"/>
              </w:rPr>
            </w:pPr>
          </w:p>
        </w:tc>
        <w:tc>
          <w:tcPr>
            <w:tcW w:w="9400" w:type="dxa"/>
            <w:vAlign w:val="bottom"/>
            <w:tcBorders>
              <w:right w:val="single" w:sz="8" w:color="CEFEE7"/>
            </w:tcBorders>
            <w:gridSpan w:val="32"/>
            <w:shd w:val="clear" w:color="auto" w:fill="CEFEE7"/>
          </w:tcPr>
          <w:p>
            <w:pPr>
              <w:spacing w:after="0" w:line="175" w:lineRule="exact"/>
              <w:rPr>
                <w:rFonts w:ascii="Arial" w:cs="Arial" w:eastAsia="Arial" w:hAnsi="Arial"/>
                <w:sz w:val="16"/>
                <w:szCs w:val="16"/>
                <w:color w:val="0000FF"/>
              </w:rPr>
            </w:pPr>
            <w:hyperlink w:anchor="page133">
              <w:r>
                <w:rPr>
                  <w:rFonts w:ascii="Arial" w:cs="Arial" w:eastAsia="Arial" w:hAnsi="Arial"/>
                  <w:sz w:val="16"/>
                  <w:szCs w:val="16"/>
                  <w:color w:val="0000FF"/>
                </w:rPr>
                <w:t>Certification of Chief Financial Officer pursuant to Rule 13a - 14(a) of the Securities Exchange Act of 1934, as adopted pursuant</w:t>
              </w:r>
            </w:hyperlink>
          </w:p>
        </w:tc>
        <w:tc>
          <w:tcPr>
            <w:tcW w:w="240" w:type="dxa"/>
            <w:vAlign w:val="bottom"/>
          </w:tcPr>
          <w:p>
            <w:pPr>
              <w:spacing w:after="0"/>
              <w:rPr>
                <w:sz w:val="15"/>
                <w:szCs w:val="15"/>
                <w:color w:val="auto"/>
              </w:rPr>
            </w:pPr>
          </w:p>
        </w:tc>
      </w:tr>
      <w:tr>
        <w:trPr>
          <w:trHeight w:val="162"/>
        </w:trPr>
        <w:tc>
          <w:tcPr>
            <w:tcW w:w="340" w:type="dxa"/>
            <w:vAlign w:val="bottom"/>
          </w:tcPr>
          <w:p>
            <w:pPr>
              <w:spacing w:after="0"/>
              <w:rPr>
                <w:sz w:val="14"/>
                <w:szCs w:val="14"/>
                <w:color w:val="auto"/>
              </w:rPr>
            </w:pPr>
          </w:p>
        </w:tc>
        <w:tc>
          <w:tcPr>
            <w:tcW w:w="1020" w:type="dxa"/>
            <w:vAlign w:val="bottom"/>
            <w:tcBorders>
              <w:top w:val="single" w:sz="8" w:color="CEFEE7"/>
              <w:bottom w:val="single" w:sz="8" w:color="CEFEE7"/>
            </w:tcBorders>
            <w:shd w:val="clear" w:color="auto" w:fill="CEFEE7"/>
          </w:tcPr>
          <w:p>
            <w:pPr>
              <w:spacing w:after="0"/>
              <w:rPr>
                <w:sz w:val="14"/>
                <w:szCs w:val="14"/>
                <w:color w:val="auto"/>
              </w:rPr>
            </w:pPr>
          </w:p>
        </w:tc>
        <w:tc>
          <w:tcPr>
            <w:tcW w:w="240" w:type="dxa"/>
            <w:vAlign w:val="bottom"/>
            <w:tcBorders>
              <w:top w:val="single" w:sz="8" w:color="CEFEE7"/>
              <w:bottom w:val="single" w:sz="8" w:color="CEFEE7"/>
            </w:tcBorders>
            <w:shd w:val="clear" w:color="auto" w:fill="CEFEE7"/>
          </w:tcPr>
          <w:p>
            <w:pPr>
              <w:spacing w:after="0"/>
              <w:rPr>
                <w:sz w:val="14"/>
                <w:szCs w:val="14"/>
                <w:color w:val="auto"/>
              </w:rPr>
            </w:pPr>
          </w:p>
        </w:tc>
        <w:tc>
          <w:tcPr>
            <w:tcW w:w="3700" w:type="dxa"/>
            <w:vAlign w:val="bottom"/>
            <w:tcBorders>
              <w:top w:val="single" w:sz="8" w:color="0000FF"/>
              <w:bottom w:val="single" w:sz="8" w:color="0000FF"/>
            </w:tcBorders>
            <w:gridSpan w:val="10"/>
            <w:shd w:val="clear" w:color="auto" w:fill="CEFEE7"/>
          </w:tcPr>
          <w:p>
            <w:pPr>
              <w:spacing w:after="0" w:line="142" w:lineRule="exact"/>
              <w:rPr>
                <w:rFonts w:ascii="Arial" w:cs="Arial" w:eastAsia="Arial" w:hAnsi="Arial"/>
                <w:sz w:val="16"/>
                <w:szCs w:val="16"/>
                <w:color w:val="0000FF"/>
              </w:rPr>
            </w:pPr>
            <w:hyperlink w:anchor="page133">
              <w:r>
                <w:rPr>
                  <w:rFonts w:ascii="Arial" w:cs="Arial" w:eastAsia="Arial" w:hAnsi="Arial"/>
                  <w:sz w:val="16"/>
                  <w:szCs w:val="16"/>
                  <w:color w:val="0000FF"/>
                </w:rPr>
                <w:t>to Section 302 of the Sarbanes - Oxley Act of 2002.</w:t>
              </w:r>
            </w:hyperlink>
          </w:p>
        </w:tc>
        <w:tc>
          <w:tcPr>
            <w:tcW w:w="5460" w:type="dxa"/>
            <w:vAlign w:val="bottom"/>
            <w:tcBorders>
              <w:top w:val="single" w:sz="8" w:color="0000FF"/>
              <w:bottom w:val="single" w:sz="8" w:color="CEFEE7"/>
            </w:tcBorders>
            <w:gridSpan w:val="11"/>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100" w:type="dxa"/>
            <w:vAlign w:val="bottom"/>
            <w:tcBorders>
              <w:top w:val="single" w:sz="8" w:color="CEFEE7"/>
              <w:bottom w:val="single" w:sz="8" w:color="CEFEE7"/>
            </w:tcBorders>
            <w:gridSpan w:val="5"/>
            <w:shd w:val="clear" w:color="auto" w:fill="CEFEE7"/>
          </w:tcPr>
          <w:p>
            <w:pPr>
              <w:spacing w:after="0"/>
              <w:rPr>
                <w:sz w:val="14"/>
                <w:szCs w:val="14"/>
                <w:color w:val="auto"/>
              </w:rPr>
            </w:pPr>
          </w:p>
        </w:tc>
        <w:tc>
          <w:tcPr>
            <w:tcW w:w="120" w:type="dxa"/>
            <w:vAlign w:val="bottom"/>
            <w:tcBorders>
              <w:top w:val="single" w:sz="8" w:color="CEFEE7"/>
              <w:bottom w:val="single" w:sz="8" w:color="CEFEE7"/>
              <w:right w:val="single" w:sz="8" w:color="CEFEE7"/>
            </w:tcBorders>
            <w:gridSpan w:val="5"/>
            <w:shd w:val="clear" w:color="auto" w:fill="CEFEE7"/>
          </w:tcPr>
          <w:p>
            <w:pPr>
              <w:spacing w:after="0"/>
              <w:rPr>
                <w:sz w:val="14"/>
                <w:szCs w:val="14"/>
                <w:color w:val="auto"/>
              </w:rPr>
            </w:pPr>
          </w:p>
        </w:tc>
        <w:tc>
          <w:tcPr>
            <w:tcW w:w="240" w:type="dxa"/>
            <w:vAlign w:val="bottom"/>
          </w:tcPr>
          <w:p>
            <w:pPr>
              <w:spacing w:after="0"/>
              <w:rPr>
                <w:sz w:val="14"/>
                <w:szCs w:val="14"/>
                <w:color w:val="auto"/>
              </w:rPr>
            </w:pPr>
          </w:p>
        </w:tc>
      </w:tr>
      <w:tr>
        <w:trPr>
          <w:trHeight w:val="176"/>
        </w:trPr>
        <w:tc>
          <w:tcPr>
            <w:tcW w:w="1360" w:type="dxa"/>
            <w:vAlign w:val="bottom"/>
            <w:gridSpan w:val="2"/>
          </w:tcPr>
          <w:p>
            <w:pPr>
              <w:ind w:left="360"/>
              <w:spacing w:after="0" w:line="175" w:lineRule="exact"/>
              <w:rPr>
                <w:sz w:val="20"/>
                <w:szCs w:val="20"/>
                <w:color w:val="auto"/>
              </w:rPr>
            </w:pPr>
            <w:r>
              <w:rPr>
                <w:rFonts w:ascii="Arial" w:cs="Arial" w:eastAsia="Arial" w:hAnsi="Arial"/>
                <w:sz w:val="16"/>
                <w:szCs w:val="16"/>
                <w:color w:val="auto"/>
              </w:rPr>
              <w:t>32.1*</w:t>
            </w:r>
          </w:p>
        </w:tc>
        <w:tc>
          <w:tcPr>
            <w:tcW w:w="240" w:type="dxa"/>
            <w:vAlign w:val="bottom"/>
          </w:tcPr>
          <w:p>
            <w:pPr>
              <w:spacing w:after="0"/>
              <w:rPr>
                <w:sz w:val="15"/>
                <w:szCs w:val="15"/>
                <w:color w:val="auto"/>
              </w:rPr>
            </w:pPr>
          </w:p>
        </w:tc>
        <w:tc>
          <w:tcPr>
            <w:tcW w:w="9640" w:type="dxa"/>
            <w:vAlign w:val="bottom"/>
            <w:gridSpan w:val="33"/>
          </w:tcPr>
          <w:p>
            <w:pPr>
              <w:spacing w:after="0" w:line="175" w:lineRule="exact"/>
              <w:rPr>
                <w:rFonts w:ascii="Arial" w:cs="Arial" w:eastAsia="Arial" w:hAnsi="Arial"/>
                <w:sz w:val="16"/>
                <w:szCs w:val="16"/>
                <w:color w:val="0000FF"/>
              </w:rPr>
            </w:pPr>
            <w:hyperlink w:anchor="page134">
              <w:r>
                <w:rPr>
                  <w:rFonts w:ascii="Arial" w:cs="Arial" w:eastAsia="Arial" w:hAnsi="Arial"/>
                  <w:sz w:val="16"/>
                  <w:szCs w:val="16"/>
                  <w:color w:val="0000FF"/>
                </w:rPr>
                <w:t>Certification of Chief Executive Officer pursuant to 18 U.S.C. Section 1350, as adopted pursuant to Section 906 of the Sarbanes-</w:t>
              </w:r>
            </w:hyperlink>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8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w:anchor="page134">
              <w:r>
                <w:rPr>
                  <w:rFonts w:ascii="Arial" w:cs="Arial" w:eastAsia="Arial" w:hAnsi="Arial"/>
                  <w:sz w:val="16"/>
                  <w:szCs w:val="16"/>
                  <w:color w:val="0000FF"/>
                </w:rPr>
                <w:t>Oxley Act of 2002.</w:t>
              </w:r>
            </w:hyperlink>
          </w:p>
        </w:tc>
        <w:tc>
          <w:tcPr>
            <w:tcW w:w="360" w:type="dxa"/>
            <w:vAlign w:val="bottom"/>
            <w:gridSpan w:val="6"/>
          </w:tcPr>
          <w:p>
            <w:pPr>
              <w:spacing w:after="0"/>
              <w:rPr>
                <w:sz w:val="12"/>
                <w:szCs w:val="12"/>
                <w:color w:val="auto"/>
              </w:rPr>
            </w:pPr>
          </w:p>
        </w:tc>
      </w:tr>
      <w:tr>
        <w:trPr>
          <w:trHeight w:val="21"/>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32.2*</w:t>
            </w:r>
          </w:p>
        </w:tc>
        <w:tc>
          <w:tcPr>
            <w:tcW w:w="240" w:type="dxa"/>
            <w:vAlign w:val="bottom"/>
            <w:shd w:val="clear" w:color="auto" w:fill="CEFEE7"/>
          </w:tcPr>
          <w:p>
            <w:pPr>
              <w:spacing w:after="0"/>
              <w:rPr>
                <w:sz w:val="15"/>
                <w:szCs w:val="15"/>
                <w:color w:val="auto"/>
              </w:rPr>
            </w:pPr>
          </w:p>
        </w:tc>
        <w:tc>
          <w:tcPr>
            <w:tcW w:w="9400" w:type="dxa"/>
            <w:vAlign w:val="bottom"/>
            <w:tcBorders>
              <w:right w:val="single" w:sz="8" w:color="CEFEE7"/>
            </w:tcBorders>
            <w:gridSpan w:val="32"/>
            <w:shd w:val="clear" w:color="auto" w:fill="CEFEE7"/>
          </w:tcPr>
          <w:p>
            <w:pPr>
              <w:spacing w:after="0" w:line="175" w:lineRule="exact"/>
              <w:rPr>
                <w:rFonts w:ascii="Arial" w:cs="Arial" w:eastAsia="Arial" w:hAnsi="Arial"/>
                <w:sz w:val="16"/>
                <w:szCs w:val="16"/>
                <w:color w:val="0000FF"/>
              </w:rPr>
            </w:pPr>
            <w:hyperlink w:anchor="page135">
              <w:r>
                <w:rPr>
                  <w:rFonts w:ascii="Arial" w:cs="Arial" w:eastAsia="Arial" w:hAnsi="Arial"/>
                  <w:sz w:val="16"/>
                  <w:szCs w:val="16"/>
                  <w:color w:val="0000FF"/>
                </w:rPr>
                <w:t>Certification of Chief Financial Officer pursuant to 18 U.S.C. Section 1350, as adopted pursuant to Section 906 of the Sarbanes-</w:t>
              </w:r>
            </w:hyperlink>
          </w:p>
        </w:tc>
        <w:tc>
          <w:tcPr>
            <w:tcW w:w="24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20" w:type="dxa"/>
            <w:vAlign w:val="bottom"/>
            <w:tcBorders>
              <w:top w:val="single" w:sz="8" w:color="CEFEE7"/>
            </w:tcBorders>
            <w:shd w:val="clear" w:color="auto" w:fill="CEFEE7"/>
          </w:tcPr>
          <w:p>
            <w:pPr>
              <w:spacing w:after="0"/>
              <w:rPr>
                <w:sz w:val="12"/>
                <w:szCs w:val="12"/>
                <w:color w:val="auto"/>
              </w:rPr>
            </w:pPr>
          </w:p>
        </w:tc>
        <w:tc>
          <w:tcPr>
            <w:tcW w:w="240" w:type="dxa"/>
            <w:vAlign w:val="bottom"/>
            <w:tcBorders>
              <w:top w:val="single" w:sz="8" w:color="CEFEE7"/>
            </w:tcBorders>
            <w:shd w:val="clear" w:color="auto" w:fill="CEFEE7"/>
          </w:tcPr>
          <w:p>
            <w:pPr>
              <w:spacing w:after="0"/>
              <w:rPr>
                <w:sz w:val="12"/>
                <w:szCs w:val="12"/>
                <w:color w:val="auto"/>
              </w:rPr>
            </w:pPr>
          </w:p>
        </w:tc>
        <w:tc>
          <w:tcPr>
            <w:tcW w:w="9180" w:type="dxa"/>
            <w:vAlign w:val="bottom"/>
            <w:tcBorders>
              <w:top w:val="single" w:sz="8" w:color="0000FF"/>
            </w:tcBorders>
            <w:gridSpan w:val="22"/>
            <w:shd w:val="clear" w:color="auto" w:fill="CEFEE7"/>
          </w:tcPr>
          <w:p>
            <w:pPr>
              <w:spacing w:after="0" w:line="142" w:lineRule="exact"/>
              <w:rPr>
                <w:rFonts w:ascii="Arial" w:cs="Arial" w:eastAsia="Arial" w:hAnsi="Arial"/>
                <w:sz w:val="16"/>
                <w:szCs w:val="16"/>
                <w:color w:val="0000FF"/>
              </w:rPr>
            </w:pPr>
            <w:hyperlink w:anchor="page135">
              <w:r>
                <w:rPr>
                  <w:rFonts w:ascii="Arial" w:cs="Arial" w:eastAsia="Arial" w:hAnsi="Arial"/>
                  <w:sz w:val="16"/>
                  <w:szCs w:val="16"/>
                  <w:color w:val="0000FF"/>
                </w:rPr>
                <w:t>Oxley Act of 2002.</w:t>
              </w:r>
            </w:hyperlink>
          </w:p>
        </w:tc>
        <w:tc>
          <w:tcPr>
            <w:tcW w:w="220" w:type="dxa"/>
            <w:vAlign w:val="bottom"/>
            <w:tcBorders>
              <w:top w:val="single" w:sz="8" w:color="CEFEE7"/>
              <w:right w:val="single" w:sz="8" w:color="CEFEE7"/>
            </w:tcBorders>
            <w:gridSpan w:val="10"/>
            <w:shd w:val="clear" w:color="auto" w:fill="CEFEE7"/>
          </w:tcPr>
          <w:p>
            <w:pPr>
              <w:spacing w:after="0"/>
              <w:rPr>
                <w:sz w:val="12"/>
                <w:szCs w:val="12"/>
                <w:color w:val="auto"/>
              </w:rPr>
            </w:pPr>
          </w:p>
        </w:tc>
        <w:tc>
          <w:tcPr>
            <w:tcW w:w="240" w:type="dxa"/>
            <w:vAlign w:val="bottom"/>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240" w:type="dxa"/>
            <w:vAlign w:val="bottom"/>
            <w:tcBorders>
              <w:top w:val="single" w:sz="8" w:color="0000FF"/>
            </w:tcBorders>
            <w:shd w:val="clear" w:color="auto" w:fill="CEFEE7"/>
          </w:tcPr>
          <w:p>
            <w:pPr>
              <w:spacing w:after="0" w:line="20" w:lineRule="exact"/>
              <w:rPr>
                <w:sz w:val="1"/>
                <w:szCs w:val="1"/>
                <w:color w:val="auto"/>
              </w:rPr>
            </w:pPr>
          </w:p>
        </w:tc>
        <w:tc>
          <w:tcPr>
            <w:tcW w:w="960" w:type="dxa"/>
            <w:vAlign w:val="bottom"/>
            <w:tcBorders>
              <w:top w:val="single" w:sz="8" w:color="0000FF"/>
            </w:tcBorders>
            <w:shd w:val="clear" w:color="auto" w:fill="CEFEE7"/>
          </w:tcPr>
          <w:p>
            <w:pPr>
              <w:spacing w:after="0" w:line="20" w:lineRule="exact"/>
              <w:rPr>
                <w:sz w:val="1"/>
                <w:szCs w:val="1"/>
                <w:color w:val="auto"/>
              </w:rPr>
            </w:pPr>
          </w:p>
        </w:tc>
        <w:tc>
          <w:tcPr>
            <w:tcW w:w="820" w:type="dxa"/>
            <w:vAlign w:val="bottom"/>
            <w:tcBorders>
              <w:top w:val="single" w:sz="8" w:color="CEFEE7"/>
            </w:tcBorders>
            <w:shd w:val="clear" w:color="auto" w:fill="CEFEE7"/>
          </w:tcPr>
          <w:p>
            <w:pPr>
              <w:spacing w:after="0" w:line="20" w:lineRule="exact"/>
              <w:rPr>
                <w:sz w:val="1"/>
                <w:szCs w:val="1"/>
                <w:color w:val="auto"/>
              </w:rPr>
            </w:pPr>
          </w:p>
        </w:tc>
        <w:tc>
          <w:tcPr>
            <w:tcW w:w="640" w:type="dxa"/>
            <w:vAlign w:val="bottom"/>
            <w:tcBorders>
              <w:top w:val="single" w:sz="8" w:color="CEFEE7"/>
            </w:tcBorders>
            <w:shd w:val="clear" w:color="auto" w:fill="CEFEE7"/>
          </w:tcPr>
          <w:p>
            <w:pPr>
              <w:spacing w:after="0" w:line="20" w:lineRule="exact"/>
              <w:rPr>
                <w:sz w:val="1"/>
                <w:szCs w:val="1"/>
                <w:color w:val="auto"/>
              </w:rPr>
            </w:pPr>
          </w:p>
        </w:tc>
        <w:tc>
          <w:tcPr>
            <w:tcW w:w="180" w:type="dxa"/>
            <w:vAlign w:val="bottom"/>
            <w:tcBorders>
              <w:top w:val="single" w:sz="8" w:color="CEFEE7"/>
            </w:tcBorders>
            <w:shd w:val="clear" w:color="auto" w:fill="CEFEE7"/>
          </w:tcPr>
          <w:p>
            <w:pPr>
              <w:spacing w:after="0" w:line="20" w:lineRule="exact"/>
              <w:rPr>
                <w:sz w:val="1"/>
                <w:szCs w:val="1"/>
                <w:color w:val="auto"/>
              </w:rPr>
            </w:pPr>
          </w:p>
        </w:tc>
        <w:tc>
          <w:tcPr>
            <w:tcW w:w="32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600" w:type="dxa"/>
            <w:vAlign w:val="bottom"/>
            <w:tcBorders>
              <w:top w:val="single" w:sz="8" w:color="CEFEE7"/>
            </w:tcBorders>
            <w:shd w:val="clear" w:color="auto" w:fill="CEFEE7"/>
          </w:tcPr>
          <w:p>
            <w:pPr>
              <w:spacing w:after="0" w:line="20" w:lineRule="exact"/>
              <w:rPr>
                <w:sz w:val="1"/>
                <w:szCs w:val="1"/>
                <w:color w:val="auto"/>
              </w:rPr>
            </w:pPr>
          </w:p>
        </w:tc>
        <w:tc>
          <w:tcPr>
            <w:tcW w:w="94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2040" w:type="dxa"/>
            <w:vAlign w:val="bottom"/>
            <w:tcBorders>
              <w:top w:val="single" w:sz="8" w:color="CEFEE7"/>
            </w:tcBorders>
            <w:shd w:val="clear" w:color="auto" w:fill="CEFEE7"/>
          </w:tcPr>
          <w:p>
            <w:pPr>
              <w:spacing w:after="0" w:line="20" w:lineRule="exact"/>
              <w:rPr>
                <w:sz w:val="1"/>
                <w:szCs w:val="1"/>
                <w:color w:val="auto"/>
              </w:rPr>
            </w:pPr>
          </w:p>
        </w:tc>
        <w:tc>
          <w:tcPr>
            <w:tcW w:w="560" w:type="dxa"/>
            <w:vAlign w:val="bottom"/>
            <w:tcBorders>
              <w:top w:val="single" w:sz="8" w:color="CEFEE7"/>
            </w:tcBorders>
            <w:shd w:val="clear" w:color="auto" w:fill="CEFEE7"/>
          </w:tcPr>
          <w:p>
            <w:pPr>
              <w:spacing w:after="0" w:line="20" w:lineRule="exact"/>
              <w:rPr>
                <w:sz w:val="1"/>
                <w:szCs w:val="1"/>
                <w:color w:val="auto"/>
              </w:rPr>
            </w:pPr>
          </w:p>
        </w:tc>
        <w:tc>
          <w:tcPr>
            <w:tcW w:w="4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1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right w:val="single" w:sz="8" w:color="CEFEE7"/>
            </w:tcBorders>
            <w:shd w:val="clear" w:color="auto" w:fill="CEFEE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95*</w:t>
            </w:r>
          </w:p>
        </w:tc>
        <w:tc>
          <w:tcPr>
            <w:tcW w:w="240" w:type="dxa"/>
            <w:vAlign w:val="bottom"/>
          </w:tcPr>
          <w:p>
            <w:pPr>
              <w:spacing w:after="0"/>
              <w:rPr>
                <w:sz w:val="15"/>
                <w:szCs w:val="15"/>
                <w:color w:val="auto"/>
              </w:rPr>
            </w:pPr>
          </w:p>
        </w:tc>
        <w:tc>
          <w:tcPr>
            <w:tcW w:w="9640" w:type="dxa"/>
            <w:vAlign w:val="bottom"/>
            <w:gridSpan w:val="33"/>
          </w:tcPr>
          <w:p>
            <w:pPr>
              <w:spacing w:after="0" w:line="175" w:lineRule="exact"/>
              <w:rPr>
                <w:rFonts w:ascii="Arial" w:cs="Arial" w:eastAsia="Arial" w:hAnsi="Arial"/>
                <w:sz w:val="16"/>
                <w:szCs w:val="16"/>
                <w:color w:val="0000FF"/>
              </w:rPr>
            </w:pPr>
            <w:hyperlink w:anchor="page136">
              <w:r>
                <w:rPr>
                  <w:rFonts w:ascii="Arial" w:cs="Arial" w:eastAsia="Arial" w:hAnsi="Arial"/>
                  <w:sz w:val="16"/>
                  <w:szCs w:val="16"/>
                  <w:color w:val="0000FF"/>
                </w:rPr>
                <w:t>Mine Safety and Health Administration Safety Data</w:t>
              </w:r>
            </w:hyperlink>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7"/>
        </w:trPr>
        <w:tc>
          <w:tcPr>
            <w:tcW w:w="340" w:type="dxa"/>
            <w:vAlign w:val="bottom"/>
          </w:tcPr>
          <w:p>
            <w:pPr>
              <w:spacing w:after="0"/>
              <w:rPr>
                <w:sz w:val="15"/>
                <w:szCs w:val="15"/>
                <w:color w:val="auto"/>
              </w:rPr>
            </w:pPr>
          </w:p>
        </w:tc>
        <w:tc>
          <w:tcPr>
            <w:tcW w:w="1260" w:type="dxa"/>
            <w:vAlign w:val="bottom"/>
            <w:gridSpan w:val="2"/>
            <w:shd w:val="clear" w:color="auto" w:fill="CEFEE7"/>
          </w:tcPr>
          <w:p>
            <w:pPr>
              <w:ind w:left="20"/>
              <w:spacing w:after="0" w:line="178" w:lineRule="exact"/>
              <w:rPr>
                <w:sz w:val="20"/>
                <w:szCs w:val="20"/>
                <w:color w:val="auto"/>
              </w:rPr>
            </w:pPr>
            <w:r>
              <w:rPr>
                <w:rFonts w:ascii="Arial" w:cs="Arial" w:eastAsia="Arial" w:hAnsi="Arial"/>
                <w:sz w:val="16"/>
                <w:szCs w:val="16"/>
                <w:color w:val="auto"/>
              </w:rPr>
              <w:t>101.INS*</w:t>
            </w:r>
          </w:p>
        </w:tc>
        <w:tc>
          <w:tcPr>
            <w:tcW w:w="9400" w:type="dxa"/>
            <w:vAlign w:val="bottom"/>
            <w:tcBorders>
              <w:right w:val="single" w:sz="8" w:color="CEFEE7"/>
            </w:tcBorders>
            <w:gridSpan w:val="32"/>
            <w:shd w:val="clear" w:color="auto" w:fill="CEFEE7"/>
          </w:tcPr>
          <w:p>
            <w:pPr>
              <w:spacing w:after="0" w:line="178"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w:t>
            </w:r>
          </w:p>
        </w:tc>
        <w:tc>
          <w:tcPr>
            <w:tcW w:w="240" w:type="dxa"/>
            <w:vAlign w:val="bottom"/>
          </w:tcPr>
          <w:p>
            <w:pPr>
              <w:spacing w:after="0"/>
              <w:rPr>
                <w:sz w:val="15"/>
                <w:szCs w:val="15"/>
                <w:color w:val="auto"/>
              </w:rPr>
            </w:pPr>
          </w:p>
        </w:tc>
      </w:tr>
      <w:tr>
        <w:trPr>
          <w:trHeight w:val="201"/>
        </w:trPr>
        <w:tc>
          <w:tcPr>
            <w:tcW w:w="340" w:type="dxa"/>
            <w:vAlign w:val="bottom"/>
          </w:tcPr>
          <w:p>
            <w:pPr>
              <w:spacing w:after="0"/>
              <w:rPr>
                <w:sz w:val="17"/>
                <w:szCs w:val="17"/>
                <w:color w:val="auto"/>
              </w:rPr>
            </w:pPr>
          </w:p>
        </w:tc>
        <w:tc>
          <w:tcPr>
            <w:tcW w:w="1020" w:type="dxa"/>
            <w:vAlign w:val="bottom"/>
            <w:shd w:val="clear" w:color="auto" w:fill="CEFEE7"/>
          </w:tcPr>
          <w:p>
            <w:pPr>
              <w:spacing w:after="0"/>
              <w:rPr>
                <w:sz w:val="17"/>
                <w:szCs w:val="17"/>
                <w:color w:val="auto"/>
              </w:rPr>
            </w:pPr>
          </w:p>
        </w:tc>
        <w:tc>
          <w:tcPr>
            <w:tcW w:w="240" w:type="dxa"/>
            <w:vAlign w:val="bottom"/>
            <w:shd w:val="clear" w:color="auto" w:fill="CEFEE7"/>
          </w:tcPr>
          <w:p>
            <w:pPr>
              <w:spacing w:after="0"/>
              <w:rPr>
                <w:sz w:val="17"/>
                <w:szCs w:val="17"/>
                <w:color w:val="auto"/>
              </w:rPr>
            </w:pPr>
          </w:p>
        </w:tc>
        <w:tc>
          <w:tcPr>
            <w:tcW w:w="9400" w:type="dxa"/>
            <w:vAlign w:val="bottom"/>
            <w:tcBorders>
              <w:right w:val="single" w:sz="8" w:color="CEFEE7"/>
            </w:tcBorders>
            <w:gridSpan w:val="32"/>
            <w:shd w:val="clear" w:color="auto" w:fill="CEFEE7"/>
          </w:tcPr>
          <w:p>
            <w:pPr>
              <w:spacing w:after="0"/>
              <w:rPr>
                <w:sz w:val="20"/>
                <w:szCs w:val="20"/>
                <w:color w:val="auto"/>
              </w:rPr>
            </w:pPr>
            <w:r>
              <w:rPr>
                <w:rFonts w:ascii="Arial" w:cs="Arial" w:eastAsia="Arial" w:hAnsi="Arial"/>
                <w:sz w:val="16"/>
                <w:szCs w:val="16"/>
                <w:color w:val="auto"/>
              </w:rPr>
              <w:t>embedded within the Inline XBRL document</w:t>
            </w:r>
          </w:p>
        </w:tc>
        <w:tc>
          <w:tcPr>
            <w:tcW w:w="240" w:type="dxa"/>
            <w:vAlign w:val="bottom"/>
          </w:tcPr>
          <w:p>
            <w:pPr>
              <w:spacing w:after="0"/>
              <w:rPr>
                <w:sz w:val="17"/>
                <w:szCs w:val="17"/>
                <w:color w:val="auto"/>
              </w:rPr>
            </w:pPr>
          </w:p>
        </w:tc>
      </w:tr>
      <w:tr>
        <w:trPr>
          <w:trHeight w:val="213"/>
        </w:trPr>
        <w:tc>
          <w:tcPr>
            <w:tcW w:w="34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9640" w:type="dxa"/>
            <w:vAlign w:val="bottom"/>
            <w:gridSpan w:val="33"/>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9"/>
        </w:trPr>
        <w:tc>
          <w:tcPr>
            <w:tcW w:w="340" w:type="dxa"/>
            <w:vAlign w:val="bottom"/>
          </w:tcPr>
          <w:p>
            <w:pPr>
              <w:spacing w:after="0"/>
              <w:rPr>
                <w:sz w:val="19"/>
                <w:szCs w:val="19"/>
                <w:color w:val="auto"/>
              </w:rPr>
            </w:pPr>
          </w:p>
        </w:tc>
        <w:tc>
          <w:tcPr>
            <w:tcW w:w="1260" w:type="dxa"/>
            <w:vAlign w:val="bottom"/>
            <w:gridSpan w:val="2"/>
            <w:shd w:val="clear" w:color="auto" w:fill="CEFEE7"/>
          </w:tcPr>
          <w:p>
            <w:pPr>
              <w:ind w:left="20"/>
              <w:spacing w:after="0"/>
              <w:rPr>
                <w:sz w:val="20"/>
                <w:szCs w:val="20"/>
                <w:color w:val="auto"/>
              </w:rPr>
            </w:pPr>
            <w:r>
              <w:rPr>
                <w:rFonts w:ascii="Arial" w:cs="Arial" w:eastAsia="Arial" w:hAnsi="Arial"/>
                <w:sz w:val="16"/>
                <w:szCs w:val="16"/>
                <w:color w:val="auto"/>
              </w:rPr>
              <w:t>101.CAL*</w:t>
            </w:r>
          </w:p>
        </w:tc>
        <w:tc>
          <w:tcPr>
            <w:tcW w:w="9400" w:type="dxa"/>
            <w:vAlign w:val="bottom"/>
            <w:tcBorders>
              <w:right w:val="single" w:sz="8" w:color="CEFEE7"/>
            </w:tcBorders>
            <w:gridSpan w:val="32"/>
            <w:shd w:val="clear" w:color="auto" w:fill="CEFEE7"/>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240" w:type="dxa"/>
            <w:vAlign w:val="bottom"/>
          </w:tcPr>
          <w:p>
            <w:pPr>
              <w:spacing w:after="0"/>
              <w:rPr>
                <w:sz w:val="19"/>
                <w:szCs w:val="19"/>
                <w:color w:val="auto"/>
              </w:rPr>
            </w:pPr>
          </w:p>
        </w:tc>
      </w:tr>
      <w:tr>
        <w:trPr>
          <w:trHeight w:val="213"/>
        </w:trPr>
        <w:tc>
          <w:tcPr>
            <w:tcW w:w="34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9640" w:type="dxa"/>
            <w:vAlign w:val="bottom"/>
            <w:gridSpan w:val="33"/>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9"/>
        </w:trPr>
        <w:tc>
          <w:tcPr>
            <w:tcW w:w="340" w:type="dxa"/>
            <w:vAlign w:val="bottom"/>
          </w:tcPr>
          <w:p>
            <w:pPr>
              <w:spacing w:after="0"/>
              <w:rPr>
                <w:sz w:val="19"/>
                <w:szCs w:val="19"/>
                <w:color w:val="auto"/>
              </w:rPr>
            </w:pPr>
          </w:p>
        </w:tc>
        <w:tc>
          <w:tcPr>
            <w:tcW w:w="1260" w:type="dxa"/>
            <w:vAlign w:val="bottom"/>
            <w:gridSpan w:val="2"/>
            <w:shd w:val="clear" w:color="auto" w:fill="CEFEE7"/>
          </w:tcPr>
          <w:p>
            <w:pPr>
              <w:ind w:left="20"/>
              <w:spacing w:after="0"/>
              <w:rPr>
                <w:sz w:val="20"/>
                <w:szCs w:val="20"/>
                <w:color w:val="auto"/>
              </w:rPr>
            </w:pPr>
            <w:r>
              <w:rPr>
                <w:rFonts w:ascii="Arial" w:cs="Arial" w:eastAsia="Arial" w:hAnsi="Arial"/>
                <w:sz w:val="16"/>
                <w:szCs w:val="16"/>
                <w:color w:val="auto"/>
              </w:rPr>
              <w:t>101.LAB*</w:t>
            </w:r>
          </w:p>
        </w:tc>
        <w:tc>
          <w:tcPr>
            <w:tcW w:w="9400" w:type="dxa"/>
            <w:vAlign w:val="bottom"/>
            <w:tcBorders>
              <w:right w:val="single" w:sz="8" w:color="CEFEE7"/>
            </w:tcBorders>
            <w:gridSpan w:val="32"/>
            <w:shd w:val="clear" w:color="auto" w:fill="CEFEE7"/>
          </w:tcPr>
          <w:p>
            <w:pPr>
              <w:spacing w:after="0"/>
              <w:rPr>
                <w:sz w:val="20"/>
                <w:szCs w:val="20"/>
                <w:color w:val="auto"/>
              </w:rPr>
            </w:pPr>
            <w:r>
              <w:rPr>
                <w:rFonts w:ascii="Arial" w:cs="Arial" w:eastAsia="Arial" w:hAnsi="Arial"/>
                <w:sz w:val="16"/>
                <w:szCs w:val="16"/>
                <w:color w:val="auto"/>
              </w:rPr>
              <w:t>XBRL Taxonomy Extension Label Linkbase Document</w:t>
            </w:r>
          </w:p>
        </w:tc>
        <w:tc>
          <w:tcPr>
            <w:tcW w:w="240" w:type="dxa"/>
            <w:vAlign w:val="bottom"/>
          </w:tcPr>
          <w:p>
            <w:pPr>
              <w:spacing w:after="0"/>
              <w:rPr>
                <w:sz w:val="19"/>
                <w:szCs w:val="19"/>
                <w:color w:val="auto"/>
              </w:rPr>
            </w:pPr>
          </w:p>
        </w:tc>
      </w:tr>
      <w:tr>
        <w:trPr>
          <w:trHeight w:val="87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00" w:type="dxa"/>
            <w:vAlign w:val="bottom"/>
            <w:gridSpan w:val="11"/>
          </w:tcPr>
          <w:p>
            <w:pPr>
              <w:ind w:left="3880"/>
              <w:spacing w:after="0"/>
              <w:rPr>
                <w:sz w:val="20"/>
                <w:szCs w:val="20"/>
                <w:color w:val="auto"/>
              </w:rPr>
            </w:pPr>
            <w:r>
              <w:rPr>
                <w:rFonts w:ascii="Arial" w:cs="Arial" w:eastAsia="Arial" w:hAnsi="Arial"/>
                <w:sz w:val="16"/>
                <w:szCs w:val="16"/>
                <w:color w:val="auto"/>
              </w:rPr>
              <w:t>118</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08"/>
        </w:trPr>
        <w:tc>
          <w:tcPr>
            <w:tcW w:w="3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84"/>
        </w:trPr>
        <w:tc>
          <w:tcPr>
            <w:tcW w:w="1480" w:type="dxa"/>
            <w:vAlign w:val="bottom"/>
            <w:gridSpan w:val="3"/>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9440" w:type="dxa"/>
            <w:vAlign w:val="bottom"/>
          </w:tcPr>
          <w:p>
            <w:pPr>
              <w:spacing w:after="0"/>
              <w:rPr>
                <w:sz w:val="16"/>
                <w:szCs w:val="16"/>
                <w:color w:val="auto"/>
              </w:rPr>
            </w:pPr>
          </w:p>
        </w:tc>
      </w:tr>
      <w:tr>
        <w:trPr>
          <w:trHeight w:val="828"/>
        </w:trPr>
        <w:tc>
          <w:tcPr>
            <w:tcW w:w="34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ind w:left="20"/>
              <w:spacing w:after="0"/>
              <w:rPr>
                <w:sz w:val="20"/>
                <w:szCs w:val="20"/>
                <w:color w:val="auto"/>
              </w:rPr>
            </w:pPr>
            <w:r>
              <w:rPr>
                <w:rFonts w:ascii="Arial" w:cs="Arial" w:eastAsia="Arial" w:hAnsi="Arial"/>
                <w:sz w:val="16"/>
                <w:szCs w:val="16"/>
                <w:color w:val="auto"/>
              </w:rPr>
              <w:t>101.PRE*</w:t>
            </w:r>
          </w:p>
        </w:tc>
        <w:tc>
          <w:tcPr>
            <w:tcW w:w="120" w:type="dxa"/>
            <w:vAlign w:val="bottom"/>
          </w:tcPr>
          <w:p>
            <w:pPr>
              <w:spacing w:after="0"/>
              <w:rPr>
                <w:sz w:val="24"/>
                <w:szCs w:val="24"/>
                <w:color w:val="auto"/>
              </w:rPr>
            </w:pPr>
          </w:p>
        </w:tc>
        <w:tc>
          <w:tcPr>
            <w:tcW w:w="9440" w:type="dxa"/>
            <w:vAlign w:val="bottom"/>
          </w:tcPr>
          <w:p>
            <w:pPr>
              <w:ind w:left="12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9"/>
        </w:trPr>
        <w:tc>
          <w:tcPr>
            <w:tcW w:w="340" w:type="dxa"/>
            <w:vAlign w:val="bottom"/>
          </w:tcPr>
          <w:p>
            <w:pPr>
              <w:spacing w:after="0"/>
              <w:rPr>
                <w:sz w:val="19"/>
                <w:szCs w:val="19"/>
                <w:color w:val="auto"/>
              </w:rPr>
            </w:pPr>
          </w:p>
        </w:tc>
        <w:tc>
          <w:tcPr>
            <w:tcW w:w="1020" w:type="dxa"/>
            <w:vAlign w:val="bottom"/>
            <w:shd w:val="clear" w:color="auto" w:fill="CEFEE7"/>
          </w:tcPr>
          <w:p>
            <w:pPr>
              <w:ind w:left="20"/>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EFEE7"/>
          </w:tcPr>
          <w:p>
            <w:pPr>
              <w:spacing w:after="0"/>
              <w:rPr>
                <w:sz w:val="19"/>
                <w:szCs w:val="19"/>
                <w:color w:val="auto"/>
              </w:rPr>
            </w:pPr>
          </w:p>
        </w:tc>
        <w:tc>
          <w:tcPr>
            <w:tcW w:w="9440" w:type="dxa"/>
            <w:vAlign w:val="bottom"/>
            <w:shd w:val="clear" w:color="auto" w:fill="CEFEE7"/>
          </w:tcPr>
          <w:p>
            <w:pPr>
              <w:ind w:left="12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00" w:lineRule="exact"/>
        <w:rPr>
          <w:sz w:val="20"/>
          <w:szCs w:val="20"/>
          <w:color w:val="auto"/>
        </w:rPr>
      </w:pPr>
    </w:p>
    <w:p>
      <w:pPr>
        <w:spacing w:after="0" w:line="3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86"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14"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BLACK HILLS CORPORATION</w:t>
      </w:r>
    </w:p>
    <w:p>
      <w:pPr>
        <w:spacing w:after="0" w:line="302" w:lineRule="exact"/>
        <w:rPr>
          <w:sz w:val="20"/>
          <w:szCs w:val="20"/>
          <w:color w:val="auto"/>
        </w:rPr>
      </w:pPr>
    </w:p>
    <w:p>
      <w:pPr>
        <w:ind w:left="5160"/>
        <w:spacing w:after="0"/>
        <w:tabs>
          <w:tab w:leader="none" w:pos="5600" w:val="left"/>
        </w:tabs>
        <w:rPr>
          <w:sz w:val="20"/>
          <w:szCs w:val="20"/>
          <w:color w:val="auto"/>
        </w:rPr>
      </w:pPr>
      <w:r>
        <w:rPr>
          <w:rFonts w:ascii="Arial" w:cs="Arial" w:eastAsia="Arial" w:hAnsi="Arial"/>
          <w:sz w:val="16"/>
          <w:szCs w:val="16"/>
          <w:color w:val="auto"/>
        </w:rPr>
        <w:t>By:</w:t>
        <w:tab/>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10795</wp:posOffset>
            </wp:positionV>
            <wp:extent cx="30003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Linden R. Evans, President and Chief Executive Officer</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Dated: February 15, 2022</w:t>
      </w:r>
    </w:p>
    <w:p>
      <w:pPr>
        <w:spacing w:after="0" w:line="343" w:lineRule="exact"/>
        <w:rPr>
          <w:sz w:val="20"/>
          <w:szCs w:val="20"/>
          <w:color w:val="auto"/>
        </w:rPr>
      </w:pPr>
    </w:p>
    <w:p>
      <w:pPr>
        <w:ind w:right="160"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p>
    <w:tbl>
      <w:tblPr>
        <w:tblLayout w:type="fixed"/>
        <w:tblInd w:w="1020" w:type="dxa"/>
        <w:tblCellMar>
          <w:top w:w="0" w:type="dxa"/>
          <w:left w:w="0" w:type="dxa"/>
          <w:bottom w:w="0" w:type="dxa"/>
          <w:right w:w="0" w:type="dxa"/>
        </w:tblCellMar>
      </w:tblPr>
      <w:tr>
        <w:trPr>
          <w:trHeight w:val="198"/>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STEVEN R. MILLS</w:t>
            </w:r>
          </w:p>
        </w:tc>
        <w:tc>
          <w:tcPr>
            <w:tcW w:w="2360" w:type="dxa"/>
            <w:vAlign w:val="bottom"/>
          </w:tcPr>
          <w:p>
            <w:pPr>
              <w:spacing w:after="0"/>
              <w:rPr>
                <w:sz w:val="20"/>
                <w:szCs w:val="20"/>
                <w:color w:val="auto"/>
              </w:rPr>
            </w:pPr>
            <w:r>
              <w:rPr>
                <w:rFonts w:ascii="Arial" w:cs="Arial" w:eastAsia="Arial" w:hAnsi="Arial"/>
                <w:sz w:val="16"/>
                <w:szCs w:val="16"/>
                <w:color w:val="auto"/>
              </w:rPr>
              <w:t>Director and</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15, 2022</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Steven R. Mills</w:t>
            </w:r>
          </w:p>
        </w:tc>
        <w:tc>
          <w:tcPr>
            <w:tcW w:w="2360" w:type="dxa"/>
            <w:vAlign w:val="bottom"/>
          </w:tcPr>
          <w:p>
            <w:pPr>
              <w:spacing w:after="0"/>
              <w:rPr>
                <w:sz w:val="20"/>
                <w:szCs w:val="20"/>
                <w:color w:val="auto"/>
              </w:rPr>
            </w:pPr>
            <w:r>
              <w:rPr>
                <w:rFonts w:ascii="Arial" w:cs="Arial" w:eastAsia="Arial" w:hAnsi="Arial"/>
                <w:sz w:val="16"/>
                <w:szCs w:val="16"/>
                <w:color w:val="auto"/>
              </w:rPr>
              <w:t>Chairman</w:t>
            </w: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LINDEN R. EVANS</w:t>
            </w:r>
          </w:p>
        </w:tc>
        <w:tc>
          <w:tcPr>
            <w:tcW w:w="2360" w:type="dxa"/>
            <w:vAlign w:val="bottom"/>
          </w:tcPr>
          <w:p>
            <w:pPr>
              <w:spacing w:after="0"/>
              <w:rPr>
                <w:sz w:val="20"/>
                <w:szCs w:val="20"/>
                <w:color w:val="auto"/>
              </w:rPr>
            </w:pPr>
            <w:r>
              <w:rPr>
                <w:rFonts w:ascii="Arial" w:cs="Arial" w:eastAsia="Arial" w:hAnsi="Arial"/>
                <w:sz w:val="16"/>
                <w:szCs w:val="16"/>
                <w:color w:val="auto"/>
              </w:rPr>
              <w:t>Director and</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15, 2022</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Linden R. Evans, President</w:t>
            </w:r>
          </w:p>
        </w:tc>
        <w:tc>
          <w:tcPr>
            <w:tcW w:w="2360" w:type="dxa"/>
            <w:vAlign w:val="bottom"/>
          </w:tcPr>
          <w:p>
            <w:pPr>
              <w:spacing w:after="0"/>
              <w:rPr>
                <w:sz w:val="20"/>
                <w:szCs w:val="20"/>
                <w:color w:val="auto"/>
              </w:rPr>
            </w:pPr>
            <w:r>
              <w:rPr>
                <w:rFonts w:ascii="Arial" w:cs="Arial" w:eastAsia="Arial" w:hAnsi="Arial"/>
                <w:sz w:val="16"/>
                <w:szCs w:val="16"/>
                <w:color w:val="auto"/>
              </w:rPr>
              <w:t>Principal Executive Officer</w:t>
            </w:r>
          </w:p>
        </w:tc>
        <w:tc>
          <w:tcPr>
            <w:tcW w:w="1800" w:type="dxa"/>
            <w:vAlign w:val="bottom"/>
          </w:tcPr>
          <w:p>
            <w:pPr>
              <w:spacing w:after="0"/>
              <w:rPr>
                <w:sz w:val="17"/>
                <w:szCs w:val="17"/>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6"/>
                <w:szCs w:val="16"/>
                <w:color w:val="auto"/>
              </w:rPr>
              <w:t>and Chief Executive Officer</w:t>
            </w:r>
          </w:p>
        </w:tc>
        <w:tc>
          <w:tcPr>
            <w:tcW w:w="23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RICHARD W. KINZLEY</w:t>
            </w:r>
          </w:p>
        </w:tc>
        <w:tc>
          <w:tcPr>
            <w:tcW w:w="2360" w:type="dxa"/>
            <w:vAlign w:val="bottom"/>
          </w:tcPr>
          <w:p>
            <w:pPr>
              <w:spacing w:after="0"/>
              <w:rPr>
                <w:sz w:val="20"/>
                <w:szCs w:val="20"/>
                <w:color w:val="auto"/>
              </w:rPr>
            </w:pPr>
            <w:r>
              <w:rPr>
                <w:rFonts w:ascii="Arial" w:cs="Arial" w:eastAsia="Arial" w:hAnsi="Arial"/>
                <w:sz w:val="16"/>
                <w:szCs w:val="16"/>
                <w:color w:val="auto"/>
              </w:rPr>
              <w:t>Principal Financial and</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15, 2022</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Richard W. Kinzley, Senior Vice President</w:t>
            </w:r>
          </w:p>
        </w:tc>
        <w:tc>
          <w:tcPr>
            <w:tcW w:w="2360" w:type="dxa"/>
            <w:vAlign w:val="bottom"/>
          </w:tcPr>
          <w:p>
            <w:pPr>
              <w:spacing w:after="0"/>
              <w:rPr>
                <w:sz w:val="20"/>
                <w:szCs w:val="20"/>
                <w:color w:val="auto"/>
              </w:rPr>
            </w:pPr>
            <w:r>
              <w:rPr>
                <w:rFonts w:ascii="Arial" w:cs="Arial" w:eastAsia="Arial" w:hAnsi="Arial"/>
                <w:sz w:val="16"/>
                <w:szCs w:val="16"/>
                <w:color w:val="auto"/>
              </w:rPr>
              <w:t>Accounting Officer</w:t>
            </w:r>
          </w:p>
        </w:tc>
        <w:tc>
          <w:tcPr>
            <w:tcW w:w="1800" w:type="dxa"/>
            <w:vAlign w:val="bottom"/>
          </w:tcPr>
          <w:p>
            <w:pPr>
              <w:spacing w:after="0"/>
              <w:rPr>
                <w:sz w:val="17"/>
                <w:szCs w:val="17"/>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6"/>
                <w:szCs w:val="16"/>
                <w:color w:val="auto"/>
              </w:rPr>
              <w:t>and Chief Financial Officer</w:t>
            </w:r>
          </w:p>
        </w:tc>
        <w:tc>
          <w:tcPr>
            <w:tcW w:w="23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BARRY M. GRANGER</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15, 2022</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Barry M. Granger</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TONY A. JENSEN</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15, 2022</w:t>
            </w:r>
          </w:p>
        </w:tc>
      </w:tr>
      <w:tr>
        <w:trPr>
          <w:trHeight w:val="206"/>
        </w:trPr>
        <w:tc>
          <w:tcPr>
            <w:tcW w:w="4340" w:type="dxa"/>
            <w:vAlign w:val="bottom"/>
          </w:tcPr>
          <w:p>
            <w:pPr>
              <w:ind w:left="20"/>
              <w:spacing w:after="0"/>
              <w:rPr>
                <w:sz w:val="20"/>
                <w:szCs w:val="20"/>
                <w:color w:val="auto"/>
              </w:rPr>
            </w:pPr>
            <w:r>
              <w:rPr>
                <w:rFonts w:ascii="Arial" w:cs="Arial" w:eastAsia="Arial" w:hAnsi="Arial"/>
                <w:sz w:val="16"/>
                <w:szCs w:val="16"/>
                <w:color w:val="auto"/>
              </w:rPr>
              <w:t>Tony A. Jensen</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KATHLEEN S. MCALLISTER</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15, 2022</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Kathleen S. McAllister</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ROBERT P. OTTO</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15, 2022</w:t>
            </w:r>
          </w:p>
        </w:tc>
      </w:tr>
      <w:tr>
        <w:trPr>
          <w:trHeight w:val="206"/>
        </w:trPr>
        <w:tc>
          <w:tcPr>
            <w:tcW w:w="4340" w:type="dxa"/>
            <w:vAlign w:val="bottom"/>
          </w:tcPr>
          <w:p>
            <w:pPr>
              <w:ind w:left="20"/>
              <w:spacing w:after="0"/>
              <w:rPr>
                <w:sz w:val="20"/>
                <w:szCs w:val="20"/>
                <w:color w:val="auto"/>
              </w:rPr>
            </w:pPr>
            <w:r>
              <w:rPr>
                <w:rFonts w:ascii="Arial" w:cs="Arial" w:eastAsia="Arial" w:hAnsi="Arial"/>
                <w:sz w:val="16"/>
                <w:szCs w:val="16"/>
                <w:color w:val="auto"/>
              </w:rPr>
              <w:t>Robert P. Otto</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M. PROCHAZKA</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15, 2022</w:t>
            </w:r>
          </w:p>
        </w:tc>
      </w:tr>
      <w:tr>
        <w:trPr>
          <w:trHeight w:val="206"/>
        </w:trPr>
        <w:tc>
          <w:tcPr>
            <w:tcW w:w="4340" w:type="dxa"/>
            <w:vAlign w:val="bottom"/>
          </w:tcPr>
          <w:p>
            <w:pPr>
              <w:ind w:left="20"/>
              <w:spacing w:after="0"/>
              <w:rPr>
                <w:sz w:val="20"/>
                <w:szCs w:val="20"/>
                <w:color w:val="auto"/>
              </w:rPr>
            </w:pPr>
            <w:r>
              <w:rPr>
                <w:rFonts w:ascii="Arial" w:cs="Arial" w:eastAsia="Arial" w:hAnsi="Arial"/>
                <w:sz w:val="16"/>
                <w:szCs w:val="16"/>
                <w:color w:val="auto"/>
              </w:rPr>
              <w:t>Scott M. Prochazka</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REBECCA B. ROBERTS</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15, 2022</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Rebecca B. Roberts</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MARK A. SCHOBER</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15, 2022</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Mark A. Schober</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TERESA A. TAYLOR</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15, 2022</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Teresa A. Taylor</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B. VERING</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15, 2022</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John B. Vering</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918"/>
        </w:trPr>
        <w:tc>
          <w:tcPr>
            <w:tcW w:w="4340" w:type="dxa"/>
            <w:vAlign w:val="bottom"/>
          </w:tcPr>
          <w:p>
            <w:pPr>
              <w:spacing w:after="0"/>
              <w:rPr>
                <w:sz w:val="24"/>
                <w:szCs w:val="24"/>
                <w:color w:val="auto"/>
              </w:rPr>
            </w:pPr>
          </w:p>
        </w:tc>
        <w:tc>
          <w:tcPr>
            <w:tcW w:w="2360" w:type="dxa"/>
            <w:vAlign w:val="bottom"/>
          </w:tcPr>
          <w:p>
            <w:pPr>
              <w:ind w:left="120"/>
              <w:spacing w:after="0"/>
              <w:rPr>
                <w:sz w:val="20"/>
                <w:szCs w:val="20"/>
                <w:color w:val="auto"/>
              </w:rPr>
            </w:pPr>
            <w:r>
              <w:rPr>
                <w:rFonts w:ascii="Arial" w:cs="Arial" w:eastAsia="Arial" w:hAnsi="Arial"/>
                <w:sz w:val="16"/>
                <w:szCs w:val="16"/>
                <w:color w:val="auto"/>
              </w:rPr>
              <w:t>120</w:t>
            </w:r>
          </w:p>
        </w:tc>
        <w:tc>
          <w:tcPr>
            <w:tcW w:w="1800" w:type="dxa"/>
            <w:vAlign w:val="bottom"/>
          </w:tcPr>
          <w:p>
            <w:pPr>
              <w:spacing w:after="0"/>
              <w:rPr>
                <w:sz w:val="24"/>
                <w:szCs w:val="24"/>
                <w:color w:val="auto"/>
              </w:rPr>
            </w:pPr>
          </w:p>
        </w:tc>
      </w:tr>
    </w:tbl>
    <w:p>
      <w:pPr>
        <w:sectPr>
          <w:pgSz w:w="11900" w:h="16838" w:orient="portrait"/>
          <w:cols w:equalWidth="0" w:num="1">
            <w:col w:w="11200"/>
          </w:cols>
          <w:pgMar w:left="320" w:top="121" w:right="37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BLACK HILLS CORPORATION NON-EMPLOYEE DIRECTOR</w:t>
      </w:r>
    </w:p>
    <w:p>
      <w:pPr>
        <w:jc w:val="center"/>
        <w:spacing w:after="0" w:line="223" w:lineRule="auto"/>
        <w:rPr>
          <w:sz w:val="20"/>
          <w:szCs w:val="20"/>
          <w:color w:val="auto"/>
        </w:rPr>
      </w:pPr>
      <w:r>
        <w:rPr>
          <w:rFonts w:ascii="Arial" w:cs="Arial" w:eastAsia="Arial" w:hAnsi="Arial"/>
          <w:sz w:val="18"/>
          <w:szCs w:val="18"/>
          <w:b w:val="1"/>
          <w:bCs w:val="1"/>
          <w:color w:val="auto"/>
        </w:rPr>
        <w:t>EQUITY Compensation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January 1,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 Purpose</w:t>
      </w:r>
    </w:p>
    <w:p>
      <w:pPr>
        <w:spacing w:after="0" w:line="247" w:lineRule="exact"/>
        <w:rPr>
          <w:sz w:val="20"/>
          <w:szCs w:val="20"/>
          <w:color w:val="auto"/>
        </w:rPr>
      </w:pPr>
    </w:p>
    <w:p>
      <w:pPr>
        <w:jc w:val="both"/>
        <w:ind w:left="420" w:hanging="404"/>
        <w:spacing w:after="0" w:line="229" w:lineRule="auto"/>
        <w:rPr>
          <w:sz w:val="20"/>
          <w:szCs w:val="20"/>
          <w:color w:val="auto"/>
        </w:rPr>
      </w:pPr>
      <w:r>
        <w:rPr>
          <w:rFonts w:ascii="Arial" w:cs="Arial" w:eastAsia="Arial" w:hAnsi="Arial"/>
          <w:sz w:val="18"/>
          <w:szCs w:val="18"/>
          <w:color w:val="auto"/>
        </w:rPr>
        <w:t>1.1 Purpose. The purpose of the Black Hills Corporation Non-Employee Director Equity Compensation Plan (the “Plan”) is to provide non-employee directors on the Board of Directors of Black Hills Corporation with annual equity compensation awards as compensation for Board service and the opportunity to defer settlement of such awards.</w:t>
      </w:r>
    </w:p>
    <w:p>
      <w:pPr>
        <w:spacing w:after="0" w:line="218" w:lineRule="exact"/>
        <w:rPr>
          <w:sz w:val="20"/>
          <w:szCs w:val="20"/>
          <w:color w:val="auto"/>
        </w:rPr>
      </w:pPr>
    </w:p>
    <w:p>
      <w:pPr>
        <w:jc w:val="both"/>
        <w:ind w:left="420" w:hanging="404"/>
        <w:spacing w:after="0" w:line="224" w:lineRule="auto"/>
        <w:rPr>
          <w:sz w:val="20"/>
          <w:szCs w:val="20"/>
          <w:color w:val="auto"/>
        </w:rPr>
      </w:pPr>
      <w:r>
        <w:rPr>
          <w:rFonts w:ascii="Arial" w:cs="Arial" w:eastAsia="Arial" w:hAnsi="Arial"/>
          <w:sz w:val="18"/>
          <w:szCs w:val="18"/>
          <w:color w:val="auto"/>
        </w:rPr>
        <w:t>1.2 Coordination with the Omnibus Plan. The Plan is established pursuant to Section 21.14 and other applicable provisions of the Black Hills Corporation Amended and Restated 2015 Omnibus Incentive Plan (the “Omnibus Plan”). All Awards under the Plan shall be granted in accordance with all the applicable provisions of the Omnibus Plan. To the extent there is any conflict between the provisions of the Plan and the Omnibus Plan, the Omnibus Plan shall govern. To the extent necessary to comply with applicable laws, anything in the Plan that would materially amend or alter the Omnibus Plan, requiring stockholder approval, shall not be valid and enforced until such stockholder approval is obtained in such a manner and to such a degree as required.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 Definitions</w:t>
      </w:r>
    </w:p>
    <w:p>
      <w:pPr>
        <w:spacing w:after="0" w:line="24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Capitalized terms used herein, but not defined, shall be given meaning as ascribed to them under the Black Hills Corporation 2015 Omnibus Incentive Plan. For the purposes of the Plan, the following terms are defined as set forth below:</w:t>
      </w:r>
    </w:p>
    <w:p>
      <w:pPr>
        <w:spacing w:after="0" w:line="216" w:lineRule="exact"/>
        <w:rPr>
          <w:sz w:val="20"/>
          <w:szCs w:val="20"/>
          <w:color w:val="auto"/>
        </w:rPr>
      </w:pPr>
    </w:p>
    <w:p>
      <w:pPr>
        <w:jc w:val="both"/>
        <w:ind w:left="660" w:hanging="647"/>
        <w:spacing w:after="0" w:line="235" w:lineRule="auto"/>
        <w:rPr>
          <w:sz w:val="20"/>
          <w:szCs w:val="20"/>
          <w:color w:val="auto"/>
        </w:rPr>
      </w:pPr>
      <w:r>
        <w:rPr>
          <w:rFonts w:ascii="Arial" w:cs="Arial" w:eastAsia="Arial" w:hAnsi="Arial"/>
          <w:sz w:val="18"/>
          <w:szCs w:val="18"/>
          <w:color w:val="auto"/>
        </w:rPr>
        <w:t>2.1 “Account” means the separate bookkeeping account maintained on the books of the Company for each Participant to track the Participant’s Awards, and adjustments thereto.</w:t>
      </w:r>
    </w:p>
    <w:p>
      <w:pPr>
        <w:spacing w:after="0" w:line="216" w:lineRule="exact"/>
        <w:rPr>
          <w:sz w:val="20"/>
          <w:szCs w:val="20"/>
          <w:color w:val="auto"/>
        </w:rPr>
      </w:pPr>
    </w:p>
    <w:p>
      <w:pPr>
        <w:jc w:val="both"/>
        <w:ind w:left="560" w:hanging="647"/>
        <w:spacing w:after="0" w:line="229" w:lineRule="auto"/>
        <w:tabs>
          <w:tab w:leader="none" w:pos="5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“Award” means a Restricted Stock Unit award granted to a Participant under the Plan. Awards shall be subject to the terms and conditions of the Plan, the Omnibus Plan, the Award Agreement, and such other terms and conditions as the Committee shall deem desirable.</w:t>
      </w: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“Beneficiary” means the person or persons designated as such under Article VII of the Plan.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“Board” means the Board of Directors of the Company.</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“Code” means the Internal Revenue Code of 1986, as amended from time to time.</w:t>
      </w:r>
    </w:p>
    <w:p>
      <w:pPr>
        <w:spacing w:after="0" w:line="225" w:lineRule="exact"/>
        <w:rPr>
          <w:sz w:val="20"/>
          <w:szCs w:val="20"/>
          <w:color w:val="auto"/>
        </w:rPr>
      </w:pPr>
    </w:p>
    <w:p>
      <w:pPr>
        <w:jc w:val="both"/>
        <w:ind w:left="520" w:hanging="647"/>
        <w:spacing w:after="0" w:line="235" w:lineRule="auto"/>
        <w:tabs>
          <w:tab w:leader="none" w:pos="500" w:val="left"/>
        </w:tabs>
        <w:rPr>
          <w:sz w:val="20"/>
          <w:szCs w:val="20"/>
          <w:color w:val="auto"/>
        </w:rPr>
      </w:pPr>
      <w:r>
        <w:rPr>
          <w:rFonts w:ascii="Arial" w:cs="Arial" w:eastAsia="Arial" w:hAnsi="Arial"/>
          <w:sz w:val="18"/>
          <w:szCs w:val="18"/>
          <w:color w:val="auto"/>
        </w:rPr>
        <w:t>2.6</w:t>
        <w:tab/>
        <w:t>“Committee” means the Compensation Committee of the Board or any successor committee or subcommittee of the Board or other committee or subcommittee designated by the Board.</w:t>
      </w:r>
    </w:p>
    <w:p>
      <w:pPr>
        <w:spacing w:after="0" w:line="2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“Company” means Black Hills Corporation, a South Dakota corporation, and its successors.</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color w:val="auto"/>
        </w:rPr>
        <w:t>“Deferred Stock Unit” means a Restricted Stock Unit that a Participant elected to defer in accordance with Article V.</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color w:val="auto"/>
        </w:rPr>
        <w:t>“Effective Date” means January 1, 2022.</w:t>
      </w:r>
    </w:p>
    <w:p>
      <w:pPr>
        <w:spacing w:after="0" w:line="225" w:lineRule="exact"/>
        <w:rPr>
          <w:sz w:val="20"/>
          <w:szCs w:val="20"/>
          <w:color w:val="auto"/>
        </w:rPr>
      </w:pPr>
    </w:p>
    <w:p>
      <w:pPr>
        <w:jc w:val="both"/>
        <w:ind w:left="600" w:hanging="647"/>
        <w:spacing w:after="0" w:line="235" w:lineRule="auto"/>
        <w:tabs>
          <w:tab w:leader="none" w:pos="580" w:val="left"/>
        </w:tabs>
        <w:rPr>
          <w:sz w:val="20"/>
          <w:szCs w:val="20"/>
          <w:color w:val="auto"/>
        </w:rPr>
      </w:pPr>
      <w:r>
        <w:rPr>
          <w:rFonts w:ascii="Arial" w:cs="Arial" w:eastAsia="Arial" w:hAnsi="Arial"/>
          <w:sz w:val="18"/>
          <w:szCs w:val="18"/>
          <w:color w:val="auto"/>
        </w:rPr>
        <w:t>2.10</w:t>
        <w:tab/>
        <w:t>“Omnibus Plan” means the Black Hills Corporation Amended and Restated 2015 Omnibus Incentive Plan, as may be amended from time to time, or any successor equity plan applicable to non-employee directors of the board adopted by the Company.</w:t>
      </w:r>
    </w:p>
    <w:p>
      <w:pPr>
        <w:spacing w:after="0" w:line="2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“Participant” means a Nonemployee Director who receives an Award under the Plan.</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color w:val="auto"/>
        </w:rPr>
        <w:t>“Plan” means the Black Hills Corporation Non-Employee Director Equity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399" w:right="339" w:bottom="1440" w:gutter="0" w:footer="0" w:header="0"/>
        </w:sectPr>
      </w:pPr>
    </w:p>
    <w:bookmarkStart w:id="121" w:name="page122"/>
    <w:bookmarkEnd w:id="121"/>
    <w:p>
      <w:pPr>
        <w:jc w:val="both"/>
        <w:ind w:left="660" w:hanging="647"/>
        <w:spacing w:after="0" w:line="235" w:lineRule="auto"/>
        <w:tabs>
          <w:tab w:leader="none" w:pos="6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“Separation from Service” means a “separation from service” from the Company, within the meaning of Code Section 409A, as applicable to the Participant.</w:t>
      </w:r>
    </w:p>
    <w:p>
      <w:pPr>
        <w:spacing w:after="0" w:line="2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color w:val="auto"/>
        </w:rPr>
        <w:t>“Stock” means the common stock, par value $1.00 per share, of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III – Participation</w:t>
      </w:r>
    </w:p>
    <w:p>
      <w:pPr>
        <w:spacing w:after="0" w:line="24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Each Nonemployee Director shall be eligible to become a Participant in accordance with the provisions of the Plan.</w:t>
      </w:r>
    </w:p>
    <w:p>
      <w:pPr>
        <w:spacing w:after="0" w:line="225" w:lineRule="exact"/>
        <w:rPr>
          <w:sz w:val="20"/>
          <w:szCs w:val="20"/>
          <w:color w:val="auto"/>
        </w:rPr>
      </w:pPr>
    </w:p>
    <w:p>
      <w:pPr>
        <w:jc w:val="both"/>
        <w:ind w:left="460" w:hanging="647"/>
        <w:spacing w:after="0" w:line="235" w:lineRule="auto"/>
        <w:tabs>
          <w:tab w:leader="none" w:pos="440" w:val="left"/>
        </w:tabs>
        <w:rPr>
          <w:sz w:val="20"/>
          <w:szCs w:val="20"/>
          <w:color w:val="auto"/>
        </w:rPr>
      </w:pPr>
      <w:r>
        <w:rPr>
          <w:rFonts w:ascii="Arial" w:cs="Arial" w:eastAsia="Arial" w:hAnsi="Arial"/>
          <w:sz w:val="18"/>
          <w:szCs w:val="18"/>
          <w:color w:val="auto"/>
        </w:rPr>
        <w:t>3.2</w:t>
        <w:tab/>
        <w:t>A Participant shall remain a Participant until he or she has received settlement of all Units to which he or she is entitled under the terms of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IV – Restricted Stock Unit Awards</w:t>
      </w:r>
    </w:p>
    <w:p>
      <w:pPr>
        <w:spacing w:after="0" w:line="247" w:lineRule="exact"/>
        <w:rPr>
          <w:sz w:val="20"/>
          <w:szCs w:val="20"/>
          <w:color w:val="auto"/>
        </w:rPr>
      </w:pPr>
    </w:p>
    <w:p>
      <w:pPr>
        <w:jc w:val="both"/>
        <w:ind w:left="480" w:hanging="647"/>
        <w:spacing w:after="0" w:line="235" w:lineRule="auto"/>
        <w:tabs>
          <w:tab w:leader="none" w:pos="460" w:val="left"/>
        </w:tabs>
        <w:rPr>
          <w:sz w:val="20"/>
          <w:szCs w:val="20"/>
          <w:color w:val="auto"/>
        </w:rPr>
      </w:pPr>
      <w:r>
        <w:rPr>
          <w:rFonts w:ascii="Arial" w:cs="Arial" w:eastAsia="Arial" w:hAnsi="Arial"/>
          <w:sz w:val="18"/>
          <w:szCs w:val="18"/>
          <w:color w:val="auto"/>
        </w:rPr>
        <w:t>4.1</w:t>
        <w:tab/>
        <w:t>Annual Awards. The Board may grant Awards to each Nonemployee Director, for services to the Company, at such timing and in such amounts as determined by the Board.</w:t>
      </w:r>
    </w:p>
    <w:p>
      <w:pPr>
        <w:spacing w:after="0" w:line="216" w:lineRule="exact"/>
        <w:rPr>
          <w:sz w:val="20"/>
          <w:szCs w:val="20"/>
          <w:color w:val="auto"/>
        </w:rPr>
      </w:pPr>
    </w:p>
    <w:p>
      <w:pPr>
        <w:jc w:val="both"/>
        <w:ind w:left="460" w:hanging="647"/>
        <w:spacing w:after="0" w:line="225" w:lineRule="auto"/>
        <w:tabs>
          <w:tab w:leader="none" w:pos="440" w:val="left"/>
        </w:tabs>
        <w:rPr>
          <w:sz w:val="20"/>
          <w:szCs w:val="20"/>
          <w:color w:val="auto"/>
        </w:rPr>
      </w:pPr>
      <w:r>
        <w:rPr>
          <w:rFonts w:ascii="Arial" w:cs="Arial" w:eastAsia="Arial" w:hAnsi="Arial"/>
          <w:sz w:val="18"/>
          <w:szCs w:val="18"/>
          <w:color w:val="auto"/>
        </w:rPr>
        <w:t>4.2</w:t>
        <w:tab/>
        <w:t>Vesting and Forfeiture. Awards will vest over time, as provided in the Award Agreement. Except as otherwise provided in a Participant’s Award Agreement, to vest in the Restricted Stock Units, the Participant must remain on the Board with the Company from the grant date through the applicable vesting date for such Award. Any Restricted Stock Unit that does not vest shall immediately be forfeited. Except as otherwise provided in a Participant’s Award Agreement, if a Participant ceases to be on the Board for any reason prior to the Scheduled Vesting Date, all unvested Restricted Stock shall immediately be forfeited.</w:t>
      </w:r>
    </w:p>
    <w:p>
      <w:pPr>
        <w:spacing w:after="0" w:line="218" w:lineRule="exact"/>
        <w:rPr>
          <w:sz w:val="20"/>
          <w:szCs w:val="20"/>
          <w:color w:val="auto"/>
        </w:rPr>
      </w:pPr>
    </w:p>
    <w:p>
      <w:pPr>
        <w:jc w:val="both"/>
        <w:ind w:left="460" w:hanging="647"/>
        <w:spacing w:after="0" w:line="229" w:lineRule="auto"/>
        <w:tabs>
          <w:tab w:leader="none" w:pos="440" w:val="left"/>
        </w:tabs>
        <w:rPr>
          <w:sz w:val="20"/>
          <w:szCs w:val="20"/>
          <w:color w:val="auto"/>
        </w:rPr>
      </w:pPr>
      <w:r>
        <w:rPr>
          <w:rFonts w:ascii="Arial" w:cs="Arial" w:eastAsia="Arial" w:hAnsi="Arial"/>
          <w:sz w:val="18"/>
          <w:szCs w:val="18"/>
          <w:color w:val="auto"/>
        </w:rPr>
        <w:t>4.3</w:t>
        <w:tab/>
        <w:t>Settlement of Awards. Unless settlement is deferred by election of the Participant in accordance with Article V, vested Awards will settle in shares of Stock as provided in the Award Agreement. For any vested Awards that have been deferred by election of the Participant under Article V shall settle as provided in Section 5.3.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 – Deferred Stock Units</w:t>
      </w:r>
    </w:p>
    <w:p>
      <w:pPr>
        <w:spacing w:after="0" w:line="24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Deferral Elections.</w:t>
      </w:r>
    </w:p>
    <w:p>
      <w:pPr>
        <w:spacing w:after="0" w:line="225" w:lineRule="exact"/>
        <w:rPr>
          <w:sz w:val="20"/>
          <w:szCs w:val="20"/>
          <w:color w:val="auto"/>
        </w:rPr>
      </w:pPr>
    </w:p>
    <w:p>
      <w:pPr>
        <w:jc w:val="both"/>
        <w:ind w:left="660" w:hanging="328"/>
        <w:spacing w:after="0" w:line="223" w:lineRule="auto"/>
        <w:tabs>
          <w:tab w:leader="none" w:pos="64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Prior to the first day of each calendar year beginning on or after January 1, 2022, each Participant may elect to defer payment of 100% of any Participant’s Restricted Stock Unit Award that is granted in such calendar year. To be effective, such election must be completed and delivered to the Company prior to the first day of the calendar year in which the service period associated with the Award begins. Any election made under this Section shall become irrevocable as of December 31 of the year prior to the year in which the service period associated with the Restricted Stock Unit Award begins. By way of illustration, a deferral election must be made by December 31, 2021 to defer an Award that is granted to Participant in 2022, for services performed starting in 2022.</w:t>
      </w:r>
    </w:p>
    <w:p>
      <w:pPr>
        <w:spacing w:after="0" w:line="219" w:lineRule="exact"/>
        <w:rPr>
          <w:rFonts w:ascii="Arial" w:cs="Arial" w:eastAsia="Arial" w:hAnsi="Arial"/>
          <w:sz w:val="18"/>
          <w:szCs w:val="18"/>
          <w:color w:val="auto"/>
        </w:rPr>
      </w:pPr>
    </w:p>
    <w:p>
      <w:pPr>
        <w:ind w:left="660" w:hanging="328"/>
        <w:spacing w:after="0" w:line="227" w:lineRule="auto"/>
        <w:tabs>
          <w:tab w:leader="none" w:pos="53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Election Procedures</w:t>
      </w:r>
      <w:r>
        <w:rPr>
          <w:rFonts w:ascii="Arial" w:cs="Arial" w:eastAsia="Arial" w:hAnsi="Arial"/>
          <w:sz w:val="18"/>
          <w:szCs w:val="18"/>
          <w:color w:val="auto"/>
        </w:rPr>
        <w:t>. An election (or the modification or revocation of an election) must be made in such manner and in accordance with such rules (such as timing of election period, method of electing, etc.) as may be prescribed for this purpose by the Company. In addition, the Company may, in its discretion, allow other deferral elections, to the extent such elections comply with the requirements of Code Section 409A and the applicable Treasury Regulations.</w:t>
      </w:r>
    </w:p>
    <w:p>
      <w:pPr>
        <w:spacing w:after="0" w:line="216" w:lineRule="exact"/>
        <w:rPr>
          <w:sz w:val="20"/>
          <w:szCs w:val="20"/>
          <w:color w:val="auto"/>
        </w:rPr>
      </w:pPr>
    </w:p>
    <w:p>
      <w:pPr>
        <w:ind w:left="540" w:hanging="647"/>
        <w:spacing w:after="0" w:line="235" w:lineRule="auto"/>
        <w:tabs>
          <w:tab w:leader="none" w:pos="520" w:val="left"/>
        </w:tabs>
        <w:rPr>
          <w:sz w:val="20"/>
          <w:szCs w:val="20"/>
          <w:color w:val="auto"/>
        </w:rPr>
      </w:pPr>
      <w:r>
        <w:rPr>
          <w:rFonts w:ascii="Arial" w:cs="Arial" w:eastAsia="Arial" w:hAnsi="Arial"/>
          <w:sz w:val="18"/>
          <w:szCs w:val="18"/>
          <w:color w:val="auto"/>
        </w:rPr>
        <w:t>5.2</w:t>
        <w:tab/>
        <w:t>Vesting. A Deferred Stock Unit shall only be vested if the Participant has become vested under the terms of the associated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21" w:right="339" w:bottom="1440" w:gutter="0" w:footer="0" w:header="0"/>
        </w:sectPr>
      </w:pPr>
    </w:p>
    <w:bookmarkStart w:id="122" w:name="page123"/>
    <w:bookmarkEnd w:id="122"/>
    <w:p>
      <w:pPr>
        <w:jc w:val="both"/>
        <w:ind w:left="500" w:hanging="647"/>
        <w:spacing w:after="0" w:line="210" w:lineRule="auto"/>
        <w:tabs>
          <w:tab w:leader="none" w:pos="480" w:val="left"/>
        </w:tabs>
        <w:rPr>
          <w:sz w:val="20"/>
          <w:szCs w:val="20"/>
          <w:color w:val="auto"/>
        </w:rPr>
      </w:pPr>
      <w:r>
        <w:rPr>
          <w:rFonts w:ascii="Arial" w:cs="Arial" w:eastAsia="Arial" w:hAnsi="Arial"/>
          <w:sz w:val="18"/>
          <w:szCs w:val="18"/>
          <w:color w:val="auto"/>
        </w:rPr>
        <w:t>5.3</w:t>
        <w:tab/>
        <w:t>Settlement. For all Deferred Stock Units, a Participant’s Deferred Stock Units will settle in shares of Stock as soon as practicable (but no later than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third calendar month following) the date the Participant ceases to be a Director and experiences a Separation from Service.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VI – Accounts</w:t>
      </w:r>
    </w:p>
    <w:p>
      <w:pPr>
        <w:spacing w:after="0" w:line="247" w:lineRule="exact"/>
        <w:rPr>
          <w:sz w:val="20"/>
          <w:szCs w:val="20"/>
          <w:color w:val="auto"/>
        </w:rPr>
      </w:pPr>
    </w:p>
    <w:p>
      <w:pPr>
        <w:jc w:val="both"/>
        <w:ind w:left="600" w:hanging="647"/>
        <w:spacing w:after="0" w:line="227" w:lineRule="auto"/>
        <w:tabs>
          <w:tab w:leader="none" w:pos="5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Accounts Generally. An Account will be established for each Participant. Accounts are for bookkeeping purposes only and the maintenance of Accounts will not require any segregation of assets by the Company. The Company will not have any obligation whatsoever to set aside funds for the Plan or for the benefit of any Participant or Beneficiary, and no Participant or Beneficiary will have any rights to any amounts that may be set aside other than the rights of an unsecured creditor of the Company.</w:t>
      </w:r>
    </w:p>
    <w:p>
      <w:pPr>
        <w:spacing w:after="0" w:line="21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Adjustments.</w:t>
      </w:r>
    </w:p>
    <w:p>
      <w:pPr>
        <w:spacing w:after="0" w:line="225" w:lineRule="exact"/>
        <w:rPr>
          <w:sz w:val="20"/>
          <w:szCs w:val="20"/>
          <w:color w:val="auto"/>
        </w:rPr>
      </w:pPr>
    </w:p>
    <w:p>
      <w:pPr>
        <w:jc w:val="both"/>
        <w:ind w:left="660" w:hanging="328"/>
        <w:spacing w:after="0" w:line="224" w:lineRule="auto"/>
        <w:tabs>
          <w:tab w:leader="none" w:pos="699"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Whenever any cash dividends are declared on the Stock, the Company will credit the Account of each Participant on the date such dividend is paid with a number of additional Restricted Stock Units (or, if an Award is subject to a deferral election under Article V, additional Deferred Stock Units) equal to the result of dividing (i) the product of (x) the total number of Restricted Stock Units (or Deferred Stock Units, if applicable) credited to the Participant’s Account on the record date for such dividend and (y) the per share amount of such dividend by (ii) the Fair Market Value of one share of Stock on the date such dividend is paid by the Company to the holders of Stock.</w:t>
      </w:r>
    </w:p>
    <w:p>
      <w:pPr>
        <w:spacing w:after="0" w:line="217" w:lineRule="exact"/>
        <w:rPr>
          <w:rFonts w:ascii="Arial" w:cs="Arial" w:eastAsia="Arial" w:hAnsi="Arial"/>
          <w:sz w:val="18"/>
          <w:szCs w:val="18"/>
          <w:color w:val="auto"/>
        </w:rPr>
      </w:pPr>
    </w:p>
    <w:p>
      <w:pPr>
        <w:ind w:left="660" w:hanging="328"/>
        <w:spacing w:after="0" w:line="235" w:lineRule="auto"/>
        <w:tabs>
          <w:tab w:leader="none" w:pos="80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Other Adjustments</w:t>
      </w:r>
      <w:r>
        <w:rPr>
          <w:rFonts w:ascii="Arial" w:cs="Arial" w:eastAsia="Arial" w:hAnsi="Arial"/>
          <w:sz w:val="18"/>
          <w:szCs w:val="18"/>
          <w:color w:val="auto"/>
        </w:rPr>
        <w:t>. In the event of any change in the outstanding shares of common stock of the Company, Awards may be adjusted, as provided in the Omnibus Plan.</w:t>
      </w:r>
    </w:p>
    <w:p>
      <w:pPr>
        <w:spacing w:after="0" w:line="216" w:lineRule="exact"/>
        <w:rPr>
          <w:sz w:val="20"/>
          <w:szCs w:val="20"/>
          <w:color w:val="auto"/>
        </w:rPr>
      </w:pPr>
    </w:p>
    <w:p>
      <w:pPr>
        <w:jc w:val="both"/>
        <w:ind w:left="520" w:hanging="647"/>
        <w:spacing w:after="0" w:line="235" w:lineRule="auto"/>
        <w:tabs>
          <w:tab w:leader="none" w:pos="500" w:val="left"/>
        </w:tabs>
        <w:rPr>
          <w:sz w:val="20"/>
          <w:szCs w:val="20"/>
          <w:color w:val="auto"/>
        </w:rPr>
      </w:pPr>
      <w:r>
        <w:rPr>
          <w:rFonts w:ascii="Arial" w:cs="Arial" w:eastAsia="Arial" w:hAnsi="Arial"/>
          <w:sz w:val="18"/>
          <w:szCs w:val="18"/>
          <w:color w:val="auto"/>
        </w:rPr>
        <w:t>6.3</w:t>
        <w:tab/>
        <w:t>Statement of Account. Each Director will be provided Account statements on an annual basis, in such manner as determined by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VII - Beneficiary</w:t>
      </w:r>
    </w:p>
    <w:p>
      <w:pPr>
        <w:spacing w:after="0" w:line="247" w:lineRule="exact"/>
        <w:rPr>
          <w:sz w:val="20"/>
          <w:szCs w:val="20"/>
          <w:color w:val="auto"/>
        </w:rPr>
      </w:pPr>
    </w:p>
    <w:p>
      <w:pPr>
        <w:jc w:val="both"/>
        <w:ind w:left="600" w:hanging="647"/>
        <w:spacing w:after="0" w:line="223" w:lineRule="auto"/>
        <w:tabs>
          <w:tab w:leader="none" w:pos="5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Designation of Beneficiary. A Participant may designate a beneficiary or beneficiaries to receive benefits after the death of the Participant. The designation shall be effective upon filing written notice with the Company on the form provided for that purpose. If more than one beneficiary designation has been filed, the beneficiary or beneficiaries designated in the notice bearing the most recent date will be deemed to be the valid beneficiary or beneficiaries. The Participant shall have the right, without the requirement of approval from any person, to revoke and change beneficiary designations. If no valid beneficiary designation has been made, or if all beneficiaries due before a Participant’s entire Account has been distributed, payment of the remaining Account will be made to the Participant’s estate.</w:t>
      </w:r>
    </w:p>
    <w:p>
      <w:pPr>
        <w:spacing w:after="0" w:line="220" w:lineRule="exact"/>
        <w:rPr>
          <w:sz w:val="20"/>
          <w:szCs w:val="20"/>
          <w:color w:val="auto"/>
        </w:rPr>
      </w:pPr>
    </w:p>
    <w:p>
      <w:pPr>
        <w:jc w:val="both"/>
        <w:ind w:left="460" w:hanging="647"/>
        <w:spacing w:after="0" w:line="225" w:lineRule="auto"/>
        <w:tabs>
          <w:tab w:leader="none" w:pos="440" w:val="left"/>
        </w:tabs>
        <w:rPr>
          <w:sz w:val="20"/>
          <w:szCs w:val="20"/>
          <w:color w:val="auto"/>
        </w:rPr>
      </w:pPr>
      <w:r>
        <w:rPr>
          <w:rFonts w:ascii="Arial" w:cs="Arial" w:eastAsia="Arial" w:hAnsi="Arial"/>
          <w:sz w:val="18"/>
          <w:szCs w:val="18"/>
          <w:color w:val="auto"/>
        </w:rPr>
        <w:t>7.2</w:t>
        <w:tab/>
        <w:t>Death of Participant. If a Participant dies before receiving settlement of the full balance of the Participant’s Account, then the balance of the Participant’s vested Account shall be settled in a lump sum settlement in shares of Stock, payable to the Participant’s Beneficiary. The lump sum Stock settlement will be made as soon as practicable following the Company’s receipt of notification of the Participant’s death. However, if the identity of the Beneficiary cannot be determined, or if the Beneficiary cannot be located, payment to the Beneficiary may be delayed to the extent allowed under Code Section 409A and applicable guidance.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VIII – Administration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administered by the Committee, in accordance with the administration provisions of the Omnibus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21" w:right="339" w:bottom="1440" w:gutter="0" w:footer="0" w:header="0"/>
        </w:sectPr>
      </w:pPr>
    </w:p>
    <w:bookmarkStart w:id="123" w:name="page124"/>
    <w:bookmarkEnd w:id="123"/>
    <w:p>
      <w:pPr>
        <w:jc w:val="both"/>
        <w:spacing w:after="0" w:line="235" w:lineRule="auto"/>
        <w:rPr>
          <w:sz w:val="20"/>
          <w:szCs w:val="20"/>
          <w:color w:val="auto"/>
        </w:rPr>
      </w:pPr>
      <w:r>
        <w:rPr>
          <w:rFonts w:ascii="Arial" w:cs="Arial" w:eastAsia="Arial" w:hAnsi="Arial"/>
          <w:sz w:val="18"/>
          <w:szCs w:val="18"/>
          <w:color w:val="auto"/>
        </w:rPr>
        <w:t>For the avoidance of doubt, the ministerial functions of the Plan shall be handled by employees of the Company, in accordance with the rules and regulations established by the Committee.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IX – Amendment and Termination</w:t>
      </w:r>
    </w:p>
    <w:p>
      <w:pPr>
        <w:spacing w:after="0" w:line="24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Board may amend or terminate the Plan at any time in whole or in part; provided, however, that no amendment or termination shall directly or indirectly reduce the balance of Participant’s Account held hereunder as of the effective date of such amendment or termination. Notwithstanding the foregoing, the Plan may be amended at any time, without the consent of any Participant (or beneficiary) if necessary or desirable, as determined by the Company, to comply with the requirements, or avoid the application, of Code Section 409A.</w:t>
      </w:r>
    </w:p>
    <w:p>
      <w:pPr>
        <w:spacing w:after="0" w:line="21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 termination of the Plan will not be effective to cause a deferral election in place under the Plan for the applicable year to be modified or discontinued prior to the end of such year, if such modification or discontinuation would violate Code Section 409A. The Board may terminate the Plan and provide for the acceleration and liquidation of Deferred Stock Units remaining due under the Plan pursuant to Treasury Regulations § 1.409A-3(j)(4)(ix). If such a termination and liquidation occurs, all Awards under the Plan will be discontinued as of the termination date established by the Board, and all outstanding Deferred Stock Unit Awards due will be settled at the time specified by the Board as part of the action terminating the Plan and consistent with Treasury Regulations § 1.409A-3(j)(4)(ix).</w:t>
      </w:r>
    </w:p>
    <w:p>
      <w:pPr>
        <w:spacing w:after="0" w:line="21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Board may terminate the Plan other than pursuant to Treasury Regulations § 1.409A-3(j)(4)(ix). In the event of such other termination, no new deferral elections will be allowed after the end of the calendar year which includes the date of termination, but all Deferred Stock Units under the Plan will be paid at the same time and in the same form as if the termination had not occurred – that is, the termination will not result in any acceleration of any distribution of Deferred Stock Units under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X - Miscellaneous</w:t>
      </w:r>
    </w:p>
    <w:p>
      <w:pPr>
        <w:spacing w:after="0" w:line="247" w:lineRule="exact"/>
        <w:rPr>
          <w:sz w:val="20"/>
          <w:szCs w:val="20"/>
          <w:color w:val="auto"/>
        </w:rPr>
      </w:pPr>
    </w:p>
    <w:p>
      <w:pPr>
        <w:jc w:val="both"/>
        <w:ind w:left="660" w:hanging="647"/>
        <w:spacing w:after="0" w:line="222"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Unfunded Plan. The Plan at all times shall be entirely unfunded and no provision shall at any time be made with respect to segregating any assets of the Company for payment of any benefits hereunder. No Participant, Beneficiary or any other person shall have any interest in any particular assets of the Company by reason of the right to receive a benefit under the Plan and any such Participant, Beneficiary or other person shall have only the rights of a general unsecured creditor of the Company with respect to any rights under the Plan. All payments hereunder shall be made by the Company from its general assets at the time and in the manner provided for in the Plan. Nothing contained in the Plan shall constitute a guaranty by the Company or any other person or entity that the assets of the Company will be sufficient to pay any benefit hereunder. Notwithstanding the foregoing, however, the Company may, in its sole discretion, place assets in a trust that may be used to meet the Company’s obligations under the Plan and any right of a Participant to any benefit payment under the Plan shall be reduced by any payment received by the Participant from the trustee under such a trust. In the event such trust is established, the assets of such trust shall be available to the general creditors of the Company in the event of insolvency or bankruptcy of the Company (a “rabbi trust”).</w:t>
      </w:r>
    </w:p>
    <w:p>
      <w:pPr>
        <w:spacing w:after="0" w:line="216" w:lineRule="exact"/>
        <w:rPr>
          <w:sz w:val="20"/>
          <w:szCs w:val="20"/>
          <w:color w:val="auto"/>
        </w:rPr>
      </w:pPr>
    </w:p>
    <w:p>
      <w:pPr>
        <w:jc w:val="both"/>
        <w:ind w:left="560" w:hanging="647"/>
        <w:spacing w:after="0" w:line="224" w:lineRule="auto"/>
        <w:tabs>
          <w:tab w:leader="none" w:pos="540" w:val="left"/>
        </w:tabs>
        <w:rPr>
          <w:sz w:val="20"/>
          <w:szCs w:val="20"/>
          <w:color w:val="auto"/>
        </w:rPr>
      </w:pPr>
      <w:r>
        <w:rPr>
          <w:rFonts w:ascii="Arial" w:cs="Arial" w:eastAsia="Arial" w:hAnsi="Arial"/>
          <w:sz w:val="18"/>
          <w:szCs w:val="18"/>
          <w:color w:val="auto"/>
        </w:rPr>
        <w:t>10.2</w:t>
        <w:tab/>
        <w:t>Non-Alienation of Benefits. Neither a Participant nor any other person shall have any rights to sell, assign, transfer, pledge, anticipate, or otherwise encumber the amounts, if any, payable under the Plan to the Participant or any other person. Any attempted sale, assignment, transfer or pledge shall be null and void and without any legal effect. No part of the amounts payable under the Plan shall be subject to seizure or sequestration for the payment of any debts, judgments, alimony or separate maintenance owed by a Participant or any other person, nor be transferable by operation of law in the event of a Participant’s or any other person’s bankruptcy or insolvency.</w:t>
      </w:r>
    </w:p>
    <w:p>
      <w:pPr>
        <w:spacing w:after="0" w:line="218" w:lineRule="exact"/>
        <w:rPr>
          <w:sz w:val="20"/>
          <w:szCs w:val="20"/>
          <w:color w:val="auto"/>
        </w:rPr>
      </w:pPr>
    </w:p>
    <w:p>
      <w:pPr>
        <w:jc w:val="both"/>
        <w:ind w:left="620" w:hanging="647"/>
        <w:spacing w:after="0" w:line="229" w:lineRule="auto"/>
        <w:tabs>
          <w:tab w:leader="none" w:pos="600" w:val="left"/>
        </w:tabs>
        <w:rPr>
          <w:sz w:val="20"/>
          <w:szCs w:val="20"/>
          <w:color w:val="auto"/>
        </w:rPr>
      </w:pPr>
      <w:r>
        <w:rPr>
          <w:rFonts w:ascii="Arial" w:cs="Arial" w:eastAsia="Arial" w:hAnsi="Arial"/>
          <w:sz w:val="18"/>
          <w:szCs w:val="18"/>
          <w:color w:val="auto"/>
        </w:rPr>
        <w:t>10.3</w:t>
        <w:tab/>
        <w:t>Code Section 409A. For any Award that the settlement of such Award is deferred by election of the Participant in accordance with Article V, this Plan is subject to Code Section 409A and is intended to be maintained in compliance with Code Section 409A and the regulations thereunder applicable to nonqualified deferred compensation plans. To the extent any provision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21" w:right="339" w:bottom="1440" w:gutter="0" w:footer="0" w:header="0"/>
        </w:sectPr>
      </w:pPr>
    </w:p>
    <w:bookmarkStart w:id="124" w:name="page125"/>
    <w:bookmarkEnd w:id="124"/>
    <w:p>
      <w:pPr>
        <w:jc w:val="both"/>
        <w:ind w:left="660"/>
        <w:spacing w:after="0" w:line="221" w:lineRule="auto"/>
        <w:rPr>
          <w:sz w:val="20"/>
          <w:szCs w:val="20"/>
          <w:color w:val="auto"/>
        </w:rPr>
      </w:pPr>
      <w:r>
        <w:rPr>
          <w:rFonts w:ascii="Arial" w:cs="Arial" w:eastAsia="Arial" w:hAnsi="Arial"/>
          <w:sz w:val="18"/>
          <w:szCs w:val="18"/>
          <w:color w:val="auto"/>
        </w:rPr>
        <w:t>applicable to a deferred Award does not satisfy the requirements of Code Section 409A or any regulations or other guidance issued by the Treasury Department or the Internal Revenue Service under Code Section 409A, such provision will be applied in a manner consistent with such requirements, regulations or guidance, notwithstanding any provision of the Plan to the contrary, and to the extent not prohibited by Code Section 409A, the provisions of the Plan and the rights of Participants and Beneficiaries hereunder shall be deemed to have been modified accordingly. Each payment and benefit hereunder shall constitute a “separately identified” amount within the meaning of Treasury Regulation §1.409A-2(b)(2), to the extent applicable. The Committee, in its sole discretion shall determine the requirements of Code Section 409A that are applicable to the Plan and shall interpret the terms of the Plan in a manner consistent therewith. Under no circumstances, however, shall the Company or any affiliate or any of its or their employees, officers, directors, service providers or agents have any liability to any person for any taxes, penalties or interest due on amounts paid or payable under the Plan, including any taxes, penalties or interest imposed under Code Section 409A. For any Award that is not deferred in accordance with Article V, the Plan is intended to be exempt from Code Section 409A as a short-term deferral, and is to be interpreted accordingly.</w:t>
      </w:r>
    </w:p>
    <w:p>
      <w:pPr>
        <w:spacing w:after="0" w:line="224" w:lineRule="exact"/>
        <w:rPr>
          <w:sz w:val="20"/>
          <w:szCs w:val="20"/>
          <w:color w:val="auto"/>
        </w:rPr>
      </w:pPr>
    </w:p>
    <w:p>
      <w:pPr>
        <w:jc w:val="both"/>
        <w:ind w:left="620" w:hanging="647"/>
        <w:spacing w:after="0" w:line="227" w:lineRule="auto"/>
        <w:tabs>
          <w:tab w:leader="none" w:pos="600" w:val="left"/>
        </w:tabs>
        <w:rPr>
          <w:sz w:val="20"/>
          <w:szCs w:val="20"/>
          <w:color w:val="auto"/>
        </w:rPr>
      </w:pPr>
      <w:r>
        <w:rPr>
          <w:rFonts w:ascii="Arial" w:cs="Arial" w:eastAsia="Arial" w:hAnsi="Arial"/>
          <w:sz w:val="18"/>
          <w:szCs w:val="18"/>
          <w:color w:val="auto"/>
        </w:rPr>
        <w:t>10.4</w:t>
        <w:tab/>
        <w:t>Severability. If any term or provision of this Plan or the application thereof to any person or circumstances shall, to any extent, be invalid or unenforceable, then the remainder of the Plan, or the application of such term or provision to persons or circumstances other than those as to which it was held invalid or unenforceable, shall not be affected thereby, and each term and provision hereof shall be valid and enforceable to the fullest extent permitted by applicable law.</w:t>
      </w:r>
    </w:p>
    <w:p>
      <w:pPr>
        <w:spacing w:after="0" w:line="216" w:lineRule="exact"/>
        <w:rPr>
          <w:sz w:val="20"/>
          <w:szCs w:val="20"/>
          <w:color w:val="auto"/>
        </w:rPr>
      </w:pPr>
    </w:p>
    <w:p>
      <w:pPr>
        <w:jc w:val="both"/>
        <w:ind w:left="640" w:hanging="647"/>
        <w:spacing w:after="0" w:line="229" w:lineRule="auto"/>
        <w:tabs>
          <w:tab w:leader="none" w:pos="620" w:val="left"/>
        </w:tabs>
        <w:rPr>
          <w:sz w:val="20"/>
          <w:szCs w:val="20"/>
          <w:color w:val="auto"/>
        </w:rPr>
      </w:pPr>
      <w:r>
        <w:rPr>
          <w:rFonts w:ascii="Arial" w:cs="Arial" w:eastAsia="Arial" w:hAnsi="Arial"/>
          <w:sz w:val="18"/>
          <w:szCs w:val="18"/>
          <w:color w:val="auto"/>
        </w:rPr>
        <w:t>10.5</w:t>
        <w:tab/>
        <w:t>Successors in Interest. The obligation of the Company under the Plan shall be binding upon any successor or successors of the Company, whether by merger, consolidation, sale of assets or otherwise, and for this purpose reference herein to the Company shall be deemed to include any such successor or successors.</w:t>
      </w:r>
    </w:p>
    <w:p>
      <w:pPr>
        <w:spacing w:after="0" w:line="218" w:lineRule="exact"/>
        <w:rPr>
          <w:sz w:val="20"/>
          <w:szCs w:val="20"/>
          <w:color w:val="auto"/>
        </w:rPr>
      </w:pPr>
    </w:p>
    <w:p>
      <w:pPr>
        <w:jc w:val="both"/>
        <w:ind w:left="660" w:hanging="647"/>
        <w:spacing w:after="0" w:line="229" w:lineRule="auto"/>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Governing Law. The validity, construction, interpretation, administration and effect of the Plan and of its rules and regulations, and rights relating to the Plan, shall be determined solely in accordance with the laws of the State of South Dakota, without regard to the conflicts of laws provisions thereof.</w:t>
      </w:r>
    </w:p>
    <w:p>
      <w:pPr>
        <w:spacing w:after="0" w:line="218" w:lineRule="exact"/>
        <w:rPr>
          <w:sz w:val="20"/>
          <w:szCs w:val="20"/>
          <w:color w:val="auto"/>
        </w:rPr>
      </w:pPr>
    </w:p>
    <w:p>
      <w:pPr>
        <w:ind w:left="560" w:right="20" w:hanging="647"/>
        <w:spacing w:after="0" w:line="229" w:lineRule="auto"/>
        <w:tabs>
          <w:tab w:leader="none" w:pos="540" w:val="left"/>
        </w:tabs>
        <w:rPr>
          <w:sz w:val="20"/>
          <w:szCs w:val="20"/>
          <w:color w:val="auto"/>
        </w:rPr>
      </w:pPr>
      <w:r>
        <w:rPr>
          <w:rFonts w:ascii="Arial" w:cs="Arial" w:eastAsia="Arial" w:hAnsi="Arial"/>
          <w:sz w:val="18"/>
          <w:szCs w:val="18"/>
          <w:color w:val="auto"/>
        </w:rPr>
        <w:t>10.7</w:t>
        <w:tab/>
        <w:t>No Stockholder Rights. Neither the Participant or any other person shall have any rights as a stockholder of the Company with respect to the Restricted Stock Units or Deferred Stock Units credited to the Participant’s Account until the shares of Stock are issued to the Participant (or the Beneficiary of the Participant).</w:t>
      </w:r>
    </w:p>
    <w:p>
      <w:pPr>
        <w:spacing w:after="0" w:line="218" w:lineRule="exact"/>
        <w:rPr>
          <w:sz w:val="20"/>
          <w:szCs w:val="20"/>
          <w:color w:val="auto"/>
        </w:rPr>
      </w:pPr>
    </w:p>
    <w:p>
      <w:pPr>
        <w:jc w:val="both"/>
        <w:ind w:left="560" w:right="20" w:hanging="647"/>
        <w:spacing w:after="0" w:line="229" w:lineRule="auto"/>
        <w:tabs>
          <w:tab w:leader="none" w:pos="540" w:val="left"/>
        </w:tabs>
        <w:rPr>
          <w:sz w:val="20"/>
          <w:szCs w:val="20"/>
          <w:color w:val="auto"/>
        </w:rPr>
      </w:pPr>
      <w:r>
        <w:rPr>
          <w:rFonts w:ascii="Arial" w:cs="Arial" w:eastAsia="Arial" w:hAnsi="Arial"/>
          <w:sz w:val="18"/>
          <w:szCs w:val="18"/>
          <w:color w:val="auto"/>
        </w:rPr>
        <w:t>10.8</w:t>
        <w:tab/>
        <w:t>No Contract. Neither the action of the Company in establishing the Plan nor any action taken by it or by the Committee under this Plan (or any award thereunder) shall be construed as giving any Participant the right to be retained as a Director or other service provider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42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BLACK HILLS CORPORATION NON-EMPLOYEE DIRECTOR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BLACK HILLS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2015 omnibus INCENTIVE PLAN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Award Agreement (Non-Employee Director)</w:t>
      </w:r>
    </w:p>
    <w:p>
      <w:pPr>
        <w:spacing w:after="0" w:line="274"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Black Hills Corporation (the “Company”), pursuant to its Non-Employee Director Equity Compensation Plan (the “Non-Employee Director Equity Plan”) under its Amended and Restated 2015 Omnibus Incentive Plan (the “Omnibus Plan”), hereby grants an award of Restricted Stock Units to you, the Participant named below. The terms and conditions of this Award are set forth in this Restricted Stock Unit Award Agreement (the “Agreement”), consisting of this cover page and the Terms and Conditions on the following pages, and in the Omnibus Plan document and the Non-Employee Director Equity Plan document, a copy of both documents which has been made available to you. Any capitalized term that is used but not defined in this Agreement shall have the meaning assigned to it in the Omnibus Plan or Non-Employee Director Equity Plan, as they currently exist or as they may be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40575" cy="660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3">
                      <a:extLst>
                        <a:ext uri="{28A0092B-C50C-407E-A947-70E740481C1C}"/>
                      </a:extLst>
                    </a:blip>
                    <a:srcRect/>
                    <a:stretch>
                      <a:fillRect/>
                    </a:stretch>
                  </pic:blipFill>
                  <pic:spPr bwMode="auto">
                    <a:xfrm>
                      <a:off x="0" y="0"/>
                      <a:ext cx="7140575" cy="660400"/>
                    </a:xfrm>
                    <a:prstGeom prst="rect">
                      <a:avLst/>
                    </a:prstGeom>
                    <a:noFill/>
                  </pic:spPr>
                </pic:pic>
              </a:graphicData>
            </a:graphic>
          </wp:anchor>
        </w:drawing>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of Participant: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Number of Restricted Stock Units: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 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Scheduled Vesting Date: Earlier of date of the Company’s Shareholder Meeting in ____ or May 1, ___</w:t>
      </w:r>
    </w:p>
    <w:p>
      <w:pPr>
        <w:spacing w:after="0" w:line="3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By signing below or otherwise evidencing your acceptance of this Agreement in a manner approved by the Company, you agree to all of the terms and conditions contained in this Agreement, the Omnibus Plan and Non-Employee Director Equity Plan. You acknowledge that you have reviewed these documents.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PARTICIPANT: BLACK HILLS CORPORATION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VP – Governance, Corporate Secretary &amp; Deputy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US.131879010.04</w:t>
      </w:r>
    </w:p>
    <w:p>
      <w:pPr>
        <w:sectPr>
          <w:pgSz w:w="11900" w:h="16838" w:orient="portrait"/>
          <w:cols w:equalWidth="0" w:num="1">
            <w:col w:w="11240"/>
          </w:cols>
          <w:pgMar w:left="320" w:top="1413"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BLACK HILLS CORPORATION NON-EMPLOYEE DIRECTOR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BLACK HILLS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2015 omnibus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 (Non-Employee Director)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52" w:lineRule="exact"/>
        <w:rPr>
          <w:sz w:val="20"/>
          <w:szCs w:val="20"/>
          <w:color w:val="auto"/>
        </w:rPr>
      </w:pPr>
    </w:p>
    <w:p>
      <w:pPr>
        <w:ind w:left="660" w:hanging="652"/>
        <w:spacing w:after="0" w:line="257" w:lineRule="auto"/>
        <w:tabs>
          <w:tab w:leader="none" w:pos="402"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Stock Units</w:t>
      </w:r>
      <w:r>
        <w:rPr>
          <w:rFonts w:ascii="Arial" w:cs="Arial" w:eastAsia="Arial" w:hAnsi="Arial"/>
          <w:sz w:val="18"/>
          <w:szCs w:val="18"/>
          <w:color w:val="auto"/>
        </w:rPr>
        <w:t>. The Company hereby confirms the grant to you, as of the Grant Date and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in this Agreement, the Omnibus Plan and the Non-Employee Director Equity Plan, of the number of Restricted Stock Units specified on the cover page of this Agreement (the “Units”). Each Unit represents the right to receive one share of the Company’s Stock (each, a “Share”). Prior to their settlement or forfeiture in accordance with the terms of this Agreement, the Units granted to you will be credited to an account in your name maintained by the Company. This account shall be unfunded and maintained for book-keeping purposes only, with the Units simply representing an unfunded and unsecured contingent obligation of the Company.</w:t>
      </w:r>
    </w:p>
    <w:p>
      <w:pPr>
        <w:spacing w:after="0" w:line="209" w:lineRule="exact"/>
        <w:rPr>
          <w:rFonts w:ascii="Arial" w:cs="Arial" w:eastAsia="Arial" w:hAnsi="Arial"/>
          <w:sz w:val="18"/>
          <w:szCs w:val="18"/>
          <w:color w:val="auto"/>
        </w:rPr>
      </w:pPr>
    </w:p>
    <w:p>
      <w:pPr>
        <w:ind w:left="660" w:hanging="652"/>
        <w:spacing w:after="0" w:line="256" w:lineRule="auto"/>
        <w:tabs>
          <w:tab w:leader="none" w:pos="362"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Applicable to Units</w:t>
      </w:r>
      <w:r>
        <w:rPr>
          <w:rFonts w:ascii="Arial" w:cs="Arial" w:eastAsia="Arial" w:hAnsi="Arial"/>
          <w:sz w:val="18"/>
          <w:szCs w:val="18"/>
          <w:color w:val="auto"/>
        </w:rPr>
        <w:t>. Neither this Award nor the Units subject to this Award may be sold, assigned, transferred, exchanged</w:t>
      </w:r>
      <w:r>
        <w:rPr>
          <w:rFonts w:ascii="Arial" w:cs="Arial" w:eastAsia="Arial" w:hAnsi="Arial"/>
          <w:sz w:val="18"/>
          <w:szCs w:val="18"/>
          <w:b w:val="1"/>
          <w:bCs w:val="1"/>
          <w:color w:val="auto"/>
        </w:rPr>
        <w:t xml:space="preserve"> </w:t>
      </w:r>
      <w:r>
        <w:rPr>
          <w:rFonts w:ascii="Arial" w:cs="Arial" w:eastAsia="Arial" w:hAnsi="Arial"/>
          <w:sz w:val="18"/>
          <w:szCs w:val="18"/>
          <w:color w:val="auto"/>
        </w:rPr>
        <w:t>or encumbered, voluntarily or 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this Award immediately prior to its transfer. Any attempted transfer in violation of this Section 2 shall be void and without effect. The Units and your right to receive Shares in settlement of the Units under this Agreement shall be subject to forfeiture as provided in Section 5 until satisfaction of the vesting conditions set forth in Section 4.</w:t>
      </w:r>
    </w:p>
    <w:p>
      <w:pPr>
        <w:spacing w:after="0" w:line="209" w:lineRule="exact"/>
        <w:rPr>
          <w:rFonts w:ascii="Arial" w:cs="Arial" w:eastAsia="Arial" w:hAnsi="Arial"/>
          <w:sz w:val="18"/>
          <w:szCs w:val="18"/>
          <w:color w:val="auto"/>
        </w:rPr>
      </w:pPr>
    </w:p>
    <w:p>
      <w:pPr>
        <w:ind w:left="660" w:hanging="652"/>
        <w:spacing w:after="0" w:line="268" w:lineRule="auto"/>
        <w:tabs>
          <w:tab w:leader="none" w:pos="402"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No Shareholder Rights</w:t>
      </w:r>
      <w:r>
        <w:rPr>
          <w:rFonts w:ascii="Arial" w:cs="Arial" w:eastAsia="Arial" w:hAnsi="Arial"/>
          <w:sz w:val="18"/>
          <w:szCs w:val="18"/>
          <w:color w:val="auto"/>
        </w:rPr>
        <w:t>. The Units subject to this Award do not entitle you to any rights of a holder of the Company’s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not have any of the rights of a shareholder of the Company in connection with the grant of Units subject to this Agreement unless and until Shares are issued to you upon settlement of the Units as provided in Section 6.</w:t>
      </w:r>
    </w:p>
    <w:p>
      <w:pPr>
        <w:spacing w:after="0" w:line="197" w:lineRule="exact"/>
        <w:rPr>
          <w:rFonts w:ascii="Arial" w:cs="Arial" w:eastAsia="Arial" w:hAnsi="Arial"/>
          <w:sz w:val="18"/>
          <w:szCs w:val="18"/>
          <w:color w:val="auto"/>
        </w:rPr>
      </w:pPr>
    </w:p>
    <w:p>
      <w:pPr>
        <w:ind w:left="660" w:hanging="652"/>
        <w:spacing w:after="0" w:line="262" w:lineRule="auto"/>
        <w:tabs>
          <w:tab w:leader="none" w:pos="402"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of Units</w:t>
      </w:r>
      <w:r>
        <w:rPr>
          <w:rFonts w:ascii="Arial" w:cs="Arial" w:eastAsia="Arial" w:hAnsi="Arial"/>
          <w:sz w:val="18"/>
          <w:szCs w:val="18"/>
          <w:color w:val="auto"/>
        </w:rPr>
        <w:t>. For purposes of this Agreement, “Vesting Date” means any date, including the Scheduled Vesting Date specified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cover page of this Agreement, on which Units subject to this Agreement vest as provided in this Section 4. Notwithstanding the vesting and subsequent settlement of this Award, the Award and any Share issuances or payments made hereunder shall remain subject to the provisions of Section 21.1 of the Omnibus Plan.</w:t>
      </w:r>
    </w:p>
    <w:p>
      <w:pPr>
        <w:spacing w:after="0" w:line="225" w:lineRule="exact"/>
        <w:rPr>
          <w:rFonts w:ascii="Arial" w:cs="Arial" w:eastAsia="Arial" w:hAnsi="Arial"/>
          <w:sz w:val="18"/>
          <w:szCs w:val="18"/>
          <w:color w:val="auto"/>
        </w:rPr>
      </w:pPr>
    </w:p>
    <w:p>
      <w:pPr>
        <w:ind w:left="660" w:hanging="328"/>
        <w:spacing w:after="0" w:line="261" w:lineRule="auto"/>
        <w:tabs>
          <w:tab w:leader="none" w:pos="648"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Scheduled Vesting</w:t>
      </w:r>
      <w:r>
        <w:rPr>
          <w:rFonts w:ascii="Arial" w:cs="Arial" w:eastAsia="Arial" w:hAnsi="Arial"/>
          <w:sz w:val="18"/>
          <w:szCs w:val="18"/>
          <w:color w:val="auto"/>
        </w:rPr>
        <w:t>. If you remain a Director continuously from the Grant Date specified on the cover page of this Agreement, then the Units will vest on the Scheduled Vesting Date.</w:t>
      </w:r>
    </w:p>
    <w:p>
      <w:pPr>
        <w:spacing w:after="0" w:line="224" w:lineRule="exact"/>
        <w:rPr>
          <w:rFonts w:ascii="Arial" w:cs="Arial" w:eastAsia="Arial" w:hAnsi="Arial"/>
          <w:sz w:val="18"/>
          <w:szCs w:val="18"/>
          <w:color w:val="auto"/>
        </w:rPr>
      </w:pPr>
    </w:p>
    <w:p>
      <w:pPr>
        <w:ind w:left="640" w:hanging="308"/>
        <w:spacing w:after="0"/>
        <w:tabs>
          <w:tab w:leader="none" w:pos="64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Accelerated Vesting</w:t>
      </w:r>
      <w:r>
        <w:rPr>
          <w:rFonts w:ascii="Arial" w:cs="Arial" w:eastAsia="Arial" w:hAnsi="Arial"/>
          <w:sz w:val="18"/>
          <w:szCs w:val="18"/>
          <w:color w:val="auto"/>
        </w:rPr>
        <w:t>. The vesting of outstanding Units will be accelerated under the circumstances provided below:</w:t>
      </w:r>
    </w:p>
    <w:p>
      <w:pPr>
        <w:spacing w:after="0" w:line="234" w:lineRule="exact"/>
        <w:rPr>
          <w:rFonts w:ascii="Arial" w:cs="Arial" w:eastAsia="Arial" w:hAnsi="Arial"/>
          <w:sz w:val="18"/>
          <w:szCs w:val="18"/>
          <w:color w:val="auto"/>
        </w:rPr>
      </w:pPr>
    </w:p>
    <w:p>
      <w:pPr>
        <w:jc w:val="both"/>
        <w:ind w:left="1300" w:hanging="320"/>
        <w:spacing w:after="0" w:line="261" w:lineRule="auto"/>
        <w:tabs>
          <w:tab w:leader="none" w:pos="1288" w:val="left"/>
        </w:tabs>
        <w:numPr>
          <w:ilvl w:val="2"/>
          <w:numId w:val="97"/>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If you cease to be a Director prior to the Scheduled Vesting Date due to your death or Disability, then all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unvested Units shall vest as of such termination date. Disability for this purpose means that the Director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RSU Agreement – Non-Employee Directors Page 2</w:t>
      </w:r>
    </w:p>
    <w:p>
      <w:pPr>
        <w:spacing w:after="0"/>
        <w:rPr>
          <w:sz w:val="20"/>
          <w:szCs w:val="20"/>
          <w:color w:val="auto"/>
        </w:rPr>
      </w:pPr>
      <w:r>
        <w:rPr>
          <w:rFonts w:ascii="Arial" w:cs="Arial" w:eastAsia="Arial" w:hAnsi="Arial"/>
          <w:sz w:val="14"/>
          <w:szCs w:val="14"/>
          <w:color w:val="auto"/>
        </w:rPr>
        <w:t>US.131879010.03</w:t>
      </w:r>
    </w:p>
    <w:p>
      <w:pPr>
        <w:sectPr>
          <w:pgSz w:w="11900" w:h="16838" w:orient="portrait"/>
          <w:cols w:equalWidth="0" w:num="1">
            <w:col w:w="11240"/>
          </w:cols>
          <w:pgMar w:left="320" w:top="1413" w:right="339" w:bottom="1440" w:gutter="0" w:footer="0" w:header="0"/>
        </w:sectPr>
      </w:pPr>
    </w:p>
    <w:bookmarkStart w:id="127" w:name="page128"/>
    <w:bookmarkEnd w:id="127"/>
    <w:p>
      <w:pPr>
        <w:ind w:left="1300" w:hanging="320"/>
        <w:spacing w:after="0" w:line="282" w:lineRule="auto"/>
        <w:tabs>
          <w:tab w:leader="none" w:pos="1288" w:val="left"/>
        </w:tabs>
        <w:numPr>
          <w:ilvl w:val="2"/>
          <w:numId w:val="98"/>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If a Change of Control occurs while you are a Director and prior to the Scheduled Vesting Date, then all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unvested Units shall vest as of the date of the consummation of such Change of Control.</w:t>
      </w:r>
    </w:p>
    <w:p>
      <w:pPr>
        <w:spacing w:after="0" w:line="184" w:lineRule="exact"/>
        <w:rPr>
          <w:rFonts w:ascii="Arial" w:cs="Arial" w:eastAsia="Arial" w:hAnsi="Arial"/>
          <w:sz w:val="18"/>
          <w:szCs w:val="18"/>
          <w:color w:val="auto"/>
        </w:rPr>
      </w:pPr>
    </w:p>
    <w:p>
      <w:pPr>
        <w:ind w:left="660" w:hanging="652"/>
        <w:spacing w:after="0" w:line="287" w:lineRule="auto"/>
        <w:tabs>
          <w:tab w:leader="none" w:pos="225"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Forfeiture</w:t>
      </w:r>
      <w:r>
        <w:rPr>
          <w:rFonts w:ascii="Arial" w:cs="Arial" w:eastAsia="Arial" w:hAnsi="Arial"/>
          <w:sz w:val="18"/>
          <w:szCs w:val="18"/>
          <w:color w:val="auto"/>
        </w:rPr>
        <w:t>. Except as otherwise provided in accordance with Section 4 above or under the terms of the Non-Employee Director Equity</w:t>
      </w:r>
      <w:r>
        <w:rPr>
          <w:rFonts w:ascii="Arial" w:cs="Arial" w:eastAsia="Arial" w:hAnsi="Arial"/>
          <w:sz w:val="18"/>
          <w:szCs w:val="18"/>
          <w:b w:val="1"/>
          <w:bCs w:val="1"/>
          <w:color w:val="auto"/>
        </w:rPr>
        <w:t xml:space="preserve"> </w:t>
      </w:r>
      <w:r>
        <w:rPr>
          <w:rFonts w:ascii="Arial" w:cs="Arial" w:eastAsia="Arial" w:hAnsi="Arial"/>
          <w:sz w:val="18"/>
          <w:szCs w:val="18"/>
          <w:color w:val="auto"/>
        </w:rPr>
        <w:t>Plan, if you cease to be a Director, you will forfeit all unvested Units.</w:t>
      </w:r>
    </w:p>
    <w:p>
      <w:pPr>
        <w:spacing w:after="0" w:line="179" w:lineRule="exact"/>
        <w:rPr>
          <w:rFonts w:ascii="Arial" w:cs="Arial" w:eastAsia="Arial" w:hAnsi="Arial"/>
          <w:sz w:val="18"/>
          <w:szCs w:val="18"/>
          <w:color w:val="auto"/>
        </w:rPr>
      </w:pPr>
    </w:p>
    <w:p>
      <w:pPr>
        <w:ind w:left="200" w:hanging="192"/>
        <w:spacing w:after="0"/>
        <w:tabs>
          <w:tab w:leader="none" w:pos="200"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Units</w:t>
      </w:r>
      <w:r>
        <w:rPr>
          <w:rFonts w:ascii="Arial" w:cs="Arial" w:eastAsia="Arial" w:hAnsi="Arial"/>
          <w:sz w:val="18"/>
          <w:szCs w:val="18"/>
          <w:color w:val="auto"/>
        </w:rPr>
        <w:t>.</w:t>
      </w:r>
    </w:p>
    <w:p>
      <w:pPr>
        <w:spacing w:after="0" w:line="274" w:lineRule="exact"/>
        <w:rPr>
          <w:rFonts w:ascii="Arial" w:cs="Arial" w:eastAsia="Arial" w:hAnsi="Arial"/>
          <w:sz w:val="18"/>
          <w:szCs w:val="18"/>
          <w:color w:val="auto"/>
        </w:rPr>
      </w:pPr>
    </w:p>
    <w:p>
      <w:pPr>
        <w:jc w:val="both"/>
        <w:ind w:left="660" w:hanging="328"/>
        <w:spacing w:after="0" w:line="243" w:lineRule="auto"/>
        <w:tabs>
          <w:tab w:leader="none" w:pos="648" w:val="left"/>
        </w:tabs>
        <w:numPr>
          <w:ilvl w:val="1"/>
          <w:numId w:val="99"/>
        </w:numPr>
        <w:rPr>
          <w:rFonts w:ascii="Arial" w:cs="Arial" w:eastAsia="Arial" w:hAnsi="Arial"/>
          <w:sz w:val="18"/>
          <w:szCs w:val="18"/>
          <w:color w:val="auto"/>
        </w:rPr>
      </w:pPr>
      <w:r>
        <w:rPr>
          <w:rFonts w:ascii="Arial" w:cs="Arial" w:eastAsia="Arial" w:hAnsi="Arial"/>
          <w:sz w:val="18"/>
          <w:szCs w:val="18"/>
          <w:color w:val="auto"/>
        </w:rPr>
        <w:t>Unless you have elected to defer settlement of the Units, after any Units vest pursuant to Section 4, the Company shall, as soon as practicable (but no later than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third calendar month following the Vesting Date),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provisions of Section 8, to the extent applicable, and compliance with all applicable legal requirements as provided in the Omnibus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242"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you have elected to defer the settlement of the Units (“Deferred Units”) pursuant to the terms of the Non-Employee Director Equity Plan, after any Deferred Units vest pursuant to Section 4, the settlement of such Deferred Units shall be governed by the terms of the Non-Employee Director Equity Plan and your related deferral election.</w:t>
      </w:r>
    </w:p>
    <w:p>
      <w:pPr>
        <w:spacing w:after="0" w:line="206" w:lineRule="exact"/>
        <w:rPr>
          <w:rFonts w:ascii="Arial" w:cs="Arial" w:eastAsia="Arial" w:hAnsi="Arial"/>
          <w:sz w:val="18"/>
          <w:szCs w:val="18"/>
          <w:color w:val="auto"/>
        </w:rPr>
      </w:pPr>
    </w:p>
    <w:p>
      <w:pPr>
        <w:ind w:left="660" w:hanging="652"/>
        <w:spacing w:after="0" w:line="255" w:lineRule="auto"/>
        <w:tabs>
          <w:tab w:leader="none" w:pos="402"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color w:val="auto"/>
        </w:rPr>
        <w:t>. If the Company pays cash dividends on its Shares while any Units subject to this Agreement are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then the Company shall credit, as of each dividend payment date, with a number of additional Units (the “Dividend Units”) equal to the result of dividing (i) the product of (x) the total number of Restricted Stock Units credited to your Account on the record date for such dividend and (y) the per share amount of such dividend by (ii) the Fair Market Value of one Share on the date such dividend is paid by the Company to the holder of Shares. Your right to receive such accrued Dividend Units shall vest, and the Dividend Units shall be settled, to the same extent and at the same time as the underlying Units to which the Dividend Units relate vest and are settled, as provided in Sections 4 and 6 of this Agreement. Any Dividend Units accrued on Units that are forfeited in accordance with this Agreement shall also be forfeited.</w:t>
      </w:r>
    </w:p>
    <w:p>
      <w:pPr>
        <w:spacing w:after="0" w:line="211" w:lineRule="exact"/>
        <w:rPr>
          <w:rFonts w:ascii="Arial" w:cs="Arial" w:eastAsia="Arial" w:hAnsi="Arial"/>
          <w:sz w:val="18"/>
          <w:szCs w:val="18"/>
          <w:color w:val="auto"/>
        </w:rPr>
      </w:pPr>
    </w:p>
    <w:p>
      <w:pPr>
        <w:ind w:left="660" w:hanging="652"/>
        <w:spacing w:after="0" w:line="287" w:lineRule="auto"/>
        <w:tabs>
          <w:tab w:leader="none" w:pos="389"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Tax Consequences</w:t>
      </w:r>
      <w:r>
        <w:rPr>
          <w:rFonts w:ascii="Arial" w:cs="Arial" w:eastAsia="Arial" w:hAnsi="Arial"/>
          <w:sz w:val="18"/>
          <w:szCs w:val="18"/>
          <w:color w:val="auto"/>
        </w:rPr>
        <w:t>. No Shares will be delivered to you in settlement of vested Units unless you have made arrangements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for payment of any federal, state, local or foreign taxes that may be due as a result of the delivery of the Shares.</w:t>
      </w:r>
    </w:p>
    <w:p>
      <w:pPr>
        <w:spacing w:after="0" w:line="179" w:lineRule="exact"/>
        <w:rPr>
          <w:rFonts w:ascii="Arial" w:cs="Arial" w:eastAsia="Arial" w:hAnsi="Arial"/>
          <w:sz w:val="18"/>
          <w:szCs w:val="18"/>
          <w:color w:val="auto"/>
        </w:rPr>
      </w:pPr>
    </w:p>
    <w:p>
      <w:pPr>
        <w:ind w:left="660" w:hanging="652"/>
        <w:spacing w:after="0" w:line="256" w:lineRule="auto"/>
        <w:tabs>
          <w:tab w:leader="none" w:pos="362"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Every notice or other communication relating to this Agreement shall be in writing and shall be mailed to or delivered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to the party for 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Corporate Secretary, at its office at 7001 Mt. Rushmore Road, Rapid City, SD 57702, amy.koenig@blackhillscorp.com, and all notices or communications by the Company to you may be given to you personally or may be mailed or, if you are still a Director, emailed to you at the address indicated in the Company's records as your most recent mailing or email address.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RSU Agreement – Non-Employee Directors Page 3</w:t>
      </w:r>
    </w:p>
    <w:p>
      <w:pPr>
        <w:spacing w:after="0"/>
        <w:rPr>
          <w:sz w:val="20"/>
          <w:szCs w:val="20"/>
          <w:color w:val="auto"/>
        </w:rPr>
      </w:pPr>
      <w:r>
        <w:rPr>
          <w:rFonts w:ascii="Arial" w:cs="Arial" w:eastAsia="Arial" w:hAnsi="Arial"/>
          <w:sz w:val="14"/>
          <w:szCs w:val="14"/>
          <w:color w:val="auto"/>
        </w:rPr>
        <w:t>US.131879010.03</w:t>
      </w:r>
    </w:p>
    <w:p>
      <w:pPr>
        <w:sectPr>
          <w:pgSz w:w="11900" w:h="16838" w:orient="portrait"/>
          <w:cols w:equalWidth="0" w:num="1">
            <w:col w:w="11240"/>
          </w:cols>
          <w:pgMar w:left="320" w:top="1417" w:right="339" w:bottom="1440" w:gutter="0" w:footer="0" w:header="0"/>
        </w:sectPr>
      </w:pPr>
    </w:p>
    <w:bookmarkStart w:id="128" w:name="page129"/>
    <w:bookmarkEnd w:id="128"/>
    <w:p>
      <w:pPr>
        <w:spacing w:after="0" w:line="216" w:lineRule="exact"/>
        <w:rPr>
          <w:sz w:val="20"/>
          <w:szCs w:val="20"/>
          <w:color w:val="auto"/>
        </w:rPr>
      </w:pPr>
    </w:p>
    <w:p>
      <w:pPr>
        <w:ind w:left="300" w:hanging="292"/>
        <w:spacing w:after="0"/>
        <w:tabs>
          <w:tab w:leader="none" w:pos="300"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Provisions</w:t>
      </w:r>
      <w:r>
        <w:rPr>
          <w:rFonts w:ascii="Arial" w:cs="Arial" w:eastAsia="Arial" w:hAnsi="Arial"/>
          <w:sz w:val="18"/>
          <w:szCs w:val="18"/>
          <w:color w:val="auto"/>
        </w:rPr>
        <w:t>.</w:t>
      </w:r>
    </w:p>
    <w:p>
      <w:pPr>
        <w:spacing w:after="0" w:line="274" w:lineRule="exact"/>
        <w:rPr>
          <w:rFonts w:ascii="Arial" w:cs="Arial" w:eastAsia="Arial" w:hAnsi="Arial"/>
          <w:sz w:val="18"/>
          <w:szCs w:val="18"/>
          <w:color w:val="auto"/>
        </w:rPr>
      </w:pPr>
    </w:p>
    <w:p>
      <w:pPr>
        <w:ind w:left="660" w:hanging="328"/>
        <w:spacing w:after="0" w:line="261" w:lineRule="auto"/>
        <w:tabs>
          <w:tab w:leader="none" w:pos="648"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This Agreement does not give you a right to continue as a Director or other service provider with the Company or any Affiliate, regardless of the effect it may have upon you under this Agreement.</w:t>
      </w:r>
    </w:p>
    <w:p>
      <w:pPr>
        <w:spacing w:after="0" w:line="224" w:lineRule="exact"/>
        <w:rPr>
          <w:rFonts w:ascii="Arial" w:cs="Arial" w:eastAsia="Arial" w:hAnsi="Arial"/>
          <w:sz w:val="18"/>
          <w:szCs w:val="18"/>
          <w:color w:val="auto"/>
        </w:rPr>
      </w:pPr>
    </w:p>
    <w:p>
      <w:pPr>
        <w:jc w:val="both"/>
        <w:ind w:left="660" w:hanging="328"/>
        <w:spacing w:after="0" w:line="253" w:lineRule="auto"/>
        <w:tabs>
          <w:tab w:leader="none" w:pos="648"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Governing Plan Document</w:t>
      </w:r>
      <w:r>
        <w:rPr>
          <w:rFonts w:ascii="Arial" w:cs="Arial" w:eastAsia="Arial" w:hAnsi="Arial"/>
          <w:sz w:val="18"/>
          <w:szCs w:val="18"/>
          <w:color w:val="auto"/>
        </w:rPr>
        <w:t>. This Agreement and the Award are subject to all the provisions of the Omnibus Plan, the Non-Employee Director Equity Plan, and to all interpretations, rules and regulations which may, from time to time, be adopted and promulgated by the Committee pursuant to the Omnibus Plan and the Non-Employee Director Equity Plan. If there is any conflict between the provisions of this Agreement and the Omnibus Plan or Non-Employee Director Equity Plan, the provisions of the Omnibus Plan or Non-Employee Director Equity Plan will govern.</w:t>
      </w:r>
    </w:p>
    <w:p>
      <w:pPr>
        <w:spacing w:after="0" w:line="232" w:lineRule="exact"/>
        <w:rPr>
          <w:rFonts w:ascii="Arial" w:cs="Arial" w:eastAsia="Arial" w:hAnsi="Arial"/>
          <w:sz w:val="18"/>
          <w:szCs w:val="18"/>
          <w:color w:val="auto"/>
        </w:rPr>
      </w:pPr>
    </w:p>
    <w:p>
      <w:pPr>
        <w:jc w:val="both"/>
        <w:ind w:left="660" w:hanging="328"/>
        <w:spacing w:after="0" w:line="252" w:lineRule="auto"/>
        <w:tabs>
          <w:tab w:leader="none" w:pos="651"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the parties’ performance hereunder, and the relationship between them shall be governed by, construed, and enforced in accordance with the laws of the State of South Dakota, without giving effect to the choice of law principles thereof. The parties agree that any action relating to or arising out of this Agreement shall take place exclusively in the State of South Dakota, and you consent to the jurisdiction of the federal and/or state courts in South Dakota. You further consent to personal jurisdiction and venue in both such courts and to service of process by United States Mail or express courier service in any such action.</w:t>
      </w:r>
    </w:p>
    <w:p>
      <w:pPr>
        <w:spacing w:after="0" w:line="235" w:lineRule="exact"/>
        <w:rPr>
          <w:rFonts w:ascii="Arial" w:cs="Arial" w:eastAsia="Arial" w:hAnsi="Arial"/>
          <w:sz w:val="18"/>
          <w:szCs w:val="18"/>
          <w:color w:val="auto"/>
        </w:rPr>
      </w:pPr>
    </w:p>
    <w:p>
      <w:pPr>
        <w:jc w:val="both"/>
        <w:ind w:left="660" w:hanging="328"/>
        <w:spacing w:after="0" w:line="254" w:lineRule="auto"/>
        <w:tabs>
          <w:tab w:leader="none" w:pos="648"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230" w:lineRule="exact"/>
        <w:rPr>
          <w:rFonts w:ascii="Arial" w:cs="Arial" w:eastAsia="Arial" w:hAnsi="Arial"/>
          <w:sz w:val="18"/>
          <w:szCs w:val="18"/>
          <w:color w:val="auto"/>
        </w:rPr>
      </w:pPr>
    </w:p>
    <w:p>
      <w:pPr>
        <w:ind w:left="660" w:hanging="328"/>
        <w:spacing w:after="0" w:line="261" w:lineRule="auto"/>
        <w:tabs>
          <w:tab w:leader="none" w:pos="648"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will be binding in all respects on your heirs, representatives, successors and assigns, and on the successors and assigns of the Company.</w:t>
      </w:r>
    </w:p>
    <w:p>
      <w:pPr>
        <w:spacing w:after="0" w:line="224" w:lineRule="exact"/>
        <w:rPr>
          <w:rFonts w:ascii="Arial" w:cs="Arial" w:eastAsia="Arial" w:hAnsi="Arial"/>
          <w:sz w:val="18"/>
          <w:szCs w:val="18"/>
          <w:color w:val="auto"/>
        </w:rPr>
      </w:pPr>
    </w:p>
    <w:p>
      <w:pPr>
        <w:jc w:val="both"/>
        <w:ind w:left="660" w:hanging="328"/>
        <w:spacing w:after="0" w:line="254" w:lineRule="auto"/>
        <w:tabs>
          <w:tab w:leader="none" w:pos="652"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Except to the extent Participant has elected to defer the Units pursuant to the terms of the Non-Employee Director Equity Plan and his or her related deferral election form, the award of Units as provided in this Agreement and any issuance of Shares or payment pursuant to this Agreement are intended to be exempt from Section 409A of the Code under the short-term deferral exception specified in Treas. Reg. § 1.409A-l(b)(4).</w:t>
      </w:r>
    </w:p>
    <w:p>
      <w:pPr>
        <w:spacing w:after="0" w:line="230" w:lineRule="exact"/>
        <w:rPr>
          <w:rFonts w:ascii="Arial" w:cs="Arial" w:eastAsia="Arial" w:hAnsi="Arial"/>
          <w:sz w:val="18"/>
          <w:szCs w:val="18"/>
          <w:color w:val="auto"/>
        </w:rPr>
      </w:pPr>
    </w:p>
    <w:p>
      <w:pPr>
        <w:jc w:val="both"/>
        <w:ind w:left="660" w:hanging="328"/>
        <w:spacing w:after="0" w:line="253" w:lineRule="auto"/>
        <w:tabs>
          <w:tab w:leader="none" w:pos="648"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may deliver any documents related to this Restricted Stock Unit Award by electronic means and request your acceptance of this Agreement by electronic means. You hereby consent to receive all applicable documentation by electronic delivery and to participate in the Omnibus Plan and Non-Employee Director Equity Plan through an on-line (and/or voice activated) system established and maintained by the Company or, if appliable, the Company’s third-party stock plan administrator.</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By signing the cover page of this Agreement or otherwise accepting this Agreement in a manner approved by the Company, you agree to all the terms and conditions described above, in the Omnibus Plan document and the Non-Employee Director Equity Plan document.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RSU Agreement – Non-Employee Directors Page 4</w:t>
      </w:r>
    </w:p>
    <w:p>
      <w:pPr>
        <w:spacing w:after="0"/>
        <w:rPr>
          <w:sz w:val="20"/>
          <w:szCs w:val="20"/>
          <w:color w:val="auto"/>
        </w:rPr>
      </w:pPr>
      <w:r>
        <w:rPr>
          <w:rFonts w:ascii="Arial" w:cs="Arial" w:eastAsia="Arial" w:hAnsi="Arial"/>
          <w:sz w:val="14"/>
          <w:szCs w:val="14"/>
          <w:color w:val="auto"/>
        </w:rPr>
        <w:t>US.131879010.03</w:t>
      </w:r>
    </w:p>
    <w:p>
      <w:pPr>
        <w:sectPr>
          <w:pgSz w:w="11900" w:h="16838" w:orient="portrait"/>
          <w:cols w:equalWidth="0" w:num="1">
            <w:col w:w="11240"/>
          </w:cols>
          <w:pgMar w:left="320" w:top="1440"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auto"/>
        </w:rPr>
        <w:t>Exhibit 21</w:t>
      </w:r>
    </w:p>
    <w:p>
      <w:pPr>
        <w:spacing w:after="0" w:line="25" w:lineRule="exact"/>
        <w:rPr>
          <w:sz w:val="20"/>
          <w:szCs w:val="20"/>
          <w:color w:val="auto"/>
        </w:rPr>
      </w:pPr>
    </w:p>
    <w:p>
      <w:pPr>
        <w:jc w:val="center"/>
        <w:ind w:right="717"/>
        <w:spacing w:after="0"/>
        <w:rPr>
          <w:sz w:val="20"/>
          <w:szCs w:val="20"/>
          <w:color w:val="auto"/>
        </w:rPr>
      </w:pPr>
      <w:r>
        <w:rPr>
          <w:rFonts w:ascii="Arial" w:cs="Arial" w:eastAsia="Arial" w:hAnsi="Arial"/>
          <w:sz w:val="16"/>
          <w:szCs w:val="16"/>
          <w:b w:val="1"/>
          <w:bCs w:val="1"/>
          <w:color w:val="auto"/>
        </w:rPr>
        <w:t>BLACK HILLS CORPORATION SUBSIDIARIES</w:t>
      </w:r>
    </w:p>
    <w:p>
      <w:pPr>
        <w:spacing w:after="0" w:line="5" w:lineRule="exact"/>
        <w:rPr>
          <w:sz w:val="20"/>
          <w:szCs w:val="20"/>
          <w:color w:val="auto"/>
        </w:rPr>
      </w:pPr>
    </w:p>
    <w:p>
      <w:pPr>
        <w:jc w:val="center"/>
        <w:ind w:right="717"/>
        <w:spacing w:after="0"/>
        <w:rPr>
          <w:sz w:val="20"/>
          <w:szCs w:val="20"/>
          <w:color w:val="auto"/>
        </w:rPr>
      </w:pPr>
      <w:r>
        <w:rPr>
          <w:rFonts w:ascii="Arial" w:cs="Arial" w:eastAsia="Arial" w:hAnsi="Arial"/>
          <w:sz w:val="16"/>
          <w:szCs w:val="16"/>
          <w:b w:val="1"/>
          <w:bCs w:val="1"/>
          <w:color w:val="auto"/>
        </w:rPr>
        <w:t>December 31, 2021</w:t>
      </w:r>
    </w:p>
    <w:p>
      <w:pPr>
        <w:spacing w:after="0" w:line="253" w:lineRule="exact"/>
        <w:rPr>
          <w:sz w:val="20"/>
          <w:szCs w:val="20"/>
          <w:color w:val="auto"/>
        </w:rPr>
      </w:pPr>
    </w:p>
    <w:tbl>
      <w:tblPr>
        <w:tblLayout w:type="fixed"/>
        <w:tblInd w:w="253" w:type="dxa"/>
        <w:tblCellMar>
          <w:top w:w="0" w:type="dxa"/>
          <w:left w:w="0" w:type="dxa"/>
          <w:bottom w:w="0" w:type="dxa"/>
          <w:right w:w="0" w:type="dxa"/>
        </w:tblCellMar>
      </w:tblPr>
      <w:tr>
        <w:trPr>
          <w:trHeight w:val="229"/>
        </w:trPr>
        <w:tc>
          <w:tcPr>
            <w:tcW w:w="560" w:type="dxa"/>
            <w:vAlign w:val="bottom"/>
            <w:tcBorders>
              <w:top w:val="single" w:sz="8" w:color="auto"/>
              <w:left w:val="single" w:sz="8" w:color="auto"/>
              <w:bottom w:val="single" w:sz="8" w:color="auto"/>
              <w:right w:val="single" w:sz="8" w:color="auto"/>
            </w:tcBorders>
            <w:shd w:val="clear" w:color="auto" w:fill="CCCCCC"/>
          </w:tcPr>
          <w:p>
            <w:pPr>
              <w:spacing w:after="0"/>
              <w:rPr>
                <w:sz w:val="19"/>
                <w:szCs w:val="19"/>
                <w:color w:val="auto"/>
              </w:rPr>
            </w:pPr>
          </w:p>
        </w:tc>
        <w:tc>
          <w:tcPr>
            <w:tcW w:w="6560" w:type="dxa"/>
            <w:vAlign w:val="bottom"/>
            <w:tcBorders>
              <w:top w:val="single" w:sz="8" w:color="auto"/>
              <w:bottom w:val="single" w:sz="8" w:color="auto"/>
              <w:right w:val="single" w:sz="8" w:color="auto"/>
            </w:tcBorders>
            <w:shd w:val="clear" w:color="auto" w:fill="CCCCCC"/>
          </w:tcPr>
          <w:p>
            <w:pPr>
              <w:ind w:left="2620"/>
              <w:spacing w:after="0"/>
              <w:rPr>
                <w:sz w:val="20"/>
                <w:szCs w:val="20"/>
                <w:color w:val="auto"/>
              </w:rPr>
            </w:pPr>
            <w:r>
              <w:rPr>
                <w:rFonts w:ascii="Arial" w:cs="Arial" w:eastAsia="Arial" w:hAnsi="Arial"/>
                <w:sz w:val="16"/>
                <w:szCs w:val="16"/>
                <w:b w:val="1"/>
                <w:bCs w:val="1"/>
                <w:color w:val="auto"/>
              </w:rPr>
              <w:t>Subsidiary Name</w:t>
            </w:r>
          </w:p>
        </w:tc>
        <w:tc>
          <w:tcPr>
            <w:tcW w:w="2180" w:type="dxa"/>
            <w:vAlign w:val="bottom"/>
            <w:tcBorders>
              <w:top w:val="single" w:sz="8" w:color="auto"/>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6"/>
                <w:szCs w:val="16"/>
                <w:b w:val="1"/>
                <w:bCs w:val="1"/>
                <w:color w:val="auto"/>
              </w:rPr>
              <w:t>State of Origin</w:t>
            </w:r>
          </w:p>
        </w:tc>
      </w:tr>
      <w:tr>
        <w:trPr>
          <w:trHeight w:val="207"/>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Colorado Electric,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Colorado Gas, Inc.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Colorado</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Colorado IPP,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Dakota</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Colorado Wind, LLC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5.</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Electric Generation,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Dakota</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6.</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Energy Arkansas, Inc.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Arkansas</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7.</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Energy Services Company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Colorado</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8.</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Exploration and Production, Inc.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Wyoming</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9.</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Gas, Inc.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Gas, LLC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12.</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Gas Holdings, LLC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13.</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Gas Parent Holdings II, Inc.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14.</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Gas Resources, Inc.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Colorado</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15.</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Hills/Iowa Gas Utility Company,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16.</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Hills/Kansas Gas Utility Company,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Kansas</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17.</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Nebraska Gas,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18.</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Non-regulated Holdings, LLC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Dakota</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19.</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Plateau Production,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20.</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Power, Inc.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Dakota</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21.</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Service Company,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Dakota</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22.</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Shoshone Pipeline,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Wyoming</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23.</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Utility Holdings, Inc.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Dakota</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24.</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Wyoming, LLC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Wyoming</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25.</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Wyoming Gas,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Wyoming</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26.</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Cheyenne Light, Fuel and Power Company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Wyoming</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27.</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Mallon Oil Company, Sucursal Costa Rica</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Costa Rica</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28.</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N780BH, LLC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Dakota</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29.</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Northern Iowa Windpower, LLC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30.</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Rocky Mountain Natural Gas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Colorado</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31.</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Wyodak Resources Development Corp.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bl>
    <w:p>
      <w:pPr>
        <w:spacing w:after="0" w:line="319" w:lineRule="exact"/>
        <w:rPr>
          <w:sz w:val="20"/>
          <w:szCs w:val="20"/>
          <w:color w:val="auto"/>
        </w:rPr>
      </w:pPr>
    </w:p>
    <w:p>
      <w:pPr>
        <w:ind w:left="103" w:hanging="103"/>
        <w:spacing w:after="0"/>
        <w:tabs>
          <w:tab w:leader="none" w:pos="10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doing business as </w:t>
      </w:r>
      <w:r>
        <w:rPr>
          <w:rFonts w:ascii="Arial" w:cs="Arial" w:eastAsia="Arial" w:hAnsi="Arial"/>
          <w:sz w:val="16"/>
          <w:szCs w:val="16"/>
          <w:b w:val="1"/>
          <w:bCs w:val="1"/>
          <w:color w:val="auto"/>
        </w:rPr>
        <w:t>Black Hills Energy</w:t>
      </w:r>
    </w:p>
    <w:p>
      <w:pPr>
        <w:sectPr>
          <w:pgSz w:w="11900" w:h="16838" w:orient="portrait"/>
          <w:cols w:equalWidth="0" w:num="1">
            <w:col w:w="10503"/>
          </w:cols>
          <w:pgMar w:left="1057" w:top="769"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6"/>
          <w:szCs w:val="16"/>
          <w:b w:val="1"/>
          <w:bCs w:val="1"/>
          <w:color w:val="auto"/>
        </w:rPr>
        <w:t>Exhibit 23.1</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48"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We consent to the incorporation by reference in Registration Statement Nos. 333-240320 and 333-240319 on Form S-3 and Registration Statement Nos. 333-170451, 333-217679, 333-170448, 333-170452, and 333-203714 on Form S-8 of our reports dated February 15, 2022, relating to the consolidated financial statements of Black Hills Corporation and subsidiaries (the “Company”), and the effectiveness of the Company’s internal control over financial reporting, appearing in this Annual Report on Form 10-K of Black Hills Corporation for the year ended December 31, 2021.</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15, 2022</w:t>
      </w:r>
    </w:p>
    <w:p>
      <w:pPr>
        <w:sectPr>
          <w:pgSz w:w="11900" w:h="16838" w:orient="portrait"/>
          <w:cols w:equalWidth="0" w:num="1">
            <w:col w:w="11240"/>
          </w:cols>
          <w:pgMar w:left="320" w:top="89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31.1</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46" w:lineRule="exact"/>
        <w:rPr>
          <w:sz w:val="20"/>
          <w:szCs w:val="20"/>
          <w:color w:val="auto"/>
        </w:rPr>
      </w:pPr>
    </w:p>
    <w:p>
      <w:pPr>
        <w:ind w:left="800" w:hanging="774"/>
        <w:spacing w:after="0"/>
        <w:tabs>
          <w:tab w:leader="none" w:pos="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Black Hills Corporation;</w:t>
      </w:r>
    </w:p>
    <w:p>
      <w:pPr>
        <w:spacing w:after="0" w:line="194" w:lineRule="exact"/>
        <w:rPr>
          <w:rFonts w:ascii="Arial" w:cs="Arial" w:eastAsia="Arial" w:hAnsi="Arial"/>
          <w:sz w:val="16"/>
          <w:szCs w:val="16"/>
          <w:color w:val="auto"/>
        </w:rPr>
      </w:pPr>
    </w:p>
    <w:p>
      <w:pPr>
        <w:jc w:val="both"/>
        <w:ind w:left="800" w:right="220" w:hanging="774"/>
        <w:spacing w:after="0" w:line="225" w:lineRule="auto"/>
        <w:tabs>
          <w:tab w:leader="none" w:pos="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800" w:right="80" w:hanging="774"/>
        <w:spacing w:after="0" w:line="232" w:lineRule="auto"/>
        <w:tabs>
          <w:tab w:leader="none" w:pos="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800" w:right="80" w:hanging="774"/>
        <w:spacing w:after="0" w:line="225" w:lineRule="auto"/>
        <w:tabs>
          <w:tab w:leader="none" w:pos="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1600" w:right="160" w:hanging="791"/>
        <w:spacing w:after="0" w:line="225" w:lineRule="auto"/>
        <w:tabs>
          <w:tab w:leader="none" w:pos="16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1600" w:right="220" w:hanging="791"/>
        <w:spacing w:after="0" w:line="225" w:lineRule="auto"/>
        <w:tabs>
          <w:tab w:leader="none" w:pos="16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1600" w:right="180" w:hanging="791"/>
        <w:spacing w:after="0" w:line="225" w:lineRule="auto"/>
        <w:tabs>
          <w:tab w:leader="none" w:pos="16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600" w:right="60" w:hanging="791"/>
        <w:spacing w:after="0" w:line="225" w:lineRule="auto"/>
        <w:tabs>
          <w:tab w:leader="none" w:pos="16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rFonts w:ascii="Arial" w:cs="Arial" w:eastAsia="Arial" w:hAnsi="Arial"/>
          <w:sz w:val="16"/>
          <w:szCs w:val="16"/>
          <w:color w:val="auto"/>
        </w:rPr>
      </w:pPr>
    </w:p>
    <w:p>
      <w:pPr>
        <w:ind w:left="800" w:right="100" w:hanging="774"/>
        <w:spacing w:after="0" w:line="232" w:lineRule="auto"/>
        <w:tabs>
          <w:tab w:leader="none" w:pos="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4" w:lineRule="exact"/>
        <w:rPr>
          <w:rFonts w:ascii="Arial" w:cs="Arial" w:eastAsia="Arial" w:hAnsi="Arial"/>
          <w:sz w:val="16"/>
          <w:szCs w:val="16"/>
          <w:color w:val="auto"/>
        </w:rPr>
      </w:pPr>
    </w:p>
    <w:p>
      <w:pPr>
        <w:ind w:left="1600" w:right="340" w:hanging="791"/>
        <w:spacing w:after="0" w:line="232" w:lineRule="auto"/>
        <w:tabs>
          <w:tab w:leader="none" w:pos="16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600" w:right="560" w:hanging="791"/>
        <w:spacing w:after="0" w:line="232" w:lineRule="auto"/>
        <w:tabs>
          <w:tab w:leader="none" w:pos="16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Date: February 15, 2022</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10795</wp:posOffset>
            </wp:positionV>
            <wp:extent cx="23742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4">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89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31.2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I, Richard W. Kinzley, certify that:</w:t>
      </w:r>
    </w:p>
    <w:p>
      <w:pPr>
        <w:spacing w:after="0" w:line="46" w:lineRule="exact"/>
        <w:rPr>
          <w:sz w:val="20"/>
          <w:szCs w:val="20"/>
          <w:color w:val="auto"/>
        </w:rPr>
      </w:pPr>
    </w:p>
    <w:p>
      <w:pPr>
        <w:ind w:left="800" w:hanging="774"/>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Black Hills Corporation;</w:t>
      </w:r>
    </w:p>
    <w:p>
      <w:pPr>
        <w:spacing w:after="0" w:line="194" w:lineRule="exact"/>
        <w:rPr>
          <w:rFonts w:ascii="Arial" w:cs="Arial" w:eastAsia="Arial" w:hAnsi="Arial"/>
          <w:sz w:val="16"/>
          <w:szCs w:val="16"/>
          <w:color w:val="auto"/>
        </w:rPr>
      </w:pPr>
    </w:p>
    <w:p>
      <w:pPr>
        <w:jc w:val="both"/>
        <w:ind w:left="800" w:right="220" w:hanging="774"/>
        <w:spacing w:after="0" w:line="225" w:lineRule="auto"/>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800" w:right="80" w:hanging="774"/>
        <w:spacing w:after="0" w:line="232" w:lineRule="auto"/>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800" w:right="80" w:hanging="774"/>
        <w:spacing w:after="0" w:line="225" w:lineRule="auto"/>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1600" w:right="160" w:hanging="791"/>
        <w:spacing w:after="0" w:line="225" w:lineRule="auto"/>
        <w:tabs>
          <w:tab w:leader="none" w:pos="16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1600" w:right="220" w:hanging="791"/>
        <w:spacing w:after="0" w:line="225" w:lineRule="auto"/>
        <w:tabs>
          <w:tab w:leader="none" w:pos="16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1600" w:right="180" w:hanging="791"/>
        <w:spacing w:after="0" w:line="225" w:lineRule="auto"/>
        <w:tabs>
          <w:tab w:leader="none" w:pos="16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600" w:right="60" w:hanging="791"/>
        <w:spacing w:after="0" w:line="225" w:lineRule="auto"/>
        <w:tabs>
          <w:tab w:leader="none" w:pos="16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rFonts w:ascii="Arial" w:cs="Arial" w:eastAsia="Arial" w:hAnsi="Arial"/>
          <w:sz w:val="16"/>
          <w:szCs w:val="16"/>
          <w:color w:val="auto"/>
        </w:rPr>
      </w:pPr>
    </w:p>
    <w:p>
      <w:pPr>
        <w:ind w:left="800" w:right="100" w:hanging="774"/>
        <w:spacing w:after="0" w:line="232" w:lineRule="auto"/>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4" w:lineRule="exact"/>
        <w:rPr>
          <w:rFonts w:ascii="Arial" w:cs="Arial" w:eastAsia="Arial" w:hAnsi="Arial"/>
          <w:sz w:val="16"/>
          <w:szCs w:val="16"/>
          <w:color w:val="auto"/>
        </w:rPr>
      </w:pPr>
    </w:p>
    <w:p>
      <w:pPr>
        <w:ind w:left="1600" w:right="340" w:hanging="791"/>
        <w:spacing w:after="0" w:line="232" w:lineRule="auto"/>
        <w:tabs>
          <w:tab w:leader="none" w:pos="16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600" w:right="560" w:hanging="791"/>
        <w:spacing w:after="0" w:line="232" w:lineRule="auto"/>
        <w:tabs>
          <w:tab w:leader="none" w:pos="16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Date: February 15, 2022</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10795</wp:posOffset>
            </wp:positionV>
            <wp:extent cx="28371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5">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Richard W. Kinzley</w:t>
      </w:r>
    </w:p>
    <w:p>
      <w:pPr>
        <w:spacing w:after="0" w:line="32"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32.1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00"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In connection with the Annual Report of Black Hills Corporation (the “Company”) on Form 10-K for the year ended December 31, 2021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201" w:lineRule="exact"/>
        <w:rPr>
          <w:sz w:val="20"/>
          <w:szCs w:val="20"/>
          <w:color w:val="auto"/>
        </w:rPr>
      </w:pPr>
    </w:p>
    <w:p>
      <w:pPr>
        <w:ind w:left="1600" w:hanging="791"/>
        <w:spacing w:after="0"/>
        <w:tabs>
          <w:tab w:leader="none" w:pos="16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94" w:lineRule="exact"/>
        <w:rPr>
          <w:rFonts w:ascii="Arial" w:cs="Arial" w:eastAsia="Arial" w:hAnsi="Arial"/>
          <w:sz w:val="16"/>
          <w:szCs w:val="16"/>
          <w:color w:val="auto"/>
        </w:rPr>
      </w:pPr>
    </w:p>
    <w:p>
      <w:pPr>
        <w:ind w:left="1600" w:right="120" w:hanging="791"/>
        <w:spacing w:after="0" w:line="232" w:lineRule="auto"/>
        <w:tabs>
          <w:tab w:leader="none" w:pos="16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Date: February 15, 2022</w:t>
      </w:r>
    </w:p>
    <w:p>
      <w:pPr>
        <w:spacing w:after="0" w:line="30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10795</wp:posOffset>
            </wp:positionV>
            <wp:extent cx="23742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89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6"/>
          <w:szCs w:val="16"/>
          <w:b w:val="1"/>
          <w:bCs w:val="1"/>
          <w:color w:val="auto"/>
        </w:rPr>
        <w:t>Exhibit 32.2</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00" w:lineRule="exact"/>
        <w:rPr>
          <w:sz w:val="20"/>
          <w:szCs w:val="20"/>
          <w:color w:val="auto"/>
        </w:rPr>
      </w:pPr>
    </w:p>
    <w:p>
      <w:pPr>
        <w:jc w:val="both"/>
        <w:ind w:right="480"/>
        <w:spacing w:after="0" w:line="253" w:lineRule="auto"/>
        <w:rPr>
          <w:sz w:val="20"/>
          <w:szCs w:val="20"/>
          <w:color w:val="auto"/>
        </w:rPr>
      </w:pPr>
      <w:r>
        <w:rPr>
          <w:rFonts w:ascii="Arial" w:cs="Arial" w:eastAsia="Arial" w:hAnsi="Arial"/>
          <w:sz w:val="16"/>
          <w:szCs w:val="16"/>
          <w:color w:val="auto"/>
        </w:rPr>
        <w:t>In connection with the Annual Report of Black Hills Corporation (the “Company”) on Form 10-K for the year ended December 31, 2021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01" w:lineRule="exact"/>
        <w:rPr>
          <w:sz w:val="20"/>
          <w:szCs w:val="20"/>
          <w:color w:val="auto"/>
        </w:rPr>
      </w:pPr>
    </w:p>
    <w:p>
      <w:pPr>
        <w:ind w:left="1600" w:hanging="791"/>
        <w:spacing w:after="0"/>
        <w:tabs>
          <w:tab w:leader="none" w:pos="16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94" w:lineRule="exact"/>
        <w:rPr>
          <w:rFonts w:ascii="Arial" w:cs="Arial" w:eastAsia="Arial" w:hAnsi="Arial"/>
          <w:sz w:val="16"/>
          <w:szCs w:val="16"/>
          <w:color w:val="auto"/>
        </w:rPr>
      </w:pPr>
    </w:p>
    <w:p>
      <w:pPr>
        <w:ind w:left="1600" w:right="120" w:hanging="791"/>
        <w:spacing w:after="0" w:line="232" w:lineRule="auto"/>
        <w:tabs>
          <w:tab w:leader="none" w:pos="16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Date: February 15, 2022</w:t>
      </w:r>
    </w:p>
    <w:p>
      <w:pPr>
        <w:spacing w:after="0" w:line="30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10795</wp:posOffset>
            </wp:positionV>
            <wp:extent cx="28460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Richard W. Kinzley</w:t>
      </w:r>
    </w:p>
    <w:p>
      <w:pPr>
        <w:spacing w:after="0" w:line="3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6"/>
          <w:szCs w:val="16"/>
          <w:b w:val="1"/>
          <w:bCs w:val="1"/>
          <w:color w:val="auto"/>
        </w:rPr>
        <w:t>Exhibit 95</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20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23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twelve month period ended December 31, 2021.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235" w:lineRule="exact"/>
        <w:rPr>
          <w:sz w:val="20"/>
          <w:szCs w:val="20"/>
          <w:color w:val="auto"/>
        </w:rPr>
      </w:pPr>
    </w:p>
    <w:p>
      <w:pPr>
        <w:ind w:left="660" w:right="100" w:hanging="328"/>
        <w:spacing w:after="0" w:line="260" w:lineRule="auto"/>
        <w:tabs>
          <w:tab w:leader="none" w:pos="64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Total number of orders issued under section 104(b) of the Mine Act;</w:t>
      </w:r>
    </w:p>
    <w:p>
      <w:pPr>
        <w:spacing w:after="0" w:line="248" w:lineRule="exact"/>
        <w:rPr>
          <w:rFonts w:ascii="Arial" w:cs="Arial" w:eastAsia="Arial" w:hAnsi="Arial"/>
          <w:sz w:val="16"/>
          <w:szCs w:val="16"/>
          <w:color w:val="auto"/>
        </w:rPr>
      </w:pPr>
    </w:p>
    <w:p>
      <w:pPr>
        <w:ind w:left="660" w:right="360" w:hanging="328"/>
        <w:spacing w:after="0" w:line="260" w:lineRule="auto"/>
        <w:tabs>
          <w:tab w:leader="none" w:pos="64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Total number of imminent danger orders issued under section 107(a) of the Mine Act;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Total dollar value of proposed assessments from MSHA under the Mine Act.</w:t>
      </w:r>
    </w:p>
    <w:p>
      <w:pPr>
        <w:spacing w:after="0" w:line="24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table below sets forth the total number of citations and/or orders issued by MSHA to WRDC under the indicated provisions of the Mine Act, together with the total dollar value of proposed MSHA assessments received during the twelve months ended December 31, 2021 and legal actions pending before the Federal Mine Safety and Health Review Commission, together with the Administrative Law Judges thereof, for WRDC, our only mining complex. All citations were abated within 24 hours of issue.</w:t>
      </w:r>
    </w:p>
    <w:tbl>
      <w:tblPr>
        <w:tblLayout w:type="fixed"/>
        <w:tblInd w:w="20" w:type="dxa"/>
        <w:tblCellMar>
          <w:top w:w="0" w:type="dxa"/>
          <w:left w:w="0" w:type="dxa"/>
          <w:bottom w:w="0" w:type="dxa"/>
          <w:right w:w="0" w:type="dxa"/>
        </w:tblCellMar>
      </w:tblPr>
      <w:tr>
        <w:trPr>
          <w:trHeight w:val="133"/>
        </w:trPr>
        <w:tc>
          <w:tcPr>
            <w:tcW w:w="112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7"/>
              </w:rPr>
              <w:t>Mine Act Section</w:t>
            </w:r>
          </w:p>
        </w:tc>
        <w:tc>
          <w:tcPr>
            <w:tcW w:w="68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Mine Act</w:t>
            </w:r>
          </w:p>
        </w:tc>
        <w:tc>
          <w:tcPr>
            <w:tcW w:w="92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Received Notice</w:t>
            </w:r>
          </w:p>
        </w:tc>
        <w:tc>
          <w:tcPr>
            <w:tcW w:w="8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4"/>
              </w:rPr>
              <w:t>Legal</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Legal</w:t>
            </w: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Legal</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104 S&amp;S Citations</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Actions</w:t>
            </w: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Mine/MSHA</w:t>
            </w:r>
          </w:p>
        </w:tc>
        <w:tc>
          <w:tcPr>
            <w:tcW w:w="12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issued during</w:t>
            </w:r>
          </w:p>
        </w:tc>
        <w:tc>
          <w:tcPr>
            <w:tcW w:w="680" w:type="dxa"/>
            <w:vAlign w:val="bottom"/>
            <w:vMerge w:val="continue"/>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Section</w:t>
            </w:r>
          </w:p>
        </w:tc>
        <w:tc>
          <w:tcPr>
            <w:tcW w:w="920" w:type="dxa"/>
            <w:vAlign w:val="bottom"/>
            <w:vMerge w:val="continue"/>
          </w:tcPr>
          <w:p>
            <w:pPr>
              <w:spacing w:after="0"/>
              <w:rPr>
                <w:sz w:val="10"/>
                <w:szCs w:val="10"/>
                <w:color w:val="auto"/>
              </w:rPr>
            </w:pPr>
          </w:p>
        </w:tc>
        <w:tc>
          <w:tcPr>
            <w:tcW w:w="2040" w:type="dxa"/>
            <w:vAlign w:val="bottom"/>
            <w:gridSpan w:val="3"/>
          </w:tcPr>
          <w:p>
            <w:pPr>
              <w:jc w:val="right"/>
              <w:spacing w:after="0" w:line="122" w:lineRule="exact"/>
              <w:rPr>
                <w:sz w:val="20"/>
                <w:szCs w:val="20"/>
                <w:color w:val="auto"/>
              </w:rPr>
            </w:pPr>
            <w:r>
              <w:rPr>
                <w:rFonts w:ascii="Arial" w:cs="Arial" w:eastAsia="Arial" w:hAnsi="Arial"/>
                <w:sz w:val="13"/>
                <w:szCs w:val="13"/>
                <w:b w:val="1"/>
                <w:bCs w:val="1"/>
                <w:color w:val="auto"/>
                <w:w w:val="97"/>
              </w:rPr>
              <w:t>Section 107(a) Total Dollar Value</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Number of</w:t>
            </w: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of Potential to</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Pending as</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Actions</w:t>
            </w: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Actions</w:t>
            </w: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twelve months</w:t>
            </w:r>
          </w:p>
        </w:tc>
        <w:tc>
          <w:tcPr>
            <w:tcW w:w="6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Section</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9"/>
              </w:rPr>
              <w:t>104(d)</w:t>
            </w:r>
          </w:p>
        </w:tc>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Section 110(b)</w:t>
            </w: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Imminent</w:t>
            </w:r>
          </w:p>
        </w:tc>
        <w:tc>
          <w:tcPr>
            <w:tcW w:w="200" w:type="dxa"/>
            <w:vAlign w:val="bottom"/>
          </w:tcPr>
          <w:p>
            <w:pPr>
              <w:spacing w:after="0"/>
              <w:rPr>
                <w:sz w:val="10"/>
                <w:szCs w:val="10"/>
                <w:color w:val="auto"/>
              </w:rPr>
            </w:pPr>
          </w:p>
        </w:tc>
        <w:tc>
          <w:tcPr>
            <w:tcW w:w="1020" w:type="dxa"/>
            <w:vAlign w:val="bottom"/>
          </w:tcPr>
          <w:p>
            <w:pPr>
              <w:jc w:val="center"/>
              <w:ind w:right="97"/>
              <w:spacing w:after="0" w:line="122" w:lineRule="exact"/>
              <w:rPr>
                <w:sz w:val="20"/>
                <w:szCs w:val="20"/>
                <w:color w:val="auto"/>
              </w:rPr>
            </w:pPr>
            <w:r>
              <w:rPr>
                <w:rFonts w:ascii="Arial" w:cs="Arial" w:eastAsia="Arial" w:hAnsi="Arial"/>
                <w:sz w:val="13"/>
                <w:szCs w:val="13"/>
                <w:b w:val="1"/>
                <w:bCs w:val="1"/>
                <w:color w:val="auto"/>
                <w:w w:val="97"/>
              </w:rPr>
              <w:t>of Proposed</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Mining</w:t>
            </w: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Have Pattern</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of Last Day</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Initiated</w:t>
            </w: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67"/>
        </w:trPr>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6"/>
              </w:rPr>
              <w:t>Identification</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3"/>
              </w:rPr>
              <w:t>ended</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104(b)</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7"/>
              </w:rPr>
              <w:t>Citations and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820" w:type="dxa"/>
            <w:vAlign w:val="bottom"/>
          </w:tcPr>
          <w:p>
            <w:pPr>
              <w:jc w:val="center"/>
              <w:ind w:left="17"/>
              <w:spacing w:after="0"/>
              <w:rPr>
                <w:sz w:val="20"/>
                <w:szCs w:val="20"/>
                <w:color w:val="auto"/>
              </w:rPr>
            </w:pPr>
            <w:r>
              <w:rPr>
                <w:rFonts w:ascii="Arial" w:cs="Arial" w:eastAsia="Arial" w:hAnsi="Arial"/>
                <w:sz w:val="13"/>
                <w:szCs w:val="13"/>
                <w:b w:val="1"/>
                <w:bCs w:val="1"/>
                <w:color w:val="auto"/>
                <w:w w:val="93"/>
              </w:rPr>
              <w:t>Danger</w:t>
            </w:r>
          </w:p>
        </w:tc>
        <w:tc>
          <w:tcPr>
            <w:tcW w:w="200" w:type="dxa"/>
            <w:vAlign w:val="bottom"/>
          </w:tcPr>
          <w:p>
            <w:pPr>
              <w:spacing w:after="0"/>
              <w:rPr>
                <w:sz w:val="14"/>
                <w:szCs w:val="14"/>
                <w:color w:val="auto"/>
              </w:rPr>
            </w:pPr>
          </w:p>
        </w:tc>
        <w:tc>
          <w:tcPr>
            <w:tcW w:w="1020" w:type="dxa"/>
            <w:vAlign w:val="bottom"/>
          </w:tcPr>
          <w:p>
            <w:pPr>
              <w:jc w:val="center"/>
              <w:ind w:right="97"/>
              <w:spacing w:after="0"/>
              <w:rPr>
                <w:sz w:val="20"/>
                <w:szCs w:val="20"/>
                <w:color w:val="auto"/>
              </w:rPr>
            </w:pPr>
            <w:r>
              <w:rPr>
                <w:rFonts w:ascii="Arial" w:cs="Arial" w:eastAsia="Arial" w:hAnsi="Arial"/>
                <w:sz w:val="13"/>
                <w:szCs w:val="13"/>
                <w:b w:val="1"/>
                <w:bCs w:val="1"/>
                <w:color w:val="auto"/>
                <w:w w:val="99"/>
              </w:rPr>
              <w:t>MSHA</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7"/>
              </w:rPr>
              <w:t>Related</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7"/>
              </w:rPr>
              <w:t>Under Section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of</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5"/>
              </w:rPr>
              <w:t>During</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During</w:t>
            </w:r>
          </w:p>
        </w:tc>
        <w:tc>
          <w:tcPr>
            <w:tcW w:w="0" w:type="dxa"/>
            <w:vAlign w:val="bottom"/>
          </w:tcPr>
          <w:p>
            <w:pPr>
              <w:spacing w:after="0"/>
              <w:rPr>
                <w:sz w:val="1"/>
                <w:szCs w:val="1"/>
                <w:color w:val="auto"/>
              </w:rPr>
            </w:pPr>
          </w:p>
        </w:tc>
      </w:tr>
      <w:tr>
        <w:trPr>
          <w:trHeight w:val="168"/>
        </w:trPr>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December 31</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Orders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8"/>
              </w:rPr>
              <w:t>Orders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Violations</w:t>
            </w:r>
          </w:p>
        </w:tc>
        <w:tc>
          <w:tcPr>
            <w:tcW w:w="820" w:type="dxa"/>
            <w:vAlign w:val="bottom"/>
          </w:tcPr>
          <w:p>
            <w:pPr>
              <w:jc w:val="center"/>
              <w:ind w:left="17"/>
              <w:spacing w:after="0"/>
              <w:rPr>
                <w:sz w:val="20"/>
                <w:szCs w:val="20"/>
                <w:color w:val="auto"/>
              </w:rPr>
            </w:pPr>
            <w:r>
              <w:rPr>
                <w:rFonts w:ascii="Arial" w:cs="Arial" w:eastAsia="Arial" w:hAnsi="Arial"/>
                <w:sz w:val="13"/>
                <w:szCs w:val="13"/>
                <w:b w:val="1"/>
                <w:bCs w:val="1"/>
                <w:color w:val="auto"/>
                <w:w w:val="98"/>
              </w:rPr>
              <w:t>Orders</w:t>
            </w:r>
          </w:p>
        </w:tc>
        <w:tc>
          <w:tcPr>
            <w:tcW w:w="200" w:type="dxa"/>
            <w:vAlign w:val="bottom"/>
          </w:tcPr>
          <w:p>
            <w:pPr>
              <w:spacing w:after="0"/>
              <w:rPr>
                <w:sz w:val="14"/>
                <w:szCs w:val="14"/>
                <w:color w:val="auto"/>
              </w:rPr>
            </w:pPr>
          </w:p>
        </w:tc>
        <w:tc>
          <w:tcPr>
            <w:tcW w:w="102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Assessments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Fatalities</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5"/>
              </w:rPr>
              <w:t>104(e)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8"/>
              </w:rPr>
              <w:t>Period</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8"/>
              </w:rPr>
              <w:t>Period</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Period</w:t>
            </w:r>
          </w:p>
        </w:tc>
        <w:tc>
          <w:tcPr>
            <w:tcW w:w="0" w:type="dxa"/>
            <w:vAlign w:val="bottom"/>
          </w:tcPr>
          <w:p>
            <w:pPr>
              <w:spacing w:after="0"/>
              <w:rPr>
                <w:sz w:val="1"/>
                <w:szCs w:val="1"/>
                <w:color w:val="auto"/>
              </w:rPr>
            </w:pPr>
          </w:p>
        </w:tc>
      </w:tr>
      <w:tr>
        <w:trPr>
          <w:trHeight w:val="185"/>
        </w:trPr>
        <w:tc>
          <w:tcPr>
            <w:tcW w:w="1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2021</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7"/>
              </w:rPr>
              <w:t>(a)</w:t>
            </w: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(yes/no)</w:t>
            </w: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1120" w:type="dxa"/>
            <w:vAlign w:val="bottom"/>
          </w:tcPr>
          <w:p>
            <w:pPr>
              <w:ind w:left="20"/>
              <w:spacing w:after="0" w:line="129" w:lineRule="exact"/>
              <w:rPr>
                <w:sz w:val="20"/>
                <w:szCs w:val="20"/>
                <w:color w:val="auto"/>
              </w:rPr>
            </w:pPr>
            <w:r>
              <w:rPr>
                <w:rFonts w:ascii="Arial" w:cs="Arial" w:eastAsia="Arial" w:hAnsi="Arial"/>
                <w:sz w:val="13"/>
                <w:szCs w:val="13"/>
                <w:color w:val="auto"/>
                <w:w w:val="98"/>
              </w:rPr>
              <w:t>Wyodak Coal Mine</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37"/>
              <w:spacing w:after="0"/>
              <w:rPr>
                <w:sz w:val="20"/>
                <w:szCs w:val="20"/>
                <w:color w:val="auto"/>
              </w:rPr>
            </w:pPr>
            <w:r>
              <w:rPr>
                <w:rFonts w:ascii="Arial" w:cs="Arial" w:eastAsia="Arial" w:hAnsi="Arial"/>
                <w:sz w:val="13"/>
                <w:szCs w:val="13"/>
                <w:color w:val="auto"/>
              </w:rPr>
              <w:t>396</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2"/>
        </w:trPr>
        <w:tc>
          <w:tcPr>
            <w:tcW w:w="1120" w:type="dxa"/>
            <w:vAlign w:val="bottom"/>
          </w:tcPr>
          <w:p>
            <w:pPr>
              <w:ind w:left="20"/>
              <w:spacing w:after="0"/>
              <w:rPr>
                <w:sz w:val="20"/>
                <w:szCs w:val="20"/>
                <w:color w:val="auto"/>
              </w:rPr>
            </w:pPr>
            <w:r>
              <w:rPr>
                <w:rFonts w:ascii="Arial" w:cs="Arial" w:eastAsia="Arial" w:hAnsi="Arial"/>
                <w:sz w:val="13"/>
                <w:szCs w:val="13"/>
                <w:color w:val="auto"/>
              </w:rPr>
              <w:t>- 4800083</w:t>
            </w:r>
          </w:p>
        </w:tc>
        <w:tc>
          <w:tcPr>
            <w:tcW w:w="12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spacing w:after="0" w:line="1" w:lineRule="exact"/>
        <w:rPr>
          <w:sz w:val="20"/>
          <w:szCs w:val="20"/>
          <w:color w:val="auto"/>
        </w:rPr>
      </w:pPr>
    </w:p>
    <w:p>
      <w:pPr>
        <w:ind w:left="340" w:right="260" w:hanging="332"/>
        <w:spacing w:after="0" w:line="249" w:lineRule="auto"/>
        <w:tabs>
          <w:tab w:leader="none" w:pos="349"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1)"/>
      <w:numFmt w:val="lowerLetter"/>
      <w:start w:val="1"/>
    </w:lvl>
  </w:abstractNum>
  <w:abstractNum w:abstractNumId="3">
    <w:nsid w:val="649BB77C"/>
    <w:multiLevelType w:val="hybridMultilevel"/>
    <w:lvl w:ilvl="0">
      <w:lvlJc w:val="left"/>
      <w:lvlText w:val="(%1)"/>
      <w:numFmt w:val="lowerLetter"/>
      <w:start w:val="1"/>
    </w:lvl>
  </w:abstractNum>
  <w:abstractNum w:abstractNumId="4">
    <w:nsid w:val="275AC794"/>
    <w:multiLevelType w:val="hybridMultilevel"/>
    <w:lvl w:ilvl="0">
      <w:lvlJc w:val="left"/>
      <w:lvlText w:val="(%1)"/>
      <w:numFmt w:val="lowerLetter"/>
      <w:start w:val="1"/>
    </w:lvl>
  </w:abstractNum>
  <w:abstractNum w:abstractNumId="5">
    <w:nsid w:val="39386575"/>
    <w:multiLevelType w:val="hybridMultilevel"/>
    <w:lvl w:ilvl="0">
      <w:lvlJc w:val="left"/>
      <w:lvlText w:val="(%1)"/>
      <w:numFmt w:val="lowerLetter"/>
      <w:start w:val="1"/>
    </w:lvl>
  </w:abstractNum>
  <w:abstractNum w:abstractNumId="6">
    <w:nsid w:val="1CF10FD8"/>
    <w:multiLevelType w:val="hybridMultilevel"/>
    <w:lvl w:ilvl="0">
      <w:lvlJc w:val="left"/>
      <w:lvlText w:val="(%1)"/>
      <w:numFmt w:val="lowerLetter"/>
      <w:start w:val="1"/>
    </w:lvl>
  </w:abstractNum>
  <w:abstractNum w:abstractNumId="7">
    <w:nsid w:val="180115BE"/>
    <w:multiLevelType w:val="hybridMultilevel"/>
    <w:lvl w:ilvl="0">
      <w:lvlJc w:val="left"/>
      <w:lvlText w:val="(%1)"/>
      <w:numFmt w:val="lowerLetter"/>
      <w:start w:val="1"/>
    </w:lvl>
  </w:abstractNum>
  <w:abstractNum w:abstractNumId="8">
    <w:nsid w:val="235BA861"/>
    <w:multiLevelType w:val="hybridMultilevel"/>
    <w:lvl w:ilvl="0">
      <w:lvlJc w:val="left"/>
      <w:lvlText w:val="(%1)"/>
      <w:numFmt w:val="lowerLetter"/>
      <w:start w:val="1"/>
    </w:lvl>
  </w:abstractNum>
  <w:abstractNum w:abstractNumId="9">
    <w:nsid w:val="47398C89"/>
    <w:multiLevelType w:val="hybridMultilevel"/>
    <w:lvl w:ilvl="0">
      <w:lvlJc w:val="left"/>
      <w:lvlText w:val="(%1)"/>
      <w:numFmt w:val="lowerLetter"/>
      <w:start w:val="1"/>
    </w:lvl>
  </w:abstractNum>
  <w:abstractNum w:abstractNumId="10">
    <w:nsid w:val="354FE9F9"/>
    <w:multiLevelType w:val="hybridMultilevel"/>
    <w:lvl w:ilvl="0">
      <w:lvlJc w:val="left"/>
      <w:lvlText w:val="(%1)"/>
      <w:numFmt w:val="lowerLetter"/>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1)"/>
      <w:numFmt w:val="lowerLetter"/>
      <w:start w:val="1"/>
    </w:lvl>
  </w:abstractNum>
  <w:abstractNum w:abstractNumId="15">
    <w:nsid w:val="3F6AB60F"/>
    <w:multiLevelType w:val="hybridMultilevel"/>
    <w:lvl w:ilvl="0">
      <w:lvlJc w:val="left"/>
      <w:lvlText w:val="(%1)"/>
      <w:numFmt w:val="lowerLetter"/>
      <w:start w:val="1"/>
    </w:lvl>
  </w:abstractNum>
  <w:abstractNum w:abstractNumId="16">
    <w:nsid w:val="61574095"/>
    <w:multiLevelType w:val="hybridMultilevel"/>
    <w:lvl w:ilvl="0">
      <w:lvlJc w:val="left"/>
      <w:lvlText w:val="(%1)"/>
      <w:numFmt w:val="lowerLetter"/>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1)"/>
      <w:numFmt w:val="lowerLetter"/>
      <w:start w:val="1"/>
    </w:lvl>
  </w:abstractNum>
  <w:abstractNum w:abstractNumId="28">
    <w:nsid w:val="5DB70AE5"/>
    <w:multiLevelType w:val="hybridMultilevel"/>
    <w:lvl w:ilvl="0">
      <w:lvlJc w:val="left"/>
      <w:lvlText w:val="(%1)"/>
      <w:numFmt w:val="lowerLetter"/>
      <w:start w:val="1"/>
    </w:lvl>
  </w:abstractNum>
  <w:abstractNum w:abstractNumId="29">
    <w:nsid w:val="100F8FCA"/>
    <w:multiLevelType w:val="hybridMultilevel"/>
    <w:lvl w:ilvl="0">
      <w:lvlJc w:val="left"/>
      <w:lvlText w:val="(%1)"/>
      <w:numFmt w:val="lowerLetter"/>
      <w:start w:val="1"/>
    </w:lvl>
  </w:abstractNum>
  <w:abstractNum w:abstractNumId="30">
    <w:nsid w:val="6590700B"/>
    <w:multiLevelType w:val="hybridMultilevel"/>
    <w:lvl w:ilvl="0">
      <w:lvlJc w:val="left"/>
      <w:lvlText w:val="(%1)"/>
      <w:numFmt w:val="lowerLetter"/>
      <w:start w:val="1"/>
    </w:lvl>
  </w:abstractNum>
  <w:abstractNum w:abstractNumId="31">
    <w:nsid w:val="15014ACB"/>
    <w:multiLevelType w:val="hybridMultilevel"/>
    <w:lvl w:ilvl="0">
      <w:lvlJc w:val="left"/>
      <w:lvlText w:val="(%1)"/>
      <w:numFmt w:val="lowerLetter"/>
      <w:start w:val="1"/>
    </w:lvl>
  </w:abstractNum>
  <w:abstractNum w:abstractNumId="32">
    <w:nsid w:val="5F5E7FD0"/>
    <w:multiLevelType w:val="hybridMultilevel"/>
    <w:lvl w:ilvl="0">
      <w:lvlJc w:val="left"/>
      <w:lvlText w:val="(%1)"/>
      <w:numFmt w:val="lowerLetter"/>
      <w:start w:val="1"/>
    </w:lvl>
  </w:abstractNum>
  <w:abstractNum w:abstractNumId="33">
    <w:nsid w:val="98A3148"/>
    <w:multiLevelType w:val="hybridMultilevel"/>
    <w:lvl w:ilvl="0">
      <w:lvlJc w:val="left"/>
      <w:lvlText w:val="(%1)"/>
      <w:numFmt w:val="lowerLetter"/>
      <w:start w:val="1"/>
    </w:lvl>
  </w:abstractNum>
  <w:abstractNum w:abstractNumId="34">
    <w:nsid w:val="799D0247"/>
    <w:multiLevelType w:val="hybridMultilevel"/>
    <w:lvl w:ilvl="0">
      <w:lvlJc w:val="left"/>
      <w:lvlText w:val="(%1)"/>
      <w:numFmt w:val="lowerLetter"/>
      <w:start w:val="1"/>
    </w:lvl>
  </w:abstractNum>
  <w:abstractNum w:abstractNumId="35">
    <w:nsid w:val="6B94764"/>
    <w:multiLevelType w:val="hybridMultilevel"/>
    <w:lvl w:ilvl="0">
      <w:lvlJc w:val="left"/>
      <w:lvlText w:val="(%1)"/>
      <w:numFmt w:val="lowerLetter"/>
      <w:start w:val="1"/>
    </w:lvl>
  </w:abstractNum>
  <w:abstractNum w:abstractNumId="36">
    <w:nsid w:val="42C296BD"/>
    <w:multiLevelType w:val="hybridMultilevel"/>
    <w:lvl w:ilvl="0">
      <w:lvlJc w:val="left"/>
      <w:lvlText w:val="•"/>
      <w:numFmt w:val="bullet"/>
      <w:start w:val="1"/>
    </w:lvl>
    <w:lvl w:ilvl="1">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1)"/>
      <w:numFmt w:val="lowerLetter"/>
      <w:start w:val="1"/>
    </w:lvl>
  </w:abstractNum>
  <w:abstractNum w:abstractNumId="40">
    <w:nsid w:val="5DC79EA8"/>
    <w:multiLevelType w:val="hybridMultilevel"/>
    <w:lvl w:ilvl="0">
      <w:lvlJc w:val="left"/>
      <w:lvlText w:val="(%1)"/>
      <w:numFmt w:val="lowerLetter"/>
      <w:start w:val="1"/>
    </w:lvl>
  </w:abstractNum>
  <w:abstractNum w:abstractNumId="41">
    <w:nsid w:val="540A471C"/>
    <w:multiLevelType w:val="hybridMultilevel"/>
    <w:lvl w:ilvl="0">
      <w:lvlJc w:val="left"/>
      <w:lvlText w:val="(%1)"/>
      <w:numFmt w:val="lowerLetter"/>
      <w:start w:val="1"/>
    </w:lvl>
  </w:abstractNum>
  <w:abstractNum w:abstractNumId="42">
    <w:nsid w:val="7BD3EE7B"/>
    <w:multiLevelType w:val="hybridMultilevel"/>
    <w:lvl w:ilvl="0">
      <w:lvlJc w:val="left"/>
      <w:lvlText w:val="(%1)"/>
      <w:numFmt w:val="lowerLetter"/>
      <w:start w:val="1"/>
    </w:lvl>
  </w:abstractNum>
  <w:abstractNum w:abstractNumId="43">
    <w:nsid w:val="51D9C564"/>
    <w:multiLevelType w:val="hybridMultilevel"/>
    <w:lvl w:ilvl="0">
      <w:lvlJc w:val="left"/>
      <w:lvlText w:val="(%1)"/>
      <w:numFmt w:val="lowerLetter"/>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1)"/>
      <w:numFmt w:val="decimal"/>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1)"/>
      <w:numFmt w:val="lowerLetter"/>
      <w:start w:val="1"/>
    </w:lvl>
  </w:abstractNum>
  <w:abstractNum w:abstractNumId="49">
    <w:nsid w:val="8F2B15E"/>
    <w:multiLevelType w:val="hybridMultilevel"/>
    <w:lvl w:ilvl="0">
      <w:lvlJc w:val="left"/>
      <w:lvlText w:val="(%1)"/>
      <w:numFmt w:val="lowerLetter"/>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1)"/>
      <w:numFmt w:val="lowerLetter"/>
      <w:start w:val="1"/>
    </w:lvl>
  </w:abstractNum>
  <w:abstractNum w:abstractNumId="53">
    <w:nsid w:val="4962813B"/>
    <w:multiLevelType w:val="hybridMultilevel"/>
    <w:lvl w:ilvl="0">
      <w:lvlJc w:val="left"/>
      <w:lvlText w:val="(%1)"/>
      <w:numFmt w:val="decimal"/>
      <w:start w:val="3"/>
    </w:lvl>
  </w:abstractNum>
  <w:abstractNum w:abstractNumId="54">
    <w:nsid w:val="60B6DF70"/>
    <w:multiLevelType w:val="hybridMultilevel"/>
    <w:lvl w:ilvl="0">
      <w:lvlJc w:val="left"/>
      <w:lvlText w:val="(%1)"/>
      <w:numFmt w:val="lowerLetter"/>
      <w:start w:val="1"/>
    </w:lvl>
  </w:abstractNum>
  <w:abstractNum w:abstractNumId="55">
    <w:nsid w:val="6A5EE64"/>
    <w:multiLevelType w:val="hybridMultilevel"/>
    <w:lvl w:ilvl="0">
      <w:lvlJc w:val="left"/>
      <w:lvlText w:val="(%1)"/>
      <w:numFmt w:val="lowerLetter"/>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1)"/>
      <w:numFmt w:val="decimal"/>
      <w:start w:val="4"/>
    </w:lvl>
  </w:abstractNum>
  <w:abstractNum w:abstractNumId="59">
    <w:nsid w:val="71EA1109"/>
    <w:multiLevelType w:val="hybridMultilevel"/>
    <w:lvl w:ilvl="0">
      <w:lvlJc w:val="left"/>
      <w:lvlText w:val="(%1)"/>
      <w:numFmt w:val="decimal"/>
      <w:start w:val="5"/>
    </w:lvl>
  </w:abstractNum>
  <w:abstractNum w:abstractNumId="60">
    <w:nsid w:val="100F59DC"/>
    <w:multiLevelType w:val="hybridMultilevel"/>
    <w:lvl w:ilvl="0">
      <w:lvlJc w:val="left"/>
      <w:lvlText w:val="(%1)"/>
      <w:numFmt w:val="lowerLetter"/>
      <w:start w:val="1"/>
    </w:lvl>
  </w:abstractNum>
  <w:abstractNum w:abstractNumId="61">
    <w:nsid w:val="7FB7E0AA"/>
    <w:multiLevelType w:val="hybridMultilevel"/>
    <w:lvl w:ilvl="0">
      <w:lvlJc w:val="left"/>
      <w:lvlText w:val="(%1)"/>
      <w:numFmt w:val="lowerLetter"/>
      <w:start w:val="1"/>
    </w:lvl>
  </w:abstractNum>
  <w:abstractNum w:abstractNumId="62">
    <w:nsid w:val="6EB5BD4"/>
    <w:multiLevelType w:val="hybridMultilevel"/>
    <w:lvl w:ilvl="0">
      <w:lvlJc w:val="left"/>
      <w:lvlText w:val="(%1)"/>
      <w:numFmt w:val="decimal"/>
      <w:start w:val="6"/>
    </w:lvl>
  </w:abstractNum>
  <w:abstractNum w:abstractNumId="63">
    <w:nsid w:val="6F6DD9AC"/>
    <w:multiLevelType w:val="hybridMultilevel"/>
    <w:lvl w:ilvl="0">
      <w:lvlJc w:val="left"/>
      <w:lvlText w:val="(%1)"/>
      <w:numFmt w:val="decimal"/>
      <w:start w:val="7"/>
    </w:lvl>
  </w:abstractNum>
  <w:abstractNum w:abstractNumId="64">
    <w:nsid w:val="94211F2"/>
    <w:multiLevelType w:val="hybridMultilevel"/>
    <w:lvl w:ilvl="0">
      <w:lvlJc w:val="left"/>
      <w:lvlText w:val="(%1)"/>
      <w:numFmt w:val="lowerLetter"/>
      <w:start w:val="1"/>
    </w:lvl>
  </w:abstractNum>
  <w:abstractNum w:abstractNumId="65">
    <w:nsid w:val="885E1B"/>
    <w:multiLevelType w:val="hybridMultilevel"/>
    <w:lvl w:ilvl="0">
      <w:lvlJc w:val="left"/>
      <w:lvlText w:val="(%1)"/>
      <w:numFmt w:val="decimal"/>
      <w:start w:val="8"/>
    </w:lvl>
  </w:abstractNum>
  <w:abstractNum w:abstractNumId="66">
    <w:nsid w:val="76272110"/>
    <w:multiLevelType w:val="hybridMultilevel"/>
    <w:lvl w:ilvl="0">
      <w:lvlJc w:val="left"/>
      <w:lvlText w:val="(%1)"/>
      <w:numFmt w:val="lowerLetter"/>
      <w:start w:val="1"/>
    </w:lvl>
  </w:abstractNum>
  <w:abstractNum w:abstractNumId="67">
    <w:nsid w:val="4C04A8AF"/>
    <w:multiLevelType w:val="hybridMultilevel"/>
    <w:lvl w:ilvl="0">
      <w:lvlJc w:val="left"/>
      <w:lvlText w:val="(%1)"/>
      <w:numFmt w:val="lowerLetter"/>
      <w:start w:val="1"/>
    </w:lvl>
  </w:abstractNum>
  <w:abstractNum w:abstractNumId="68">
    <w:nsid w:val="1716703B"/>
    <w:multiLevelType w:val="hybridMultilevel"/>
    <w:lvl w:ilvl="0">
      <w:lvlJc w:val="left"/>
      <w:lvlText w:val="(%1)"/>
      <w:numFmt w:val="decimal"/>
      <w:start w:val="9"/>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1)"/>
      <w:numFmt w:val="lowerLetter"/>
      <w:start w:val="1"/>
    </w:lvl>
  </w:abstractNum>
  <w:abstractNum w:abstractNumId="71">
    <w:nsid w:val="74DE0EE3"/>
    <w:multiLevelType w:val="hybridMultilevel"/>
    <w:lvl w:ilvl="0">
      <w:lvlJc w:val="left"/>
      <w:lvlText w:val="(%1)"/>
      <w:numFmt w:val="decimal"/>
      <w:start w:val="10"/>
    </w:lvl>
  </w:abstractNum>
  <w:abstractNum w:abstractNumId="72">
    <w:nsid w:val="68EBC550"/>
    <w:multiLevelType w:val="hybridMultilevel"/>
    <w:lvl w:ilvl="0">
      <w:lvlJc w:val="left"/>
      <w:lvlText w:val="(%1)"/>
      <w:numFmt w:val="lowerLetter"/>
      <w:start w:val="1"/>
    </w:lvl>
  </w:abstractNum>
  <w:abstractNum w:abstractNumId="73">
    <w:nsid w:val="2DF6D648"/>
    <w:multiLevelType w:val="hybridMultilevel"/>
    <w:lvl w:ilvl="0">
      <w:lvlJc w:val="left"/>
      <w:lvlText w:val="(%1)"/>
      <w:numFmt w:val="lowerLetter"/>
      <w:start w:val="1"/>
    </w:lvl>
  </w:abstractNum>
  <w:abstractNum w:abstractNumId="74">
    <w:nsid w:val="46B7D447"/>
    <w:multiLevelType w:val="hybridMultilevel"/>
    <w:lvl w:ilvl="0">
      <w:lvlJc w:val="left"/>
      <w:lvlText w:val="(%1)"/>
      <w:numFmt w:val="lowerLetter"/>
      <w:start w:val="1"/>
    </w:lvl>
  </w:abstractNum>
  <w:abstractNum w:abstractNumId="75">
    <w:nsid w:val="4A2AC315"/>
    <w:multiLevelType w:val="hybridMultilevel"/>
    <w:lvl w:ilvl="0">
      <w:lvlJc w:val="left"/>
      <w:lvlText w:val="(%1)"/>
      <w:numFmt w:val="decimal"/>
      <w:start w:val="11"/>
    </w:lvl>
  </w:abstractNum>
  <w:abstractNum w:abstractNumId="76">
    <w:nsid w:val="39EE015C"/>
    <w:multiLevelType w:val="hybridMultilevel"/>
    <w:lvl w:ilvl="0">
      <w:lvlJc w:val="left"/>
      <w:lvlText w:val="(%1)"/>
      <w:numFmt w:val="decimal"/>
      <w:start w:val="12"/>
    </w:lvl>
  </w:abstractNum>
  <w:abstractNum w:abstractNumId="77">
    <w:nsid w:val="57FC4FBB"/>
    <w:multiLevelType w:val="hybridMultilevel"/>
    <w:lvl w:ilvl="0">
      <w:lvlJc w:val="left"/>
      <w:lvlText w:val="(%1)"/>
      <w:numFmt w:val="decimal"/>
      <w:start w:val="13"/>
    </w:lvl>
  </w:abstractNum>
  <w:abstractNum w:abstractNumId="78">
    <w:nsid w:val="CC1016F"/>
    <w:multiLevelType w:val="hybridMultilevel"/>
    <w:lvl w:ilvl="0">
      <w:lvlJc w:val="left"/>
      <w:lvlText w:val="(%1)"/>
      <w:numFmt w:val="lowerLetter"/>
      <w:start w:val="1"/>
    </w:lvl>
  </w:abstractNum>
  <w:abstractNum w:abstractNumId="79">
    <w:nsid w:val="43F18422"/>
    <w:multiLevelType w:val="hybridMultilevel"/>
    <w:lvl w:ilvl="0">
      <w:lvlJc w:val="left"/>
      <w:lvlText w:val="(%1)"/>
      <w:numFmt w:val="lowerLetter"/>
      <w:start w:val="1"/>
    </w:lvl>
  </w:abstractNum>
  <w:abstractNum w:abstractNumId="80">
    <w:nsid w:val="60EF0119"/>
    <w:multiLevelType w:val="hybridMultilevel"/>
    <w:lvl w:ilvl="0">
      <w:lvlJc w:val="left"/>
      <w:lvlText w:val="(%1)"/>
      <w:numFmt w:val="lowerLetter"/>
      <w:start w:val="1"/>
    </w:lvl>
  </w:abstractNum>
  <w:abstractNum w:abstractNumId="81">
    <w:nsid w:val="26F324BA"/>
    <w:multiLevelType w:val="hybridMultilevel"/>
    <w:lvl w:ilvl="0">
      <w:lvlJc w:val="left"/>
      <w:lvlText w:val="(%1)"/>
      <w:numFmt w:val="lowerLetter"/>
      <w:start w:val="1"/>
    </w:lvl>
  </w:abstractNum>
  <w:abstractNum w:abstractNumId="82">
    <w:nsid w:val="7F01579B"/>
    <w:multiLevelType w:val="hybridMultilevel"/>
    <w:lvl w:ilvl="0">
      <w:lvlJc w:val="left"/>
      <w:lvlText w:val="(%1)"/>
      <w:numFmt w:val="lowerLetter"/>
      <w:start w:val="1"/>
    </w:lvl>
  </w:abstractNum>
  <w:abstractNum w:abstractNumId="83">
    <w:nsid w:val="49DA307D"/>
    <w:multiLevelType w:val="hybridMultilevel"/>
    <w:lvl w:ilvl="0">
      <w:lvlJc w:val="left"/>
      <w:lvlText w:val="(%1)"/>
      <w:numFmt w:val="lowerLetter"/>
      <w:start w:val="1"/>
    </w:lvl>
  </w:abstractNum>
  <w:abstractNum w:abstractNumId="84">
    <w:nsid w:val="7055A5F5"/>
    <w:multiLevelType w:val="hybridMultilevel"/>
    <w:lvl w:ilvl="0">
      <w:lvlJc w:val="left"/>
      <w:lvlText w:val="(%1)"/>
      <w:numFmt w:val="decimal"/>
      <w:start w:val="15"/>
    </w:lvl>
  </w:abstractNum>
  <w:abstractNum w:abstractNumId="85">
    <w:nsid w:val="5FB8370B"/>
    <w:multiLevelType w:val="hybridMultilevel"/>
    <w:lvl w:ilvl="0">
      <w:lvlJc w:val="left"/>
      <w:lvlText w:val="(%1)"/>
      <w:numFmt w:val="lowerLetter"/>
      <w:start w:val="1"/>
    </w:lvl>
  </w:abstractNum>
  <w:abstractNum w:abstractNumId="86">
    <w:nsid w:val="50801EE1"/>
    <w:multiLevelType w:val="hybridMultilevel"/>
    <w:lvl w:ilvl="0">
      <w:lvlJc w:val="left"/>
      <w:lvlText w:val="(%1)"/>
      <w:numFmt w:val="lowerLetter"/>
      <w:start w:val="1"/>
    </w:lvl>
  </w:abstractNum>
  <w:abstractNum w:abstractNumId="87">
    <w:nsid w:val="488AC1A"/>
    <w:multiLevelType w:val="hybridMultilevel"/>
    <w:lvl w:ilvl="0">
      <w:lvlJc w:val="left"/>
      <w:lvlText w:val="(%1)"/>
      <w:numFmt w:val="decimal"/>
      <w:start w:val="16"/>
    </w:lvl>
  </w:abstractNum>
  <w:abstractNum w:abstractNumId="88">
    <w:nsid w:val="5FB8011C"/>
    <w:multiLevelType w:val="hybridMultilevel"/>
    <w:lvl w:ilvl="0">
      <w:lvlJc w:val="left"/>
      <w:lvlText w:val="(%1)"/>
      <w:numFmt w:val="lowerLetter"/>
      <w:start w:val="1"/>
    </w:lvl>
  </w:abstractNum>
  <w:abstractNum w:abstractNumId="89">
    <w:nsid w:val="6AA78F7F"/>
    <w:multiLevelType w:val="hybridMultilevel"/>
    <w:lvl w:ilvl="0">
      <w:lvlJc w:val="left"/>
      <w:lvlText w:val="(%1)"/>
      <w:numFmt w:val="decimal"/>
      <w:start w:val="17"/>
    </w:lvl>
  </w:abstractNum>
  <w:abstractNum w:abstractNumId="90">
    <w:nsid w:val="7672BD23"/>
    <w:multiLevelType w:val="hybridMultilevel"/>
    <w:lvl w:ilvl="0">
      <w:lvlJc w:val="left"/>
      <w:lvlText w:val="(%1)"/>
      <w:numFmt w:val="lowerLetter"/>
      <w:start w:val="1"/>
    </w:lvl>
  </w:abstractNum>
  <w:abstractNum w:abstractNumId="91">
    <w:nsid w:val="6FC75AF8"/>
    <w:multiLevelType w:val="hybridMultilevel"/>
    <w:lvl w:ilvl="0">
      <w:lvlJc w:val="left"/>
      <w:lvlText w:val="%1."/>
      <w:numFmt w:val="decimal"/>
      <w:start w:val="1"/>
    </w:lvl>
  </w:abstractNum>
  <w:abstractNum w:abstractNumId="92">
    <w:nsid w:val="6A5F7029"/>
    <w:multiLevelType w:val="hybridMultilevel"/>
    <w:lvl w:ilvl="0">
      <w:lvlJc w:val="left"/>
      <w:lvlText w:val="%1."/>
      <w:numFmt w:val="decimal"/>
      <w:start w:val="2"/>
    </w:lvl>
  </w:abstractNum>
  <w:abstractNum w:abstractNumId="93">
    <w:nsid w:val="7D5E18F8"/>
    <w:multiLevelType w:val="hybridMultilevel"/>
    <w:lvl w:ilvl="0">
      <w:lvlJc w:val="left"/>
      <w:lvlText w:val="%1."/>
      <w:numFmt w:val="decimal"/>
      <w:start w:val="3"/>
    </w:lvl>
  </w:abstractNum>
  <w:abstractNum w:abstractNumId="94">
    <w:nsid w:val="5F3534A4"/>
    <w:multiLevelType w:val="hybridMultilevel"/>
    <w:lvl w:ilvl="0">
      <w:lvlJc w:val="left"/>
      <w:lvlText w:val="%1."/>
      <w:numFmt w:val="lowerLetter"/>
      <w:start w:val="1"/>
    </w:lvl>
  </w:abstractNum>
  <w:abstractNum w:abstractNumId="95">
    <w:nsid w:val="73A1821B"/>
    <w:multiLevelType w:val="hybridMultilevel"/>
    <w:lvl w:ilvl="0">
      <w:lvlJc w:val="left"/>
      <w:lvlText w:val="%1."/>
      <w:numFmt w:val="lowerLetter"/>
      <w:start w:val="1"/>
    </w:lvl>
  </w:abstractNum>
  <w:abstractNum w:abstractNumId="96">
    <w:nsid w:val="7DE6771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97">
    <w:nsid w:val="555C55B5"/>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98">
    <w:nsid w:val="3FA62ACA"/>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99">
    <w:nsid w:val="14FCE74E"/>
    <w:multiLevelType w:val="hybridMultilevel"/>
    <w:lvl w:ilvl="0">
      <w:lvlJc w:val="left"/>
      <w:lvlText w:val="%1."/>
      <w:numFmt w:val="decimal"/>
      <w:start w:val="10"/>
    </w:lvl>
    <w:lvl w:ilvl="1">
      <w:lvlJc w:val="left"/>
      <w:lvlText w:val="%2."/>
      <w:numFmt w:val="lowerLetter"/>
      <w:start w:val="1"/>
    </w:lvl>
  </w:abstractNum>
  <w:abstractNum w:abstractNumId="100">
    <w:nsid w:val="6A3DD3E8"/>
    <w:multiLevelType w:val="hybridMultilevel"/>
    <w:lvl w:ilvl="0">
      <w:lvlJc w:val="left"/>
      <w:lvlText w:val="*"/>
      <w:numFmt w:val="bullet"/>
      <w:start w:val="1"/>
    </w:lvl>
  </w:abstractNum>
  <w:abstractNum w:abstractNumId="101">
    <w:nsid w:val="71C91298"/>
    <w:multiLevelType w:val="hybridMultilevel"/>
    <w:lvl w:ilvl="0">
      <w:lvlJc w:val="left"/>
      <w:lvlText w:val="%1."/>
      <w:numFmt w:val="decimal"/>
      <w:start w:val="1"/>
    </w:lvl>
    <w:lvl w:ilvl="1">
      <w:lvlJc w:val="left"/>
      <w:lvlText w:val="%2)"/>
      <w:numFmt w:val="lowerLetter"/>
      <w:start w:val="1"/>
    </w:lvl>
  </w:abstractNum>
  <w:abstractNum w:abstractNumId="102">
    <w:nsid w:val="9DAF632"/>
    <w:multiLevelType w:val="hybridMultilevel"/>
    <w:lvl w:ilvl="0">
      <w:lvlJc w:val="left"/>
      <w:lvlText w:val="%1."/>
      <w:numFmt w:val="decimal"/>
      <w:start w:val="1"/>
    </w:lvl>
    <w:lvl w:ilvl="1">
      <w:lvlJc w:val="left"/>
      <w:lvlText w:val="%2)"/>
      <w:numFmt w:val="lowerLetter"/>
      <w:start w:val="1"/>
    </w:lvl>
  </w:abstractNum>
  <w:abstractNum w:abstractNumId="103">
    <w:nsid w:val="53299938"/>
    <w:multiLevelType w:val="hybridMultilevel"/>
    <w:lvl w:ilvl="0">
      <w:lvlJc w:val="left"/>
      <w:lvlText w:val="(%1)"/>
      <w:numFmt w:val="decimal"/>
      <w:start w:val="1"/>
    </w:lvl>
  </w:abstractNum>
  <w:abstractNum w:abstractNumId="104">
    <w:nsid w:val="1FBFE8E0"/>
    <w:multiLevelType w:val="hybridMultilevel"/>
    <w:lvl w:ilvl="0">
      <w:lvlJc w:val="left"/>
      <w:lvlText w:val="(%1)"/>
      <w:numFmt w:val="decimal"/>
      <w:start w:val="1"/>
    </w:lvl>
  </w:abstractNum>
  <w:abstractNum w:abstractNumId="105">
    <w:nsid w:val="5092CA79"/>
    <w:multiLevelType w:val="hybridMultilevel"/>
    <w:lvl w:ilvl="0">
      <w:lvlJc w:val="left"/>
      <w:lvlText w:val="•"/>
      <w:numFmt w:val="bullet"/>
      <w:start w:val="1"/>
    </w:lvl>
  </w:abstractNum>
  <w:abstractNum w:abstractNumId="106">
    <w:nsid w:val="1D545C4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4"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19" Type="http://schemas.openxmlformats.org/officeDocument/2006/relationships/image" Target="media/image151.png"/><Relationship Id="rId220" Type="http://schemas.openxmlformats.org/officeDocument/2006/relationships/image" Target="media/image152.png"/><Relationship Id="rId221" Type="http://schemas.openxmlformats.org/officeDocument/2006/relationships/image" Target="media/image153.png"/><Relationship Id="rId222" Type="http://schemas.openxmlformats.org/officeDocument/2006/relationships/image" Target="media/image154.png"/><Relationship Id="rId223" Type="http://schemas.openxmlformats.org/officeDocument/2006/relationships/image" Target="media/image155.png"/><Relationship Id="rId224" Type="http://schemas.openxmlformats.org/officeDocument/2006/relationships/image" Target="media/image156.png"/><Relationship Id="rId225" Type="http://schemas.openxmlformats.org/officeDocument/2006/relationships/image" Target="media/image157.png"/><Relationship Id="rId226" Type="http://schemas.openxmlformats.org/officeDocument/2006/relationships/image" Target="media/image158.png"/><Relationship Id="rId227" Type="http://schemas.openxmlformats.org/officeDocument/2006/relationships/image" Target="media/image159.png"/><Relationship Id="rId153" Type="http://schemas.openxmlformats.org/officeDocument/2006/relationships/hyperlink" Target="http://www.sec.gov/Archives/edgar/data/1130464/000113046415000133/ex21purchaseandsaleagr.htm" TargetMode="External"/><Relationship Id="rId155" Type="http://schemas.openxmlformats.org/officeDocument/2006/relationships/hyperlink" Target="http://www.sec.gov/Archives/edgar/data/1130464/000113046416000176/bkhex-221stamdpurchasesale.htm" TargetMode="External"/><Relationship Id="rId156" Type="http://schemas.openxmlformats.org/officeDocument/2006/relationships/hyperlink" Target="http://www.sec.gov/Archives/edgar/data/1130464/000113046415000133/ex22optionagreement.htm" TargetMode="External"/><Relationship Id="rId157" Type="http://schemas.openxmlformats.org/officeDocument/2006/relationships/hyperlink" Target="http://www.sec.gov/Archives/edgar/data/1130464/000113046418000007/bhcamendedarticles.htm" TargetMode="External"/><Relationship Id="rId158" Type="http://schemas.openxmlformats.org/officeDocument/2006/relationships/hyperlink" Target="http://www.sec.gov/Archives/edgar/data/1130464/000113046417000016/bkhexh3-amdrestatedbylawso.htm" TargetMode="External"/><Relationship Id="rId159" Type="http://schemas.openxmlformats.org/officeDocument/2006/relationships/hyperlink" Target="http://www.sec.gov/Archives/edgar/data/1130464/000113046403000214/ex4-1_10q603.htm" TargetMode="External"/><Relationship Id="rId160" Type="http://schemas.openxmlformats.org/officeDocument/2006/relationships/hyperlink" Target="http://www.sec.gov/Archives/edgar/data/1130464/000113046403000214/ex4-2_10q603.htm" TargetMode="External"/><Relationship Id="rId161" Type="http://schemas.openxmlformats.org/officeDocument/2006/relationships/hyperlink" Target="http://www.sec.gov/Archives/edgar/data/1130464/000110465909032244/a09-13238_3ex4.htm" TargetMode="External"/><Relationship Id="rId162" Type="http://schemas.openxmlformats.org/officeDocument/2006/relationships/hyperlink" Target="http://www.sec.gov/Archives/edgar/data/1130464/000110465910038202/a10-11184_5ex4.htm" TargetMode="External"/><Relationship Id="rId163" Type="http://schemas.openxmlformats.org/officeDocument/2006/relationships/hyperlink" Target="http://www.sec.gov/Archives/edgar/data/1130464/000110465913085420/a13-24110_4ex4.htm" TargetMode="External"/><Relationship Id="rId164" Type="http://schemas.openxmlformats.org/officeDocument/2006/relationships/hyperlink" Target="http://www.sec.gov/Archives/edgar/data/1130464/000110465916089656/a16-1059_4ex4d1.htm" TargetMode="External"/><Relationship Id="rId165" Type="http://schemas.openxmlformats.org/officeDocument/2006/relationships/hyperlink" Target="http://www.sec.gov/Archives/edgar/data/1130464/000110465916140657/a16-17027_1ex4d1.htm" TargetMode="External"/><Relationship Id="rId166" Type="http://schemas.openxmlformats.org/officeDocument/2006/relationships/hyperlink" Target="http://www.sec.gov/Archives/edgar/data/1130464/000110465918052602/a18-18564_4ex4d2.htm" TargetMode="External"/><Relationship Id="rId167" Type="http://schemas.openxmlformats.org/officeDocument/2006/relationships/hyperlink" Target="http://www.sec.gov/Archives/edgar/data/1130464/000141057819001533/tv530573_ex4-1.htm" TargetMode="External"/><Relationship Id="rId168" Type="http://schemas.openxmlformats.org/officeDocument/2006/relationships/hyperlink" Target="https://www.sec.gov/Archives/edgar/data/1130464/000110465920074172/tm2022285d4_ex4-1.htm" TargetMode="External"/><Relationship Id="rId169" Type="http://schemas.openxmlformats.org/officeDocument/2006/relationships/hyperlink" Target="https://www.sec.gov/Archives/edgar/data/1130464/000110465921109815/tm2125215d4_ex4-1.htm" TargetMode="External"/><Relationship Id="rId170" Type="http://schemas.openxmlformats.org/officeDocument/2006/relationships/hyperlink" Target="http://www.sec.gov/Archives/edgar/data/12400/000104746909009108/a2195001zex-4_19.htm" TargetMode="External"/><Relationship Id="rId171" Type="http://schemas.openxmlformats.org/officeDocument/2006/relationships/hyperlink" Target="http://www.sec.gov/Archives/edgar/data/12400/000104746909009108/a2195001zex-4_20.htm" TargetMode="External"/><Relationship Id="rId172" Type="http://schemas.openxmlformats.org/officeDocument/2006/relationships/hyperlink" Target="http://www.sec.gov/Archives/edgar/data/12400/000110465909060487/a09-31821_7ex4d21.htm" TargetMode="External"/><Relationship Id="rId173" Type="http://schemas.openxmlformats.org/officeDocument/2006/relationships/hyperlink" Target="http://www.sec.gov/Archives/edgar/data/12400/000113046414000164/ex_10-1thirdsuppindentureb.htm" TargetMode="External"/><Relationship Id="rId174" Type="http://schemas.openxmlformats.org/officeDocument/2006/relationships/hyperlink" Target="http://www.sec.gov/Archives/edgar/data/12400/000113046414000164/ex_10-2restatedindenture.htm" TargetMode="External"/><Relationship Id="rId175" Type="http://schemas.openxmlformats.org/officeDocument/2006/relationships/hyperlink" Target="http://www.sec.gov/Archives/edgar/data/12400/000113046414000164/ex_10-3clfpfirstsupplement.htm" TargetMode="External"/><Relationship Id="rId176" Type="http://schemas.openxmlformats.org/officeDocument/2006/relationships/hyperlink" Target="http://www.sec.gov/Archives/edgar/data/12400/000113046414000164/ex_10-4clfpsupplementalind.htm" TargetMode="External"/><Relationship Id="rId177" Type="http://schemas.openxmlformats.org/officeDocument/2006/relationships/hyperlink" Target="http://www.sec.gov/Archives/edgar/data/1130464/000001240001000024/0000012400-01-000024-0002.txt" TargetMode="External"/><Relationship Id="rId180" Type="http://schemas.openxmlformats.org/officeDocument/2006/relationships/hyperlink" Target="https://www.sec.gov/Archives/edgar/data/1130464/000113046420000006/bkhex-45descriptionofs.htm" TargetMode="External"/><Relationship Id="rId181" Type="http://schemas.openxmlformats.org/officeDocument/2006/relationships/hyperlink" Target="http://www.sec.gov/Archives/edgar/data/1130464/000113046402000010/ex10_11.txt" TargetMode="External"/><Relationship Id="rId182" Type="http://schemas.openxmlformats.org/officeDocument/2006/relationships/hyperlink" Target="http://www.sec.gov/Archives/edgar/data/1130464/000113046403000054/ex_amendpension10k.htm" TargetMode="External"/><Relationship Id="rId183" Type="http://schemas.openxmlformats.org/officeDocument/2006/relationships/hyperlink" Target="http://www.sec.gov/Archives/edgar/data/1130464/000113046409000099/ex10-2_pepamendment.htm" TargetMode="External"/><Relationship Id="rId184" Type="http://schemas.openxmlformats.org/officeDocument/2006/relationships/hyperlink" Target="http://www.sec.gov/Archives/edgar/data/1130464/000113046409000099/ex10-3_2005pepplan.htm" TargetMode="External"/><Relationship Id="rId185" Type="http://schemas.openxmlformats.org/officeDocument/2006/relationships/hyperlink" Target="http://www.sec.gov/Archives/edgar/data/1130464/000113046409000099/ex10-5_restorationplan.htm" TargetMode="External"/><Relationship Id="rId186" Type="http://schemas.openxmlformats.org/officeDocument/2006/relationships/hyperlink" Target="http://www.sec.gov/Archives/edgar/data/1130464/000113046411000066/exhibit102.htm" TargetMode="External"/><Relationship Id="rId187" Type="http://schemas.openxmlformats.org/officeDocument/2006/relationships/hyperlink" Target="http://www.sec.gov/Archives/edgar/data/1130464/000113046411000027/exhibit104.htm" TargetMode="External"/><Relationship Id="rId188" Type="http://schemas.openxmlformats.org/officeDocument/2006/relationships/hyperlink" Target="http://www.sec.gov/Archives/edgar/data/1130464/000113046419000012/bkhex-105firstamendmentton.htm" TargetMode="External"/><Relationship Id="rId189" Type="http://schemas.openxmlformats.org/officeDocument/2006/relationships/hyperlink" Target="http://www.sec.gov/Archives/edgar/data/1130464/000113046419000012/bkhex-106bhcpostx2018nqdcp.htm" TargetMode="External"/><Relationship Id="rId190" Type="http://schemas.openxmlformats.org/officeDocument/2006/relationships/hyperlink" Target="http://www.sec.gov/Archives/edgar/data/1130464/000110465905016238/a05-6134_1def14a.htm" TargetMode="External"/><Relationship Id="rId191" Type="http://schemas.openxmlformats.org/officeDocument/2006/relationships/hyperlink" Target="http://www.sec.gov/Archives/edgar/data/1130464/000113046409000099/ex10-11_2005omnibusplanamend.htm" TargetMode="External"/><Relationship Id="rId192" Type="http://schemas.openxmlformats.org/officeDocument/2006/relationships/hyperlink" Target="http://www.sec.gov/Archives/edgar/data/1130464/000113046410000055/ex10_omnibusplan-2ndamend.htm" TargetMode="External"/><Relationship Id="rId193" Type="http://schemas.openxmlformats.org/officeDocument/2006/relationships/hyperlink" Target="https://www.sec.gov/Archives/edgar/data/1130464/000113046421000007/bkhex-107amendedandrestate.htm" TargetMode="External"/><Relationship Id="rId194" Type="http://schemas.openxmlformats.org/officeDocument/2006/relationships/hyperlink" Target="http://www.sec.gov/Archives/edgar/data/1130464/000113046414000056/bkhex-107122013.htm" TargetMode="External"/><Relationship Id="rId195" Type="http://schemas.openxmlformats.org/officeDocument/2006/relationships/hyperlink" Target="http://www.sec.gov/Archives/edgar/data/1130464/000113046416000176/bkhex-108stockoptionawarda.htm" TargetMode="External"/><Relationship Id="rId196" Type="http://schemas.openxmlformats.org/officeDocument/2006/relationships/hyperlink" Target="http://www.sec.gov/Archives/edgar/data/1130464/000113046416000176/bkhex-1010formofrestricted.htm" TargetMode="External"/><Relationship Id="rId197" Type="http://schemas.openxmlformats.org/officeDocument/2006/relationships/hyperlink" Target="https://www.sec.gov/Archives/edgar/data/1130464/000113046421000007/bkhex-1011restrictedstocka.htm" TargetMode="External"/><Relationship Id="rId198" Type="http://schemas.openxmlformats.org/officeDocument/2006/relationships/hyperlink" Target="http://www.sec.gov/Archives/edgar/data/1130464/000113046416000176/bkhex-1012formofrestricted.htm" TargetMode="External"/><Relationship Id="rId199" Type="http://schemas.openxmlformats.org/officeDocument/2006/relationships/hyperlink" Target="http://www.sec.gov/Archives/edgar/data/1130464/000113046416000199/bkhex-106pspawardagr2015om.htm" TargetMode="External"/><Relationship Id="rId200" Type="http://schemas.openxmlformats.org/officeDocument/2006/relationships/hyperlink" Target="https://www.sec.gov/Archives/edgar/data/1130464/000113046420000006/bkhex-1012performances.htm" TargetMode="External"/><Relationship Id="rId201" Type="http://schemas.openxmlformats.org/officeDocument/2006/relationships/hyperlink" Target="https://www.sec.gov/Archives/edgar/data/1130464/000113046421000007/bkhex-1016stipawardagreeme.htm" TargetMode="External"/><Relationship Id="rId202" Type="http://schemas.openxmlformats.org/officeDocument/2006/relationships/hyperlink" Target="https://www.sec.gov/Archives/edgar/data/1130464/000113046421000007/bkhex-1017performanceunita.htm" TargetMode="External"/><Relationship Id="rId203" Type="http://schemas.openxmlformats.org/officeDocument/2006/relationships/hyperlink" Target="http://www.sec.gov/Archives/edgar/data/1130464/000113046404000296/ex10-5sep3_8k.htm" TargetMode="External"/><Relationship Id="rId204" Type="http://schemas.openxmlformats.org/officeDocument/2006/relationships/hyperlink" Target="https://www.sec.gov/Archives/edgar/data/1130464/000113046420000006/bkhex-1015ceocicagreem.htm" TargetMode="External"/><Relationship Id="rId205" Type="http://schemas.openxmlformats.org/officeDocument/2006/relationships/hyperlink" Target="https://www.sec.gov/Archives/edgar/data/1130464/000113046420000006/bkhex-1016corporateoff.htm" TargetMode="External"/><Relationship Id="rId206" Type="http://schemas.openxmlformats.org/officeDocument/2006/relationships/hyperlink" Target="http://www.sec.gov/Archives/edgar/data/1130464/000113046409000099/ex10-23_directorcompplan.htm" TargetMode="External"/><Relationship Id="rId209" Type="http://schemas.openxmlformats.org/officeDocument/2006/relationships/hyperlink" Target="http://www.sec.gov/Archives/edgar/data/1130464/000113046411000027/exhibit1016.htm" TargetMode="External"/><Relationship Id="rId210" Type="http://schemas.openxmlformats.org/officeDocument/2006/relationships/hyperlink" Target="http://www.sec.gov/Archives/edgar/data/1130464/000113046413000071/bkhex-1015122012.htm" TargetMode="External"/><Relationship Id="rId211" Type="http://schemas.openxmlformats.org/officeDocument/2006/relationships/hyperlink" Target="http://www.sec.gov/Archives/edgar/data/1130464/000113046415000083/bkhex-1016122014.htm" TargetMode="External"/><Relationship Id="rId212" Type="http://schemas.openxmlformats.org/officeDocument/2006/relationships/hyperlink" Target="http://www.sec.gov/Archives/edgar/data/1130464/000113046416000217/bkhex-104q32016fourthamddi.htm" TargetMode="External"/><Relationship Id="rId213" Type="http://schemas.openxmlformats.org/officeDocument/2006/relationships/hyperlink" Target="http://www.sec.gov/Archives/edgar/data/1130464/000113046418000014/bkhex-1016directorcompplan.htm" TargetMode="External"/><Relationship Id="rId214" Type="http://schemas.openxmlformats.org/officeDocument/2006/relationships/hyperlink" Target="http://www.sec.gov/Archives/edgar/data/1130464/000113046419000012/bkhex1018bodoutsidedircomp.htm" TargetMode="External"/><Relationship Id="rId215" Type="http://schemas.openxmlformats.org/officeDocument/2006/relationships/hyperlink" Target="http://www.sec.gov/Archives/edgar/data/1130464/000113046416000199/bkhex-108nonxdisclosureand.htm" TargetMode="External"/><Relationship Id="rId216" Type="http://schemas.openxmlformats.org/officeDocument/2006/relationships/hyperlink" Target="https://www.sec.gov/Archives/edgar/data/1130464/000110465920089882/tm2026019d3_ex1-1.htm" TargetMode="External"/><Relationship Id="rId217" Type="http://schemas.openxmlformats.org/officeDocument/2006/relationships/hyperlink" Target="https://www.sec.gov/Archives/edgar/data/1130464/000113046421000026/exhibit101amendedandrestat.htm" TargetMode="External"/><Relationship Id="rId218" Type="http://schemas.openxmlformats.org/officeDocument/2006/relationships/hyperlink" Target="https://www.sec.gov/Archives/edgar/data/1130464/000113046421000004/exhibit101creditagree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2022-02-15T12:36:26Z</dcterms:created>
  <dcterms:modified xsi:type="dcterms:W3CDTF">2022-02-15T12:36:26Z</dcterms:modified>
</cp:coreProperties>
</file>